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49BC" w:rsidR="006949BC" w:rsidP="006949BC" w:rsidRDefault="006949BC" w14:paraId="5176A70B" w14:textId="48E40259">
      <w:pPr>
        <w:spacing w:after="0" w:line="360" w:lineRule="auto"/>
        <w:rPr>
          <w:rFonts w:ascii="Arial" w:hAnsi="Arial" w:eastAsia="Times New Roman" w:cs="Times New Roman"/>
          <w:b/>
          <w:sz w:val="20"/>
          <w:szCs w:val="24"/>
          <w:lang w:val="nl-NL" w:eastAsia="nl-NL"/>
        </w:rPr>
      </w:pPr>
      <w:bookmarkStart w:name="_GoBack" w:id="0"/>
      <w:bookmarkEnd w:id="0"/>
      <w:r w:rsidRPr="006949BC">
        <w:rPr>
          <w:rFonts w:ascii="Arial" w:hAnsi="Arial" w:eastAsia="Times New Roman" w:cs="Times New Roman"/>
          <w:b/>
          <w:sz w:val="20"/>
          <w:szCs w:val="24"/>
          <w:lang w:val="nl-NL" w:eastAsia="nl-NL"/>
        </w:rPr>
        <w:t>Verdrag tussen het Konin</w:t>
      </w:r>
      <w:r w:rsidR="00FB20CA">
        <w:rPr>
          <w:rFonts w:ascii="Arial" w:hAnsi="Arial" w:eastAsia="Times New Roman" w:cs="Times New Roman"/>
          <w:b/>
          <w:sz w:val="20"/>
          <w:szCs w:val="24"/>
          <w:lang w:val="nl-NL" w:eastAsia="nl-NL"/>
        </w:rPr>
        <w:t xml:space="preserve">krijk der Nederlanden en </w:t>
      </w:r>
      <w:r w:rsidR="002F3308">
        <w:rPr>
          <w:rFonts w:ascii="Arial" w:hAnsi="Arial" w:eastAsia="Times New Roman" w:cs="Times New Roman"/>
          <w:b/>
          <w:sz w:val="20"/>
          <w:szCs w:val="24"/>
          <w:lang w:val="nl-NL" w:eastAsia="nl-NL"/>
        </w:rPr>
        <w:t xml:space="preserve">het Vorstendom </w:t>
      </w:r>
      <w:r w:rsidR="00FB20CA">
        <w:rPr>
          <w:rFonts w:ascii="Arial" w:hAnsi="Arial" w:eastAsia="Times New Roman" w:cs="Times New Roman"/>
          <w:b/>
          <w:sz w:val="20"/>
          <w:szCs w:val="24"/>
          <w:lang w:val="nl-NL" w:eastAsia="nl-NL"/>
        </w:rPr>
        <w:t>Liechtenstein</w:t>
      </w:r>
      <w:r w:rsidRPr="006949BC">
        <w:rPr>
          <w:rFonts w:ascii="Arial" w:hAnsi="Arial" w:eastAsia="Times New Roman" w:cs="Times New Roman"/>
          <w:b/>
          <w:sz w:val="20"/>
          <w:szCs w:val="24"/>
          <w:lang w:val="nl-NL" w:eastAsia="nl-NL"/>
        </w:rPr>
        <w:t xml:space="preserve"> tot het vermijden van dubbele belasting met betrekking tot belastingen naar het inkomen en </w:t>
      </w:r>
      <w:r w:rsidR="00D45257">
        <w:rPr>
          <w:rFonts w:ascii="Arial" w:hAnsi="Arial" w:eastAsia="Times New Roman" w:cs="Times New Roman"/>
          <w:b/>
          <w:sz w:val="20"/>
          <w:szCs w:val="24"/>
          <w:lang w:val="nl-NL" w:eastAsia="nl-NL"/>
        </w:rPr>
        <w:t xml:space="preserve">het </w:t>
      </w:r>
      <w:r w:rsidRPr="006949BC">
        <w:rPr>
          <w:rFonts w:ascii="Arial" w:hAnsi="Arial" w:eastAsia="Times New Roman" w:cs="Times New Roman"/>
          <w:b/>
          <w:sz w:val="20"/>
          <w:szCs w:val="24"/>
          <w:lang w:val="nl-NL" w:eastAsia="nl-NL"/>
        </w:rPr>
        <w:t>vermogen en het voorkomen van het ontgaan</w:t>
      </w:r>
      <w:r w:rsidR="00EC0262">
        <w:rPr>
          <w:rFonts w:ascii="Arial" w:hAnsi="Arial" w:eastAsia="Times New Roman" w:cs="Times New Roman"/>
          <w:b/>
          <w:sz w:val="20"/>
          <w:szCs w:val="24"/>
          <w:lang w:val="nl-NL" w:eastAsia="nl-NL"/>
        </w:rPr>
        <w:t xml:space="preserve"> en ontwijken van belasting</w:t>
      </w:r>
      <w:r w:rsidR="002C4A51">
        <w:rPr>
          <w:rFonts w:ascii="Arial" w:hAnsi="Arial" w:eastAsia="Times New Roman" w:cs="Times New Roman"/>
          <w:b/>
          <w:sz w:val="20"/>
          <w:szCs w:val="24"/>
          <w:lang w:val="nl-NL" w:eastAsia="nl-NL"/>
        </w:rPr>
        <w:t>, met Protocol</w:t>
      </w:r>
      <w:r w:rsidR="00EC0262">
        <w:rPr>
          <w:rFonts w:ascii="Arial" w:hAnsi="Arial" w:eastAsia="Times New Roman" w:cs="Times New Roman"/>
          <w:b/>
          <w:sz w:val="20"/>
          <w:szCs w:val="24"/>
          <w:lang w:val="nl-NL" w:eastAsia="nl-NL"/>
        </w:rPr>
        <w:t xml:space="preserve">; </w:t>
      </w:r>
      <w:r w:rsidR="009A1AEA">
        <w:rPr>
          <w:rFonts w:ascii="Arial" w:hAnsi="Arial" w:eastAsia="Times New Roman" w:cs="Times New Roman"/>
          <w:b/>
          <w:sz w:val="20"/>
          <w:szCs w:val="24"/>
          <w:lang w:val="nl-NL" w:eastAsia="nl-NL"/>
        </w:rPr>
        <w:t>Bern</w:t>
      </w:r>
      <w:r w:rsidR="00FB20CA">
        <w:rPr>
          <w:rFonts w:ascii="Arial" w:hAnsi="Arial" w:eastAsia="Times New Roman" w:cs="Times New Roman"/>
          <w:b/>
          <w:sz w:val="20"/>
          <w:szCs w:val="24"/>
          <w:lang w:val="nl-NL" w:eastAsia="nl-NL"/>
        </w:rPr>
        <w:t xml:space="preserve">, </w:t>
      </w:r>
      <w:r w:rsidR="009A1AEA">
        <w:rPr>
          <w:rFonts w:ascii="Arial" w:hAnsi="Arial" w:eastAsia="Times New Roman" w:cs="Times New Roman"/>
          <w:b/>
          <w:sz w:val="20"/>
          <w:szCs w:val="24"/>
          <w:lang w:val="nl-NL" w:eastAsia="nl-NL"/>
        </w:rPr>
        <w:t>3 juni 2020</w:t>
      </w:r>
      <w:r w:rsidR="00FB20CA">
        <w:rPr>
          <w:rFonts w:ascii="Arial" w:hAnsi="Arial" w:eastAsia="Times New Roman" w:cs="Times New Roman"/>
          <w:b/>
          <w:sz w:val="20"/>
          <w:szCs w:val="24"/>
          <w:lang w:val="nl-NL" w:eastAsia="nl-NL"/>
        </w:rPr>
        <w:t xml:space="preserve"> </w:t>
      </w:r>
      <w:r w:rsidRPr="00C76A22">
        <w:rPr>
          <w:rFonts w:ascii="Arial" w:hAnsi="Arial" w:eastAsia="Times New Roman" w:cs="Arial"/>
          <w:b/>
          <w:sz w:val="20"/>
          <w:szCs w:val="24"/>
          <w:lang w:val="nl-NL" w:eastAsia="nl-NL"/>
        </w:rPr>
        <w:t>(</w:t>
      </w:r>
      <w:proofErr w:type="spellStart"/>
      <w:r w:rsidRPr="00477469" w:rsidR="00B12A93">
        <w:rPr>
          <w:rStyle w:val="preformatted"/>
          <w:rFonts w:ascii="Arial" w:hAnsi="Arial" w:cs="Arial"/>
          <w:b/>
          <w:i/>
          <w:szCs w:val="18"/>
          <w:lang w:val="nl-NL"/>
        </w:rPr>
        <w:t>Trb</w:t>
      </w:r>
      <w:proofErr w:type="spellEnd"/>
      <w:r w:rsidRPr="00477469" w:rsidR="00B12A93">
        <w:rPr>
          <w:rStyle w:val="preformatted"/>
          <w:rFonts w:ascii="Arial" w:hAnsi="Arial" w:cs="Arial"/>
          <w:b/>
          <w:szCs w:val="18"/>
          <w:lang w:val="nl-NL"/>
        </w:rPr>
        <w:t>.</w:t>
      </w:r>
      <w:r w:rsidRPr="00B12A93" w:rsidR="00FB20CA">
        <w:rPr>
          <w:rFonts w:ascii="Arial" w:hAnsi="Arial" w:eastAsia="Times New Roman" w:cs="Times New Roman"/>
          <w:b/>
          <w:sz w:val="20"/>
          <w:szCs w:val="24"/>
          <w:lang w:val="nl-NL" w:eastAsia="nl-NL"/>
        </w:rPr>
        <w:t xml:space="preserve"> 20</w:t>
      </w:r>
      <w:r w:rsidRPr="00B12A93" w:rsidR="000C3A41">
        <w:rPr>
          <w:rFonts w:ascii="Arial" w:hAnsi="Arial" w:eastAsia="Times New Roman" w:cs="Times New Roman"/>
          <w:b/>
          <w:sz w:val="20"/>
          <w:szCs w:val="24"/>
          <w:lang w:val="nl-NL" w:eastAsia="nl-NL"/>
        </w:rPr>
        <w:t>20</w:t>
      </w:r>
      <w:r w:rsidRPr="00B12A93" w:rsidR="00063D7D">
        <w:rPr>
          <w:rFonts w:ascii="Arial" w:hAnsi="Arial" w:eastAsia="Times New Roman" w:cs="Times New Roman"/>
          <w:b/>
          <w:sz w:val="20"/>
          <w:szCs w:val="24"/>
          <w:lang w:val="nl-NL" w:eastAsia="nl-NL"/>
        </w:rPr>
        <w:t>, 60</w:t>
      </w:r>
      <w:r w:rsidR="004175EA">
        <w:rPr>
          <w:rFonts w:ascii="Arial" w:hAnsi="Arial" w:eastAsia="Times New Roman" w:cs="Times New Roman"/>
          <w:b/>
          <w:sz w:val="20"/>
          <w:szCs w:val="24"/>
          <w:lang w:val="nl-NL" w:eastAsia="nl-NL"/>
        </w:rPr>
        <w:t xml:space="preserve"> en </w:t>
      </w:r>
      <w:proofErr w:type="spellStart"/>
      <w:r w:rsidR="004175EA">
        <w:rPr>
          <w:rFonts w:ascii="Arial" w:hAnsi="Arial" w:eastAsia="Times New Roman" w:cs="Times New Roman"/>
          <w:b/>
          <w:i/>
          <w:sz w:val="20"/>
          <w:szCs w:val="24"/>
          <w:lang w:val="nl-NL" w:eastAsia="nl-NL"/>
        </w:rPr>
        <w:t>Trb</w:t>
      </w:r>
      <w:proofErr w:type="spellEnd"/>
      <w:r w:rsidR="004175EA">
        <w:rPr>
          <w:rFonts w:ascii="Arial" w:hAnsi="Arial" w:eastAsia="Times New Roman" w:cs="Times New Roman"/>
          <w:b/>
          <w:i/>
          <w:sz w:val="20"/>
          <w:szCs w:val="24"/>
          <w:lang w:val="nl-NL" w:eastAsia="nl-NL"/>
        </w:rPr>
        <w:t xml:space="preserve">. </w:t>
      </w:r>
      <w:r w:rsidRPr="00CF3E8F" w:rsidR="004175EA">
        <w:rPr>
          <w:rFonts w:ascii="Arial" w:hAnsi="Arial" w:eastAsia="Times New Roman" w:cs="Times New Roman"/>
          <w:b/>
          <w:sz w:val="20"/>
          <w:szCs w:val="24"/>
          <w:lang w:val="nl-NL" w:eastAsia="nl-NL"/>
        </w:rPr>
        <w:t>2020, 95</w:t>
      </w:r>
      <w:r w:rsidRPr="00B12A93" w:rsidR="00063D7D">
        <w:rPr>
          <w:rFonts w:ascii="Arial" w:hAnsi="Arial" w:eastAsia="Times New Roman" w:cs="Times New Roman"/>
          <w:b/>
          <w:sz w:val="20"/>
          <w:szCs w:val="24"/>
          <w:lang w:val="nl-NL" w:eastAsia="nl-NL"/>
        </w:rPr>
        <w:t>)</w:t>
      </w:r>
    </w:p>
    <w:p w:rsidRPr="006949BC" w:rsidR="006949BC" w:rsidP="006949BC" w:rsidRDefault="006949BC" w14:paraId="4FF33579"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0C3A41" w14:paraId="4057530D" w14:textId="3B04F04C">
      <w:pPr>
        <w:spacing w:after="0" w:line="360" w:lineRule="auto"/>
        <w:rPr>
          <w:rFonts w:ascii="Arial" w:hAnsi="Arial" w:eastAsia="Times New Roman" w:cs="Times New Roman"/>
          <w:b/>
          <w:sz w:val="20"/>
          <w:szCs w:val="24"/>
          <w:lang w:val="nl-NL" w:eastAsia="nl-NL"/>
        </w:rPr>
      </w:pPr>
      <w:r>
        <w:rPr>
          <w:rFonts w:ascii="Arial" w:hAnsi="Arial" w:eastAsia="Times New Roman" w:cs="Times New Roman"/>
          <w:b/>
          <w:sz w:val="20"/>
          <w:szCs w:val="24"/>
          <w:lang w:val="nl-NL" w:eastAsia="nl-NL"/>
        </w:rPr>
        <w:t xml:space="preserve">TOELICHTENDE </w:t>
      </w:r>
      <w:r w:rsidRPr="006949BC" w:rsidR="006949BC">
        <w:rPr>
          <w:rFonts w:ascii="Arial" w:hAnsi="Arial" w:eastAsia="Times New Roman" w:cs="Times New Roman"/>
          <w:b/>
          <w:sz w:val="20"/>
          <w:szCs w:val="24"/>
          <w:lang w:val="nl-NL" w:eastAsia="nl-NL"/>
        </w:rPr>
        <w:t>NOTA</w:t>
      </w:r>
    </w:p>
    <w:p w:rsidRPr="006949BC" w:rsidR="006949BC" w:rsidP="006949BC" w:rsidRDefault="006949BC" w14:paraId="7119E95E"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6949BC" w14:paraId="0A1ABE94" w14:textId="77777777">
      <w:pPr>
        <w:spacing w:after="0" w:line="360" w:lineRule="auto"/>
        <w:outlineLvl w:val="0"/>
        <w:rPr>
          <w:rFonts w:ascii="Arial" w:hAnsi="Arial" w:eastAsia="Times New Roman" w:cs="Times New Roman"/>
          <w:b/>
          <w:sz w:val="20"/>
          <w:szCs w:val="24"/>
          <w:lang w:val="nl-NL" w:eastAsia="nl-NL"/>
        </w:rPr>
      </w:pPr>
      <w:r w:rsidRPr="006949BC">
        <w:rPr>
          <w:rFonts w:ascii="Arial" w:hAnsi="Arial" w:eastAsia="Times New Roman" w:cs="Times New Roman"/>
          <w:b/>
          <w:sz w:val="20"/>
          <w:szCs w:val="24"/>
          <w:lang w:val="nl-NL" w:eastAsia="nl-NL"/>
        </w:rPr>
        <w:t>I.</w:t>
      </w:r>
      <w:r w:rsidRPr="006949BC">
        <w:rPr>
          <w:rFonts w:ascii="Arial" w:hAnsi="Arial" w:eastAsia="Times New Roman" w:cs="Times New Roman"/>
          <w:b/>
          <w:sz w:val="20"/>
          <w:szCs w:val="24"/>
          <w:lang w:val="nl-NL" w:eastAsia="nl-NL"/>
        </w:rPr>
        <w:tab/>
        <w:t>ALGEMEEN</w:t>
      </w:r>
    </w:p>
    <w:p w:rsidRPr="006949BC" w:rsidR="006949BC" w:rsidP="006949BC" w:rsidRDefault="006949BC" w14:paraId="3F0DD7F5"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I.0</w:t>
      </w:r>
      <w:r w:rsidRPr="006949BC">
        <w:rPr>
          <w:rFonts w:ascii="Arial" w:hAnsi="Arial" w:eastAsia="Times New Roman" w:cs="Times New Roman"/>
          <w:bCs/>
          <w:i/>
          <w:iCs/>
          <w:sz w:val="20"/>
          <w:szCs w:val="28"/>
          <w:lang w:val="nl-NL" w:eastAsia="nl-NL"/>
        </w:rPr>
        <w:tab/>
        <w:t>Inleiding</w:t>
      </w:r>
    </w:p>
    <w:p w:rsidRPr="006949BC" w:rsidR="006949BC" w:rsidP="00607503" w:rsidRDefault="006949BC" w14:paraId="1122A195" w14:textId="70F6F8B8">
      <w:pPr>
        <w:spacing w:after="0" w:line="360" w:lineRule="auto"/>
        <w:ind w:firstLine="720"/>
        <w:rPr>
          <w:rFonts w:ascii="Arial" w:hAnsi="Arial" w:eastAsia="Times New Roman" w:cs="Arial"/>
          <w:sz w:val="20"/>
          <w:szCs w:val="20"/>
          <w:lang w:val="nl-NL" w:eastAsia="nl-NL"/>
        </w:rPr>
      </w:pPr>
      <w:r w:rsidRPr="006949BC">
        <w:rPr>
          <w:rFonts w:ascii="Arial" w:hAnsi="Arial" w:eastAsia="Times New Roman" w:cs="Times New Roman"/>
          <w:sz w:val="20"/>
          <w:szCs w:val="24"/>
          <w:lang w:val="nl-NL" w:eastAsia="nl-NL"/>
        </w:rPr>
        <w:t xml:space="preserve">Het onderhavige, op </w:t>
      </w:r>
      <w:r w:rsidR="009A1AEA">
        <w:rPr>
          <w:rFonts w:ascii="Arial" w:hAnsi="Arial" w:eastAsia="Times New Roman" w:cs="Times New Roman"/>
          <w:sz w:val="20"/>
          <w:szCs w:val="24"/>
          <w:lang w:val="nl-NL" w:eastAsia="nl-NL"/>
        </w:rPr>
        <w:t xml:space="preserve">3 juni 2020 </w:t>
      </w:r>
      <w:r w:rsidRPr="00242BE1">
        <w:rPr>
          <w:rFonts w:ascii="Arial" w:hAnsi="Arial" w:eastAsia="Times New Roman" w:cs="Times New Roman"/>
          <w:sz w:val="20"/>
          <w:szCs w:val="24"/>
          <w:lang w:val="nl-NL" w:eastAsia="nl-NL"/>
        </w:rPr>
        <w:t xml:space="preserve">te </w:t>
      </w:r>
      <w:r w:rsidR="009A1AEA">
        <w:rPr>
          <w:rFonts w:ascii="Arial" w:hAnsi="Arial" w:eastAsia="Times New Roman" w:cs="Times New Roman"/>
          <w:sz w:val="20"/>
          <w:szCs w:val="24"/>
          <w:lang w:val="nl-NL" w:eastAsia="nl-NL"/>
        </w:rPr>
        <w:t xml:space="preserve">Bern </w:t>
      </w:r>
      <w:r w:rsidRPr="00242BE1">
        <w:rPr>
          <w:rFonts w:ascii="Arial" w:hAnsi="Arial" w:eastAsia="Times New Roman" w:cs="Times New Roman"/>
          <w:sz w:val="20"/>
          <w:szCs w:val="24"/>
          <w:lang w:val="nl-NL" w:eastAsia="nl-NL"/>
        </w:rPr>
        <w:t>ondertekende</w:t>
      </w:r>
      <w:r w:rsidRPr="006949BC">
        <w:rPr>
          <w:rFonts w:ascii="Arial" w:hAnsi="Arial" w:eastAsia="Times New Roman" w:cs="Times New Roman"/>
          <w:sz w:val="20"/>
          <w:szCs w:val="24"/>
          <w:lang w:val="nl-NL" w:eastAsia="nl-NL"/>
        </w:rPr>
        <w:t xml:space="preserve"> Verdrag tussen het Konin</w:t>
      </w:r>
      <w:r w:rsidR="00FB20CA">
        <w:rPr>
          <w:rFonts w:ascii="Arial" w:hAnsi="Arial" w:eastAsia="Times New Roman" w:cs="Times New Roman"/>
          <w:sz w:val="20"/>
          <w:szCs w:val="24"/>
          <w:lang w:val="nl-NL" w:eastAsia="nl-NL"/>
        </w:rPr>
        <w:t xml:space="preserve">krijk der Nederlanden en </w:t>
      </w:r>
      <w:r w:rsidR="002F3308">
        <w:rPr>
          <w:rFonts w:ascii="Arial" w:hAnsi="Arial" w:eastAsia="Times New Roman" w:cs="Times New Roman"/>
          <w:sz w:val="20"/>
          <w:szCs w:val="24"/>
          <w:lang w:val="nl-NL" w:eastAsia="nl-NL"/>
        </w:rPr>
        <w:t xml:space="preserve">het Vorstendom </w:t>
      </w:r>
      <w:r w:rsidR="00FB20CA">
        <w:rPr>
          <w:rFonts w:ascii="Arial" w:hAnsi="Arial" w:eastAsia="Times New Roman" w:cs="Times New Roman"/>
          <w:sz w:val="20"/>
          <w:szCs w:val="24"/>
          <w:lang w:val="nl-NL" w:eastAsia="nl-NL"/>
        </w:rPr>
        <w:t>Liechtenstein</w:t>
      </w:r>
      <w:r w:rsidRPr="006949BC">
        <w:rPr>
          <w:rFonts w:ascii="Arial" w:hAnsi="Arial" w:eastAsia="Times New Roman" w:cs="Times New Roman"/>
          <w:sz w:val="20"/>
          <w:szCs w:val="24"/>
          <w:lang w:val="nl-NL" w:eastAsia="nl-NL"/>
        </w:rPr>
        <w:t>, met Protocol, (hierna: ‘het Verdrag’</w:t>
      </w:r>
      <w:r w:rsidR="00651BD5">
        <w:rPr>
          <w:rFonts w:ascii="Arial" w:hAnsi="Arial" w:eastAsia="Times New Roman" w:cs="Times New Roman"/>
          <w:sz w:val="20"/>
          <w:szCs w:val="24"/>
          <w:lang w:val="nl-NL" w:eastAsia="nl-NL"/>
        </w:rPr>
        <w:t>,</w:t>
      </w:r>
      <w:r w:rsidR="002F3308">
        <w:rPr>
          <w:rFonts w:ascii="Arial" w:hAnsi="Arial" w:eastAsia="Times New Roman" w:cs="Times New Roman"/>
          <w:sz w:val="20"/>
          <w:szCs w:val="24"/>
          <w:lang w:val="nl-NL" w:eastAsia="nl-NL"/>
        </w:rPr>
        <w:t xml:space="preserve"> onderscheidenlijk </w:t>
      </w:r>
      <w:r w:rsidR="00486A57">
        <w:rPr>
          <w:rFonts w:ascii="Arial" w:hAnsi="Arial" w:eastAsia="Times New Roman" w:cs="Times New Roman"/>
          <w:sz w:val="20"/>
          <w:szCs w:val="24"/>
          <w:lang w:val="nl-NL" w:eastAsia="nl-NL"/>
        </w:rPr>
        <w:t>‘</w:t>
      </w:r>
      <w:r w:rsidR="002F3308">
        <w:rPr>
          <w:rFonts w:ascii="Arial" w:hAnsi="Arial" w:eastAsia="Times New Roman" w:cs="Times New Roman"/>
          <w:sz w:val="20"/>
          <w:szCs w:val="24"/>
          <w:lang w:val="nl-NL" w:eastAsia="nl-NL"/>
        </w:rPr>
        <w:t>het Protocol</w:t>
      </w:r>
      <w:r w:rsidR="00486A57">
        <w:rPr>
          <w:rFonts w:ascii="Arial" w:hAnsi="Arial" w:eastAsia="Times New Roman" w:cs="Times New Roman"/>
          <w:sz w:val="20"/>
          <w:szCs w:val="24"/>
          <w:lang w:val="nl-NL" w:eastAsia="nl-NL"/>
        </w:rPr>
        <w:t>’</w:t>
      </w:r>
      <w:r w:rsidRPr="006949BC">
        <w:rPr>
          <w:rFonts w:ascii="Arial" w:hAnsi="Arial" w:eastAsia="Times New Roman" w:cs="Times New Roman"/>
          <w:sz w:val="20"/>
          <w:szCs w:val="24"/>
          <w:lang w:val="nl-NL" w:eastAsia="nl-NL"/>
        </w:rPr>
        <w:t>) geeft regels die aanwijzen welke van de verdragsluitende staten (wat het Koninkrijk der Nederlanden betreft het Europese deel van het land Nederland</w:t>
      </w:r>
      <w:r w:rsidRPr="00486A57" w:rsidR="00486A57">
        <w:rPr>
          <w:rFonts w:ascii="Arial" w:hAnsi="Arial" w:eastAsia="Times New Roman" w:cs="Times New Roman"/>
          <w:sz w:val="20"/>
          <w:szCs w:val="24"/>
          <w:lang w:val="nl-NL" w:eastAsia="nl-NL"/>
        </w:rPr>
        <w:t>, zie paragraaf I.6 van deze toelichting</w:t>
      </w:r>
      <w:r w:rsidRPr="006949BC">
        <w:rPr>
          <w:rFonts w:ascii="Arial" w:hAnsi="Arial" w:eastAsia="Times New Roman" w:cs="Times New Roman"/>
          <w:sz w:val="20"/>
          <w:szCs w:val="24"/>
          <w:lang w:val="nl-NL" w:eastAsia="nl-NL"/>
        </w:rPr>
        <w:t xml:space="preserve">) bevoegd is om in overeenstemming met zijn nationale wetgeving belasting te heffen over het inkomen </w:t>
      </w:r>
      <w:r w:rsidR="002F3308">
        <w:rPr>
          <w:rFonts w:ascii="Arial" w:hAnsi="Arial" w:eastAsia="Times New Roman" w:cs="Times New Roman"/>
          <w:sz w:val="20"/>
          <w:szCs w:val="24"/>
          <w:lang w:val="nl-NL" w:eastAsia="nl-NL"/>
        </w:rPr>
        <w:t xml:space="preserve">en het vermogen </w:t>
      </w:r>
      <w:r w:rsidRPr="006949BC">
        <w:rPr>
          <w:rFonts w:ascii="Arial" w:hAnsi="Arial" w:eastAsia="Times New Roman" w:cs="Times New Roman"/>
          <w:sz w:val="20"/>
          <w:szCs w:val="24"/>
          <w:lang w:val="nl-NL" w:eastAsia="nl-NL"/>
        </w:rPr>
        <w:t xml:space="preserve">van inwoners van één of van beide staten teneinde dubbele belasting te vermijden. </w:t>
      </w:r>
      <w:r w:rsidRPr="006949BC">
        <w:rPr>
          <w:rFonts w:ascii="Arial" w:hAnsi="Arial" w:eastAsia="Times New Roman" w:cs="Arial"/>
          <w:sz w:val="20"/>
          <w:szCs w:val="20"/>
          <w:lang w:val="nl-NL" w:eastAsia="nl-NL"/>
        </w:rPr>
        <w:t xml:space="preserve">Daarnaast regelt het Verdrag, onder meer met het oog op het voorkomen van het ontgaan van belasting, de administratieve wederzijdse bijstand in de vorm van onderlinge uitwisseling van fiscale informatie en </w:t>
      </w:r>
      <w:r w:rsidR="000C7635">
        <w:rPr>
          <w:rFonts w:ascii="Arial" w:hAnsi="Arial" w:eastAsia="Times New Roman" w:cs="Arial"/>
          <w:sz w:val="20"/>
          <w:szCs w:val="20"/>
          <w:lang w:val="nl-NL" w:eastAsia="nl-NL"/>
        </w:rPr>
        <w:t xml:space="preserve">de </w:t>
      </w:r>
      <w:r w:rsidR="00486A57">
        <w:rPr>
          <w:rFonts w:ascii="Arial" w:hAnsi="Arial" w:eastAsia="Times New Roman" w:cs="Arial"/>
          <w:sz w:val="20"/>
          <w:szCs w:val="20"/>
          <w:lang w:val="nl-NL" w:eastAsia="nl-NL"/>
        </w:rPr>
        <w:t xml:space="preserve">wederzijdse bijstand bij de </w:t>
      </w:r>
      <w:r w:rsidRPr="006949BC">
        <w:rPr>
          <w:rFonts w:ascii="Arial" w:hAnsi="Arial" w:eastAsia="Times New Roman" w:cs="Arial"/>
          <w:sz w:val="20"/>
          <w:szCs w:val="20"/>
          <w:lang w:val="nl-NL" w:eastAsia="nl-NL"/>
        </w:rPr>
        <w:t xml:space="preserve">invordering van belastingen. </w:t>
      </w:r>
    </w:p>
    <w:p w:rsidRPr="006949BC" w:rsidR="006949BC" w:rsidP="00362421" w:rsidRDefault="006949BC" w14:paraId="4D654672" w14:textId="5DDEFE27">
      <w:pPr>
        <w:keepNext/>
        <w:spacing w:after="0" w:line="360" w:lineRule="auto"/>
        <w:ind w:firstLine="708"/>
        <w:outlineLvl w:val="1"/>
        <w:rPr>
          <w:rFonts w:ascii="Arial" w:hAnsi="Arial" w:eastAsia="Times New Roman" w:cs="Times New Roman"/>
          <w:bCs/>
          <w:iCs/>
          <w:sz w:val="20"/>
          <w:szCs w:val="28"/>
          <w:lang w:val="nl-NL" w:eastAsia="nl-NL"/>
        </w:rPr>
      </w:pPr>
      <w:r w:rsidRPr="006949BC">
        <w:rPr>
          <w:rFonts w:ascii="Arial" w:hAnsi="Arial" w:eastAsia="Times New Roman" w:cs="Times New Roman"/>
          <w:bCs/>
          <w:iCs/>
          <w:sz w:val="20"/>
          <w:szCs w:val="28"/>
          <w:lang w:val="nl-NL" w:eastAsia="nl-NL"/>
        </w:rPr>
        <w:t>Het Verdrag is</w:t>
      </w:r>
      <w:r w:rsidR="002F3308">
        <w:rPr>
          <w:rFonts w:ascii="Arial" w:hAnsi="Arial" w:eastAsia="Times New Roman" w:cs="Times New Roman"/>
          <w:bCs/>
          <w:iCs/>
          <w:sz w:val="20"/>
          <w:szCs w:val="28"/>
          <w:lang w:val="nl-NL" w:eastAsia="nl-NL"/>
        </w:rPr>
        <w:t>, wat Nederland betreft,</w:t>
      </w:r>
      <w:r w:rsidRPr="006949BC">
        <w:rPr>
          <w:rFonts w:ascii="Arial" w:hAnsi="Arial" w:eastAsia="Times New Roman" w:cs="Times New Roman"/>
          <w:bCs/>
          <w:iCs/>
          <w:sz w:val="20"/>
          <w:szCs w:val="28"/>
          <w:lang w:val="nl-NL" w:eastAsia="nl-NL"/>
        </w:rPr>
        <w:t xml:space="preserve"> gebaseerd op het Nederlandse verdragsbeleid zoals uiteengezet in de Notitie Fiscaal Verdragsbeleid 2011</w:t>
      </w:r>
      <w:r w:rsidRPr="006949BC">
        <w:rPr>
          <w:rFonts w:ascii="Arial" w:hAnsi="Arial" w:eastAsia="Times New Roman" w:cs="Times New Roman"/>
          <w:bCs/>
          <w:iCs/>
          <w:sz w:val="20"/>
          <w:szCs w:val="28"/>
          <w:vertAlign w:val="superscript"/>
          <w:lang w:val="en-GB" w:eastAsia="nl-NL"/>
        </w:rPr>
        <w:footnoteReference w:id="1"/>
      </w:r>
      <w:r w:rsidRPr="006949BC">
        <w:rPr>
          <w:rFonts w:ascii="Arial" w:hAnsi="Arial" w:eastAsia="Times New Roman" w:cs="Times New Roman"/>
          <w:bCs/>
          <w:iCs/>
          <w:sz w:val="20"/>
          <w:szCs w:val="28"/>
          <w:lang w:val="nl-NL" w:eastAsia="nl-NL"/>
        </w:rPr>
        <w:t xml:space="preserve"> (hierna: ‘NFV 2011’) en, </w:t>
      </w:r>
      <w:r w:rsidR="002F3308">
        <w:rPr>
          <w:rFonts w:ascii="Arial" w:hAnsi="Arial" w:eastAsia="Times New Roman" w:cs="Times New Roman"/>
          <w:bCs/>
          <w:iCs/>
          <w:sz w:val="20"/>
          <w:szCs w:val="28"/>
          <w:lang w:val="nl-NL" w:eastAsia="nl-NL"/>
        </w:rPr>
        <w:t xml:space="preserve">met betrekking tot </w:t>
      </w:r>
      <w:r w:rsidRPr="006949BC">
        <w:rPr>
          <w:rFonts w:ascii="Arial" w:hAnsi="Arial" w:eastAsia="Times New Roman" w:cs="Times New Roman"/>
          <w:bCs/>
          <w:iCs/>
          <w:sz w:val="20"/>
          <w:szCs w:val="28"/>
          <w:lang w:val="nl-NL" w:eastAsia="nl-NL"/>
        </w:rPr>
        <w:t>het tegengaan van belastingontwijking, nader is verwoord in de kabinetsappreciatie</w:t>
      </w:r>
      <w:r w:rsidRPr="006949BC">
        <w:rPr>
          <w:rFonts w:ascii="Arial" w:hAnsi="Arial" w:eastAsia="Times New Roman" w:cs="Times New Roman"/>
          <w:bCs/>
          <w:iCs/>
          <w:sz w:val="20"/>
          <w:szCs w:val="28"/>
          <w:vertAlign w:val="superscript"/>
          <w:lang w:val="nl-NL" w:eastAsia="nl-NL"/>
        </w:rPr>
        <w:footnoteReference w:id="2"/>
      </w:r>
      <w:r w:rsidRPr="006949BC">
        <w:rPr>
          <w:rFonts w:ascii="Arial" w:hAnsi="Arial" w:eastAsia="Times New Roman" w:cs="Times New Roman"/>
          <w:bCs/>
          <w:iCs/>
          <w:sz w:val="20"/>
          <w:szCs w:val="28"/>
          <w:lang w:val="nl-NL" w:eastAsia="nl-NL"/>
        </w:rPr>
        <w:t xml:space="preserve"> van de op 5 oktober 2015 gepubliceerde definitieve actierapporten van het project </w:t>
      </w:r>
      <w:proofErr w:type="spellStart"/>
      <w:r w:rsidRPr="006949BC">
        <w:rPr>
          <w:rFonts w:ascii="Arial" w:hAnsi="Arial" w:eastAsia="Times New Roman" w:cs="Times New Roman"/>
          <w:bCs/>
          <w:i/>
          <w:iCs/>
          <w:sz w:val="20"/>
          <w:szCs w:val="28"/>
          <w:lang w:val="nl-NL" w:eastAsia="nl-NL"/>
        </w:rPr>
        <w:t>Addressing</w:t>
      </w:r>
      <w:proofErr w:type="spellEnd"/>
      <w:r w:rsidRPr="006949BC">
        <w:rPr>
          <w:rFonts w:ascii="Arial" w:hAnsi="Arial" w:eastAsia="Times New Roman" w:cs="Times New Roman"/>
          <w:bCs/>
          <w:iCs/>
          <w:sz w:val="20"/>
          <w:szCs w:val="28"/>
          <w:lang w:val="nl-NL" w:eastAsia="nl-NL"/>
        </w:rPr>
        <w:t xml:space="preserve"> </w:t>
      </w:r>
      <w:r w:rsidRPr="006949BC">
        <w:rPr>
          <w:rFonts w:ascii="Arial" w:hAnsi="Arial" w:eastAsia="Times New Roman" w:cs="Times New Roman"/>
          <w:bCs/>
          <w:i/>
          <w:iCs/>
          <w:sz w:val="20"/>
          <w:szCs w:val="28"/>
          <w:lang w:val="nl-NL" w:eastAsia="nl-NL"/>
        </w:rPr>
        <w:t xml:space="preserve">Base </w:t>
      </w:r>
      <w:proofErr w:type="spellStart"/>
      <w:r w:rsidRPr="006949BC">
        <w:rPr>
          <w:rFonts w:ascii="Arial" w:hAnsi="Arial" w:eastAsia="Times New Roman" w:cs="Times New Roman"/>
          <w:bCs/>
          <w:i/>
          <w:iCs/>
          <w:sz w:val="20"/>
          <w:szCs w:val="28"/>
          <w:lang w:val="nl-NL" w:eastAsia="nl-NL"/>
        </w:rPr>
        <w:t>Erosion</w:t>
      </w:r>
      <w:proofErr w:type="spellEnd"/>
      <w:r w:rsidRPr="006949BC">
        <w:rPr>
          <w:rFonts w:ascii="Arial" w:hAnsi="Arial" w:eastAsia="Times New Roman" w:cs="Times New Roman"/>
          <w:bCs/>
          <w:i/>
          <w:iCs/>
          <w:sz w:val="20"/>
          <w:szCs w:val="28"/>
          <w:lang w:val="nl-NL" w:eastAsia="nl-NL"/>
        </w:rPr>
        <w:t xml:space="preserve"> </w:t>
      </w:r>
      <w:proofErr w:type="spellStart"/>
      <w:r w:rsidRPr="006949BC">
        <w:rPr>
          <w:rFonts w:ascii="Arial" w:hAnsi="Arial" w:eastAsia="Times New Roman" w:cs="Times New Roman"/>
          <w:bCs/>
          <w:i/>
          <w:iCs/>
          <w:sz w:val="20"/>
          <w:szCs w:val="28"/>
          <w:lang w:val="nl-NL" w:eastAsia="nl-NL"/>
        </w:rPr>
        <w:t>and</w:t>
      </w:r>
      <w:proofErr w:type="spellEnd"/>
      <w:r w:rsidRPr="006949BC">
        <w:rPr>
          <w:rFonts w:ascii="Arial" w:hAnsi="Arial" w:eastAsia="Times New Roman" w:cs="Times New Roman"/>
          <w:bCs/>
          <w:i/>
          <w:iCs/>
          <w:sz w:val="20"/>
          <w:szCs w:val="28"/>
          <w:lang w:val="nl-NL" w:eastAsia="nl-NL"/>
        </w:rPr>
        <w:t xml:space="preserve"> Profit </w:t>
      </w:r>
      <w:proofErr w:type="spellStart"/>
      <w:r w:rsidRPr="006949BC">
        <w:rPr>
          <w:rFonts w:ascii="Arial" w:hAnsi="Arial" w:eastAsia="Times New Roman" w:cs="Times New Roman"/>
          <w:bCs/>
          <w:i/>
          <w:iCs/>
          <w:sz w:val="20"/>
          <w:szCs w:val="28"/>
          <w:lang w:val="nl-NL" w:eastAsia="nl-NL"/>
        </w:rPr>
        <w:t>Shifting</w:t>
      </w:r>
      <w:proofErr w:type="spellEnd"/>
      <w:r w:rsidRPr="006949BC">
        <w:rPr>
          <w:rFonts w:ascii="Arial" w:hAnsi="Arial" w:eastAsia="Times New Roman" w:cs="Times New Roman"/>
          <w:bCs/>
          <w:i/>
          <w:iCs/>
          <w:sz w:val="20"/>
          <w:szCs w:val="28"/>
          <w:lang w:val="nl-NL" w:eastAsia="nl-NL"/>
        </w:rPr>
        <w:t xml:space="preserve"> </w:t>
      </w:r>
      <w:r w:rsidRPr="006949BC">
        <w:rPr>
          <w:rFonts w:ascii="Arial" w:hAnsi="Arial" w:eastAsia="Times New Roman" w:cs="Times New Roman"/>
          <w:bCs/>
          <w:iCs/>
          <w:sz w:val="20"/>
          <w:szCs w:val="28"/>
          <w:lang w:val="nl-NL" w:eastAsia="nl-NL"/>
        </w:rPr>
        <w:t>(hierna: BEPS</w:t>
      </w:r>
      <w:r w:rsidRPr="006949BC">
        <w:rPr>
          <w:rFonts w:ascii="Arial" w:hAnsi="Arial" w:eastAsia="Times New Roman" w:cs="Arial"/>
          <w:bCs/>
          <w:iCs/>
          <w:sz w:val="20"/>
          <w:szCs w:val="20"/>
          <w:lang w:val="nl-NL" w:eastAsia="nl-NL"/>
        </w:rPr>
        <w:t xml:space="preserve">) die </w:t>
      </w:r>
      <w:r w:rsidRPr="006949BC">
        <w:rPr>
          <w:rFonts w:ascii="Arial" w:hAnsi="Arial" w:eastAsia="Times New Roman" w:cs="Times New Roman"/>
          <w:bCs/>
          <w:iCs/>
          <w:sz w:val="20"/>
          <w:szCs w:val="28"/>
          <w:lang w:val="nl-NL" w:eastAsia="nl-NL"/>
        </w:rPr>
        <w:t>de OESO op verzoek van de G20 heeft opgesteld en de in de brief van 28 oktober 2016 gegeven reactie op het door de OESO ontwikkelde Multilaterale Instrument</w:t>
      </w:r>
      <w:r w:rsidR="00B50E0D">
        <w:rPr>
          <w:rStyle w:val="FootnoteReference"/>
          <w:rFonts w:ascii="Arial" w:hAnsi="Arial" w:eastAsia="Times New Roman" w:cs="Times New Roman"/>
          <w:bCs/>
          <w:iCs/>
          <w:sz w:val="20"/>
          <w:szCs w:val="28"/>
          <w:lang w:val="nl-NL" w:eastAsia="nl-NL"/>
        </w:rPr>
        <w:footnoteReference w:id="3"/>
      </w:r>
      <w:r w:rsidRPr="006949BC">
        <w:rPr>
          <w:rFonts w:ascii="Arial" w:hAnsi="Arial" w:eastAsia="Times New Roman" w:cs="Times New Roman"/>
          <w:bCs/>
          <w:iCs/>
          <w:sz w:val="20"/>
          <w:szCs w:val="28"/>
          <w:lang w:val="nl-NL" w:eastAsia="nl-NL"/>
        </w:rPr>
        <w:t xml:space="preserve"> (hierna: ‘</w:t>
      </w:r>
      <w:r w:rsidR="00791AA0">
        <w:rPr>
          <w:rFonts w:ascii="Arial" w:hAnsi="Arial" w:eastAsia="Times New Roman" w:cs="Times New Roman"/>
          <w:bCs/>
          <w:iCs/>
          <w:sz w:val="20"/>
          <w:szCs w:val="28"/>
          <w:lang w:val="nl-NL" w:eastAsia="nl-NL"/>
        </w:rPr>
        <w:t>het</w:t>
      </w:r>
      <w:r w:rsidRPr="006949BC">
        <w:rPr>
          <w:rFonts w:ascii="Arial" w:hAnsi="Arial" w:eastAsia="Times New Roman" w:cs="Times New Roman"/>
          <w:bCs/>
          <w:iCs/>
          <w:sz w:val="20"/>
          <w:szCs w:val="28"/>
          <w:lang w:val="nl-NL" w:eastAsia="nl-NL"/>
        </w:rPr>
        <w:t xml:space="preserve"> MLI’) om de in het BEPS-project ontwikkelde verdragsbepalingen te implementeren.</w:t>
      </w:r>
      <w:r w:rsidRPr="006949BC">
        <w:rPr>
          <w:rFonts w:ascii="Arial" w:hAnsi="Arial" w:eastAsia="Times New Roman" w:cs="Times New Roman"/>
          <w:bCs/>
          <w:iCs/>
          <w:sz w:val="20"/>
          <w:szCs w:val="28"/>
          <w:vertAlign w:val="superscript"/>
          <w:lang w:val="nl-NL" w:eastAsia="nl-NL"/>
        </w:rPr>
        <w:footnoteReference w:id="4"/>
      </w:r>
      <w:r w:rsidRPr="006949BC">
        <w:rPr>
          <w:rFonts w:ascii="Arial" w:hAnsi="Arial" w:eastAsia="Times New Roman" w:cs="Times New Roman"/>
          <w:bCs/>
          <w:iCs/>
          <w:sz w:val="20"/>
          <w:szCs w:val="28"/>
          <w:lang w:val="nl-NL" w:eastAsia="nl-NL"/>
        </w:rPr>
        <w:t xml:space="preserve"> In de artikelsgewijze toelichting wordt hier bij de relevante artikelen nader op ingegaan.</w:t>
      </w:r>
    </w:p>
    <w:p w:rsidRPr="006949BC" w:rsidR="006949BC" w:rsidP="00362421" w:rsidRDefault="006949BC" w14:paraId="414C6B0A" w14:textId="6309295C">
      <w:pPr>
        <w:keepNext/>
        <w:spacing w:after="0" w:line="360" w:lineRule="auto"/>
        <w:ind w:firstLine="708"/>
        <w:outlineLvl w:val="1"/>
        <w:rPr>
          <w:rFonts w:ascii="Arial" w:hAnsi="Arial" w:eastAsia="Times New Roman" w:cs="Times New Roman"/>
          <w:b/>
          <w:bCs/>
          <w:iCs/>
          <w:sz w:val="20"/>
          <w:szCs w:val="28"/>
          <w:lang w:val="nl-NL" w:eastAsia="nl-NL"/>
        </w:rPr>
      </w:pPr>
      <w:r w:rsidRPr="006949BC">
        <w:rPr>
          <w:rFonts w:ascii="Arial" w:hAnsi="Arial" w:eastAsia="Times New Roman" w:cs="Times New Roman"/>
          <w:bCs/>
          <w:iCs/>
          <w:sz w:val="20"/>
          <w:szCs w:val="28"/>
          <w:lang w:val="nl-NL" w:eastAsia="nl-NL"/>
        </w:rPr>
        <w:t xml:space="preserve">De artikelen van het Verdrag </w:t>
      </w:r>
      <w:r w:rsidR="00BD716A">
        <w:rPr>
          <w:rFonts w:ascii="Arial" w:hAnsi="Arial" w:eastAsia="Times New Roman" w:cs="Times New Roman"/>
          <w:bCs/>
          <w:iCs/>
          <w:sz w:val="20"/>
          <w:szCs w:val="28"/>
          <w:lang w:val="nl-NL" w:eastAsia="nl-NL"/>
        </w:rPr>
        <w:t xml:space="preserve">en het Protocol </w:t>
      </w:r>
      <w:r w:rsidRPr="006949BC">
        <w:rPr>
          <w:rFonts w:ascii="Arial" w:hAnsi="Arial" w:eastAsia="Times New Roman" w:cs="Times New Roman"/>
          <w:bCs/>
          <w:iCs/>
          <w:sz w:val="20"/>
          <w:szCs w:val="28"/>
          <w:lang w:val="nl-NL" w:eastAsia="nl-NL"/>
        </w:rPr>
        <w:t xml:space="preserve">bevatten (met uitzondering van de </w:t>
      </w:r>
      <w:r w:rsidRPr="00607503">
        <w:rPr>
          <w:rFonts w:ascii="Arial" w:hAnsi="Arial" w:eastAsia="Times New Roman" w:cs="Times New Roman"/>
          <w:bCs/>
          <w:iCs/>
          <w:sz w:val="20"/>
          <w:szCs w:val="28"/>
          <w:lang w:val="nl-NL" w:eastAsia="nl-NL"/>
        </w:rPr>
        <w:t>artikelen</w:t>
      </w:r>
      <w:r w:rsidRPr="00607503" w:rsidR="007359F4">
        <w:rPr>
          <w:rFonts w:ascii="Arial" w:hAnsi="Arial" w:eastAsia="Times New Roman" w:cs="Times New Roman"/>
          <w:bCs/>
          <w:iCs/>
          <w:sz w:val="20"/>
          <w:szCs w:val="28"/>
          <w:lang w:val="nl-NL" w:eastAsia="nl-NL"/>
        </w:rPr>
        <w:t xml:space="preserve"> 26,</w:t>
      </w:r>
      <w:r w:rsidRPr="00607503" w:rsidR="00745AE7">
        <w:rPr>
          <w:rFonts w:ascii="Arial" w:hAnsi="Arial" w:eastAsia="Times New Roman" w:cs="Times New Roman"/>
          <w:bCs/>
          <w:iCs/>
          <w:sz w:val="20"/>
          <w:szCs w:val="28"/>
          <w:lang w:val="nl-NL" w:eastAsia="nl-NL"/>
        </w:rPr>
        <w:t xml:space="preserve"> </w:t>
      </w:r>
      <w:r w:rsidRPr="00607503">
        <w:rPr>
          <w:rFonts w:ascii="Arial" w:hAnsi="Arial" w:eastAsia="Times New Roman" w:cs="Times New Roman"/>
          <w:bCs/>
          <w:iCs/>
          <w:sz w:val="20"/>
          <w:szCs w:val="28"/>
          <w:lang w:val="nl-NL" w:eastAsia="nl-NL"/>
        </w:rPr>
        <w:t>29, 30 en 31</w:t>
      </w:r>
      <w:r w:rsidRPr="006949BC">
        <w:rPr>
          <w:rFonts w:ascii="Arial" w:hAnsi="Arial" w:eastAsia="Times New Roman" w:cs="Times New Roman"/>
          <w:bCs/>
          <w:iCs/>
          <w:sz w:val="20"/>
          <w:szCs w:val="28"/>
          <w:lang w:val="nl-NL" w:eastAsia="nl-NL"/>
        </w:rPr>
        <w:t xml:space="preserve"> van het Verdrag</w:t>
      </w:r>
      <w:r w:rsidR="00BD716A">
        <w:rPr>
          <w:rFonts w:ascii="Arial" w:hAnsi="Arial" w:eastAsia="Times New Roman" w:cs="Times New Roman"/>
          <w:bCs/>
          <w:iCs/>
          <w:sz w:val="20"/>
          <w:szCs w:val="28"/>
          <w:lang w:val="nl-NL" w:eastAsia="nl-NL"/>
        </w:rPr>
        <w:t xml:space="preserve"> en de artikelen I en XII van het Protocol</w:t>
      </w:r>
      <w:r w:rsidRPr="006949BC">
        <w:rPr>
          <w:rFonts w:ascii="Arial" w:hAnsi="Arial" w:eastAsia="Times New Roman" w:cs="Times New Roman"/>
          <w:bCs/>
          <w:iCs/>
          <w:sz w:val="20"/>
          <w:szCs w:val="28"/>
          <w:lang w:val="nl-NL" w:eastAsia="nl-NL"/>
        </w:rPr>
        <w:t xml:space="preserve">) naar het oordeel van de regering eenieder verbindende bepalingen in de zin van de artikelen 93 en 94 </w:t>
      </w:r>
      <w:r w:rsidR="00651BD5">
        <w:rPr>
          <w:rFonts w:ascii="Arial" w:hAnsi="Arial" w:eastAsia="Times New Roman" w:cs="Times New Roman"/>
          <w:bCs/>
          <w:iCs/>
          <w:sz w:val="20"/>
          <w:szCs w:val="28"/>
          <w:lang w:val="nl-NL" w:eastAsia="nl-NL"/>
        </w:rPr>
        <w:t xml:space="preserve">van de </w:t>
      </w:r>
      <w:r w:rsidRPr="006949BC">
        <w:rPr>
          <w:rFonts w:ascii="Arial" w:hAnsi="Arial" w:eastAsia="Times New Roman" w:cs="Times New Roman"/>
          <w:bCs/>
          <w:iCs/>
          <w:sz w:val="20"/>
          <w:szCs w:val="28"/>
          <w:lang w:val="nl-NL" w:eastAsia="nl-NL"/>
        </w:rPr>
        <w:t>Grondwet, die aan de burger rechtstreeks rechten toekennen of plichten opleggen.</w:t>
      </w:r>
    </w:p>
    <w:p w:rsidR="00242BE1" w:rsidP="00242BE1" w:rsidRDefault="006949BC" w14:paraId="0D1E508D" w14:textId="4546942C">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In </w:t>
      </w:r>
      <w:r w:rsidR="009962A3">
        <w:rPr>
          <w:rFonts w:ascii="Arial" w:hAnsi="Arial" w:eastAsia="Times New Roman" w:cs="Times New Roman"/>
          <w:sz w:val="20"/>
          <w:szCs w:val="24"/>
          <w:lang w:val="nl-NL" w:eastAsia="nl-NL"/>
        </w:rPr>
        <w:t>paragraaf</w:t>
      </w:r>
      <w:r w:rsidRPr="006949BC" w:rsidR="009962A3">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I.</w:t>
      </w:r>
      <w:r w:rsidR="00242BE1">
        <w:rPr>
          <w:rFonts w:ascii="Arial" w:hAnsi="Arial" w:eastAsia="Times New Roman" w:cs="Times New Roman"/>
          <w:sz w:val="20"/>
          <w:szCs w:val="24"/>
          <w:lang w:val="nl-NL" w:eastAsia="nl-NL"/>
        </w:rPr>
        <w:t>7</w:t>
      </w:r>
      <w:r w:rsidRPr="006949BC">
        <w:rPr>
          <w:rFonts w:ascii="Arial" w:hAnsi="Arial" w:eastAsia="Times New Roman" w:cs="Times New Roman"/>
          <w:sz w:val="20"/>
          <w:szCs w:val="24"/>
          <w:lang w:val="nl-NL" w:eastAsia="nl-NL"/>
        </w:rPr>
        <w:t xml:space="preserve"> </w:t>
      </w:r>
      <w:r w:rsidR="009962A3">
        <w:rPr>
          <w:rFonts w:ascii="Arial" w:hAnsi="Arial" w:eastAsia="Times New Roman" w:cs="Times New Roman"/>
          <w:sz w:val="20"/>
          <w:szCs w:val="24"/>
          <w:lang w:val="nl-NL" w:eastAsia="nl-NL"/>
        </w:rPr>
        <w:t xml:space="preserve">van deze toelichting </w:t>
      </w:r>
      <w:r w:rsidRPr="006949BC">
        <w:rPr>
          <w:rFonts w:ascii="Arial" w:hAnsi="Arial" w:eastAsia="Times New Roman" w:cs="Times New Roman"/>
          <w:sz w:val="20"/>
          <w:szCs w:val="24"/>
          <w:lang w:val="nl-NL" w:eastAsia="nl-NL"/>
        </w:rPr>
        <w:t xml:space="preserve">is het </w:t>
      </w:r>
      <w:proofErr w:type="spellStart"/>
      <w:r w:rsidRPr="006949BC">
        <w:rPr>
          <w:rFonts w:ascii="Arial" w:hAnsi="Arial" w:eastAsia="Times New Roman" w:cs="Times New Roman"/>
          <w:sz w:val="20"/>
          <w:szCs w:val="24"/>
          <w:lang w:val="nl-NL" w:eastAsia="nl-NL"/>
        </w:rPr>
        <w:t>Toetsschema</w:t>
      </w:r>
      <w:proofErr w:type="spellEnd"/>
      <w:r w:rsidRPr="006949BC">
        <w:rPr>
          <w:rFonts w:ascii="Arial" w:hAnsi="Arial" w:eastAsia="Times New Roman" w:cs="Times New Roman"/>
          <w:sz w:val="20"/>
          <w:szCs w:val="24"/>
          <w:lang w:val="nl-NL" w:eastAsia="nl-NL"/>
        </w:rPr>
        <w:t xml:space="preserve"> Fiscaal Verdragsbeleid 2011 opgenomen.</w:t>
      </w:r>
      <w:r w:rsidRPr="006949BC">
        <w:rPr>
          <w:rFonts w:ascii="Arial" w:hAnsi="Arial" w:eastAsia="Times New Roman" w:cs="Times New Roman"/>
          <w:sz w:val="20"/>
          <w:szCs w:val="24"/>
          <w:vertAlign w:val="superscript"/>
          <w:lang w:val="en-GB" w:eastAsia="nl-NL"/>
        </w:rPr>
        <w:footnoteReference w:id="5"/>
      </w:r>
      <w:r w:rsidRPr="00242BE1" w:rsidR="00242BE1">
        <w:rPr>
          <w:rFonts w:ascii="Arial" w:hAnsi="Arial" w:eastAsia="Times New Roman" w:cs="Times New Roman"/>
          <w:sz w:val="20"/>
          <w:szCs w:val="24"/>
          <w:lang w:val="nl-NL" w:eastAsia="nl-NL"/>
        </w:rPr>
        <w:t xml:space="preserve"> </w:t>
      </w:r>
    </w:p>
    <w:p w:rsidRPr="006949BC" w:rsidR="00242BE1" w:rsidP="00242BE1" w:rsidRDefault="00242BE1" w14:paraId="086E0C7E" w14:textId="3EEA5A40">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lastRenderedPageBreak/>
        <w:t xml:space="preserve">Het </w:t>
      </w:r>
      <w:r>
        <w:rPr>
          <w:rFonts w:ascii="Arial" w:hAnsi="Arial" w:eastAsia="Times New Roman" w:cs="Times New Roman"/>
          <w:sz w:val="20"/>
          <w:szCs w:val="24"/>
          <w:lang w:val="nl-NL" w:eastAsia="nl-NL"/>
        </w:rPr>
        <w:t xml:space="preserve">op 10 november 2009 te Brussel ondertekende verdrag </w:t>
      </w:r>
      <w:r w:rsidRPr="006949BC">
        <w:rPr>
          <w:rFonts w:ascii="Arial" w:hAnsi="Arial" w:eastAsia="Times New Roman" w:cs="Times New Roman"/>
          <w:sz w:val="20"/>
          <w:szCs w:val="24"/>
          <w:lang w:val="nl-NL" w:eastAsia="nl-NL"/>
        </w:rPr>
        <w:t xml:space="preserve">tussen de regering van het Koninkrijk der Nederlanden en de regering </w:t>
      </w:r>
      <w:r w:rsidRPr="00321CD3">
        <w:rPr>
          <w:rFonts w:ascii="Arial" w:hAnsi="Arial" w:eastAsia="Times New Roman" w:cs="Times New Roman"/>
          <w:sz w:val="20"/>
          <w:szCs w:val="24"/>
          <w:lang w:val="nl-NL" w:eastAsia="nl-NL"/>
        </w:rPr>
        <w:t>van het Vorstendom Liechtenstein inzake de uitwisseling van inf</w:t>
      </w:r>
      <w:r>
        <w:rPr>
          <w:rFonts w:ascii="Arial" w:hAnsi="Arial" w:eastAsia="Times New Roman" w:cs="Times New Roman"/>
          <w:sz w:val="20"/>
          <w:szCs w:val="24"/>
          <w:lang w:val="nl-NL" w:eastAsia="nl-NL"/>
        </w:rPr>
        <w:t>ormatie betreffende belastingen (</w:t>
      </w:r>
      <w:proofErr w:type="spellStart"/>
      <w:r w:rsidRPr="00F53E38">
        <w:rPr>
          <w:rFonts w:ascii="Arial" w:hAnsi="Arial" w:eastAsia="Times New Roman" w:cs="Times New Roman"/>
          <w:i/>
          <w:sz w:val="20"/>
          <w:szCs w:val="24"/>
          <w:lang w:val="nl-NL" w:eastAsia="nl-NL"/>
        </w:rPr>
        <w:t>Trb</w:t>
      </w:r>
      <w:proofErr w:type="spellEnd"/>
      <w:r>
        <w:rPr>
          <w:rFonts w:ascii="Arial" w:hAnsi="Arial" w:eastAsia="Times New Roman" w:cs="Times New Roman"/>
          <w:i/>
          <w:sz w:val="20"/>
          <w:szCs w:val="24"/>
          <w:lang w:val="nl-NL" w:eastAsia="nl-NL"/>
        </w:rPr>
        <w:t>.</w:t>
      </w:r>
      <w:r w:rsidRPr="00F53E38">
        <w:rPr>
          <w:rFonts w:ascii="Arial" w:hAnsi="Arial" w:eastAsia="Times New Roman" w:cs="Times New Roman"/>
          <w:i/>
          <w:sz w:val="20"/>
          <w:szCs w:val="24"/>
          <w:lang w:val="nl-NL" w:eastAsia="nl-NL"/>
        </w:rPr>
        <w:t xml:space="preserve"> 2010, </w:t>
      </w:r>
      <w:r w:rsidR="002F3308">
        <w:rPr>
          <w:rFonts w:ascii="Arial" w:hAnsi="Arial" w:eastAsia="Times New Roman" w:cs="Times New Roman"/>
          <w:i/>
          <w:sz w:val="20"/>
          <w:szCs w:val="24"/>
          <w:lang w:val="nl-NL" w:eastAsia="nl-NL"/>
        </w:rPr>
        <w:t>107</w:t>
      </w:r>
      <w:r>
        <w:rPr>
          <w:rFonts w:ascii="Arial" w:hAnsi="Arial" w:eastAsia="Times New Roman" w:cs="Times New Roman"/>
          <w:sz w:val="20"/>
          <w:szCs w:val="24"/>
          <w:lang w:val="nl-NL" w:eastAsia="nl-NL"/>
        </w:rPr>
        <w:t>)</w:t>
      </w:r>
      <w:r w:rsidRPr="00F53E38">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(hierna: </w:t>
      </w:r>
      <w:r w:rsidR="00367531">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de TIEA</w:t>
      </w:r>
      <w:r w:rsidR="00367531">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blijft naast het Verdrag in stand</w:t>
      </w:r>
      <w:r w:rsidRPr="006949BC">
        <w:rPr>
          <w:rFonts w:ascii="Arial" w:hAnsi="Arial" w:eastAsia="Times New Roman" w:cs="Times New Roman"/>
          <w:sz w:val="20"/>
          <w:szCs w:val="24"/>
          <w:lang w:val="nl-NL" w:eastAsia="nl-NL"/>
        </w:rPr>
        <w:t xml:space="preserve">. </w:t>
      </w:r>
    </w:p>
    <w:p w:rsidRPr="006949BC" w:rsidR="006949BC" w:rsidP="006949BC" w:rsidRDefault="006949BC" w14:paraId="16BDDDCB"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I.1</w:t>
      </w:r>
      <w:r w:rsidRPr="006949BC">
        <w:rPr>
          <w:rFonts w:ascii="Arial" w:hAnsi="Arial" w:eastAsia="Times New Roman" w:cs="Times New Roman"/>
          <w:bCs/>
          <w:i/>
          <w:iCs/>
          <w:sz w:val="20"/>
          <w:szCs w:val="28"/>
          <w:lang w:val="nl-NL" w:eastAsia="nl-NL"/>
        </w:rPr>
        <w:tab/>
        <w:t>Aanleiding voor en verloop van de onderhandelingen</w:t>
      </w:r>
    </w:p>
    <w:p w:rsidRPr="00852AB1" w:rsidR="006949BC" w:rsidP="00B76609" w:rsidRDefault="005B73F3" w14:paraId="0CF27B2F" w14:textId="53B5678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Na</w:t>
      </w:r>
      <w:r w:rsidRPr="005B73F3">
        <w:rPr>
          <w:rFonts w:ascii="Arial" w:hAnsi="Arial" w:eastAsia="Times New Roman" w:cs="Times New Roman"/>
          <w:sz w:val="20"/>
          <w:szCs w:val="24"/>
          <w:lang w:val="nl-NL" w:eastAsia="nl-NL"/>
        </w:rPr>
        <w:t xml:space="preserve">ar aanleiding van </w:t>
      </w:r>
      <w:r>
        <w:rPr>
          <w:rFonts w:ascii="Arial" w:hAnsi="Arial" w:eastAsia="Times New Roman" w:cs="Times New Roman"/>
          <w:sz w:val="20"/>
          <w:szCs w:val="24"/>
          <w:lang w:val="nl-NL" w:eastAsia="nl-NL"/>
        </w:rPr>
        <w:t xml:space="preserve">het contact </w:t>
      </w:r>
      <w:r w:rsidR="001C1052">
        <w:rPr>
          <w:rFonts w:ascii="Arial" w:hAnsi="Arial" w:eastAsia="Times New Roman" w:cs="Times New Roman"/>
          <w:sz w:val="20"/>
          <w:szCs w:val="24"/>
          <w:lang w:val="nl-NL" w:eastAsia="nl-NL"/>
        </w:rPr>
        <w:t xml:space="preserve">in 2016 in VN-verband </w:t>
      </w:r>
      <w:r>
        <w:rPr>
          <w:rFonts w:ascii="Arial" w:hAnsi="Arial" w:eastAsia="Times New Roman" w:cs="Times New Roman"/>
          <w:sz w:val="20"/>
          <w:szCs w:val="24"/>
          <w:lang w:val="nl-NL" w:eastAsia="nl-NL"/>
        </w:rPr>
        <w:t xml:space="preserve">tussen voormalig </w:t>
      </w:r>
      <w:r w:rsidR="00147CA4">
        <w:rPr>
          <w:rFonts w:ascii="Arial" w:hAnsi="Arial" w:eastAsia="Times New Roman" w:cs="Times New Roman"/>
          <w:sz w:val="20"/>
          <w:szCs w:val="24"/>
          <w:lang w:val="nl-NL" w:eastAsia="nl-NL"/>
        </w:rPr>
        <w:t>minister</w:t>
      </w:r>
      <w:r w:rsidR="00AC1791">
        <w:rPr>
          <w:rFonts w:ascii="Arial" w:hAnsi="Arial" w:eastAsia="Times New Roman" w:cs="Times New Roman"/>
          <w:sz w:val="20"/>
          <w:szCs w:val="24"/>
          <w:lang w:val="nl-NL" w:eastAsia="nl-NL"/>
        </w:rPr>
        <w:t xml:space="preserve"> van Buiten</w:t>
      </w:r>
      <w:r>
        <w:rPr>
          <w:rFonts w:ascii="Arial" w:hAnsi="Arial" w:eastAsia="Times New Roman" w:cs="Times New Roman"/>
          <w:sz w:val="20"/>
          <w:szCs w:val="24"/>
          <w:lang w:val="nl-NL" w:eastAsia="nl-NL"/>
        </w:rPr>
        <w:t xml:space="preserve">landse Zaken </w:t>
      </w:r>
      <w:r w:rsidR="001B7050">
        <w:rPr>
          <w:rFonts w:ascii="Arial" w:hAnsi="Arial" w:eastAsia="Times New Roman" w:cs="Times New Roman"/>
          <w:sz w:val="20"/>
          <w:szCs w:val="24"/>
          <w:lang w:val="nl-NL" w:eastAsia="nl-NL"/>
        </w:rPr>
        <w:t xml:space="preserve">Koenders </w:t>
      </w:r>
      <w:r>
        <w:rPr>
          <w:rFonts w:ascii="Arial" w:hAnsi="Arial" w:eastAsia="Times New Roman" w:cs="Times New Roman"/>
          <w:sz w:val="20"/>
          <w:szCs w:val="24"/>
          <w:lang w:val="nl-NL" w:eastAsia="nl-NL"/>
        </w:rPr>
        <w:t xml:space="preserve">en zijn </w:t>
      </w:r>
      <w:r w:rsidR="001B7050">
        <w:rPr>
          <w:rFonts w:ascii="Arial" w:hAnsi="Arial" w:eastAsia="Times New Roman" w:cs="Times New Roman"/>
          <w:sz w:val="20"/>
          <w:szCs w:val="24"/>
          <w:lang w:val="nl-NL" w:eastAsia="nl-NL"/>
        </w:rPr>
        <w:t xml:space="preserve">Liechtensteinse </w:t>
      </w:r>
      <w:r>
        <w:rPr>
          <w:rFonts w:ascii="Arial" w:hAnsi="Arial" w:eastAsia="Times New Roman" w:cs="Times New Roman"/>
          <w:sz w:val="20"/>
          <w:szCs w:val="24"/>
          <w:lang w:val="nl-NL" w:eastAsia="nl-NL"/>
        </w:rPr>
        <w:t>ambtsgenoot</w:t>
      </w:r>
      <w:r w:rsidR="00242BE1">
        <w:rPr>
          <w:rFonts w:ascii="Arial" w:hAnsi="Arial" w:eastAsia="Times New Roman" w:cs="Times New Roman"/>
          <w:sz w:val="20"/>
          <w:szCs w:val="24"/>
          <w:lang w:val="nl-NL" w:eastAsia="nl-NL"/>
        </w:rPr>
        <w:t xml:space="preserve"> hebben Nederland en Liechtenstein</w:t>
      </w:r>
      <w:r w:rsidRPr="005B73F3">
        <w:rPr>
          <w:rFonts w:ascii="Arial" w:hAnsi="Arial" w:eastAsia="Times New Roman" w:cs="Times New Roman"/>
          <w:sz w:val="20"/>
          <w:szCs w:val="24"/>
          <w:lang w:val="nl-NL" w:eastAsia="nl-NL"/>
        </w:rPr>
        <w:t xml:space="preserve"> besloten om onderhandelingen te openen over een bilateraal belastingverdrag </w:t>
      </w:r>
      <w:r w:rsidRPr="006949BC" w:rsidR="001B7050">
        <w:rPr>
          <w:rFonts w:ascii="Arial" w:hAnsi="Arial" w:eastAsia="Times New Roman" w:cs="Times New Roman"/>
          <w:sz w:val="20"/>
          <w:szCs w:val="24"/>
          <w:lang w:val="nl-NL" w:eastAsia="nl-NL"/>
        </w:rPr>
        <w:t xml:space="preserve">met </w:t>
      </w:r>
      <w:r w:rsidRPr="00147CA4" w:rsidR="001B7050">
        <w:rPr>
          <w:rFonts w:ascii="Arial" w:hAnsi="Arial" w:eastAsia="Times New Roman" w:cs="Times New Roman"/>
          <w:sz w:val="20"/>
          <w:szCs w:val="24"/>
          <w:lang w:val="nl-NL" w:eastAsia="nl-NL"/>
        </w:rPr>
        <w:t>als doel de verbetering</w:t>
      </w:r>
      <w:r w:rsidRPr="009620E2" w:rsidR="001B7050">
        <w:rPr>
          <w:rFonts w:ascii="Arial" w:hAnsi="Arial" w:eastAsia="Times New Roman" w:cs="Times New Roman"/>
          <w:sz w:val="20"/>
          <w:szCs w:val="24"/>
          <w:lang w:val="nl-NL" w:eastAsia="nl-NL"/>
        </w:rPr>
        <w:t xml:space="preserve"> van de economische relatie</w:t>
      </w:r>
      <w:r w:rsidR="001B7050">
        <w:rPr>
          <w:rFonts w:ascii="Arial" w:hAnsi="Arial" w:eastAsia="Times New Roman" w:cs="Times New Roman"/>
          <w:sz w:val="20"/>
          <w:szCs w:val="24"/>
          <w:lang w:val="nl-NL" w:eastAsia="nl-NL"/>
        </w:rPr>
        <w:t xml:space="preserve"> en de versterking van</w:t>
      </w:r>
      <w:r w:rsidRPr="009620E2" w:rsidR="001B7050">
        <w:rPr>
          <w:rFonts w:ascii="Arial" w:hAnsi="Arial" w:eastAsia="Times New Roman" w:cs="Times New Roman"/>
          <w:sz w:val="20"/>
          <w:szCs w:val="24"/>
          <w:lang w:val="nl-NL" w:eastAsia="nl-NL"/>
        </w:rPr>
        <w:t xml:space="preserve"> de administratieve samenwerking tussen de betrokken staten</w:t>
      </w:r>
      <w:r w:rsidRPr="005B73F3">
        <w:rPr>
          <w:rFonts w:ascii="Arial" w:hAnsi="Arial" w:eastAsia="Times New Roman" w:cs="Times New Roman"/>
          <w:sz w:val="20"/>
          <w:szCs w:val="24"/>
          <w:lang w:val="nl-NL" w:eastAsia="nl-NL"/>
        </w:rPr>
        <w:t>.</w:t>
      </w:r>
      <w:r w:rsidR="00147CA4">
        <w:rPr>
          <w:rStyle w:val="FootnoteReference"/>
          <w:rFonts w:ascii="Arial" w:hAnsi="Arial" w:eastAsia="Times New Roman" w:cs="Times New Roman"/>
          <w:sz w:val="20"/>
          <w:szCs w:val="24"/>
          <w:lang w:val="nl-NL" w:eastAsia="nl-NL"/>
        </w:rPr>
        <w:footnoteReference w:id="6"/>
      </w:r>
      <w:r w:rsidR="003D6365">
        <w:rPr>
          <w:rFonts w:ascii="Arial" w:hAnsi="Arial" w:eastAsia="Times New Roman" w:cs="Times New Roman"/>
          <w:sz w:val="20"/>
          <w:szCs w:val="24"/>
          <w:lang w:val="nl-NL" w:eastAsia="nl-NL"/>
        </w:rPr>
        <w:t xml:space="preserve"> </w:t>
      </w:r>
      <w:r w:rsidR="00150005">
        <w:rPr>
          <w:rFonts w:ascii="Arial" w:hAnsi="Arial" w:eastAsia="Times New Roman" w:cs="Times New Roman"/>
          <w:sz w:val="20"/>
          <w:szCs w:val="24"/>
          <w:lang w:val="nl-NL" w:eastAsia="nl-NL"/>
        </w:rPr>
        <w:t>De regering is van mening dat</w:t>
      </w:r>
      <w:r w:rsidR="003D6365">
        <w:rPr>
          <w:rFonts w:ascii="Arial" w:hAnsi="Arial" w:eastAsia="Times New Roman" w:cs="Times New Roman"/>
          <w:sz w:val="20"/>
          <w:szCs w:val="24"/>
          <w:lang w:val="nl-NL" w:eastAsia="nl-NL"/>
        </w:rPr>
        <w:t xml:space="preserve"> </w:t>
      </w:r>
      <w:r w:rsidRPr="002E791F" w:rsidR="008978AF">
        <w:rPr>
          <w:rFonts w:ascii="Arial" w:hAnsi="Arial" w:eastAsia="Times New Roman" w:cs="Times New Roman"/>
          <w:sz w:val="20"/>
          <w:szCs w:val="24"/>
          <w:lang w:val="nl-NL" w:eastAsia="nl-NL"/>
        </w:rPr>
        <w:t xml:space="preserve">het </w:t>
      </w:r>
      <w:r w:rsidR="003D6365">
        <w:rPr>
          <w:rFonts w:ascii="Arial" w:hAnsi="Arial" w:eastAsia="Times New Roman" w:cs="Times New Roman"/>
          <w:sz w:val="20"/>
          <w:szCs w:val="24"/>
          <w:lang w:val="nl-NL" w:eastAsia="nl-NL"/>
        </w:rPr>
        <w:t xml:space="preserve">voor Nederland </w:t>
      </w:r>
      <w:r w:rsidRPr="002E791F" w:rsidR="008978AF">
        <w:rPr>
          <w:rFonts w:ascii="Arial" w:hAnsi="Arial" w:eastAsia="Times New Roman" w:cs="Times New Roman"/>
          <w:sz w:val="20"/>
          <w:szCs w:val="24"/>
          <w:lang w:val="nl-NL" w:eastAsia="nl-NL"/>
        </w:rPr>
        <w:t xml:space="preserve">gezien de nauwe politieke en economische samenwerking </w:t>
      </w:r>
      <w:r w:rsidR="00BF5B94">
        <w:rPr>
          <w:rFonts w:ascii="Arial" w:hAnsi="Arial" w:eastAsia="Times New Roman" w:cs="Times New Roman"/>
          <w:sz w:val="20"/>
          <w:szCs w:val="24"/>
          <w:lang w:val="nl-NL" w:eastAsia="nl-NL"/>
        </w:rPr>
        <w:t xml:space="preserve">goed </w:t>
      </w:r>
      <w:r w:rsidR="00150005">
        <w:rPr>
          <w:rFonts w:ascii="Arial" w:hAnsi="Arial" w:eastAsia="Times New Roman" w:cs="Times New Roman"/>
          <w:sz w:val="20"/>
          <w:szCs w:val="24"/>
          <w:lang w:val="nl-NL" w:eastAsia="nl-NL"/>
        </w:rPr>
        <w:t xml:space="preserve">is </w:t>
      </w:r>
      <w:r w:rsidR="00BF5B94">
        <w:rPr>
          <w:rFonts w:ascii="Arial" w:hAnsi="Arial" w:eastAsia="Times New Roman" w:cs="Times New Roman"/>
          <w:sz w:val="20"/>
          <w:szCs w:val="24"/>
          <w:lang w:val="nl-NL" w:eastAsia="nl-NL"/>
        </w:rPr>
        <w:t xml:space="preserve">om een belastingverdrag te hebben </w:t>
      </w:r>
      <w:r w:rsidRPr="002E791F" w:rsidR="008978AF">
        <w:rPr>
          <w:rFonts w:ascii="Arial" w:hAnsi="Arial" w:eastAsia="Times New Roman" w:cs="Times New Roman"/>
          <w:sz w:val="20"/>
          <w:szCs w:val="24"/>
          <w:lang w:val="nl-NL" w:eastAsia="nl-NL"/>
        </w:rPr>
        <w:t xml:space="preserve">met </w:t>
      </w:r>
      <w:r w:rsidRPr="002E791F" w:rsidR="00852AB1">
        <w:rPr>
          <w:rFonts w:ascii="Arial" w:hAnsi="Arial" w:eastAsia="Times New Roman" w:cs="Times New Roman"/>
          <w:sz w:val="20"/>
          <w:szCs w:val="24"/>
          <w:lang w:val="nl-NL" w:eastAsia="nl-NL"/>
        </w:rPr>
        <w:t>alle landen van de Europese Unie</w:t>
      </w:r>
      <w:r w:rsidRPr="002E791F" w:rsidR="00242BE1">
        <w:rPr>
          <w:rFonts w:ascii="Arial" w:hAnsi="Arial" w:eastAsia="Times New Roman" w:cs="Times New Roman"/>
          <w:sz w:val="20"/>
          <w:szCs w:val="24"/>
          <w:lang w:val="nl-NL" w:eastAsia="nl-NL"/>
        </w:rPr>
        <w:t xml:space="preserve"> (hierna: EU)</w:t>
      </w:r>
      <w:r w:rsidRPr="002E791F" w:rsidR="00852AB1">
        <w:rPr>
          <w:rFonts w:ascii="Arial" w:hAnsi="Arial" w:eastAsia="Times New Roman" w:cs="Times New Roman"/>
          <w:sz w:val="20"/>
          <w:szCs w:val="24"/>
          <w:lang w:val="nl-NL" w:eastAsia="nl-NL"/>
        </w:rPr>
        <w:t xml:space="preserve"> en de Europese Economische Ruimte</w:t>
      </w:r>
      <w:r w:rsidRPr="002E791F" w:rsidR="0088770A">
        <w:rPr>
          <w:rFonts w:ascii="Arial" w:hAnsi="Arial" w:eastAsia="Times New Roman" w:cs="Times New Roman"/>
          <w:sz w:val="20"/>
          <w:szCs w:val="24"/>
          <w:lang w:val="nl-NL" w:eastAsia="nl-NL"/>
        </w:rPr>
        <w:t xml:space="preserve"> (hierna: EER)</w:t>
      </w:r>
      <w:r w:rsidRPr="002E791F" w:rsidR="001B7050">
        <w:rPr>
          <w:rFonts w:ascii="Arial" w:hAnsi="Arial" w:eastAsia="Times New Roman" w:cs="Times New Roman"/>
          <w:sz w:val="20"/>
          <w:szCs w:val="24"/>
          <w:lang w:val="nl-NL" w:eastAsia="nl-NL"/>
        </w:rPr>
        <w:t>, waar</w:t>
      </w:r>
      <w:r w:rsidR="00BF5B94">
        <w:rPr>
          <w:rFonts w:ascii="Arial" w:hAnsi="Arial" w:eastAsia="Times New Roman" w:cs="Times New Roman"/>
          <w:sz w:val="20"/>
          <w:szCs w:val="24"/>
          <w:lang w:val="nl-NL" w:eastAsia="nl-NL"/>
        </w:rPr>
        <w:t>van Liechtenstein deel uitmaakt.</w:t>
      </w:r>
    </w:p>
    <w:p w:rsidR="0076253A" w:rsidP="007B54AA" w:rsidRDefault="009620E2" w14:paraId="3C040FE4" w14:textId="5525AAE2">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 november 2017 vond in Vaduz</w:t>
      </w:r>
      <w:r w:rsidRPr="006949BC" w:rsidR="006949BC">
        <w:rPr>
          <w:rFonts w:ascii="Arial" w:hAnsi="Arial" w:eastAsia="Times New Roman" w:cs="Times New Roman"/>
          <w:sz w:val="20"/>
          <w:szCs w:val="24"/>
          <w:lang w:val="nl-NL" w:eastAsia="nl-NL"/>
        </w:rPr>
        <w:t xml:space="preserve"> de eerste onderh</w:t>
      </w:r>
      <w:r>
        <w:rPr>
          <w:rFonts w:ascii="Arial" w:hAnsi="Arial" w:eastAsia="Times New Roman" w:cs="Times New Roman"/>
          <w:sz w:val="20"/>
          <w:szCs w:val="24"/>
          <w:lang w:val="nl-NL" w:eastAsia="nl-NL"/>
        </w:rPr>
        <w:t>andelingsronde plaats en in december 2018 in Den Haag</w:t>
      </w:r>
      <w:r w:rsidRPr="006949BC" w:rsidR="006949BC">
        <w:rPr>
          <w:rFonts w:ascii="Arial" w:hAnsi="Arial" w:eastAsia="Times New Roman" w:cs="Times New Roman"/>
          <w:sz w:val="20"/>
          <w:szCs w:val="24"/>
          <w:lang w:val="nl-NL" w:eastAsia="nl-NL"/>
        </w:rPr>
        <w:t xml:space="preserve"> de tweede. Deze besprekingen hebben geleid </w:t>
      </w:r>
      <w:r w:rsidRPr="006949BC" w:rsidR="006949BC">
        <w:rPr>
          <w:rFonts w:ascii="Arial" w:hAnsi="Arial" w:eastAsia="Times New Roman" w:cs="Arial"/>
          <w:sz w:val="20"/>
          <w:szCs w:val="20"/>
          <w:lang w:val="nl-NL" w:eastAsia="nl-NL"/>
        </w:rPr>
        <w:t xml:space="preserve">tot </w:t>
      </w:r>
      <w:r w:rsidRPr="00B76609" w:rsidR="00B76609">
        <w:rPr>
          <w:rFonts w:ascii="Arial" w:hAnsi="Arial" w:eastAsia="Times New Roman" w:cs="Arial"/>
          <w:sz w:val="20"/>
          <w:szCs w:val="20"/>
          <w:lang w:val="nl-NL" w:eastAsia="nl-NL"/>
        </w:rPr>
        <w:t xml:space="preserve">het afronden van de onderhandelingen </w:t>
      </w:r>
      <w:r w:rsidR="00B76609">
        <w:rPr>
          <w:rFonts w:ascii="Arial" w:hAnsi="Arial" w:eastAsia="Times New Roman" w:cs="Arial"/>
          <w:sz w:val="20"/>
          <w:szCs w:val="20"/>
          <w:lang w:val="nl-NL" w:eastAsia="nl-NL"/>
        </w:rPr>
        <w:t>over</w:t>
      </w:r>
      <w:r w:rsidRPr="006949BC" w:rsidR="006949BC">
        <w:rPr>
          <w:rFonts w:ascii="Arial" w:hAnsi="Arial" w:eastAsia="Times New Roman" w:cs="Arial"/>
          <w:sz w:val="20"/>
          <w:szCs w:val="20"/>
          <w:lang w:val="nl-NL" w:eastAsia="nl-NL"/>
        </w:rPr>
        <w:t xml:space="preserve"> het voorliggende belastingver</w:t>
      </w:r>
      <w:r w:rsidR="00E528F4">
        <w:rPr>
          <w:rFonts w:ascii="Arial" w:hAnsi="Arial" w:eastAsia="Times New Roman" w:cs="Arial"/>
          <w:sz w:val="20"/>
          <w:szCs w:val="20"/>
          <w:lang w:val="nl-NL" w:eastAsia="nl-NL"/>
        </w:rPr>
        <w:t>drag tussen Nederland en Liechtenstein</w:t>
      </w:r>
      <w:r w:rsidR="007C492C">
        <w:rPr>
          <w:rFonts w:ascii="Arial" w:hAnsi="Arial" w:eastAsia="Times New Roman" w:cs="Arial"/>
          <w:sz w:val="20"/>
          <w:szCs w:val="20"/>
          <w:lang w:val="nl-NL" w:eastAsia="nl-NL"/>
        </w:rPr>
        <w:t>.</w:t>
      </w:r>
      <w:r w:rsidRPr="006949BC" w:rsidR="006949BC">
        <w:rPr>
          <w:rFonts w:ascii="Arial" w:hAnsi="Arial" w:eastAsia="Times New Roman" w:cs="Times New Roman"/>
          <w:sz w:val="20"/>
          <w:szCs w:val="24"/>
          <w:lang w:val="nl-NL" w:eastAsia="nl-NL"/>
        </w:rPr>
        <w:t xml:space="preserve"> </w:t>
      </w:r>
    </w:p>
    <w:p w:rsidRPr="00957BE2" w:rsidR="0076253A" w:rsidP="00957BE2" w:rsidRDefault="0076253A" w14:paraId="111BEFA7" w14:textId="3EEE81CF">
      <w:pPr>
        <w:keepNext/>
        <w:numPr>
          <w:ilvl w:val="2"/>
          <w:numId w:val="0"/>
        </w:numPr>
        <w:spacing w:before="240" w:after="60" w:line="360" w:lineRule="auto"/>
        <w:outlineLvl w:val="2"/>
        <w:rPr>
          <w:rFonts w:ascii="Arial" w:hAnsi="Arial" w:eastAsia="Times New Roman" w:cs="Times New Roman"/>
          <w:bCs/>
          <w:i/>
          <w:sz w:val="20"/>
          <w:szCs w:val="20"/>
          <w:lang w:val="nl-NL" w:eastAsia="nl-NL"/>
        </w:rPr>
      </w:pPr>
      <w:r>
        <w:rPr>
          <w:rFonts w:ascii="Arial" w:hAnsi="Arial" w:eastAsia="Times New Roman" w:cs="Times New Roman"/>
          <w:bCs/>
          <w:i/>
          <w:sz w:val="20"/>
          <w:szCs w:val="20"/>
          <w:lang w:val="nl-NL" w:eastAsia="nl-NL"/>
        </w:rPr>
        <w:t>I.2</w:t>
      </w:r>
      <w:r>
        <w:rPr>
          <w:rFonts w:ascii="Arial" w:hAnsi="Arial" w:eastAsia="Times New Roman" w:cs="Times New Roman"/>
          <w:bCs/>
          <w:i/>
          <w:sz w:val="20"/>
          <w:szCs w:val="20"/>
          <w:lang w:val="nl-NL" w:eastAsia="nl-NL"/>
        </w:rPr>
        <w:tab/>
        <w:t>I</w:t>
      </w:r>
      <w:r w:rsidRPr="006949BC" w:rsidR="006949BC">
        <w:rPr>
          <w:rFonts w:ascii="Arial" w:hAnsi="Arial" w:eastAsia="Times New Roman" w:cs="Times New Roman"/>
          <w:bCs/>
          <w:i/>
          <w:iCs/>
          <w:sz w:val="20"/>
          <w:szCs w:val="28"/>
          <w:lang w:val="nl-NL" w:eastAsia="nl-NL"/>
        </w:rPr>
        <w:t>nhoud van het Verdrag</w:t>
      </w:r>
    </w:p>
    <w:p w:rsidRPr="006949BC" w:rsidR="006949BC" w:rsidP="006949BC" w:rsidRDefault="006949BC" w14:paraId="42BF2C97" w14:textId="4B74F5F9">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structuur, inhoud en bewoordingen van het Verdrag stemmen in het algemeen overeen met het gebruikelijke patroon van de door Nederland recent gesloten algemene belastingverdragen. De Nederlandse inzet bij de onderhandelingen was gebaseerd op het verdragsbeleid zo</w:t>
      </w:r>
      <w:r w:rsidR="007D5B2D">
        <w:rPr>
          <w:rFonts w:ascii="Arial" w:hAnsi="Arial" w:eastAsia="Times New Roman" w:cs="Times New Roman"/>
          <w:sz w:val="20"/>
          <w:szCs w:val="24"/>
          <w:lang w:val="nl-NL" w:eastAsia="nl-NL"/>
        </w:rPr>
        <w:t xml:space="preserve">als neergelegd in de </w:t>
      </w:r>
      <w:r w:rsidR="00E53CF9">
        <w:rPr>
          <w:rFonts w:ascii="Arial" w:hAnsi="Arial" w:eastAsia="Times New Roman" w:cs="Times New Roman"/>
          <w:sz w:val="20"/>
          <w:szCs w:val="24"/>
          <w:lang w:val="nl-NL" w:eastAsia="nl-NL"/>
        </w:rPr>
        <w:t>in paragraaf I.0 van de</w:t>
      </w:r>
      <w:r w:rsidR="00A3747D">
        <w:rPr>
          <w:rFonts w:ascii="Arial" w:hAnsi="Arial" w:eastAsia="Times New Roman" w:cs="Times New Roman"/>
          <w:sz w:val="20"/>
          <w:szCs w:val="24"/>
          <w:lang w:val="nl-NL" w:eastAsia="nl-NL"/>
        </w:rPr>
        <w:t>ze</w:t>
      </w:r>
      <w:r w:rsidR="00E53CF9">
        <w:rPr>
          <w:rFonts w:ascii="Arial" w:hAnsi="Arial" w:eastAsia="Times New Roman" w:cs="Times New Roman"/>
          <w:sz w:val="20"/>
          <w:szCs w:val="24"/>
          <w:lang w:val="nl-NL" w:eastAsia="nl-NL"/>
        </w:rPr>
        <w:t xml:space="preserve"> toelichting reeds genoemde </w:t>
      </w:r>
      <w:r w:rsidR="007D5B2D">
        <w:rPr>
          <w:rFonts w:ascii="Arial" w:hAnsi="Arial" w:eastAsia="Times New Roman" w:cs="Times New Roman"/>
          <w:sz w:val="20"/>
          <w:szCs w:val="24"/>
          <w:lang w:val="nl-NL" w:eastAsia="nl-NL"/>
        </w:rPr>
        <w:t>NFV 2011</w:t>
      </w:r>
      <w:r w:rsidR="00E53CF9">
        <w:rPr>
          <w:rFonts w:ascii="Arial" w:hAnsi="Arial" w:eastAsia="Times New Roman" w:cs="Times New Roman"/>
          <w:sz w:val="20"/>
          <w:szCs w:val="24"/>
          <w:lang w:val="nl-NL" w:eastAsia="nl-NL"/>
        </w:rPr>
        <w:t xml:space="preserve"> en</w:t>
      </w:r>
      <w:r w:rsidRPr="006949BC">
        <w:rPr>
          <w:rFonts w:ascii="Arial" w:hAnsi="Arial" w:eastAsia="Times New Roman" w:cs="Times New Roman"/>
          <w:sz w:val="20"/>
          <w:szCs w:val="24"/>
          <w:lang w:val="nl-NL" w:eastAsia="nl-NL"/>
        </w:rPr>
        <w:t xml:space="preserve"> kabinetsappreciatie.</w:t>
      </w:r>
      <w:r w:rsidRPr="006949BC">
        <w:rPr>
          <w:rFonts w:ascii="Arial" w:hAnsi="Arial" w:eastAsia="Times New Roman" w:cs="Times New Roman"/>
          <w:sz w:val="20"/>
          <w:szCs w:val="24"/>
          <w:vertAlign w:val="superscript"/>
          <w:lang w:val="nl-NL" w:eastAsia="nl-NL"/>
        </w:rPr>
        <w:footnoteReference w:id="7"/>
      </w:r>
      <w:r w:rsidRPr="006949BC">
        <w:rPr>
          <w:rFonts w:ascii="Arial" w:hAnsi="Arial" w:eastAsia="Times New Roman" w:cs="Times New Roman"/>
          <w:sz w:val="20"/>
          <w:szCs w:val="24"/>
          <w:lang w:val="nl-NL" w:eastAsia="nl-NL"/>
        </w:rPr>
        <w:t xml:space="preserve"> De Nederlandse inzet werd </w:t>
      </w:r>
      <w:r w:rsidR="00E53CF9">
        <w:rPr>
          <w:rFonts w:ascii="Arial" w:hAnsi="Arial" w:eastAsia="Times New Roman" w:cs="Times New Roman"/>
          <w:sz w:val="20"/>
          <w:szCs w:val="24"/>
          <w:lang w:val="nl-NL" w:eastAsia="nl-NL"/>
        </w:rPr>
        <w:t xml:space="preserve">verder </w:t>
      </w:r>
      <w:r w:rsidRPr="006949BC">
        <w:rPr>
          <w:rFonts w:ascii="Arial" w:hAnsi="Arial" w:eastAsia="Times New Roman" w:cs="Times New Roman"/>
          <w:sz w:val="20"/>
          <w:szCs w:val="24"/>
          <w:lang w:val="nl-NL" w:eastAsia="nl-NL"/>
        </w:rPr>
        <w:t xml:space="preserve">uitdrukkelijk mede bepaald door de wens oneigenlijk gebruik en misbruik van het Verdrag tegen te gaan. </w:t>
      </w:r>
    </w:p>
    <w:p w:rsidRPr="006949BC" w:rsidR="006949BC" w:rsidP="006949BC" w:rsidRDefault="006949BC" w14:paraId="3B1E6D1B" w14:textId="1180001B">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Voor het instrumentarium is hoofdzakelijk aangeknoopt bij de bepalingen van het OESO-modelverdrag 1992 zoals dat luidt na de actualiseri</w:t>
      </w:r>
      <w:r w:rsidR="00E528F4">
        <w:rPr>
          <w:rFonts w:ascii="Arial" w:hAnsi="Arial" w:eastAsia="Times New Roman" w:cs="Times New Roman"/>
          <w:sz w:val="20"/>
          <w:szCs w:val="24"/>
          <w:lang w:val="nl-NL" w:eastAsia="nl-NL"/>
        </w:rPr>
        <w:t>ng per 21 november 2017</w:t>
      </w:r>
      <w:r w:rsidRPr="006949BC">
        <w:rPr>
          <w:rFonts w:ascii="Arial" w:hAnsi="Arial" w:eastAsia="Times New Roman" w:cs="Times New Roman"/>
          <w:sz w:val="20"/>
          <w:szCs w:val="24"/>
          <w:lang w:val="nl-NL" w:eastAsia="nl-NL"/>
        </w:rPr>
        <w:t xml:space="preserve"> (hierna: ‘het OESO-modelverdrag’).</w:t>
      </w:r>
      <w:r w:rsidR="00346BF7">
        <w:rPr>
          <w:rFonts w:ascii="Arial" w:hAnsi="Arial" w:eastAsia="Times New Roman" w:cs="Times New Roman"/>
          <w:sz w:val="20"/>
          <w:szCs w:val="24"/>
          <w:lang w:val="nl-NL" w:eastAsia="nl-NL"/>
        </w:rPr>
        <w:t xml:space="preserve"> Ook is gekeken</w:t>
      </w:r>
      <w:r w:rsidR="007C492C">
        <w:rPr>
          <w:rFonts w:ascii="Arial" w:hAnsi="Arial" w:eastAsia="Times New Roman" w:cs="Times New Roman"/>
          <w:sz w:val="20"/>
          <w:szCs w:val="24"/>
          <w:lang w:val="nl-NL" w:eastAsia="nl-NL"/>
        </w:rPr>
        <w:t xml:space="preserve"> naar </w:t>
      </w:r>
      <w:r w:rsidR="00346BF7">
        <w:rPr>
          <w:rFonts w:ascii="Arial" w:hAnsi="Arial" w:eastAsia="Times New Roman" w:cs="Times New Roman"/>
          <w:sz w:val="20"/>
          <w:szCs w:val="24"/>
          <w:lang w:val="nl-NL" w:eastAsia="nl-NL"/>
        </w:rPr>
        <w:t>welke afspraken Liechtenstein heeft gemaakt in zijn belastingverdragen met Duitsland en het Verenigd Koninkrijk.</w:t>
      </w:r>
    </w:p>
    <w:p w:rsidR="00CF4441" w:rsidP="00882243" w:rsidRDefault="00CD4F55" w14:paraId="77E7F523" w14:textId="58CA3627">
      <w:pPr>
        <w:spacing w:after="200" w:line="360" w:lineRule="auto"/>
        <w:contextualSpacing/>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b/>
      </w:r>
      <w:r w:rsidRPr="006949BC" w:rsidR="006949BC">
        <w:rPr>
          <w:rFonts w:ascii="Arial" w:hAnsi="Arial" w:eastAsia="Times New Roman" w:cs="Times New Roman"/>
          <w:sz w:val="20"/>
          <w:szCs w:val="24"/>
          <w:lang w:val="nl-NL" w:eastAsia="nl-NL"/>
        </w:rPr>
        <w:t xml:space="preserve">Het Verdrag bevat de maatregelen waarvan in de BEPS-rapporten is geconcludeerd dat deze minimaal nodig zijn om verdragsmisbruik op een adequate manier te bestrijden en geschillenbeslechting te verbeteren (de zogenoemde </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minimumstandaard</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 xml:space="preserve">). Dit betreft de titel </w:t>
      </w:r>
      <w:r w:rsidR="001260F0">
        <w:rPr>
          <w:rFonts w:ascii="Arial" w:hAnsi="Arial" w:eastAsia="Times New Roman" w:cs="Times New Roman"/>
          <w:sz w:val="20"/>
          <w:szCs w:val="24"/>
          <w:lang w:val="nl-NL" w:eastAsia="nl-NL"/>
        </w:rPr>
        <w:t xml:space="preserve">en de preambule </w:t>
      </w:r>
      <w:r w:rsidRPr="006949BC" w:rsidR="006949BC">
        <w:rPr>
          <w:rFonts w:ascii="Arial" w:hAnsi="Arial" w:eastAsia="Times New Roman" w:cs="Times New Roman"/>
          <w:sz w:val="20"/>
          <w:szCs w:val="24"/>
          <w:lang w:val="nl-NL" w:eastAsia="nl-NL"/>
        </w:rPr>
        <w:t>van het Verdrag, het opnemen van een algemene a</w:t>
      </w:r>
      <w:r w:rsidR="003F3EEF">
        <w:rPr>
          <w:rFonts w:ascii="Arial" w:hAnsi="Arial" w:eastAsia="Times New Roman" w:cs="Times New Roman"/>
          <w:sz w:val="20"/>
          <w:szCs w:val="24"/>
          <w:lang w:val="nl-NL" w:eastAsia="nl-NL"/>
        </w:rPr>
        <w:t>ntimisbruikbepaling</w:t>
      </w:r>
      <w:r w:rsidR="00CF4441">
        <w:rPr>
          <w:rFonts w:ascii="Arial" w:hAnsi="Arial" w:eastAsia="Times New Roman" w:cs="Times New Roman"/>
          <w:sz w:val="20"/>
          <w:szCs w:val="24"/>
          <w:lang w:val="nl-NL" w:eastAsia="nl-NL"/>
        </w:rPr>
        <w:t xml:space="preserve"> </w:t>
      </w:r>
      <w:r w:rsidR="003F3EEF">
        <w:rPr>
          <w:rFonts w:ascii="Arial" w:hAnsi="Arial" w:eastAsia="Times New Roman" w:cs="Times New Roman"/>
          <w:sz w:val="20"/>
          <w:szCs w:val="24"/>
          <w:lang w:val="nl-NL" w:eastAsia="nl-NL"/>
        </w:rPr>
        <w:t>(</w:t>
      </w:r>
      <w:r w:rsidR="00E528F4">
        <w:rPr>
          <w:rFonts w:ascii="Arial" w:hAnsi="Arial" w:eastAsia="Times New Roman" w:cs="Times New Roman"/>
          <w:sz w:val="20"/>
          <w:szCs w:val="24"/>
          <w:lang w:val="nl-NL" w:eastAsia="nl-NL"/>
        </w:rPr>
        <w:t>artikel 28</w:t>
      </w:r>
      <w:r w:rsidRPr="006949BC" w:rsidR="006949BC">
        <w:rPr>
          <w:rFonts w:ascii="Arial" w:hAnsi="Arial" w:eastAsia="Times New Roman" w:cs="Times New Roman"/>
          <w:sz w:val="20"/>
          <w:szCs w:val="24"/>
          <w:lang w:val="nl-NL" w:eastAsia="nl-NL"/>
        </w:rPr>
        <w:t>) en de toegang tot de onderlinge overlegprocedure (artikel 24).</w:t>
      </w:r>
      <w:r w:rsidR="00882243">
        <w:rPr>
          <w:rFonts w:ascii="Arial" w:hAnsi="Arial" w:eastAsia="Times New Roman" w:cs="Times New Roman"/>
          <w:sz w:val="20"/>
          <w:szCs w:val="24"/>
          <w:lang w:val="nl-NL" w:eastAsia="nl-NL"/>
        </w:rPr>
        <w:t xml:space="preserve"> In dit verband is voorts van belang dat, c</w:t>
      </w:r>
      <w:r w:rsidR="003F3EEF">
        <w:rPr>
          <w:rFonts w:ascii="Arial" w:hAnsi="Arial" w:eastAsia="Times New Roman" w:cs="Times New Roman"/>
          <w:sz w:val="20"/>
          <w:szCs w:val="24"/>
          <w:lang w:val="nl-NL" w:eastAsia="nl-NL"/>
        </w:rPr>
        <w:t>onform het Nederlandse verdragsbeleid</w:t>
      </w:r>
      <w:r w:rsidR="00882243">
        <w:rPr>
          <w:rFonts w:ascii="Arial" w:hAnsi="Arial" w:eastAsia="Times New Roman" w:cs="Times New Roman"/>
          <w:sz w:val="20"/>
          <w:szCs w:val="24"/>
          <w:lang w:val="nl-NL" w:eastAsia="nl-NL"/>
        </w:rPr>
        <w:t xml:space="preserve">, </w:t>
      </w:r>
      <w:r w:rsidR="00A36D0A">
        <w:rPr>
          <w:rFonts w:ascii="Arial" w:hAnsi="Arial" w:eastAsia="Times New Roman" w:cs="Times New Roman"/>
          <w:sz w:val="20"/>
          <w:szCs w:val="24"/>
          <w:lang w:val="nl-NL" w:eastAsia="nl-NL"/>
        </w:rPr>
        <w:t xml:space="preserve">onder meer </w:t>
      </w:r>
      <w:r w:rsidR="003F3EEF">
        <w:rPr>
          <w:rFonts w:ascii="Arial" w:hAnsi="Arial" w:eastAsia="Times New Roman" w:cs="Times New Roman"/>
          <w:sz w:val="20"/>
          <w:szCs w:val="24"/>
          <w:lang w:val="nl-NL" w:eastAsia="nl-NL"/>
        </w:rPr>
        <w:t xml:space="preserve">een volledige woonstaatheffing </w:t>
      </w:r>
      <w:r w:rsidR="00882243">
        <w:rPr>
          <w:rFonts w:ascii="Arial" w:hAnsi="Arial" w:eastAsia="Times New Roman" w:cs="Times New Roman"/>
          <w:sz w:val="20"/>
          <w:szCs w:val="24"/>
          <w:lang w:val="nl-NL" w:eastAsia="nl-NL"/>
        </w:rPr>
        <w:t xml:space="preserve">is </w:t>
      </w:r>
      <w:r w:rsidR="003F3EEF">
        <w:rPr>
          <w:rFonts w:ascii="Arial" w:hAnsi="Arial" w:eastAsia="Times New Roman" w:cs="Times New Roman"/>
          <w:sz w:val="20"/>
          <w:szCs w:val="24"/>
          <w:lang w:val="nl-NL" w:eastAsia="nl-NL"/>
        </w:rPr>
        <w:t xml:space="preserve">overeengekomen voor </w:t>
      </w:r>
      <w:r w:rsidR="00882243">
        <w:rPr>
          <w:rFonts w:ascii="Arial" w:hAnsi="Arial" w:eastAsia="Times New Roman" w:cs="Times New Roman"/>
          <w:sz w:val="20"/>
          <w:szCs w:val="24"/>
          <w:lang w:val="nl-NL" w:eastAsia="nl-NL"/>
        </w:rPr>
        <w:t>dividend in deelnemingsverhoudingen</w:t>
      </w:r>
      <w:r w:rsidR="00527C17">
        <w:rPr>
          <w:rFonts w:ascii="Arial" w:hAnsi="Arial" w:eastAsia="Times New Roman" w:cs="Times New Roman"/>
          <w:sz w:val="20"/>
          <w:szCs w:val="24"/>
          <w:lang w:val="nl-NL" w:eastAsia="nl-NL"/>
        </w:rPr>
        <w:t xml:space="preserve"> (artikel 10, derde lid), voor </w:t>
      </w:r>
      <w:r w:rsidR="003F3EEF">
        <w:rPr>
          <w:rFonts w:ascii="Arial" w:hAnsi="Arial" w:eastAsia="Times New Roman" w:cs="Times New Roman"/>
          <w:sz w:val="20"/>
          <w:szCs w:val="24"/>
          <w:lang w:val="nl-NL" w:eastAsia="nl-NL"/>
        </w:rPr>
        <w:t xml:space="preserve">interest </w:t>
      </w:r>
      <w:r w:rsidR="00527C17">
        <w:rPr>
          <w:rFonts w:ascii="Arial" w:hAnsi="Arial" w:eastAsia="Times New Roman" w:cs="Times New Roman"/>
          <w:sz w:val="20"/>
          <w:szCs w:val="24"/>
          <w:lang w:val="nl-NL" w:eastAsia="nl-NL"/>
        </w:rPr>
        <w:t xml:space="preserve">(artikel 11, eerste lid) </w:t>
      </w:r>
      <w:r w:rsidR="003F3EEF">
        <w:rPr>
          <w:rFonts w:ascii="Arial" w:hAnsi="Arial" w:eastAsia="Times New Roman" w:cs="Times New Roman"/>
          <w:sz w:val="20"/>
          <w:szCs w:val="24"/>
          <w:lang w:val="nl-NL" w:eastAsia="nl-NL"/>
        </w:rPr>
        <w:t xml:space="preserve">en </w:t>
      </w:r>
      <w:r w:rsidR="00A36D0A">
        <w:rPr>
          <w:rFonts w:ascii="Arial" w:hAnsi="Arial" w:eastAsia="Times New Roman" w:cs="Times New Roman"/>
          <w:sz w:val="20"/>
          <w:szCs w:val="24"/>
          <w:lang w:val="nl-NL" w:eastAsia="nl-NL"/>
        </w:rPr>
        <w:t xml:space="preserve">voor </w:t>
      </w:r>
      <w:r w:rsidR="003F3EEF">
        <w:rPr>
          <w:rFonts w:ascii="Arial" w:hAnsi="Arial" w:eastAsia="Times New Roman" w:cs="Times New Roman"/>
          <w:sz w:val="20"/>
          <w:szCs w:val="24"/>
          <w:lang w:val="nl-NL" w:eastAsia="nl-NL"/>
        </w:rPr>
        <w:lastRenderedPageBreak/>
        <w:t>royalty’s (artikel 12</w:t>
      </w:r>
      <w:r w:rsidR="00527C17">
        <w:rPr>
          <w:rFonts w:ascii="Arial" w:hAnsi="Arial" w:eastAsia="Times New Roman" w:cs="Times New Roman"/>
          <w:sz w:val="20"/>
          <w:szCs w:val="24"/>
          <w:lang w:val="nl-NL" w:eastAsia="nl-NL"/>
        </w:rPr>
        <w:t>, eerste lid</w:t>
      </w:r>
      <w:r w:rsidR="003F3EEF">
        <w:rPr>
          <w:rFonts w:ascii="Arial" w:hAnsi="Arial" w:eastAsia="Times New Roman" w:cs="Times New Roman"/>
          <w:sz w:val="20"/>
          <w:szCs w:val="24"/>
          <w:lang w:val="nl-NL" w:eastAsia="nl-NL"/>
        </w:rPr>
        <w:t>)</w:t>
      </w:r>
      <w:r w:rsidR="00B01B34">
        <w:rPr>
          <w:rFonts w:ascii="Arial" w:hAnsi="Arial" w:eastAsia="Times New Roman" w:cs="Times New Roman"/>
          <w:sz w:val="20"/>
          <w:szCs w:val="24"/>
          <w:lang w:val="nl-NL" w:eastAsia="nl-NL"/>
        </w:rPr>
        <w:t xml:space="preserve"> en een volledige bronstaatheffing voor </w:t>
      </w:r>
      <w:r w:rsidR="002D239E">
        <w:rPr>
          <w:rFonts w:ascii="Arial" w:hAnsi="Arial" w:eastAsia="Times New Roman" w:cs="Times New Roman"/>
          <w:sz w:val="20"/>
          <w:szCs w:val="24"/>
          <w:lang w:val="nl-NL" w:eastAsia="nl-NL"/>
        </w:rPr>
        <w:t xml:space="preserve">fiscaal gefacilieerd opgebouwde </w:t>
      </w:r>
      <w:r w:rsidR="00B01B34">
        <w:rPr>
          <w:rFonts w:ascii="Arial" w:hAnsi="Arial" w:eastAsia="Times New Roman" w:cs="Times New Roman"/>
          <w:sz w:val="20"/>
          <w:szCs w:val="24"/>
          <w:lang w:val="nl-NL" w:eastAsia="nl-NL"/>
        </w:rPr>
        <w:t>pensioenen (artikel 17, eerste lid)</w:t>
      </w:r>
      <w:r w:rsidR="00A36D0A">
        <w:rPr>
          <w:rFonts w:ascii="Arial" w:hAnsi="Arial" w:eastAsia="Times New Roman" w:cs="Times New Roman"/>
          <w:sz w:val="20"/>
          <w:szCs w:val="24"/>
          <w:lang w:val="nl-NL" w:eastAsia="nl-NL"/>
        </w:rPr>
        <w:t xml:space="preserve">. Gelet evenwel op </w:t>
      </w:r>
      <w:r w:rsidR="00B61AEC">
        <w:rPr>
          <w:rFonts w:ascii="Arial" w:hAnsi="Arial" w:eastAsia="Times New Roman" w:cs="Times New Roman"/>
          <w:sz w:val="20"/>
          <w:szCs w:val="24"/>
          <w:lang w:val="nl-NL" w:eastAsia="nl-NL"/>
        </w:rPr>
        <w:t xml:space="preserve">de door Nederland </w:t>
      </w:r>
      <w:r w:rsidR="007455FE">
        <w:rPr>
          <w:rFonts w:ascii="Arial" w:hAnsi="Arial" w:eastAsia="Times New Roman" w:cs="Times New Roman"/>
          <w:sz w:val="20"/>
          <w:szCs w:val="24"/>
          <w:lang w:val="nl-NL" w:eastAsia="nl-NL"/>
        </w:rPr>
        <w:t xml:space="preserve">op 1 januari 2021 </w:t>
      </w:r>
      <w:r w:rsidR="00B61AEC">
        <w:rPr>
          <w:rFonts w:ascii="Arial" w:hAnsi="Arial" w:eastAsia="Times New Roman" w:cs="Times New Roman"/>
          <w:sz w:val="20"/>
          <w:szCs w:val="24"/>
          <w:lang w:val="nl-NL" w:eastAsia="nl-NL"/>
        </w:rPr>
        <w:t>in te</w:t>
      </w:r>
      <w:r w:rsidR="007455FE">
        <w:rPr>
          <w:rFonts w:ascii="Arial" w:hAnsi="Arial" w:eastAsia="Times New Roman" w:cs="Times New Roman"/>
          <w:sz w:val="20"/>
          <w:szCs w:val="24"/>
          <w:lang w:val="nl-NL" w:eastAsia="nl-NL"/>
        </w:rPr>
        <w:t xml:space="preserve"> </w:t>
      </w:r>
      <w:r w:rsidR="00B61AEC">
        <w:rPr>
          <w:rFonts w:ascii="Arial" w:hAnsi="Arial" w:eastAsia="Times New Roman" w:cs="Times New Roman"/>
          <w:sz w:val="20"/>
          <w:szCs w:val="24"/>
          <w:lang w:val="nl-NL" w:eastAsia="nl-NL"/>
        </w:rPr>
        <w:t xml:space="preserve">voeren </w:t>
      </w:r>
      <w:r w:rsidR="00EE4347">
        <w:rPr>
          <w:rFonts w:ascii="Arial" w:hAnsi="Arial" w:eastAsia="Times New Roman" w:cs="Times New Roman"/>
          <w:sz w:val="20"/>
          <w:szCs w:val="24"/>
          <w:lang w:val="nl-NL" w:eastAsia="nl-NL"/>
        </w:rPr>
        <w:t xml:space="preserve">(conditionele) </w:t>
      </w:r>
      <w:r w:rsidR="007455FE">
        <w:rPr>
          <w:rFonts w:ascii="Arial" w:hAnsi="Arial" w:eastAsia="Times New Roman" w:cs="Times New Roman"/>
          <w:sz w:val="20"/>
          <w:szCs w:val="24"/>
          <w:lang w:val="nl-NL" w:eastAsia="nl-NL"/>
        </w:rPr>
        <w:t xml:space="preserve">bronbelasting op </w:t>
      </w:r>
      <w:r w:rsidR="00EE4347">
        <w:rPr>
          <w:rFonts w:ascii="Arial" w:hAnsi="Arial" w:eastAsia="Times New Roman" w:cs="Times New Roman"/>
          <w:sz w:val="20"/>
          <w:szCs w:val="24"/>
          <w:lang w:val="nl-NL" w:eastAsia="nl-NL"/>
        </w:rPr>
        <w:t xml:space="preserve">rente-  en </w:t>
      </w:r>
      <w:r w:rsidRPr="00EE4347" w:rsidR="00EE4347">
        <w:rPr>
          <w:rFonts w:ascii="Arial" w:hAnsi="Arial" w:eastAsia="Times New Roman" w:cs="Times New Roman"/>
          <w:sz w:val="20"/>
          <w:szCs w:val="24"/>
          <w:lang w:val="nl-NL" w:eastAsia="nl-NL"/>
        </w:rPr>
        <w:t xml:space="preserve">royaltybetalingen naar </w:t>
      </w:r>
      <w:proofErr w:type="spellStart"/>
      <w:r w:rsidRPr="00EE4347" w:rsidR="00EE4347">
        <w:rPr>
          <w:rFonts w:ascii="Arial" w:hAnsi="Arial" w:eastAsia="Times New Roman" w:cs="Times New Roman"/>
          <w:sz w:val="20"/>
          <w:szCs w:val="24"/>
          <w:lang w:val="nl-NL" w:eastAsia="nl-NL"/>
        </w:rPr>
        <w:t>laagbelastende</w:t>
      </w:r>
      <w:proofErr w:type="spellEnd"/>
      <w:r w:rsidRPr="00EE4347" w:rsidR="00EE4347">
        <w:rPr>
          <w:rFonts w:ascii="Arial" w:hAnsi="Arial" w:eastAsia="Times New Roman" w:cs="Times New Roman"/>
          <w:sz w:val="20"/>
          <w:szCs w:val="24"/>
          <w:lang w:val="nl-NL" w:eastAsia="nl-NL"/>
        </w:rPr>
        <w:t xml:space="preserve"> </w:t>
      </w:r>
      <w:r w:rsidR="00BB146E">
        <w:rPr>
          <w:rFonts w:ascii="Arial" w:hAnsi="Arial" w:eastAsia="Times New Roman" w:cs="Times New Roman"/>
          <w:sz w:val="20"/>
          <w:szCs w:val="24"/>
          <w:lang w:val="nl-NL" w:eastAsia="nl-NL"/>
        </w:rPr>
        <w:t>rechtsgebieden</w:t>
      </w:r>
      <w:r w:rsidRPr="00EE4347" w:rsidR="00BB146E">
        <w:rPr>
          <w:rFonts w:ascii="Arial" w:hAnsi="Arial" w:eastAsia="Times New Roman" w:cs="Times New Roman"/>
          <w:sz w:val="20"/>
          <w:szCs w:val="24"/>
          <w:lang w:val="nl-NL" w:eastAsia="nl-NL"/>
        </w:rPr>
        <w:t xml:space="preserve"> </w:t>
      </w:r>
      <w:r w:rsidRPr="00EE4347" w:rsidR="00EE4347">
        <w:rPr>
          <w:rFonts w:ascii="Arial" w:hAnsi="Arial" w:eastAsia="Times New Roman" w:cs="Times New Roman"/>
          <w:sz w:val="20"/>
          <w:szCs w:val="24"/>
          <w:lang w:val="nl-NL" w:eastAsia="nl-NL"/>
        </w:rPr>
        <w:t>en in misbruiksituaties</w:t>
      </w:r>
      <w:r w:rsidR="00EE4347">
        <w:rPr>
          <w:rStyle w:val="FootnoteReference"/>
          <w:rFonts w:ascii="Arial" w:hAnsi="Arial" w:eastAsia="Times New Roman" w:cs="Times New Roman"/>
          <w:sz w:val="20"/>
          <w:szCs w:val="24"/>
          <w:lang w:val="nl-NL" w:eastAsia="nl-NL"/>
        </w:rPr>
        <w:footnoteReference w:id="8"/>
      </w:r>
      <w:r w:rsidR="00EE4347">
        <w:rPr>
          <w:rFonts w:ascii="Arial" w:hAnsi="Arial" w:eastAsia="Times New Roman" w:cs="Times New Roman"/>
          <w:sz w:val="20"/>
          <w:szCs w:val="24"/>
          <w:lang w:val="nl-NL" w:eastAsia="nl-NL"/>
        </w:rPr>
        <w:t xml:space="preserve">, </w:t>
      </w:r>
      <w:r w:rsidR="006416E6">
        <w:rPr>
          <w:rFonts w:ascii="Arial" w:hAnsi="Arial" w:eastAsia="Times New Roman" w:cs="Times New Roman"/>
          <w:sz w:val="20"/>
          <w:szCs w:val="24"/>
          <w:lang w:val="nl-NL" w:eastAsia="nl-NL"/>
        </w:rPr>
        <w:t xml:space="preserve">en de positie ten tijde van de onderhandelingen van Liechtenstein in verband met de door de Europese Unie opgestelde lijst van </w:t>
      </w:r>
      <w:r w:rsidR="001D7754">
        <w:rPr>
          <w:rFonts w:ascii="Arial" w:hAnsi="Arial" w:eastAsia="Times New Roman" w:cs="Times New Roman"/>
          <w:sz w:val="20"/>
          <w:szCs w:val="24"/>
          <w:lang w:val="nl-NL" w:eastAsia="nl-NL"/>
        </w:rPr>
        <w:t xml:space="preserve">niet-coöperatieve </w:t>
      </w:r>
      <w:r w:rsidR="00BB146E">
        <w:rPr>
          <w:rFonts w:ascii="Arial" w:hAnsi="Arial" w:eastAsia="Times New Roman" w:cs="Times New Roman"/>
          <w:sz w:val="20"/>
          <w:szCs w:val="24"/>
          <w:lang w:val="nl-NL" w:eastAsia="nl-NL"/>
        </w:rPr>
        <w:t>rechtsgebieden</w:t>
      </w:r>
      <w:r w:rsidR="001D7754">
        <w:rPr>
          <w:rFonts w:ascii="Arial" w:hAnsi="Arial" w:eastAsia="Times New Roman" w:cs="Times New Roman"/>
          <w:sz w:val="20"/>
          <w:szCs w:val="24"/>
          <w:lang w:val="nl-NL" w:eastAsia="nl-NL"/>
        </w:rPr>
        <w:t>,</w:t>
      </w:r>
      <w:r w:rsidR="00E334D0">
        <w:rPr>
          <w:rFonts w:ascii="Arial" w:hAnsi="Arial" w:eastAsia="Times New Roman" w:cs="Times New Roman"/>
          <w:sz w:val="20"/>
          <w:szCs w:val="24"/>
          <w:lang w:val="nl-NL" w:eastAsia="nl-NL"/>
        </w:rPr>
        <w:t xml:space="preserve"> </w:t>
      </w:r>
      <w:r w:rsidR="001D7754">
        <w:rPr>
          <w:rFonts w:ascii="Arial" w:hAnsi="Arial" w:eastAsia="Times New Roman" w:cs="Times New Roman"/>
          <w:sz w:val="20"/>
          <w:szCs w:val="24"/>
          <w:lang w:val="nl-NL" w:eastAsia="nl-NL"/>
        </w:rPr>
        <w:t>is o</w:t>
      </w:r>
      <w:r w:rsidR="00AC1791">
        <w:rPr>
          <w:rFonts w:ascii="Arial" w:hAnsi="Arial" w:eastAsia="Times New Roman" w:cs="Times New Roman"/>
          <w:sz w:val="20"/>
          <w:szCs w:val="24"/>
          <w:lang w:val="nl-NL" w:eastAsia="nl-NL"/>
        </w:rPr>
        <w:t>p verzoek van Nederland e</w:t>
      </w:r>
      <w:r w:rsidRPr="001F58FF" w:rsidR="00F41ADF">
        <w:rPr>
          <w:rFonts w:ascii="Arial" w:hAnsi="Arial" w:eastAsia="Times New Roman" w:cs="Times New Roman"/>
          <w:sz w:val="20"/>
          <w:szCs w:val="24"/>
          <w:lang w:val="nl-NL" w:eastAsia="nl-NL"/>
        </w:rPr>
        <w:t xml:space="preserve">en </w:t>
      </w:r>
      <w:r w:rsidR="00E8690D">
        <w:rPr>
          <w:rFonts w:ascii="Arial" w:hAnsi="Arial" w:eastAsia="Times New Roman" w:cs="Times New Roman"/>
          <w:sz w:val="20"/>
          <w:szCs w:val="24"/>
          <w:lang w:val="nl-NL" w:eastAsia="nl-NL"/>
        </w:rPr>
        <w:t xml:space="preserve">(wederkerig geformuleerde) </w:t>
      </w:r>
      <w:r w:rsidRPr="001F58FF" w:rsidR="00F41ADF">
        <w:rPr>
          <w:rFonts w:ascii="Arial" w:hAnsi="Arial" w:eastAsia="Times New Roman" w:cs="Times New Roman"/>
          <w:sz w:val="20"/>
          <w:szCs w:val="24"/>
          <w:lang w:val="nl-NL" w:eastAsia="nl-NL"/>
        </w:rPr>
        <w:t>bepaling opgenomen</w:t>
      </w:r>
      <w:r w:rsidR="00AC1791">
        <w:rPr>
          <w:rFonts w:ascii="Arial" w:hAnsi="Arial" w:eastAsia="Times New Roman" w:cs="Times New Roman"/>
          <w:sz w:val="20"/>
          <w:szCs w:val="24"/>
          <w:lang w:val="nl-NL" w:eastAsia="nl-NL"/>
        </w:rPr>
        <w:t xml:space="preserve"> (</w:t>
      </w:r>
      <w:r w:rsidR="00E334D0">
        <w:rPr>
          <w:rFonts w:ascii="Arial" w:hAnsi="Arial" w:eastAsia="Times New Roman" w:cs="Times New Roman"/>
          <w:sz w:val="20"/>
          <w:szCs w:val="24"/>
          <w:lang w:val="nl-NL" w:eastAsia="nl-NL"/>
        </w:rPr>
        <w:t xml:space="preserve">artikel I van het </w:t>
      </w:r>
      <w:r w:rsidR="0094092A">
        <w:rPr>
          <w:rFonts w:ascii="Arial" w:hAnsi="Arial" w:eastAsia="Times New Roman" w:cs="Times New Roman"/>
          <w:sz w:val="20"/>
          <w:szCs w:val="24"/>
          <w:lang w:val="nl-NL" w:eastAsia="nl-NL"/>
        </w:rPr>
        <w:t>P</w:t>
      </w:r>
      <w:r w:rsidR="00AC1791">
        <w:rPr>
          <w:rFonts w:ascii="Arial" w:hAnsi="Arial" w:eastAsia="Times New Roman" w:cs="Times New Roman"/>
          <w:sz w:val="20"/>
          <w:szCs w:val="24"/>
          <w:lang w:val="nl-NL" w:eastAsia="nl-NL"/>
        </w:rPr>
        <w:t xml:space="preserve">rotocol) </w:t>
      </w:r>
      <w:r w:rsidRPr="001F58FF" w:rsidR="00F41ADF">
        <w:rPr>
          <w:rFonts w:ascii="Arial" w:hAnsi="Arial" w:eastAsia="Times New Roman" w:cs="Times New Roman"/>
          <w:sz w:val="20"/>
          <w:szCs w:val="24"/>
          <w:lang w:val="nl-NL" w:eastAsia="nl-NL"/>
        </w:rPr>
        <w:t xml:space="preserve">waarmee </w:t>
      </w:r>
      <w:r w:rsidR="00F41ADF">
        <w:rPr>
          <w:rFonts w:ascii="Arial" w:hAnsi="Arial" w:eastAsia="Times New Roman" w:cs="Times New Roman"/>
          <w:sz w:val="20"/>
          <w:szCs w:val="24"/>
          <w:lang w:val="nl-NL" w:eastAsia="nl-NL"/>
        </w:rPr>
        <w:t xml:space="preserve">Nederland </w:t>
      </w:r>
      <w:r w:rsidRPr="001F58FF" w:rsidR="00F41ADF">
        <w:rPr>
          <w:rFonts w:ascii="Arial" w:hAnsi="Arial" w:eastAsia="Times New Roman" w:cs="Times New Roman"/>
          <w:sz w:val="20"/>
          <w:szCs w:val="24"/>
          <w:lang w:val="nl-NL" w:eastAsia="nl-NL"/>
        </w:rPr>
        <w:t xml:space="preserve">als bronland </w:t>
      </w:r>
      <w:r w:rsidR="001D7754">
        <w:rPr>
          <w:rFonts w:ascii="Arial" w:hAnsi="Arial" w:eastAsia="Times New Roman" w:cs="Times New Roman"/>
          <w:sz w:val="20"/>
          <w:szCs w:val="24"/>
          <w:lang w:val="nl-NL" w:eastAsia="nl-NL"/>
        </w:rPr>
        <w:t xml:space="preserve">de </w:t>
      </w:r>
      <w:r w:rsidRPr="001F58FF" w:rsidR="00F41ADF">
        <w:rPr>
          <w:rFonts w:ascii="Arial" w:hAnsi="Arial" w:eastAsia="Times New Roman" w:cs="Times New Roman"/>
          <w:sz w:val="20"/>
          <w:szCs w:val="24"/>
          <w:lang w:val="nl-NL" w:eastAsia="nl-NL"/>
        </w:rPr>
        <w:t xml:space="preserve">nationale </w:t>
      </w:r>
      <w:r w:rsidR="004A072D">
        <w:rPr>
          <w:rFonts w:ascii="Arial" w:hAnsi="Arial" w:eastAsia="Times New Roman" w:cs="Times New Roman"/>
          <w:sz w:val="20"/>
          <w:szCs w:val="24"/>
          <w:lang w:val="nl-NL" w:eastAsia="nl-NL"/>
        </w:rPr>
        <w:t>heffing</w:t>
      </w:r>
      <w:r w:rsidRPr="001F58FF" w:rsidR="004A072D">
        <w:rPr>
          <w:rFonts w:ascii="Arial" w:hAnsi="Arial" w:eastAsia="Times New Roman" w:cs="Times New Roman"/>
          <w:sz w:val="20"/>
          <w:szCs w:val="24"/>
          <w:lang w:val="nl-NL" w:eastAsia="nl-NL"/>
        </w:rPr>
        <w:t>srech</w:t>
      </w:r>
      <w:r w:rsidR="004A072D">
        <w:rPr>
          <w:rFonts w:ascii="Arial" w:hAnsi="Arial" w:eastAsia="Times New Roman" w:cs="Times New Roman"/>
          <w:sz w:val="20"/>
          <w:szCs w:val="24"/>
          <w:lang w:val="nl-NL" w:eastAsia="nl-NL"/>
        </w:rPr>
        <w:t>ten</w:t>
      </w:r>
      <w:r w:rsidR="00CD4964">
        <w:rPr>
          <w:rFonts w:ascii="Arial" w:hAnsi="Arial" w:eastAsia="Times New Roman" w:cs="Times New Roman"/>
          <w:sz w:val="20"/>
          <w:szCs w:val="24"/>
          <w:lang w:val="nl-NL" w:eastAsia="nl-NL"/>
        </w:rPr>
        <w:t xml:space="preserve"> kan behouden </w:t>
      </w:r>
      <w:r w:rsidRPr="001F58FF" w:rsidR="00F41ADF">
        <w:rPr>
          <w:rFonts w:ascii="Arial" w:hAnsi="Arial" w:eastAsia="Times New Roman" w:cs="Times New Roman"/>
          <w:sz w:val="20"/>
          <w:szCs w:val="24"/>
          <w:lang w:val="nl-NL" w:eastAsia="nl-NL"/>
        </w:rPr>
        <w:t xml:space="preserve">indien </w:t>
      </w:r>
      <w:r w:rsidR="00F41ADF">
        <w:rPr>
          <w:rFonts w:ascii="Arial" w:hAnsi="Arial" w:eastAsia="Times New Roman" w:cs="Times New Roman"/>
          <w:sz w:val="20"/>
          <w:szCs w:val="24"/>
          <w:lang w:val="nl-NL" w:eastAsia="nl-NL"/>
        </w:rPr>
        <w:t>Liechtenstein</w:t>
      </w:r>
      <w:r w:rsidRPr="001F58FF" w:rsidR="00F41ADF">
        <w:rPr>
          <w:rFonts w:ascii="Arial" w:hAnsi="Arial" w:eastAsia="Times New Roman" w:cs="Times New Roman"/>
          <w:sz w:val="20"/>
          <w:szCs w:val="24"/>
          <w:lang w:val="nl-NL" w:eastAsia="nl-NL"/>
        </w:rPr>
        <w:t xml:space="preserve"> op de</w:t>
      </w:r>
      <w:r w:rsidR="00CD4964">
        <w:rPr>
          <w:rFonts w:ascii="Arial" w:hAnsi="Arial" w:eastAsia="Times New Roman" w:cs="Times New Roman"/>
          <w:sz w:val="20"/>
          <w:szCs w:val="24"/>
          <w:lang w:val="nl-NL" w:eastAsia="nl-NL"/>
        </w:rPr>
        <w:t>ze</w:t>
      </w:r>
      <w:r w:rsidRPr="001F58FF" w:rsidR="00F41ADF">
        <w:rPr>
          <w:rFonts w:ascii="Arial" w:hAnsi="Arial" w:eastAsia="Times New Roman" w:cs="Times New Roman"/>
          <w:sz w:val="20"/>
          <w:szCs w:val="24"/>
          <w:lang w:val="nl-NL" w:eastAsia="nl-NL"/>
        </w:rPr>
        <w:t xml:space="preserve"> </w:t>
      </w:r>
      <w:r w:rsidR="00CD4964">
        <w:rPr>
          <w:rFonts w:ascii="Arial" w:hAnsi="Arial" w:eastAsia="Times New Roman" w:cs="Times New Roman"/>
          <w:sz w:val="20"/>
          <w:szCs w:val="24"/>
          <w:lang w:val="nl-NL" w:eastAsia="nl-NL"/>
        </w:rPr>
        <w:t>lijst zou worden geplaatst</w:t>
      </w:r>
      <w:r w:rsidR="004A072D">
        <w:rPr>
          <w:rFonts w:ascii="Arial" w:hAnsi="Arial" w:eastAsia="Times New Roman" w:cs="Times New Roman"/>
          <w:sz w:val="20"/>
          <w:szCs w:val="24"/>
          <w:lang w:val="nl-NL" w:eastAsia="nl-NL"/>
        </w:rPr>
        <w:t>,</w:t>
      </w:r>
      <w:r w:rsidRPr="004A072D" w:rsidR="004A072D">
        <w:rPr>
          <w:rFonts w:ascii="Arial" w:hAnsi="Arial" w:eastAsia="Times New Roman" w:cs="Times New Roman"/>
          <w:sz w:val="20"/>
          <w:szCs w:val="24"/>
          <w:lang w:val="nl-NL" w:eastAsia="nl-NL"/>
        </w:rPr>
        <w:t xml:space="preserve"> </w:t>
      </w:r>
      <w:r w:rsidR="0089709D">
        <w:rPr>
          <w:rFonts w:ascii="Arial" w:hAnsi="Arial" w:eastAsia="Times New Roman" w:cs="Times New Roman"/>
          <w:sz w:val="20"/>
          <w:szCs w:val="24"/>
          <w:lang w:val="nl-NL" w:eastAsia="nl-NL"/>
        </w:rPr>
        <w:t xml:space="preserve">of indien Liechtenstein </w:t>
      </w:r>
      <w:r w:rsidRPr="004A072D" w:rsidR="004A072D">
        <w:rPr>
          <w:rFonts w:ascii="Arial" w:hAnsi="Arial" w:eastAsia="Times New Roman" w:cs="Times New Roman"/>
          <w:sz w:val="20"/>
          <w:szCs w:val="24"/>
          <w:lang w:val="nl-NL" w:eastAsia="nl-NL"/>
        </w:rPr>
        <w:t>het tarief voor de vennootschapsbelasting</w:t>
      </w:r>
      <w:r w:rsidR="004A072D">
        <w:rPr>
          <w:rFonts w:ascii="Arial" w:hAnsi="Arial" w:eastAsia="Times New Roman" w:cs="Times New Roman"/>
          <w:sz w:val="20"/>
          <w:szCs w:val="24"/>
          <w:lang w:val="nl-NL" w:eastAsia="nl-NL"/>
        </w:rPr>
        <w:t xml:space="preserve"> verlaagt</w:t>
      </w:r>
      <w:r w:rsidRPr="004A072D" w:rsidR="004A072D">
        <w:rPr>
          <w:rFonts w:ascii="Arial" w:hAnsi="Arial" w:eastAsia="Times New Roman" w:cs="Times New Roman"/>
          <w:sz w:val="20"/>
          <w:szCs w:val="24"/>
          <w:lang w:val="nl-NL" w:eastAsia="nl-NL"/>
        </w:rPr>
        <w:t xml:space="preserve"> tot onder de 9%</w:t>
      </w:r>
      <w:r w:rsidR="0089709D">
        <w:rPr>
          <w:rFonts w:ascii="Arial" w:hAnsi="Arial" w:eastAsia="Times New Roman" w:cs="Times New Roman"/>
          <w:sz w:val="20"/>
          <w:szCs w:val="24"/>
          <w:lang w:val="nl-NL" w:eastAsia="nl-NL"/>
        </w:rPr>
        <w:t xml:space="preserve"> dan wel</w:t>
      </w:r>
      <w:r w:rsidRPr="004A072D" w:rsidR="004A072D">
        <w:rPr>
          <w:rFonts w:ascii="Arial" w:hAnsi="Arial" w:eastAsia="Times New Roman" w:cs="Times New Roman"/>
          <w:sz w:val="20"/>
          <w:szCs w:val="24"/>
          <w:lang w:val="nl-NL" w:eastAsia="nl-NL"/>
        </w:rPr>
        <w:t xml:space="preserve"> een vrijstelling </w:t>
      </w:r>
      <w:r w:rsidR="0089709D">
        <w:rPr>
          <w:rFonts w:ascii="Arial" w:hAnsi="Arial" w:eastAsia="Times New Roman" w:cs="Times New Roman"/>
          <w:sz w:val="20"/>
          <w:szCs w:val="24"/>
          <w:lang w:val="nl-NL" w:eastAsia="nl-NL"/>
        </w:rPr>
        <w:t xml:space="preserve">invoert </w:t>
      </w:r>
      <w:r w:rsidRPr="004A072D" w:rsidR="004A072D">
        <w:rPr>
          <w:rFonts w:ascii="Arial" w:hAnsi="Arial" w:eastAsia="Times New Roman" w:cs="Times New Roman"/>
          <w:sz w:val="20"/>
          <w:szCs w:val="24"/>
          <w:lang w:val="nl-NL" w:eastAsia="nl-NL"/>
        </w:rPr>
        <w:t>voor uit het buitenland afkomstige inkomsten zoa</w:t>
      </w:r>
      <w:r w:rsidR="0089709D">
        <w:rPr>
          <w:rFonts w:ascii="Arial" w:hAnsi="Arial" w:eastAsia="Times New Roman" w:cs="Times New Roman"/>
          <w:sz w:val="20"/>
          <w:szCs w:val="24"/>
          <w:lang w:val="nl-NL" w:eastAsia="nl-NL"/>
        </w:rPr>
        <w:t>ls interest en royalty’s</w:t>
      </w:r>
      <w:r w:rsidRPr="004A072D" w:rsidR="004A072D">
        <w:rPr>
          <w:rFonts w:ascii="Arial" w:hAnsi="Arial" w:eastAsia="Times New Roman" w:cs="Times New Roman"/>
          <w:sz w:val="20"/>
          <w:szCs w:val="24"/>
          <w:lang w:val="nl-NL" w:eastAsia="nl-NL"/>
        </w:rPr>
        <w:t xml:space="preserve">. </w:t>
      </w:r>
      <w:r w:rsidR="00E334D0">
        <w:rPr>
          <w:rFonts w:ascii="Arial" w:hAnsi="Arial" w:eastAsia="Times New Roman" w:cs="Times New Roman"/>
          <w:sz w:val="20"/>
          <w:szCs w:val="24"/>
          <w:lang w:val="nl-NL" w:eastAsia="nl-NL"/>
        </w:rPr>
        <w:t>Hierop wordt in de artikelsgewijze toelichting hierna verder ingegaan</w:t>
      </w:r>
      <w:r w:rsidR="00484880">
        <w:rPr>
          <w:rFonts w:ascii="Arial" w:hAnsi="Arial" w:eastAsia="Times New Roman" w:cs="Times New Roman"/>
          <w:sz w:val="20"/>
          <w:szCs w:val="24"/>
          <w:lang w:val="nl-NL" w:eastAsia="nl-NL"/>
        </w:rPr>
        <w:t xml:space="preserve"> (</w:t>
      </w:r>
      <w:r w:rsidRPr="00486A57" w:rsidR="00484880">
        <w:rPr>
          <w:rFonts w:ascii="Arial" w:hAnsi="Arial" w:eastAsia="Times New Roman" w:cs="Times New Roman"/>
          <w:sz w:val="20"/>
          <w:szCs w:val="24"/>
          <w:lang w:val="nl-NL" w:eastAsia="nl-NL"/>
        </w:rPr>
        <w:t>zie paragraaf I</w:t>
      </w:r>
      <w:r w:rsidR="00484880">
        <w:rPr>
          <w:rFonts w:ascii="Arial" w:hAnsi="Arial" w:eastAsia="Times New Roman" w:cs="Times New Roman"/>
          <w:sz w:val="20"/>
          <w:szCs w:val="24"/>
          <w:lang w:val="nl-NL" w:eastAsia="nl-NL"/>
        </w:rPr>
        <w:t>I</w:t>
      </w:r>
      <w:r w:rsidRPr="00486A57" w:rsidR="00484880">
        <w:rPr>
          <w:rFonts w:ascii="Arial" w:hAnsi="Arial" w:eastAsia="Times New Roman" w:cs="Times New Roman"/>
          <w:sz w:val="20"/>
          <w:szCs w:val="24"/>
          <w:lang w:val="nl-NL" w:eastAsia="nl-NL"/>
        </w:rPr>
        <w:t>.</w:t>
      </w:r>
      <w:r w:rsidR="00484880">
        <w:rPr>
          <w:rFonts w:ascii="Arial" w:hAnsi="Arial" w:eastAsia="Times New Roman" w:cs="Times New Roman"/>
          <w:sz w:val="20"/>
          <w:szCs w:val="24"/>
          <w:lang w:val="nl-NL" w:eastAsia="nl-NL"/>
        </w:rPr>
        <w:t>1</w:t>
      </w:r>
      <w:r w:rsidRPr="00486A57" w:rsidR="00484880">
        <w:rPr>
          <w:rFonts w:ascii="Arial" w:hAnsi="Arial" w:eastAsia="Times New Roman" w:cs="Times New Roman"/>
          <w:sz w:val="20"/>
          <w:szCs w:val="24"/>
          <w:lang w:val="nl-NL" w:eastAsia="nl-NL"/>
        </w:rPr>
        <w:t xml:space="preserve"> van deze toelichting</w:t>
      </w:r>
      <w:r w:rsidR="00484880">
        <w:rPr>
          <w:rFonts w:ascii="Arial" w:hAnsi="Arial" w:eastAsia="Times New Roman" w:cs="Times New Roman"/>
          <w:sz w:val="20"/>
          <w:szCs w:val="24"/>
          <w:lang w:val="nl-NL" w:eastAsia="nl-NL"/>
        </w:rPr>
        <w:t>)</w:t>
      </w:r>
      <w:r w:rsidR="00E334D0">
        <w:rPr>
          <w:rFonts w:ascii="Arial" w:hAnsi="Arial" w:eastAsia="Times New Roman" w:cs="Times New Roman"/>
          <w:sz w:val="20"/>
          <w:szCs w:val="24"/>
          <w:lang w:val="nl-NL" w:eastAsia="nl-NL"/>
        </w:rPr>
        <w:t>.</w:t>
      </w:r>
    </w:p>
    <w:p w:rsidR="00B01B34" w:rsidP="00882243" w:rsidRDefault="00B01B34" w14:paraId="69571842" w14:textId="7D53A39F">
      <w:pPr>
        <w:spacing w:after="200" w:line="360" w:lineRule="auto"/>
        <w:contextualSpacing/>
        <w:rPr>
          <w:rFonts w:ascii="Arial" w:hAnsi="Arial" w:eastAsia="Times New Roman" w:cs="Times New Roman"/>
          <w:sz w:val="20"/>
          <w:szCs w:val="24"/>
          <w:lang w:val="nl-NL" w:eastAsia="nl-NL"/>
        </w:rPr>
      </w:pPr>
    </w:p>
    <w:p w:rsidRPr="006949BC" w:rsidR="006949BC" w:rsidP="006949BC" w:rsidRDefault="0095550D" w14:paraId="19A06FBA" w14:textId="4C98F0A0">
      <w:pPr>
        <w:keepNext/>
        <w:numPr>
          <w:ilvl w:val="2"/>
          <w:numId w:val="0"/>
        </w:numPr>
        <w:spacing w:before="240" w:after="60" w:line="360" w:lineRule="auto"/>
        <w:outlineLvl w:val="2"/>
        <w:rPr>
          <w:rFonts w:ascii="Arial" w:hAnsi="Arial" w:eastAsia="Times New Roman" w:cs="Times New Roman"/>
          <w:bCs/>
          <w:i/>
          <w:sz w:val="20"/>
          <w:szCs w:val="20"/>
          <w:lang w:val="nl-NL" w:eastAsia="nl-NL"/>
        </w:rPr>
      </w:pPr>
      <w:r>
        <w:rPr>
          <w:rFonts w:ascii="Arial" w:hAnsi="Arial" w:eastAsia="Times New Roman" w:cs="Times New Roman"/>
          <w:bCs/>
          <w:i/>
          <w:sz w:val="20"/>
          <w:szCs w:val="20"/>
          <w:lang w:val="nl-NL" w:eastAsia="nl-NL"/>
        </w:rPr>
        <w:t>I.3</w:t>
      </w:r>
      <w:r>
        <w:rPr>
          <w:rFonts w:ascii="Arial" w:hAnsi="Arial" w:eastAsia="Times New Roman" w:cs="Times New Roman"/>
          <w:bCs/>
          <w:i/>
          <w:sz w:val="20"/>
          <w:szCs w:val="20"/>
          <w:lang w:val="nl-NL" w:eastAsia="nl-NL"/>
        </w:rPr>
        <w:tab/>
        <w:t>Belastingstelsel Liechtenstein</w:t>
      </w:r>
    </w:p>
    <w:p w:rsidRPr="006949BC" w:rsidR="006949BC" w:rsidP="006949BC" w:rsidRDefault="007E2CFC" w14:paraId="3AEAE958" w14:textId="608C4E5B">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Liechtenstein</w:t>
      </w:r>
      <w:r w:rsidRPr="006949BC" w:rsidR="006949BC">
        <w:rPr>
          <w:rFonts w:ascii="Arial" w:hAnsi="Arial" w:eastAsia="Times New Roman" w:cs="Times New Roman"/>
          <w:sz w:val="20"/>
          <w:szCs w:val="24"/>
          <w:lang w:val="nl-NL" w:eastAsia="nl-NL"/>
        </w:rPr>
        <w:t xml:space="preserve"> kent een fiscaal stelsel met een samenstel van directe en indirecte belastingen. De voornaamste directe belastingen voor natuurlijke personen zijn d</w:t>
      </w:r>
      <w:r w:rsidR="00CE5E07">
        <w:rPr>
          <w:rFonts w:ascii="Arial" w:hAnsi="Arial" w:eastAsia="Times New Roman" w:cs="Times New Roman"/>
          <w:sz w:val="20"/>
          <w:szCs w:val="24"/>
          <w:lang w:val="nl-NL" w:eastAsia="nl-NL"/>
        </w:rPr>
        <w:t>e inkomstenbelasting (</w:t>
      </w:r>
      <w:proofErr w:type="spellStart"/>
      <w:r w:rsidRPr="007B54AA" w:rsidR="00CE5E07">
        <w:rPr>
          <w:rFonts w:ascii="Arial" w:hAnsi="Arial" w:eastAsia="Times New Roman" w:cs="Times New Roman"/>
          <w:i/>
          <w:sz w:val="20"/>
          <w:szCs w:val="24"/>
          <w:lang w:val="nl-NL" w:eastAsia="nl-NL"/>
        </w:rPr>
        <w:t>Erwerbssteuer</w:t>
      </w:r>
      <w:proofErr w:type="spellEnd"/>
      <w:r w:rsidRPr="006949BC" w:rsidR="006949BC">
        <w:rPr>
          <w:rFonts w:ascii="Arial" w:hAnsi="Arial" w:eastAsia="Times New Roman" w:cs="Times New Roman"/>
          <w:sz w:val="20"/>
          <w:szCs w:val="24"/>
          <w:lang w:val="nl-NL" w:eastAsia="nl-NL"/>
        </w:rPr>
        <w:t>) m</w:t>
      </w:r>
      <w:r w:rsidR="00CE5E07">
        <w:rPr>
          <w:rFonts w:ascii="Arial" w:hAnsi="Arial" w:eastAsia="Times New Roman" w:cs="Times New Roman"/>
          <w:sz w:val="20"/>
          <w:szCs w:val="24"/>
          <w:lang w:val="nl-NL" w:eastAsia="nl-NL"/>
        </w:rPr>
        <w:t xml:space="preserve">et een </w:t>
      </w:r>
      <w:r w:rsidR="00342C9D">
        <w:rPr>
          <w:rFonts w:ascii="Arial" w:hAnsi="Arial" w:eastAsia="Times New Roman" w:cs="Times New Roman"/>
          <w:sz w:val="20"/>
          <w:szCs w:val="24"/>
          <w:lang w:val="nl-NL" w:eastAsia="nl-NL"/>
        </w:rPr>
        <w:t>twee</w:t>
      </w:r>
      <w:r w:rsidR="00D21154">
        <w:rPr>
          <w:rFonts w:ascii="Arial" w:hAnsi="Arial" w:eastAsia="Times New Roman" w:cs="Times New Roman"/>
          <w:sz w:val="20"/>
          <w:szCs w:val="24"/>
          <w:lang w:val="nl-NL" w:eastAsia="nl-NL"/>
        </w:rPr>
        <w:t>schijventarief van 3,5% en 28%</w:t>
      </w:r>
      <w:r w:rsidR="00CE5E07">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 xml:space="preserve"> de </w:t>
      </w:r>
      <w:r w:rsidR="009F62DB">
        <w:rPr>
          <w:rFonts w:ascii="Arial" w:hAnsi="Arial" w:eastAsia="Times New Roman" w:cs="Times New Roman"/>
          <w:sz w:val="20"/>
          <w:szCs w:val="24"/>
          <w:lang w:val="nl-NL" w:eastAsia="nl-NL"/>
        </w:rPr>
        <w:t>vastgoed</w:t>
      </w:r>
      <w:r w:rsidRPr="006949BC" w:rsidR="006949BC">
        <w:rPr>
          <w:rFonts w:ascii="Arial" w:hAnsi="Arial" w:eastAsia="Times New Roman" w:cs="Times New Roman"/>
          <w:sz w:val="20"/>
          <w:szCs w:val="24"/>
          <w:lang w:val="nl-NL" w:eastAsia="nl-NL"/>
        </w:rPr>
        <w:t>vermogenswin</w:t>
      </w:r>
      <w:r w:rsidR="00CE5E07">
        <w:rPr>
          <w:rFonts w:ascii="Arial" w:hAnsi="Arial" w:eastAsia="Times New Roman" w:cs="Times New Roman"/>
          <w:sz w:val="20"/>
          <w:szCs w:val="24"/>
          <w:lang w:val="nl-NL" w:eastAsia="nl-NL"/>
        </w:rPr>
        <w:t>stenbelastin</w:t>
      </w:r>
      <w:r w:rsidR="00497E71">
        <w:rPr>
          <w:rFonts w:ascii="Arial" w:hAnsi="Arial" w:eastAsia="Times New Roman" w:cs="Times New Roman"/>
          <w:sz w:val="20"/>
          <w:szCs w:val="24"/>
          <w:lang w:val="nl-NL" w:eastAsia="nl-NL"/>
        </w:rPr>
        <w:t>g (</w:t>
      </w:r>
      <w:proofErr w:type="spellStart"/>
      <w:r w:rsidRPr="007B54AA" w:rsidR="00497E71">
        <w:rPr>
          <w:rFonts w:ascii="Arial" w:hAnsi="Arial" w:eastAsia="Times New Roman" w:cs="Times New Roman"/>
          <w:i/>
          <w:sz w:val="20"/>
          <w:szCs w:val="24"/>
          <w:lang w:val="nl-NL" w:eastAsia="nl-NL"/>
        </w:rPr>
        <w:t>Grundstück</w:t>
      </w:r>
      <w:r w:rsidRPr="007B54AA" w:rsidR="00F624B9">
        <w:rPr>
          <w:rFonts w:ascii="Arial" w:hAnsi="Arial" w:eastAsia="Times New Roman" w:cs="Times New Roman"/>
          <w:i/>
          <w:sz w:val="20"/>
          <w:szCs w:val="24"/>
          <w:lang w:val="nl-NL" w:eastAsia="nl-NL"/>
        </w:rPr>
        <w:t>s</w:t>
      </w:r>
      <w:r w:rsidRPr="007B54AA" w:rsidR="00497E71">
        <w:rPr>
          <w:rFonts w:ascii="Arial" w:hAnsi="Arial" w:eastAsia="Times New Roman" w:cs="Times New Roman"/>
          <w:i/>
          <w:sz w:val="20"/>
          <w:szCs w:val="24"/>
          <w:lang w:val="nl-NL" w:eastAsia="nl-NL"/>
        </w:rPr>
        <w:t>gewinnsteuer</w:t>
      </w:r>
      <w:proofErr w:type="spellEnd"/>
      <w:r w:rsidRPr="006949BC" w:rsidR="006949BC">
        <w:rPr>
          <w:rFonts w:ascii="Arial" w:hAnsi="Arial" w:eastAsia="Times New Roman" w:cs="Times New Roman"/>
          <w:sz w:val="20"/>
          <w:szCs w:val="24"/>
          <w:lang w:val="nl-NL" w:eastAsia="nl-NL"/>
        </w:rPr>
        <w:t>)</w:t>
      </w:r>
      <w:r w:rsidR="00D21154">
        <w:rPr>
          <w:rFonts w:ascii="Arial" w:hAnsi="Arial" w:eastAsia="Times New Roman" w:cs="Times New Roman"/>
          <w:sz w:val="20"/>
          <w:szCs w:val="24"/>
          <w:lang w:val="nl-NL" w:eastAsia="nl-NL"/>
        </w:rPr>
        <w:t xml:space="preserve"> </w:t>
      </w:r>
      <w:r w:rsidR="0092705C">
        <w:rPr>
          <w:rFonts w:ascii="Arial" w:hAnsi="Arial" w:eastAsia="Times New Roman" w:cs="Times New Roman"/>
          <w:sz w:val="20"/>
          <w:szCs w:val="24"/>
          <w:lang w:val="nl-NL" w:eastAsia="nl-NL"/>
        </w:rPr>
        <w:t xml:space="preserve">met </w:t>
      </w:r>
      <w:r w:rsidRPr="00D21154" w:rsidR="00D21154">
        <w:rPr>
          <w:rFonts w:ascii="Arial" w:hAnsi="Arial" w:eastAsia="Times New Roman" w:cs="Times New Roman"/>
          <w:sz w:val="20"/>
          <w:szCs w:val="24"/>
          <w:lang w:val="nl-NL" w:eastAsia="nl-NL"/>
        </w:rPr>
        <w:t xml:space="preserve">een </w:t>
      </w:r>
      <w:r w:rsidR="00342C9D">
        <w:rPr>
          <w:rFonts w:ascii="Arial" w:hAnsi="Arial" w:eastAsia="Times New Roman" w:cs="Times New Roman"/>
          <w:sz w:val="20"/>
          <w:szCs w:val="24"/>
          <w:lang w:val="nl-NL" w:eastAsia="nl-NL"/>
        </w:rPr>
        <w:t>twee</w:t>
      </w:r>
      <w:r w:rsidR="00D21154">
        <w:rPr>
          <w:rFonts w:ascii="Arial" w:hAnsi="Arial" w:eastAsia="Times New Roman" w:cs="Times New Roman"/>
          <w:sz w:val="20"/>
          <w:szCs w:val="24"/>
          <w:lang w:val="nl-NL" w:eastAsia="nl-NL"/>
        </w:rPr>
        <w:t>schijventarief van 3,5% en 24</w:t>
      </w:r>
      <w:r w:rsidRPr="00D21154" w:rsidR="00D21154">
        <w:rPr>
          <w:rFonts w:ascii="Arial" w:hAnsi="Arial" w:eastAsia="Times New Roman" w:cs="Times New Roman"/>
          <w:sz w:val="20"/>
          <w:szCs w:val="24"/>
          <w:lang w:val="nl-NL" w:eastAsia="nl-NL"/>
        </w:rPr>
        <w:t>%,</w:t>
      </w:r>
      <w:r w:rsidR="00D21154">
        <w:rPr>
          <w:rFonts w:ascii="Arial" w:hAnsi="Arial" w:eastAsia="Times New Roman" w:cs="Times New Roman"/>
          <w:sz w:val="20"/>
          <w:szCs w:val="24"/>
          <w:lang w:val="nl-NL" w:eastAsia="nl-NL"/>
        </w:rPr>
        <w:t xml:space="preserve"> en </w:t>
      </w:r>
      <w:r w:rsidR="00495236">
        <w:rPr>
          <w:rFonts w:ascii="Arial" w:hAnsi="Arial" w:eastAsia="Times New Roman" w:cs="Times New Roman"/>
          <w:sz w:val="20"/>
          <w:szCs w:val="24"/>
          <w:lang w:val="nl-NL" w:eastAsia="nl-NL"/>
        </w:rPr>
        <w:t xml:space="preserve">een </w:t>
      </w:r>
      <w:r w:rsidR="00D21154">
        <w:rPr>
          <w:rFonts w:ascii="Arial" w:hAnsi="Arial" w:eastAsia="Times New Roman" w:cs="Times New Roman"/>
          <w:sz w:val="20"/>
          <w:szCs w:val="24"/>
          <w:lang w:val="nl-NL" w:eastAsia="nl-NL"/>
        </w:rPr>
        <w:t>vermogensbelasting (</w:t>
      </w:r>
      <w:proofErr w:type="spellStart"/>
      <w:r w:rsidRPr="007B54AA" w:rsidR="00D21154">
        <w:rPr>
          <w:rFonts w:ascii="Arial" w:hAnsi="Arial" w:eastAsia="Times New Roman" w:cs="Times New Roman"/>
          <w:i/>
          <w:sz w:val="20"/>
          <w:szCs w:val="24"/>
          <w:lang w:val="nl-NL" w:eastAsia="nl-NL"/>
        </w:rPr>
        <w:t>Vermögens</w:t>
      </w:r>
      <w:r w:rsidRPr="007B54AA" w:rsidR="00E636B2">
        <w:rPr>
          <w:rFonts w:ascii="Arial" w:hAnsi="Arial" w:eastAsia="Times New Roman" w:cs="Times New Roman"/>
          <w:i/>
          <w:sz w:val="20"/>
          <w:szCs w:val="24"/>
          <w:lang w:val="nl-NL" w:eastAsia="nl-NL"/>
        </w:rPr>
        <w:t>s</w:t>
      </w:r>
      <w:r w:rsidRPr="007B54AA" w:rsidR="00D21154">
        <w:rPr>
          <w:rFonts w:ascii="Arial" w:hAnsi="Arial" w:eastAsia="Times New Roman" w:cs="Times New Roman"/>
          <w:i/>
          <w:sz w:val="20"/>
          <w:szCs w:val="24"/>
          <w:lang w:val="nl-NL" w:eastAsia="nl-NL"/>
        </w:rPr>
        <w:t>teuer</w:t>
      </w:r>
      <w:proofErr w:type="spellEnd"/>
      <w:r w:rsidR="00D21154">
        <w:rPr>
          <w:rFonts w:ascii="Arial" w:hAnsi="Arial" w:eastAsia="Times New Roman" w:cs="Times New Roman"/>
          <w:sz w:val="20"/>
          <w:szCs w:val="24"/>
          <w:lang w:val="nl-NL" w:eastAsia="nl-NL"/>
        </w:rPr>
        <w:t xml:space="preserve">) </w:t>
      </w:r>
      <w:r w:rsidR="00DE1AAA">
        <w:rPr>
          <w:rFonts w:ascii="Arial" w:hAnsi="Arial" w:eastAsia="Times New Roman" w:cs="Times New Roman"/>
          <w:sz w:val="20"/>
          <w:szCs w:val="24"/>
          <w:lang w:val="nl-NL" w:eastAsia="nl-NL"/>
        </w:rPr>
        <w:t xml:space="preserve">die is </w:t>
      </w:r>
      <w:r>
        <w:rPr>
          <w:rFonts w:ascii="Arial" w:hAnsi="Arial" w:eastAsia="Times New Roman" w:cs="Times New Roman"/>
          <w:sz w:val="20"/>
          <w:szCs w:val="24"/>
          <w:lang w:val="nl-NL" w:eastAsia="nl-NL"/>
        </w:rPr>
        <w:t>geïntegreerd</w:t>
      </w:r>
      <w:r w:rsidR="00DE1AAA">
        <w:rPr>
          <w:rFonts w:ascii="Arial" w:hAnsi="Arial" w:eastAsia="Times New Roman" w:cs="Times New Roman"/>
          <w:sz w:val="20"/>
          <w:szCs w:val="24"/>
          <w:lang w:val="nl-NL" w:eastAsia="nl-NL"/>
        </w:rPr>
        <w:t xml:space="preserve"> in de inkomstenbelasting</w:t>
      </w:r>
      <w:r w:rsidR="0018371C">
        <w:rPr>
          <w:rFonts w:ascii="Arial" w:hAnsi="Arial" w:eastAsia="Times New Roman" w:cs="Times New Roman"/>
          <w:sz w:val="20"/>
          <w:szCs w:val="24"/>
          <w:lang w:val="nl-NL" w:eastAsia="nl-NL"/>
        </w:rPr>
        <w:t xml:space="preserve"> (</w:t>
      </w:r>
      <w:r w:rsidR="00DE1AAA">
        <w:rPr>
          <w:rFonts w:ascii="Arial" w:hAnsi="Arial" w:eastAsia="Times New Roman" w:cs="Times New Roman"/>
          <w:sz w:val="20"/>
          <w:szCs w:val="24"/>
          <w:lang w:val="nl-NL" w:eastAsia="nl-NL"/>
        </w:rPr>
        <w:t>waarbij</w:t>
      </w:r>
      <w:r w:rsidR="0018371C">
        <w:rPr>
          <w:rFonts w:ascii="Arial" w:hAnsi="Arial" w:eastAsia="Times New Roman" w:cs="Times New Roman"/>
          <w:sz w:val="20"/>
          <w:szCs w:val="24"/>
          <w:lang w:val="nl-NL" w:eastAsia="nl-NL"/>
        </w:rPr>
        <w:t xml:space="preserve">, min of meer vergelijkbaar met de Nederlandse </w:t>
      </w:r>
      <w:r w:rsidR="00604AA2">
        <w:rPr>
          <w:rFonts w:ascii="Arial" w:hAnsi="Arial" w:eastAsia="Times New Roman" w:cs="Times New Roman"/>
          <w:sz w:val="20"/>
          <w:szCs w:val="24"/>
          <w:lang w:val="nl-NL" w:eastAsia="nl-NL"/>
        </w:rPr>
        <w:t xml:space="preserve">belastingheffing volgens box-3 van de Wet inkomstenbelasting 2001, een verondersteld rendement – van </w:t>
      </w:r>
      <w:r w:rsidR="00DE1AAA">
        <w:rPr>
          <w:rFonts w:ascii="Arial" w:hAnsi="Arial" w:eastAsia="Times New Roman" w:cs="Times New Roman"/>
          <w:sz w:val="20"/>
          <w:szCs w:val="24"/>
          <w:lang w:val="nl-NL" w:eastAsia="nl-NL"/>
        </w:rPr>
        <w:t xml:space="preserve">4% van het vermogen </w:t>
      </w:r>
      <w:r w:rsidR="00B46790">
        <w:rPr>
          <w:rFonts w:ascii="Arial" w:hAnsi="Arial" w:eastAsia="Times New Roman" w:cs="Times New Roman"/>
          <w:sz w:val="20"/>
          <w:szCs w:val="24"/>
          <w:lang w:val="nl-NL" w:eastAsia="nl-NL"/>
        </w:rPr>
        <w:t>–</w:t>
      </w:r>
      <w:r w:rsidR="00604AA2">
        <w:rPr>
          <w:rFonts w:ascii="Arial" w:hAnsi="Arial" w:eastAsia="Times New Roman" w:cs="Times New Roman"/>
          <w:sz w:val="20"/>
          <w:szCs w:val="24"/>
          <w:lang w:val="nl-NL" w:eastAsia="nl-NL"/>
        </w:rPr>
        <w:t xml:space="preserve"> </w:t>
      </w:r>
      <w:r w:rsidR="00DE1AAA">
        <w:rPr>
          <w:rFonts w:ascii="Arial" w:hAnsi="Arial" w:eastAsia="Times New Roman" w:cs="Times New Roman"/>
          <w:sz w:val="20"/>
          <w:szCs w:val="24"/>
          <w:lang w:val="nl-NL" w:eastAsia="nl-NL"/>
        </w:rPr>
        <w:t>wordt belast tegen een tarief van maximaal 28%</w:t>
      </w:r>
      <w:r w:rsidR="00B020D9">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 xml:space="preserve">. </w:t>
      </w:r>
      <w:r w:rsidR="005315A3">
        <w:rPr>
          <w:rFonts w:ascii="Arial" w:hAnsi="Arial" w:eastAsia="Times New Roman" w:cs="Times New Roman"/>
          <w:sz w:val="20"/>
          <w:szCs w:val="24"/>
          <w:lang w:val="nl-NL" w:eastAsia="nl-NL"/>
        </w:rPr>
        <w:t xml:space="preserve">In de inkomstenbelastingtarieven wordt rekening gehouden met de gemeentelijke opcenten die variëren per gemeente. Het </w:t>
      </w:r>
      <w:r w:rsidR="00B020D9">
        <w:rPr>
          <w:rFonts w:ascii="Arial" w:hAnsi="Arial" w:eastAsia="Times New Roman" w:cs="Times New Roman"/>
          <w:sz w:val="20"/>
          <w:szCs w:val="24"/>
          <w:lang w:val="nl-NL" w:eastAsia="nl-NL"/>
        </w:rPr>
        <w:t xml:space="preserve">maximumtarief voor de inkomstenbelasting en de </w:t>
      </w:r>
      <w:r w:rsidR="009F62DB">
        <w:rPr>
          <w:rFonts w:ascii="Arial" w:hAnsi="Arial" w:eastAsia="Times New Roman" w:cs="Times New Roman"/>
          <w:sz w:val="20"/>
          <w:szCs w:val="24"/>
          <w:lang w:val="nl-NL" w:eastAsia="nl-NL"/>
        </w:rPr>
        <w:t>vastgoed</w:t>
      </w:r>
      <w:r w:rsidR="00B020D9">
        <w:rPr>
          <w:rFonts w:ascii="Arial" w:hAnsi="Arial" w:eastAsia="Times New Roman" w:cs="Times New Roman"/>
          <w:sz w:val="20"/>
          <w:szCs w:val="24"/>
          <w:lang w:val="nl-NL" w:eastAsia="nl-NL"/>
        </w:rPr>
        <w:t>vermogenswinstenbelasting</w:t>
      </w:r>
      <w:r w:rsidR="005315A3">
        <w:rPr>
          <w:rFonts w:ascii="Arial" w:hAnsi="Arial" w:eastAsia="Times New Roman" w:cs="Times New Roman"/>
          <w:sz w:val="20"/>
          <w:szCs w:val="24"/>
          <w:lang w:val="nl-NL" w:eastAsia="nl-NL"/>
        </w:rPr>
        <w:t xml:space="preserve">, inclusief de gemeentelijke opcenten, is </w:t>
      </w:r>
      <w:r w:rsidR="00DC267C">
        <w:rPr>
          <w:rFonts w:ascii="Arial" w:hAnsi="Arial" w:eastAsia="Times New Roman" w:cs="Times New Roman"/>
          <w:sz w:val="20"/>
          <w:szCs w:val="24"/>
          <w:lang w:val="nl-NL" w:eastAsia="nl-NL"/>
        </w:rPr>
        <w:t xml:space="preserve">respectievelijk </w:t>
      </w:r>
      <w:r w:rsidR="005315A3">
        <w:rPr>
          <w:rFonts w:ascii="Arial" w:hAnsi="Arial" w:eastAsia="Times New Roman" w:cs="Times New Roman"/>
          <w:sz w:val="20"/>
          <w:szCs w:val="24"/>
          <w:lang w:val="nl-NL" w:eastAsia="nl-NL"/>
        </w:rPr>
        <w:t>28%</w:t>
      </w:r>
      <w:r w:rsidR="00DC267C">
        <w:rPr>
          <w:rFonts w:ascii="Arial" w:hAnsi="Arial" w:eastAsia="Times New Roman" w:cs="Times New Roman"/>
          <w:sz w:val="20"/>
          <w:szCs w:val="24"/>
          <w:lang w:val="nl-NL" w:eastAsia="nl-NL"/>
        </w:rPr>
        <w:t xml:space="preserve"> en 24%</w:t>
      </w:r>
      <w:r w:rsidR="005315A3">
        <w:rPr>
          <w:rFonts w:ascii="Arial" w:hAnsi="Arial" w:eastAsia="Times New Roman" w:cs="Times New Roman"/>
          <w:sz w:val="20"/>
          <w:szCs w:val="24"/>
          <w:lang w:val="nl-NL" w:eastAsia="nl-NL"/>
        </w:rPr>
        <w:t>.</w:t>
      </w:r>
    </w:p>
    <w:p w:rsidRPr="006D7A15" w:rsidR="006D7A15" w:rsidP="006D7A15" w:rsidRDefault="006949BC" w14:paraId="43B87DD4" w14:textId="33BDFE26">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inkomsten</w:t>
      </w:r>
      <w:r w:rsidR="009055C3">
        <w:rPr>
          <w:rFonts w:ascii="Arial" w:hAnsi="Arial" w:eastAsia="Times New Roman" w:cs="Times New Roman"/>
          <w:sz w:val="20"/>
          <w:szCs w:val="24"/>
          <w:lang w:val="nl-NL" w:eastAsia="nl-NL"/>
        </w:rPr>
        <w:t>belasting</w:t>
      </w:r>
      <w:r w:rsidRPr="006949BC">
        <w:rPr>
          <w:rFonts w:ascii="Arial" w:hAnsi="Arial" w:eastAsia="Times New Roman" w:cs="Times New Roman"/>
          <w:sz w:val="20"/>
          <w:szCs w:val="24"/>
          <w:lang w:val="nl-NL" w:eastAsia="nl-NL"/>
        </w:rPr>
        <w:t xml:space="preserve"> word</w:t>
      </w:r>
      <w:r w:rsidR="00E636B2">
        <w:rPr>
          <w:rFonts w:ascii="Arial" w:hAnsi="Arial" w:eastAsia="Times New Roman" w:cs="Times New Roman"/>
          <w:sz w:val="20"/>
          <w:szCs w:val="24"/>
          <w:lang w:val="nl-NL" w:eastAsia="nl-NL"/>
        </w:rPr>
        <w:t>t</w:t>
      </w:r>
      <w:r w:rsidRPr="006949BC">
        <w:rPr>
          <w:rFonts w:ascii="Arial" w:hAnsi="Arial" w:eastAsia="Times New Roman" w:cs="Times New Roman"/>
          <w:sz w:val="20"/>
          <w:szCs w:val="24"/>
          <w:lang w:val="nl-NL" w:eastAsia="nl-NL"/>
        </w:rPr>
        <w:t xml:space="preserve"> geheven over het wereldinkomen van natuurlijke personen.</w:t>
      </w:r>
      <w:r w:rsidR="009055C3">
        <w:rPr>
          <w:rFonts w:ascii="Arial" w:hAnsi="Arial" w:eastAsia="Times New Roman" w:cs="Times New Roman"/>
          <w:sz w:val="20"/>
          <w:szCs w:val="24"/>
          <w:lang w:val="nl-NL" w:eastAsia="nl-NL"/>
        </w:rPr>
        <w:t xml:space="preserve"> De </w:t>
      </w:r>
      <w:r w:rsidR="009F62DB">
        <w:rPr>
          <w:rFonts w:ascii="Arial" w:hAnsi="Arial" w:eastAsia="Times New Roman" w:cs="Times New Roman"/>
          <w:sz w:val="20"/>
          <w:szCs w:val="24"/>
          <w:lang w:val="nl-NL" w:eastAsia="nl-NL"/>
        </w:rPr>
        <w:t>vastgoed</w:t>
      </w:r>
      <w:r w:rsidR="009055C3">
        <w:rPr>
          <w:rFonts w:ascii="Arial" w:hAnsi="Arial" w:eastAsia="Times New Roman" w:cs="Times New Roman"/>
          <w:sz w:val="20"/>
          <w:szCs w:val="24"/>
          <w:lang w:val="nl-NL" w:eastAsia="nl-NL"/>
        </w:rPr>
        <w:t>vermogenswinst</w:t>
      </w:r>
      <w:r w:rsidR="009F62DB">
        <w:rPr>
          <w:rFonts w:ascii="Arial" w:hAnsi="Arial" w:eastAsia="Times New Roman" w:cs="Times New Roman"/>
          <w:sz w:val="20"/>
          <w:szCs w:val="24"/>
          <w:lang w:val="nl-NL" w:eastAsia="nl-NL"/>
        </w:rPr>
        <w:t>en</w:t>
      </w:r>
      <w:r w:rsidR="009055C3">
        <w:rPr>
          <w:rFonts w:ascii="Arial" w:hAnsi="Arial" w:eastAsia="Times New Roman" w:cs="Times New Roman"/>
          <w:sz w:val="20"/>
          <w:szCs w:val="24"/>
          <w:lang w:val="nl-NL" w:eastAsia="nl-NL"/>
        </w:rPr>
        <w:t xml:space="preserve">belasting wordt </w:t>
      </w:r>
      <w:r w:rsidR="00E636B2">
        <w:rPr>
          <w:rFonts w:ascii="Arial" w:hAnsi="Arial" w:eastAsia="Times New Roman" w:cs="Times New Roman"/>
          <w:sz w:val="20"/>
          <w:szCs w:val="24"/>
          <w:lang w:val="nl-NL" w:eastAsia="nl-NL"/>
        </w:rPr>
        <w:t xml:space="preserve">van natuurlijke personen </w:t>
      </w:r>
      <w:r w:rsidR="009055C3">
        <w:rPr>
          <w:rFonts w:ascii="Arial" w:hAnsi="Arial" w:eastAsia="Times New Roman" w:cs="Times New Roman"/>
          <w:sz w:val="20"/>
          <w:szCs w:val="24"/>
          <w:lang w:val="nl-NL" w:eastAsia="nl-NL"/>
        </w:rPr>
        <w:t xml:space="preserve">geheven </w:t>
      </w:r>
      <w:r w:rsidR="005D0364">
        <w:rPr>
          <w:rFonts w:ascii="Arial" w:hAnsi="Arial" w:eastAsia="Times New Roman" w:cs="Times New Roman"/>
          <w:sz w:val="20"/>
          <w:szCs w:val="24"/>
          <w:lang w:val="nl-NL" w:eastAsia="nl-NL"/>
        </w:rPr>
        <w:t>over de vermogenswinst</w:t>
      </w:r>
      <w:r w:rsidRPr="009055C3" w:rsidR="009055C3">
        <w:rPr>
          <w:rFonts w:ascii="Arial" w:hAnsi="Arial" w:eastAsia="Times New Roman" w:cs="Times New Roman"/>
          <w:sz w:val="20"/>
          <w:szCs w:val="24"/>
          <w:lang w:val="nl-NL" w:eastAsia="nl-NL"/>
        </w:rPr>
        <w:t xml:space="preserve"> bij de verkoop van onroerend</w:t>
      </w:r>
      <w:r w:rsidR="00E636B2">
        <w:rPr>
          <w:rFonts w:ascii="Arial" w:hAnsi="Arial" w:eastAsia="Times New Roman" w:cs="Times New Roman"/>
          <w:sz w:val="20"/>
          <w:szCs w:val="24"/>
          <w:lang w:val="nl-NL" w:eastAsia="nl-NL"/>
        </w:rPr>
        <w:t>e</w:t>
      </w:r>
      <w:r w:rsidR="005D0364">
        <w:rPr>
          <w:rFonts w:ascii="Arial" w:hAnsi="Arial" w:eastAsia="Times New Roman" w:cs="Times New Roman"/>
          <w:sz w:val="20"/>
          <w:szCs w:val="24"/>
          <w:lang w:val="nl-NL" w:eastAsia="nl-NL"/>
        </w:rPr>
        <w:t xml:space="preserve"> </w:t>
      </w:r>
      <w:r w:rsidR="00E636B2">
        <w:rPr>
          <w:rFonts w:ascii="Arial" w:hAnsi="Arial" w:eastAsia="Times New Roman" w:cs="Times New Roman"/>
          <w:sz w:val="20"/>
          <w:szCs w:val="24"/>
          <w:lang w:val="nl-NL" w:eastAsia="nl-NL"/>
        </w:rPr>
        <w:t>zaken</w:t>
      </w:r>
      <w:r w:rsidR="005D0364">
        <w:rPr>
          <w:rFonts w:ascii="Arial" w:hAnsi="Arial" w:eastAsia="Times New Roman" w:cs="Times New Roman"/>
          <w:sz w:val="20"/>
          <w:szCs w:val="24"/>
          <w:lang w:val="nl-NL" w:eastAsia="nl-NL"/>
        </w:rPr>
        <w:t xml:space="preserve"> gelegen in Liechtenstein.</w:t>
      </w:r>
      <w:r w:rsidR="004B3162">
        <w:rPr>
          <w:rFonts w:ascii="Arial" w:hAnsi="Arial" w:eastAsia="Times New Roman" w:cs="Times New Roman"/>
          <w:sz w:val="20"/>
          <w:szCs w:val="24"/>
          <w:lang w:val="nl-NL" w:eastAsia="nl-NL"/>
        </w:rPr>
        <w:t xml:space="preserve"> </w:t>
      </w:r>
      <w:r w:rsidRPr="009055C3" w:rsidR="009055C3">
        <w:rPr>
          <w:rFonts w:ascii="Arial" w:hAnsi="Arial" w:eastAsia="Times New Roman" w:cs="Times New Roman"/>
          <w:sz w:val="20"/>
          <w:szCs w:val="24"/>
          <w:lang w:val="nl-NL" w:eastAsia="nl-NL"/>
        </w:rPr>
        <w:t>Inw</w:t>
      </w:r>
      <w:r w:rsidR="005D0364">
        <w:rPr>
          <w:rFonts w:ascii="Arial" w:hAnsi="Arial" w:eastAsia="Times New Roman" w:cs="Times New Roman"/>
          <w:sz w:val="20"/>
          <w:szCs w:val="24"/>
          <w:lang w:val="nl-NL" w:eastAsia="nl-NL"/>
        </w:rPr>
        <w:t>oners zijn onderworpen aan de</w:t>
      </w:r>
      <w:r w:rsidR="00242BE1">
        <w:rPr>
          <w:rFonts w:ascii="Arial" w:hAnsi="Arial" w:eastAsia="Times New Roman" w:cs="Times New Roman"/>
          <w:sz w:val="20"/>
          <w:szCs w:val="24"/>
          <w:lang w:val="nl-NL" w:eastAsia="nl-NL"/>
        </w:rPr>
        <w:t xml:space="preserve"> vermogensbelasting </w:t>
      </w:r>
      <w:r w:rsidR="00E062A5">
        <w:rPr>
          <w:rFonts w:ascii="Arial" w:hAnsi="Arial" w:eastAsia="Times New Roman" w:cs="Times New Roman"/>
          <w:sz w:val="20"/>
          <w:szCs w:val="24"/>
          <w:lang w:val="nl-NL" w:eastAsia="nl-NL"/>
        </w:rPr>
        <w:t xml:space="preserve">voor </w:t>
      </w:r>
      <w:r w:rsidRPr="009055C3" w:rsidR="009055C3">
        <w:rPr>
          <w:rFonts w:ascii="Arial" w:hAnsi="Arial" w:eastAsia="Times New Roman" w:cs="Times New Roman"/>
          <w:sz w:val="20"/>
          <w:szCs w:val="24"/>
          <w:lang w:val="nl-NL" w:eastAsia="nl-NL"/>
        </w:rPr>
        <w:t xml:space="preserve">hun wereldwijde </w:t>
      </w:r>
      <w:proofErr w:type="spellStart"/>
      <w:r w:rsidRPr="009055C3" w:rsidR="009055C3">
        <w:rPr>
          <w:rFonts w:ascii="Arial" w:hAnsi="Arial" w:eastAsia="Times New Roman" w:cs="Times New Roman"/>
          <w:sz w:val="20"/>
          <w:szCs w:val="24"/>
          <w:lang w:val="nl-NL" w:eastAsia="nl-NL"/>
        </w:rPr>
        <w:t>netto</w:t>
      </w:r>
      <w:r w:rsidR="005D0364">
        <w:rPr>
          <w:rFonts w:ascii="Arial" w:hAnsi="Arial" w:eastAsia="Times New Roman" w:cs="Times New Roman"/>
          <w:sz w:val="20"/>
          <w:szCs w:val="24"/>
          <w:lang w:val="nl-NL" w:eastAsia="nl-NL"/>
        </w:rPr>
        <w:t>vermogen</w:t>
      </w:r>
      <w:proofErr w:type="spellEnd"/>
      <w:r w:rsidRPr="009055C3" w:rsidR="009055C3">
        <w:rPr>
          <w:rFonts w:ascii="Arial" w:hAnsi="Arial" w:eastAsia="Times New Roman" w:cs="Times New Roman"/>
          <w:sz w:val="20"/>
          <w:szCs w:val="24"/>
          <w:lang w:val="nl-NL" w:eastAsia="nl-NL"/>
        </w:rPr>
        <w:t>. Niet-</w:t>
      </w:r>
      <w:r w:rsidR="00E062A5">
        <w:rPr>
          <w:rFonts w:ascii="Arial" w:hAnsi="Arial" w:eastAsia="Times New Roman" w:cs="Times New Roman"/>
          <w:sz w:val="20"/>
          <w:szCs w:val="24"/>
          <w:lang w:val="nl-NL" w:eastAsia="nl-NL"/>
        </w:rPr>
        <w:t xml:space="preserve">inwoners </w:t>
      </w:r>
      <w:r w:rsidR="00570A06">
        <w:rPr>
          <w:rFonts w:ascii="Arial" w:hAnsi="Arial" w:eastAsia="Times New Roman" w:cs="Times New Roman"/>
          <w:sz w:val="20"/>
          <w:szCs w:val="24"/>
          <w:lang w:val="nl-NL" w:eastAsia="nl-NL"/>
        </w:rPr>
        <w:t xml:space="preserve">worden </w:t>
      </w:r>
      <w:r w:rsidR="00E062A5">
        <w:rPr>
          <w:rFonts w:ascii="Arial" w:hAnsi="Arial" w:eastAsia="Times New Roman" w:cs="Times New Roman"/>
          <w:sz w:val="20"/>
          <w:szCs w:val="24"/>
          <w:lang w:val="nl-NL" w:eastAsia="nl-NL"/>
        </w:rPr>
        <w:t xml:space="preserve">alleen </w:t>
      </w:r>
      <w:r w:rsidR="00570A06">
        <w:rPr>
          <w:rFonts w:ascii="Arial" w:hAnsi="Arial" w:eastAsia="Times New Roman" w:cs="Times New Roman"/>
          <w:sz w:val="20"/>
          <w:szCs w:val="24"/>
          <w:lang w:val="nl-NL" w:eastAsia="nl-NL"/>
        </w:rPr>
        <w:t xml:space="preserve">onderworpen </w:t>
      </w:r>
      <w:r w:rsidR="00E062A5">
        <w:rPr>
          <w:rFonts w:ascii="Arial" w:hAnsi="Arial" w:eastAsia="Times New Roman" w:cs="Times New Roman"/>
          <w:sz w:val="20"/>
          <w:szCs w:val="24"/>
          <w:lang w:val="nl-NL" w:eastAsia="nl-NL"/>
        </w:rPr>
        <w:t xml:space="preserve">ter zake van in Liechtenstein gelegen </w:t>
      </w:r>
      <w:r w:rsidRPr="009055C3" w:rsidR="009055C3">
        <w:rPr>
          <w:rFonts w:ascii="Arial" w:hAnsi="Arial" w:eastAsia="Times New Roman" w:cs="Times New Roman"/>
          <w:sz w:val="20"/>
          <w:szCs w:val="24"/>
          <w:lang w:val="nl-NL" w:eastAsia="nl-NL"/>
        </w:rPr>
        <w:t xml:space="preserve">onroerende </w:t>
      </w:r>
      <w:r w:rsidR="00E062A5">
        <w:rPr>
          <w:rFonts w:ascii="Arial" w:hAnsi="Arial" w:eastAsia="Times New Roman" w:cs="Times New Roman"/>
          <w:sz w:val="20"/>
          <w:szCs w:val="24"/>
          <w:lang w:val="nl-NL" w:eastAsia="nl-NL"/>
        </w:rPr>
        <w:t xml:space="preserve">zaken </w:t>
      </w:r>
      <w:r w:rsidR="00497E71">
        <w:rPr>
          <w:rFonts w:ascii="Arial" w:hAnsi="Arial" w:eastAsia="Times New Roman" w:cs="Times New Roman"/>
          <w:sz w:val="20"/>
          <w:szCs w:val="24"/>
          <w:lang w:val="nl-NL" w:eastAsia="nl-NL"/>
        </w:rPr>
        <w:t xml:space="preserve">en hun </w:t>
      </w:r>
      <w:r w:rsidRPr="009055C3" w:rsidR="009055C3">
        <w:rPr>
          <w:rFonts w:ascii="Arial" w:hAnsi="Arial" w:eastAsia="Times New Roman" w:cs="Times New Roman"/>
          <w:sz w:val="20"/>
          <w:szCs w:val="24"/>
          <w:lang w:val="nl-NL" w:eastAsia="nl-NL"/>
        </w:rPr>
        <w:t xml:space="preserve">permanente vestigingen </w:t>
      </w:r>
      <w:r w:rsidR="00497E71">
        <w:rPr>
          <w:rFonts w:ascii="Arial" w:hAnsi="Arial" w:eastAsia="Times New Roman" w:cs="Times New Roman"/>
          <w:sz w:val="20"/>
          <w:szCs w:val="24"/>
          <w:lang w:val="nl-NL" w:eastAsia="nl-NL"/>
        </w:rPr>
        <w:t xml:space="preserve">die zich </w:t>
      </w:r>
      <w:r w:rsidRPr="009055C3" w:rsidR="009055C3">
        <w:rPr>
          <w:rFonts w:ascii="Arial" w:hAnsi="Arial" w:eastAsia="Times New Roman" w:cs="Times New Roman"/>
          <w:sz w:val="20"/>
          <w:szCs w:val="24"/>
          <w:lang w:val="nl-NL" w:eastAsia="nl-NL"/>
        </w:rPr>
        <w:t>in Liechtenstein bevinden.</w:t>
      </w:r>
      <w:r w:rsidR="006372FA">
        <w:rPr>
          <w:rFonts w:ascii="Arial" w:hAnsi="Arial" w:eastAsia="Times New Roman" w:cs="Times New Roman"/>
          <w:sz w:val="20"/>
          <w:szCs w:val="24"/>
          <w:lang w:val="nl-NL" w:eastAsia="nl-NL"/>
        </w:rPr>
        <w:t xml:space="preserve"> </w:t>
      </w:r>
    </w:p>
    <w:p w:rsidR="002821AF" w:rsidP="004B6DFB" w:rsidRDefault="006949BC" w14:paraId="53D9E8B9" w14:textId="01A6F13F">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Van niet-natuurlijke personen wordt een vennoot</w:t>
      </w:r>
      <w:r w:rsidR="00742D7B">
        <w:rPr>
          <w:rFonts w:ascii="Arial" w:hAnsi="Arial" w:eastAsia="Times New Roman" w:cs="Times New Roman"/>
          <w:sz w:val="20"/>
          <w:szCs w:val="24"/>
          <w:lang w:val="nl-NL" w:eastAsia="nl-NL"/>
        </w:rPr>
        <w:t>schapsbelasting (</w:t>
      </w:r>
      <w:proofErr w:type="spellStart"/>
      <w:r w:rsidRPr="007B54AA" w:rsidR="00742D7B">
        <w:rPr>
          <w:rFonts w:ascii="Arial" w:hAnsi="Arial" w:eastAsia="Times New Roman" w:cs="Times New Roman"/>
          <w:i/>
          <w:sz w:val="20"/>
          <w:szCs w:val="24"/>
          <w:lang w:val="nl-NL" w:eastAsia="nl-NL"/>
        </w:rPr>
        <w:t>Ertragssteuer</w:t>
      </w:r>
      <w:proofErr w:type="spellEnd"/>
      <w:r w:rsidRPr="006949BC">
        <w:rPr>
          <w:rFonts w:ascii="Arial" w:hAnsi="Arial" w:eastAsia="Times New Roman" w:cs="Times New Roman"/>
          <w:sz w:val="20"/>
          <w:szCs w:val="24"/>
          <w:lang w:val="nl-NL" w:eastAsia="nl-NL"/>
        </w:rPr>
        <w:t xml:space="preserve">) geheven </w:t>
      </w:r>
      <w:r w:rsidR="00CF4928">
        <w:rPr>
          <w:rFonts w:ascii="Arial" w:hAnsi="Arial" w:eastAsia="Times New Roman" w:cs="Times New Roman"/>
          <w:sz w:val="20"/>
          <w:szCs w:val="24"/>
          <w:lang w:val="nl-NL" w:eastAsia="nl-NL"/>
        </w:rPr>
        <w:t xml:space="preserve">tegen </w:t>
      </w:r>
      <w:r w:rsidRPr="006949BC">
        <w:rPr>
          <w:rFonts w:ascii="Arial" w:hAnsi="Arial" w:eastAsia="Times New Roman" w:cs="Times New Roman"/>
          <w:sz w:val="20"/>
          <w:szCs w:val="24"/>
          <w:lang w:val="nl-NL" w:eastAsia="nl-NL"/>
        </w:rPr>
        <w:t>een tarief van 12,5%</w:t>
      </w:r>
      <w:r w:rsidR="00A459CB">
        <w:rPr>
          <w:rFonts w:ascii="Arial" w:hAnsi="Arial" w:eastAsia="Times New Roman" w:cs="Times New Roman"/>
          <w:sz w:val="20"/>
          <w:szCs w:val="24"/>
          <w:lang w:val="nl-NL" w:eastAsia="nl-NL"/>
        </w:rPr>
        <w:t xml:space="preserve">. </w:t>
      </w:r>
      <w:r w:rsidRPr="00DC1764" w:rsidR="0054025B">
        <w:rPr>
          <w:rFonts w:ascii="Arial" w:hAnsi="Arial" w:eastAsia="Times New Roman" w:cs="Times New Roman"/>
          <w:sz w:val="20"/>
          <w:szCs w:val="24"/>
          <w:lang w:val="nl-NL" w:eastAsia="nl-NL"/>
        </w:rPr>
        <w:t>Een minimale vennootschapsbelasting</w:t>
      </w:r>
      <w:r w:rsidR="004B6DFB">
        <w:rPr>
          <w:rFonts w:ascii="Arial" w:hAnsi="Arial" w:eastAsia="Times New Roman" w:cs="Times New Roman"/>
          <w:sz w:val="20"/>
          <w:szCs w:val="24"/>
          <w:lang w:val="nl-NL" w:eastAsia="nl-NL"/>
        </w:rPr>
        <w:t xml:space="preserve"> (</w:t>
      </w:r>
      <w:proofErr w:type="spellStart"/>
      <w:r w:rsidRPr="007B54AA" w:rsidR="004B6DFB">
        <w:rPr>
          <w:rFonts w:ascii="Arial" w:hAnsi="Arial" w:eastAsia="Times New Roman" w:cs="Times New Roman"/>
          <w:i/>
          <w:sz w:val="20"/>
          <w:szCs w:val="24"/>
          <w:lang w:val="nl-NL" w:eastAsia="nl-NL"/>
        </w:rPr>
        <w:t>Mindestertragssteuer</w:t>
      </w:r>
      <w:proofErr w:type="spellEnd"/>
      <w:r w:rsidRPr="004B6DFB" w:rsidR="004B6DFB">
        <w:rPr>
          <w:rFonts w:ascii="Arial" w:hAnsi="Arial" w:eastAsia="Times New Roman" w:cs="Times New Roman"/>
          <w:sz w:val="20"/>
          <w:szCs w:val="24"/>
          <w:lang w:val="nl-NL" w:eastAsia="nl-NL"/>
        </w:rPr>
        <w:t>)</w:t>
      </w:r>
      <w:r w:rsidRPr="00DC1764" w:rsidR="0054025B">
        <w:rPr>
          <w:rFonts w:ascii="Arial" w:hAnsi="Arial" w:eastAsia="Times New Roman" w:cs="Times New Roman"/>
          <w:sz w:val="20"/>
          <w:szCs w:val="24"/>
          <w:lang w:val="nl-NL" w:eastAsia="nl-NL"/>
        </w:rPr>
        <w:t xml:space="preserve"> van CHF 1.800</w:t>
      </w:r>
      <w:r w:rsidRPr="003211A5" w:rsidR="003211A5">
        <w:rPr>
          <w:rFonts w:ascii="Arial" w:hAnsi="Arial" w:eastAsia="Times New Roman" w:cs="Times New Roman"/>
          <w:sz w:val="20"/>
          <w:szCs w:val="24"/>
          <w:lang w:val="nl-NL" w:eastAsia="nl-NL"/>
        </w:rPr>
        <w:t xml:space="preserve"> </w:t>
      </w:r>
      <w:r w:rsidRPr="00DC1764" w:rsidR="003211A5">
        <w:rPr>
          <w:rFonts w:ascii="Arial" w:hAnsi="Arial" w:eastAsia="Times New Roman" w:cs="Times New Roman"/>
          <w:sz w:val="20"/>
          <w:szCs w:val="24"/>
          <w:lang w:val="nl-NL" w:eastAsia="nl-NL"/>
        </w:rPr>
        <w:t>wordt geheven</w:t>
      </w:r>
      <w:r w:rsidR="00CF4928">
        <w:rPr>
          <w:rFonts w:ascii="Arial" w:hAnsi="Arial" w:eastAsia="Times New Roman" w:cs="Times New Roman"/>
          <w:sz w:val="20"/>
          <w:szCs w:val="24"/>
          <w:lang w:val="nl-NL" w:eastAsia="nl-NL"/>
        </w:rPr>
        <w:t xml:space="preserve">, die </w:t>
      </w:r>
      <w:proofErr w:type="spellStart"/>
      <w:r w:rsidR="00CF4928">
        <w:rPr>
          <w:rFonts w:ascii="Arial" w:hAnsi="Arial" w:eastAsia="Times New Roman" w:cs="Times New Roman"/>
          <w:sz w:val="20"/>
          <w:szCs w:val="24"/>
          <w:lang w:val="nl-NL" w:eastAsia="nl-NL"/>
        </w:rPr>
        <w:t>verrekenbaar</w:t>
      </w:r>
      <w:proofErr w:type="spellEnd"/>
      <w:r w:rsidR="00CF4928">
        <w:rPr>
          <w:rFonts w:ascii="Arial" w:hAnsi="Arial" w:eastAsia="Times New Roman" w:cs="Times New Roman"/>
          <w:sz w:val="20"/>
          <w:szCs w:val="24"/>
          <w:lang w:val="nl-NL" w:eastAsia="nl-NL"/>
        </w:rPr>
        <w:t xml:space="preserve"> is met de </w:t>
      </w:r>
      <w:proofErr w:type="spellStart"/>
      <w:r w:rsidRPr="007B54AA" w:rsidR="00CF4928">
        <w:rPr>
          <w:rFonts w:ascii="Arial" w:hAnsi="Arial" w:eastAsia="Times New Roman" w:cs="Times New Roman"/>
          <w:i/>
          <w:sz w:val="20"/>
          <w:szCs w:val="24"/>
          <w:lang w:val="nl-NL" w:eastAsia="nl-NL"/>
        </w:rPr>
        <w:t>Ertragssteuer</w:t>
      </w:r>
      <w:proofErr w:type="spellEnd"/>
      <w:r w:rsidR="003441AF">
        <w:rPr>
          <w:rFonts w:ascii="Arial" w:hAnsi="Arial" w:eastAsia="Times New Roman" w:cs="Times New Roman"/>
          <w:sz w:val="20"/>
          <w:szCs w:val="24"/>
          <w:lang w:val="nl-NL" w:eastAsia="nl-NL"/>
        </w:rPr>
        <w:t xml:space="preserve">. </w:t>
      </w:r>
      <w:r w:rsidR="004965C1">
        <w:rPr>
          <w:rFonts w:ascii="Arial" w:hAnsi="Arial" w:eastAsia="Times New Roman" w:cs="Times New Roman"/>
          <w:sz w:val="20"/>
          <w:szCs w:val="24"/>
          <w:lang w:val="nl-NL" w:eastAsia="nl-NL"/>
        </w:rPr>
        <w:t>Lichamen</w:t>
      </w:r>
      <w:r w:rsidRPr="00A459CB" w:rsidR="00A459CB">
        <w:rPr>
          <w:rFonts w:ascii="Arial" w:hAnsi="Arial" w:eastAsia="Times New Roman" w:cs="Times New Roman"/>
          <w:sz w:val="20"/>
          <w:szCs w:val="24"/>
          <w:lang w:val="nl-NL" w:eastAsia="nl-NL"/>
        </w:rPr>
        <w:t xml:space="preserve"> </w:t>
      </w:r>
      <w:r w:rsidR="002C533C">
        <w:rPr>
          <w:rFonts w:ascii="Arial" w:hAnsi="Arial" w:eastAsia="Times New Roman" w:cs="Times New Roman"/>
          <w:sz w:val="20"/>
          <w:szCs w:val="24"/>
          <w:lang w:val="nl-NL" w:eastAsia="nl-NL"/>
        </w:rPr>
        <w:t xml:space="preserve">die zijn gevestigd in Liechtenstein </w:t>
      </w:r>
      <w:r w:rsidRPr="00A459CB" w:rsidR="00A459CB">
        <w:rPr>
          <w:rFonts w:ascii="Arial" w:hAnsi="Arial" w:eastAsia="Times New Roman" w:cs="Times New Roman"/>
          <w:sz w:val="20"/>
          <w:szCs w:val="24"/>
          <w:lang w:val="nl-NL" w:eastAsia="nl-NL"/>
        </w:rPr>
        <w:t xml:space="preserve">zijn onderworpen </w:t>
      </w:r>
      <w:r w:rsidR="004965C1">
        <w:rPr>
          <w:rFonts w:ascii="Arial" w:hAnsi="Arial" w:eastAsia="Times New Roman" w:cs="Times New Roman"/>
          <w:sz w:val="20"/>
          <w:szCs w:val="24"/>
          <w:lang w:val="nl-NL" w:eastAsia="nl-NL"/>
        </w:rPr>
        <w:t>aan de vennootschapsbelasting voor hun wereld</w:t>
      </w:r>
      <w:r w:rsidRPr="00A459CB" w:rsidR="00A459CB">
        <w:rPr>
          <w:rFonts w:ascii="Arial" w:hAnsi="Arial" w:eastAsia="Times New Roman" w:cs="Times New Roman"/>
          <w:sz w:val="20"/>
          <w:szCs w:val="24"/>
          <w:lang w:val="nl-NL" w:eastAsia="nl-NL"/>
        </w:rPr>
        <w:t xml:space="preserve">inkomen, </w:t>
      </w:r>
      <w:r w:rsidR="009D435E">
        <w:rPr>
          <w:rFonts w:ascii="Arial" w:hAnsi="Arial" w:eastAsia="Times New Roman" w:cs="Times New Roman"/>
          <w:sz w:val="20"/>
          <w:szCs w:val="24"/>
          <w:lang w:val="nl-NL" w:eastAsia="nl-NL"/>
        </w:rPr>
        <w:t xml:space="preserve">waarbij ter vermijding van dubbele belasting een vrijstelling wordt gegeven voor </w:t>
      </w:r>
      <w:r w:rsidRPr="00A459CB" w:rsidR="00A459CB">
        <w:rPr>
          <w:rFonts w:ascii="Arial" w:hAnsi="Arial" w:eastAsia="Times New Roman" w:cs="Times New Roman"/>
          <w:sz w:val="20"/>
          <w:szCs w:val="24"/>
          <w:lang w:val="nl-NL" w:eastAsia="nl-NL"/>
        </w:rPr>
        <w:t xml:space="preserve">inkomsten uit </w:t>
      </w:r>
      <w:r w:rsidR="009D435E">
        <w:rPr>
          <w:rFonts w:ascii="Arial" w:hAnsi="Arial" w:eastAsia="Times New Roman" w:cs="Times New Roman"/>
          <w:sz w:val="20"/>
          <w:szCs w:val="24"/>
          <w:lang w:val="nl-NL" w:eastAsia="nl-NL"/>
        </w:rPr>
        <w:t xml:space="preserve">in het buitenland gelegen vaste inrichtingen </w:t>
      </w:r>
      <w:r w:rsidRPr="00A459CB" w:rsidR="00A459CB">
        <w:rPr>
          <w:rFonts w:ascii="Arial" w:hAnsi="Arial" w:eastAsia="Times New Roman" w:cs="Times New Roman"/>
          <w:sz w:val="20"/>
          <w:szCs w:val="24"/>
          <w:lang w:val="nl-NL" w:eastAsia="nl-NL"/>
        </w:rPr>
        <w:t>en onroerend</w:t>
      </w:r>
      <w:r w:rsidR="003211A5">
        <w:rPr>
          <w:rFonts w:ascii="Arial" w:hAnsi="Arial" w:eastAsia="Times New Roman" w:cs="Times New Roman"/>
          <w:sz w:val="20"/>
          <w:szCs w:val="24"/>
          <w:lang w:val="nl-NL" w:eastAsia="nl-NL"/>
        </w:rPr>
        <w:t>e</w:t>
      </w:r>
      <w:r w:rsidRPr="00A459CB" w:rsidR="00A459CB">
        <w:rPr>
          <w:rFonts w:ascii="Arial" w:hAnsi="Arial" w:eastAsia="Times New Roman" w:cs="Times New Roman"/>
          <w:sz w:val="20"/>
          <w:szCs w:val="24"/>
          <w:lang w:val="nl-NL" w:eastAsia="nl-NL"/>
        </w:rPr>
        <w:t xml:space="preserve"> </w:t>
      </w:r>
      <w:r w:rsidR="009D435E">
        <w:rPr>
          <w:rFonts w:ascii="Arial" w:hAnsi="Arial" w:eastAsia="Times New Roman" w:cs="Times New Roman"/>
          <w:sz w:val="20"/>
          <w:szCs w:val="24"/>
          <w:lang w:val="nl-NL" w:eastAsia="nl-NL"/>
        </w:rPr>
        <w:t>zaken</w:t>
      </w:r>
      <w:r w:rsidR="004965C1">
        <w:rPr>
          <w:rFonts w:ascii="Arial" w:hAnsi="Arial" w:eastAsia="Times New Roman" w:cs="Times New Roman"/>
          <w:sz w:val="20"/>
          <w:szCs w:val="24"/>
          <w:lang w:val="nl-NL" w:eastAsia="nl-NL"/>
        </w:rPr>
        <w:t xml:space="preserve">. Liechtenstein kent </w:t>
      </w:r>
      <w:r w:rsidR="00B051D2">
        <w:rPr>
          <w:rFonts w:ascii="Arial" w:hAnsi="Arial" w:eastAsia="Times New Roman" w:cs="Times New Roman"/>
          <w:sz w:val="20"/>
          <w:szCs w:val="24"/>
          <w:lang w:val="nl-NL" w:eastAsia="nl-NL"/>
        </w:rPr>
        <w:t xml:space="preserve">verder </w:t>
      </w:r>
      <w:r w:rsidR="004965C1">
        <w:rPr>
          <w:rFonts w:ascii="Arial" w:hAnsi="Arial" w:eastAsia="Times New Roman" w:cs="Times New Roman"/>
          <w:sz w:val="20"/>
          <w:szCs w:val="24"/>
          <w:lang w:val="nl-NL" w:eastAsia="nl-NL"/>
        </w:rPr>
        <w:t>een deelnemingsvrijstelling</w:t>
      </w:r>
      <w:r w:rsidR="007B54AA">
        <w:rPr>
          <w:rFonts w:ascii="Arial" w:hAnsi="Arial" w:eastAsia="Times New Roman" w:cs="Times New Roman"/>
          <w:sz w:val="20"/>
          <w:szCs w:val="24"/>
          <w:lang w:val="nl-NL" w:eastAsia="nl-NL"/>
        </w:rPr>
        <w:t xml:space="preserve"> op basis waarvan</w:t>
      </w:r>
      <w:r w:rsidR="00BB320F">
        <w:rPr>
          <w:rFonts w:ascii="Arial" w:hAnsi="Arial" w:eastAsia="Times New Roman" w:cs="Times New Roman"/>
          <w:sz w:val="20"/>
          <w:szCs w:val="24"/>
          <w:lang w:val="nl-NL" w:eastAsia="nl-NL"/>
        </w:rPr>
        <w:t xml:space="preserve"> dividendinkomsten van in Liechtenstein gevestigde lichamen onder bepaalde voorwaarden </w:t>
      </w:r>
      <w:r w:rsidR="007B54AA">
        <w:rPr>
          <w:rFonts w:ascii="Arial" w:hAnsi="Arial" w:eastAsia="Times New Roman" w:cs="Times New Roman"/>
          <w:sz w:val="20"/>
          <w:szCs w:val="24"/>
          <w:lang w:val="nl-NL" w:eastAsia="nl-NL"/>
        </w:rPr>
        <w:t xml:space="preserve">zijn </w:t>
      </w:r>
      <w:r w:rsidR="007B54AA">
        <w:rPr>
          <w:rFonts w:ascii="Arial" w:hAnsi="Arial" w:eastAsia="Times New Roman" w:cs="Times New Roman"/>
          <w:sz w:val="20"/>
          <w:szCs w:val="24"/>
          <w:lang w:val="nl-NL" w:eastAsia="nl-NL"/>
        </w:rPr>
        <w:lastRenderedPageBreak/>
        <w:t>vrijgesteld</w:t>
      </w:r>
      <w:r w:rsidR="00BB320F">
        <w:rPr>
          <w:rFonts w:ascii="Arial" w:hAnsi="Arial" w:eastAsia="Times New Roman" w:cs="Times New Roman"/>
          <w:sz w:val="20"/>
          <w:szCs w:val="24"/>
          <w:lang w:val="nl-NL" w:eastAsia="nl-NL"/>
        </w:rPr>
        <w:t xml:space="preserve"> van belastingheffing</w:t>
      </w:r>
      <w:r w:rsidR="004965C1">
        <w:rPr>
          <w:rFonts w:ascii="Arial" w:hAnsi="Arial" w:eastAsia="Times New Roman" w:cs="Times New Roman"/>
          <w:sz w:val="20"/>
          <w:szCs w:val="24"/>
          <w:lang w:val="nl-NL" w:eastAsia="nl-NL"/>
        </w:rPr>
        <w:t>.</w:t>
      </w:r>
      <w:r w:rsidR="00DC1764">
        <w:rPr>
          <w:rFonts w:ascii="Arial" w:hAnsi="Arial" w:eastAsia="Times New Roman" w:cs="Times New Roman"/>
          <w:sz w:val="20"/>
          <w:szCs w:val="24"/>
          <w:lang w:val="nl-NL" w:eastAsia="nl-NL"/>
        </w:rPr>
        <w:t xml:space="preserve"> V</w:t>
      </w:r>
      <w:r w:rsidR="004965C1">
        <w:rPr>
          <w:rFonts w:ascii="Arial" w:hAnsi="Arial" w:eastAsia="Times New Roman" w:cs="Times New Roman"/>
          <w:sz w:val="20"/>
          <w:szCs w:val="24"/>
          <w:lang w:val="nl-NL" w:eastAsia="nl-NL"/>
        </w:rPr>
        <w:t>ermogenswinsten</w:t>
      </w:r>
      <w:r w:rsidRPr="004965C1" w:rsidR="004965C1">
        <w:rPr>
          <w:rFonts w:ascii="Arial" w:hAnsi="Arial" w:eastAsia="Times New Roman" w:cs="Times New Roman"/>
          <w:sz w:val="20"/>
          <w:szCs w:val="24"/>
          <w:lang w:val="nl-NL" w:eastAsia="nl-NL"/>
        </w:rPr>
        <w:t xml:space="preserve"> </w:t>
      </w:r>
      <w:r w:rsidR="00224CDA">
        <w:rPr>
          <w:rFonts w:ascii="Arial" w:hAnsi="Arial" w:eastAsia="Times New Roman" w:cs="Times New Roman"/>
          <w:sz w:val="20"/>
          <w:szCs w:val="24"/>
          <w:lang w:val="nl-NL" w:eastAsia="nl-NL"/>
        </w:rPr>
        <w:t xml:space="preserve">ter zake van in Liechtenstein gelegen </w:t>
      </w:r>
      <w:r w:rsidRPr="004965C1" w:rsidR="004965C1">
        <w:rPr>
          <w:rFonts w:ascii="Arial" w:hAnsi="Arial" w:eastAsia="Times New Roman" w:cs="Times New Roman"/>
          <w:sz w:val="20"/>
          <w:szCs w:val="24"/>
          <w:lang w:val="nl-NL" w:eastAsia="nl-NL"/>
        </w:rPr>
        <w:t>onroerend</w:t>
      </w:r>
      <w:r w:rsidR="003211A5">
        <w:rPr>
          <w:rFonts w:ascii="Arial" w:hAnsi="Arial" w:eastAsia="Times New Roman" w:cs="Times New Roman"/>
          <w:sz w:val="20"/>
          <w:szCs w:val="24"/>
          <w:lang w:val="nl-NL" w:eastAsia="nl-NL"/>
        </w:rPr>
        <w:t>e</w:t>
      </w:r>
      <w:r w:rsidRPr="004965C1" w:rsidR="004965C1">
        <w:rPr>
          <w:rFonts w:ascii="Arial" w:hAnsi="Arial" w:eastAsia="Times New Roman" w:cs="Times New Roman"/>
          <w:sz w:val="20"/>
          <w:szCs w:val="24"/>
          <w:lang w:val="nl-NL" w:eastAsia="nl-NL"/>
        </w:rPr>
        <w:t xml:space="preserve"> </w:t>
      </w:r>
      <w:r w:rsidR="00224CDA">
        <w:rPr>
          <w:rFonts w:ascii="Arial" w:hAnsi="Arial" w:eastAsia="Times New Roman" w:cs="Times New Roman"/>
          <w:sz w:val="20"/>
          <w:szCs w:val="24"/>
          <w:lang w:val="nl-NL" w:eastAsia="nl-NL"/>
        </w:rPr>
        <w:t xml:space="preserve">zaken </w:t>
      </w:r>
      <w:r w:rsidRPr="004965C1" w:rsidR="004965C1">
        <w:rPr>
          <w:rFonts w:ascii="Arial" w:hAnsi="Arial" w:eastAsia="Times New Roman" w:cs="Times New Roman"/>
          <w:sz w:val="20"/>
          <w:szCs w:val="24"/>
          <w:lang w:val="nl-NL" w:eastAsia="nl-NL"/>
        </w:rPr>
        <w:t xml:space="preserve">zijn onderworpen aan </w:t>
      </w:r>
      <w:r w:rsidR="00224CDA">
        <w:rPr>
          <w:rFonts w:ascii="Arial" w:hAnsi="Arial" w:eastAsia="Times New Roman" w:cs="Times New Roman"/>
          <w:sz w:val="20"/>
          <w:szCs w:val="24"/>
          <w:lang w:val="nl-NL" w:eastAsia="nl-NL"/>
        </w:rPr>
        <w:t xml:space="preserve">de </w:t>
      </w:r>
      <w:r w:rsidR="009F62DB">
        <w:rPr>
          <w:rFonts w:ascii="Arial" w:hAnsi="Arial" w:eastAsia="Times New Roman" w:cs="Times New Roman"/>
          <w:sz w:val="20"/>
          <w:szCs w:val="24"/>
          <w:lang w:val="nl-NL" w:eastAsia="nl-NL"/>
        </w:rPr>
        <w:t>vastgoed</w:t>
      </w:r>
      <w:r w:rsidRPr="004965C1" w:rsidR="004965C1">
        <w:rPr>
          <w:rFonts w:ascii="Arial" w:hAnsi="Arial" w:eastAsia="Times New Roman" w:cs="Times New Roman"/>
          <w:sz w:val="20"/>
          <w:szCs w:val="24"/>
          <w:lang w:val="nl-NL" w:eastAsia="nl-NL"/>
        </w:rPr>
        <w:t>vermogenswin</w:t>
      </w:r>
      <w:r w:rsidR="004965C1">
        <w:rPr>
          <w:rFonts w:ascii="Arial" w:hAnsi="Arial" w:eastAsia="Times New Roman" w:cs="Times New Roman"/>
          <w:sz w:val="20"/>
          <w:szCs w:val="24"/>
          <w:lang w:val="nl-NL" w:eastAsia="nl-NL"/>
        </w:rPr>
        <w:t>st</w:t>
      </w:r>
      <w:r w:rsidR="009F62DB">
        <w:rPr>
          <w:rFonts w:ascii="Arial" w:hAnsi="Arial" w:eastAsia="Times New Roman" w:cs="Times New Roman"/>
          <w:sz w:val="20"/>
          <w:szCs w:val="24"/>
          <w:lang w:val="nl-NL" w:eastAsia="nl-NL"/>
        </w:rPr>
        <w:t>en</w:t>
      </w:r>
      <w:r w:rsidR="004965C1">
        <w:rPr>
          <w:rFonts w:ascii="Arial" w:hAnsi="Arial" w:eastAsia="Times New Roman" w:cs="Times New Roman"/>
          <w:sz w:val="20"/>
          <w:szCs w:val="24"/>
          <w:lang w:val="nl-NL" w:eastAsia="nl-NL"/>
        </w:rPr>
        <w:t xml:space="preserve">belasting. </w:t>
      </w:r>
      <w:r w:rsidRPr="00FC4871" w:rsidR="003441AF">
        <w:rPr>
          <w:rFonts w:ascii="Arial" w:hAnsi="Arial" w:eastAsia="Times New Roman" w:cs="Times New Roman"/>
          <w:sz w:val="20"/>
          <w:szCs w:val="24"/>
          <w:lang w:val="nl-NL" w:eastAsia="nl-NL"/>
        </w:rPr>
        <w:t>Private-asset</w:t>
      </w:r>
      <w:r w:rsidR="00794848">
        <w:rPr>
          <w:rFonts w:ascii="Arial" w:hAnsi="Arial" w:eastAsia="Times New Roman" w:cs="Times New Roman"/>
          <w:sz w:val="20"/>
          <w:szCs w:val="24"/>
          <w:lang w:val="nl-NL" w:eastAsia="nl-NL"/>
        </w:rPr>
        <w:t>-</w:t>
      </w:r>
      <w:r w:rsidRPr="00FC4871" w:rsidR="003441AF">
        <w:rPr>
          <w:rFonts w:ascii="Arial" w:hAnsi="Arial" w:eastAsia="Times New Roman" w:cs="Times New Roman"/>
          <w:sz w:val="20"/>
          <w:szCs w:val="24"/>
          <w:lang w:val="nl-NL" w:eastAsia="nl-NL"/>
        </w:rPr>
        <w:t>structuren en trust</w:t>
      </w:r>
      <w:r w:rsidRPr="00FC4871" w:rsidR="00FC4871">
        <w:rPr>
          <w:rFonts w:ascii="Arial" w:hAnsi="Arial" w:eastAsia="Times New Roman" w:cs="Times New Roman"/>
          <w:sz w:val="20"/>
          <w:szCs w:val="24"/>
          <w:lang w:val="nl-NL" w:eastAsia="nl-NL"/>
        </w:rPr>
        <w:t>s</w:t>
      </w:r>
      <w:r w:rsidRPr="00FC4871" w:rsidR="003441AF">
        <w:rPr>
          <w:rFonts w:ascii="Arial" w:hAnsi="Arial" w:eastAsia="Times New Roman" w:cs="Times New Roman"/>
          <w:sz w:val="20"/>
          <w:szCs w:val="24"/>
          <w:lang w:val="nl-NL" w:eastAsia="nl-NL"/>
        </w:rPr>
        <w:t xml:space="preserve"> zijn </w:t>
      </w:r>
      <w:r w:rsidRPr="00FC4871" w:rsidR="00FC4871">
        <w:rPr>
          <w:rFonts w:ascii="Arial" w:hAnsi="Arial" w:eastAsia="Times New Roman" w:cs="Times New Roman"/>
          <w:sz w:val="20"/>
          <w:szCs w:val="24"/>
          <w:lang w:val="nl-NL" w:eastAsia="nl-NL"/>
        </w:rPr>
        <w:t xml:space="preserve">onder stringente voorwaarden, waaronder het vereiste dat de participanten of gerechtigden geen invloed kunnen uitoefenen, </w:t>
      </w:r>
      <w:r w:rsidRPr="00FC4871" w:rsidR="003441AF">
        <w:rPr>
          <w:rFonts w:ascii="Arial" w:hAnsi="Arial" w:eastAsia="Times New Roman" w:cs="Times New Roman"/>
          <w:sz w:val="20"/>
          <w:szCs w:val="24"/>
          <w:lang w:val="nl-NL" w:eastAsia="nl-NL"/>
        </w:rPr>
        <w:t>alleen onderworpen aan de minimale vennootschapsbelasting.</w:t>
      </w:r>
      <w:r w:rsidR="00FC4871">
        <w:rPr>
          <w:rFonts w:ascii="Arial" w:hAnsi="Arial" w:eastAsia="Times New Roman" w:cs="Times New Roman"/>
          <w:sz w:val="20"/>
          <w:szCs w:val="24"/>
          <w:lang w:val="nl-NL" w:eastAsia="nl-NL"/>
        </w:rPr>
        <w:t xml:space="preserve"> Deze </w:t>
      </w:r>
      <w:r w:rsidR="00003477">
        <w:rPr>
          <w:rFonts w:ascii="Arial" w:hAnsi="Arial" w:eastAsia="Times New Roman" w:cs="Times New Roman"/>
          <w:sz w:val="20"/>
          <w:szCs w:val="24"/>
          <w:lang w:val="nl-NL" w:eastAsia="nl-NL"/>
        </w:rPr>
        <w:t>regeling</w:t>
      </w:r>
      <w:r w:rsidR="00FC4871">
        <w:rPr>
          <w:rFonts w:ascii="Arial" w:hAnsi="Arial" w:eastAsia="Times New Roman" w:cs="Times New Roman"/>
          <w:sz w:val="20"/>
          <w:szCs w:val="24"/>
          <w:lang w:val="nl-NL" w:eastAsia="nl-NL"/>
        </w:rPr>
        <w:t xml:space="preserve"> geldt slechts voor entiteiten die voor 2011 zijn opgericht en is goedgekeurd onder de Europese staatssteunbepalingen.</w:t>
      </w:r>
    </w:p>
    <w:p w:rsidR="00794848" w:rsidP="004B6DFB" w:rsidRDefault="002821AF" w14:paraId="649DF416" w14:textId="1883772F">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Vermogenswinsten op de verkoop door natuurlijke personen en niet-natuurlijke personen van aandelen zijn over het algemeen vrijgesteld. In 2018 heeft Liechtenstein echter nieuwe antimisbruikmaatregelen geïntroduceerd op basis waarvan onder bepaalde voorwaarden (</w:t>
      </w:r>
      <w:r w:rsidR="000E4608">
        <w:rPr>
          <w:rFonts w:ascii="Arial" w:hAnsi="Arial" w:eastAsia="Times New Roman" w:cs="Times New Roman"/>
          <w:sz w:val="20"/>
          <w:szCs w:val="24"/>
          <w:lang w:val="nl-NL" w:eastAsia="nl-NL"/>
        </w:rPr>
        <w:t xml:space="preserve">te weten, de winsten hebben </w:t>
      </w:r>
      <w:r w:rsidR="00397D0A">
        <w:rPr>
          <w:rFonts w:ascii="Arial" w:hAnsi="Arial" w:eastAsia="Times New Roman" w:cs="Times New Roman"/>
          <w:sz w:val="20"/>
          <w:szCs w:val="24"/>
          <w:lang w:val="nl-NL" w:eastAsia="nl-NL"/>
        </w:rPr>
        <w:t xml:space="preserve">voor </w:t>
      </w:r>
      <w:r>
        <w:rPr>
          <w:rFonts w:ascii="Arial" w:hAnsi="Arial" w:eastAsia="Times New Roman" w:cs="Times New Roman"/>
          <w:sz w:val="20"/>
          <w:szCs w:val="24"/>
          <w:lang w:val="nl-NL" w:eastAsia="nl-NL"/>
        </w:rPr>
        <w:t xml:space="preserve">meer dan 50% </w:t>
      </w:r>
      <w:r w:rsidR="00397D0A">
        <w:rPr>
          <w:rFonts w:ascii="Arial" w:hAnsi="Arial" w:eastAsia="Times New Roman" w:cs="Times New Roman"/>
          <w:sz w:val="20"/>
          <w:szCs w:val="24"/>
          <w:lang w:val="nl-NL" w:eastAsia="nl-NL"/>
        </w:rPr>
        <w:t xml:space="preserve">betrekking op </w:t>
      </w:r>
      <w:r>
        <w:rPr>
          <w:rFonts w:ascii="Arial" w:hAnsi="Arial" w:eastAsia="Times New Roman" w:cs="Times New Roman"/>
          <w:sz w:val="20"/>
          <w:szCs w:val="24"/>
          <w:lang w:val="nl-NL" w:eastAsia="nl-NL"/>
        </w:rPr>
        <w:t xml:space="preserve">passieve activiteiten en </w:t>
      </w:r>
      <w:r w:rsidR="00397D0A">
        <w:rPr>
          <w:rFonts w:ascii="Arial" w:hAnsi="Arial" w:eastAsia="Times New Roman" w:cs="Times New Roman"/>
          <w:sz w:val="20"/>
          <w:szCs w:val="24"/>
          <w:lang w:val="nl-NL" w:eastAsia="nl-NL"/>
        </w:rPr>
        <w:t xml:space="preserve">de </w:t>
      </w:r>
      <w:r>
        <w:rPr>
          <w:rFonts w:ascii="Arial" w:hAnsi="Arial" w:eastAsia="Times New Roman" w:cs="Times New Roman"/>
          <w:sz w:val="20"/>
          <w:szCs w:val="24"/>
          <w:lang w:val="nl-NL" w:eastAsia="nl-NL"/>
        </w:rPr>
        <w:t xml:space="preserve">winsten </w:t>
      </w:r>
      <w:r w:rsidR="00397D0A">
        <w:rPr>
          <w:rFonts w:ascii="Arial" w:hAnsi="Arial" w:eastAsia="Times New Roman" w:cs="Times New Roman"/>
          <w:sz w:val="20"/>
          <w:szCs w:val="24"/>
          <w:lang w:val="nl-NL" w:eastAsia="nl-NL"/>
        </w:rPr>
        <w:t xml:space="preserve">worden </w:t>
      </w:r>
      <w:r>
        <w:rPr>
          <w:rFonts w:ascii="Arial" w:hAnsi="Arial" w:eastAsia="Times New Roman" w:cs="Times New Roman"/>
          <w:sz w:val="20"/>
          <w:szCs w:val="24"/>
          <w:lang w:val="nl-NL" w:eastAsia="nl-NL"/>
        </w:rPr>
        <w:t>laag belast) vermogenswinsten op de verkoop van aandelenbelangen in buitenlandse entiteiten niet langer zijn vrijgesteld, maar worden belast.</w:t>
      </w:r>
    </w:p>
    <w:p w:rsidR="00A459CB" w:rsidP="004B6DFB" w:rsidRDefault="003441AF" w14:paraId="7217164F" w14:textId="2108AB3D">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Ten</w:t>
      </w:r>
      <w:r w:rsidR="00224CD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slotte kent Liechtenstein geen </w:t>
      </w:r>
      <w:r w:rsidRPr="00DC1764" w:rsidR="00DC1764">
        <w:rPr>
          <w:rFonts w:ascii="Arial" w:hAnsi="Arial" w:eastAsia="Times New Roman" w:cs="Times New Roman"/>
          <w:sz w:val="20"/>
          <w:szCs w:val="24"/>
          <w:lang w:val="nl-NL" w:eastAsia="nl-NL"/>
        </w:rPr>
        <w:t xml:space="preserve">bronbelasting op dividend-, rente- en royaltybetalingen. </w:t>
      </w:r>
    </w:p>
    <w:p w:rsidRPr="006949BC" w:rsidR="006949BC" w:rsidP="006949BC" w:rsidRDefault="006949BC" w14:paraId="437F3DFF"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I.4</w:t>
      </w:r>
      <w:r w:rsidRPr="006949BC">
        <w:rPr>
          <w:rFonts w:ascii="Arial" w:hAnsi="Arial" w:eastAsia="Times New Roman" w:cs="Times New Roman"/>
          <w:bCs/>
          <w:i/>
          <w:iCs/>
          <w:sz w:val="20"/>
          <w:szCs w:val="28"/>
          <w:lang w:val="nl-NL" w:eastAsia="nl-NL"/>
        </w:rPr>
        <w:tab/>
        <w:t>Budgettaire aspecten</w:t>
      </w:r>
    </w:p>
    <w:p w:rsidRPr="006949BC" w:rsidR="006949BC" w:rsidP="006949BC" w:rsidRDefault="006949BC" w14:paraId="037A4638" w14:textId="6D20FC90">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budgettaire gevolgen van het Verdrag zullen naar verwachting per saldo neutraal zijn.</w:t>
      </w:r>
      <w:r w:rsidR="004B6DFB">
        <w:rPr>
          <w:rFonts w:ascii="Arial" w:hAnsi="Arial" w:eastAsia="Times New Roman" w:cs="Times New Roman"/>
          <w:sz w:val="20"/>
          <w:szCs w:val="24"/>
          <w:lang w:val="nl-NL" w:eastAsia="nl-NL"/>
        </w:rPr>
        <w:t xml:space="preserve"> </w:t>
      </w:r>
    </w:p>
    <w:p w:rsidRPr="006949BC" w:rsidR="006949BC" w:rsidP="006949BC" w:rsidRDefault="006949BC" w14:paraId="04E47903"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I.5</w:t>
      </w:r>
      <w:r w:rsidRPr="006949BC">
        <w:rPr>
          <w:rFonts w:ascii="Arial" w:hAnsi="Arial" w:eastAsia="Times New Roman" w:cs="Times New Roman"/>
          <w:bCs/>
          <w:i/>
          <w:iCs/>
          <w:sz w:val="20"/>
          <w:szCs w:val="28"/>
          <w:lang w:val="nl-NL" w:eastAsia="nl-NL"/>
        </w:rPr>
        <w:tab/>
        <w:t>Inbreng van derden</w:t>
      </w:r>
    </w:p>
    <w:p w:rsidRPr="006949BC" w:rsidR="006949BC" w:rsidP="006949BC" w:rsidRDefault="006949BC" w14:paraId="4C031113" w14:textId="055EDDA3">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Het minis</w:t>
      </w:r>
      <w:r w:rsidR="004B6DFB">
        <w:rPr>
          <w:rFonts w:ascii="Arial" w:hAnsi="Arial" w:eastAsia="Times New Roman" w:cs="Times New Roman"/>
          <w:sz w:val="20"/>
          <w:szCs w:val="24"/>
          <w:lang w:val="nl-NL" w:eastAsia="nl-NL"/>
        </w:rPr>
        <w:t xml:space="preserve">terie van Financiën heeft </w:t>
      </w:r>
      <w:r w:rsidR="00556E8F">
        <w:rPr>
          <w:rFonts w:ascii="Arial" w:hAnsi="Arial" w:eastAsia="Times New Roman" w:cs="Times New Roman"/>
          <w:sz w:val="20"/>
          <w:szCs w:val="24"/>
          <w:lang w:val="nl-NL" w:eastAsia="nl-NL"/>
        </w:rPr>
        <w:t xml:space="preserve">het aangaan van </w:t>
      </w:r>
      <w:r w:rsidR="004B6DFB">
        <w:rPr>
          <w:rFonts w:ascii="Arial" w:hAnsi="Arial" w:eastAsia="Times New Roman" w:cs="Times New Roman"/>
          <w:sz w:val="20"/>
          <w:szCs w:val="24"/>
          <w:lang w:val="nl-NL" w:eastAsia="nl-NL"/>
        </w:rPr>
        <w:t xml:space="preserve">de </w:t>
      </w:r>
      <w:r w:rsidRPr="006949BC">
        <w:rPr>
          <w:rFonts w:ascii="Arial" w:hAnsi="Arial" w:eastAsia="Times New Roman" w:cs="Times New Roman"/>
          <w:sz w:val="20"/>
          <w:szCs w:val="24"/>
          <w:lang w:val="nl-NL" w:eastAsia="nl-NL"/>
        </w:rPr>
        <w:t>onde</w:t>
      </w:r>
      <w:r w:rsidR="004B6DFB">
        <w:rPr>
          <w:rFonts w:ascii="Arial" w:hAnsi="Arial" w:eastAsia="Times New Roman" w:cs="Times New Roman"/>
          <w:sz w:val="20"/>
          <w:szCs w:val="24"/>
          <w:lang w:val="nl-NL" w:eastAsia="nl-NL"/>
        </w:rPr>
        <w:t xml:space="preserve">rhandelingen </w:t>
      </w:r>
      <w:r w:rsidR="00242BE1">
        <w:rPr>
          <w:rFonts w:ascii="Arial" w:hAnsi="Arial" w:eastAsia="Times New Roman" w:cs="Times New Roman"/>
          <w:sz w:val="20"/>
          <w:szCs w:val="24"/>
          <w:lang w:val="nl-NL" w:eastAsia="nl-NL"/>
        </w:rPr>
        <w:t xml:space="preserve">met </w:t>
      </w:r>
      <w:r w:rsidRPr="006949BC">
        <w:rPr>
          <w:rFonts w:ascii="Arial" w:hAnsi="Arial" w:eastAsia="Times New Roman" w:cs="Times New Roman"/>
          <w:sz w:val="20"/>
          <w:szCs w:val="24"/>
          <w:lang w:val="nl-NL" w:eastAsia="nl-NL"/>
        </w:rPr>
        <w:t xml:space="preserve">een aankondiging </w:t>
      </w:r>
      <w:r w:rsidR="00B34643">
        <w:rPr>
          <w:rFonts w:ascii="Arial" w:hAnsi="Arial" w:eastAsia="Times New Roman" w:cs="Times New Roman"/>
          <w:sz w:val="20"/>
          <w:szCs w:val="24"/>
          <w:lang w:val="nl-NL" w:eastAsia="nl-NL"/>
        </w:rPr>
        <w:t>eind 2016</w:t>
      </w:r>
      <w:r w:rsidR="009D1D1D">
        <w:rPr>
          <w:rStyle w:val="FootnoteReference"/>
          <w:rFonts w:ascii="Arial" w:hAnsi="Arial" w:eastAsia="Times New Roman" w:cs="Times New Roman"/>
          <w:sz w:val="20"/>
          <w:szCs w:val="24"/>
          <w:lang w:val="nl-NL" w:eastAsia="nl-NL"/>
        </w:rPr>
        <w:footnoteReference w:id="9"/>
      </w:r>
      <w:r w:rsidR="00B34643">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onder de aandacht gebracht en belanghebbenden gevraagd de voor hen van belang zijnde aa</w:t>
      </w:r>
      <w:r w:rsidR="004B6DFB">
        <w:rPr>
          <w:rFonts w:ascii="Arial" w:hAnsi="Arial" w:eastAsia="Times New Roman" w:cs="Times New Roman"/>
          <w:sz w:val="20"/>
          <w:szCs w:val="24"/>
          <w:lang w:val="nl-NL" w:eastAsia="nl-NL"/>
        </w:rPr>
        <w:t xml:space="preserve">ngelegenheden </w:t>
      </w:r>
      <w:r w:rsidR="00D17CBA">
        <w:rPr>
          <w:rFonts w:ascii="Arial" w:hAnsi="Arial" w:eastAsia="Times New Roman" w:cs="Times New Roman"/>
          <w:sz w:val="20"/>
          <w:szCs w:val="24"/>
          <w:lang w:val="nl-NL" w:eastAsia="nl-NL"/>
        </w:rPr>
        <w:t xml:space="preserve">kenbaar te maken. </w:t>
      </w:r>
      <w:r w:rsidR="00556E8F">
        <w:rPr>
          <w:rFonts w:ascii="Arial" w:hAnsi="Arial" w:eastAsia="Times New Roman" w:cs="Times New Roman"/>
          <w:sz w:val="20"/>
          <w:szCs w:val="24"/>
          <w:lang w:val="nl-NL" w:eastAsia="nl-NL"/>
        </w:rPr>
        <w:t xml:space="preserve">Ook </w:t>
      </w:r>
      <w:r w:rsidRPr="006949BC">
        <w:rPr>
          <w:rFonts w:ascii="Arial" w:hAnsi="Arial" w:eastAsia="Times New Roman" w:cs="Times New Roman"/>
          <w:sz w:val="20"/>
          <w:szCs w:val="24"/>
          <w:lang w:val="nl-NL" w:eastAsia="nl-NL"/>
        </w:rPr>
        <w:t xml:space="preserve">daarna </w:t>
      </w:r>
      <w:r w:rsidR="00556E8F">
        <w:rPr>
          <w:rFonts w:ascii="Arial" w:hAnsi="Arial" w:eastAsia="Times New Roman" w:cs="Times New Roman"/>
          <w:sz w:val="20"/>
          <w:szCs w:val="24"/>
          <w:lang w:val="nl-NL" w:eastAsia="nl-NL"/>
        </w:rPr>
        <w:t xml:space="preserve">zijn deze onderhandelingen in de </w:t>
      </w:r>
      <w:r w:rsidR="00D17CBA">
        <w:rPr>
          <w:rFonts w:ascii="Arial" w:hAnsi="Arial" w:eastAsia="Times New Roman" w:cs="Times New Roman"/>
          <w:sz w:val="20"/>
          <w:szCs w:val="24"/>
          <w:lang w:val="nl-NL" w:eastAsia="nl-NL"/>
        </w:rPr>
        <w:t>jaarlijkse nieuwsbericht</w:t>
      </w:r>
      <w:r w:rsidR="00556E8F">
        <w:rPr>
          <w:rFonts w:ascii="Arial" w:hAnsi="Arial" w:eastAsia="Times New Roman" w:cs="Times New Roman"/>
          <w:sz w:val="20"/>
          <w:szCs w:val="24"/>
          <w:lang w:val="nl-NL" w:eastAsia="nl-NL"/>
        </w:rPr>
        <w:t>en</w:t>
      </w:r>
      <w:r w:rsidR="00D17CBA">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over de lopende en nieuwe onderhandelingen van belastingverdragen</w:t>
      </w:r>
      <w:r w:rsidR="004B6DFB">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onder de aandacht gebracht. Hierop zijn geen reacties ontvangen.</w:t>
      </w:r>
    </w:p>
    <w:p w:rsidRPr="006949BC" w:rsidR="006949BC" w:rsidP="006949BC" w:rsidRDefault="006949BC" w14:paraId="2CB2ED74" w14:textId="2C8FDA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I.6</w:t>
      </w:r>
      <w:r w:rsidRPr="006949BC">
        <w:rPr>
          <w:rFonts w:ascii="Arial" w:hAnsi="Arial" w:eastAsia="Times New Roman" w:cs="Times New Roman"/>
          <w:bCs/>
          <w:i/>
          <w:iCs/>
          <w:sz w:val="20"/>
          <w:szCs w:val="28"/>
          <w:lang w:val="nl-NL" w:eastAsia="nl-NL"/>
        </w:rPr>
        <w:tab/>
        <w:t>Koninkrijkspositie</w:t>
      </w:r>
    </w:p>
    <w:p w:rsidRPr="00A4421A" w:rsidR="006949BC" w:rsidP="006949BC" w:rsidRDefault="006949BC" w14:paraId="674C5607" w14:textId="68269251">
      <w:pPr>
        <w:spacing w:after="0" w:line="360" w:lineRule="auto"/>
        <w:ind w:firstLine="720"/>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Het Verdrag zal, wat het Koninkrijk der Nederlanden betreft, gelden voor het Europese deel van Nederland. </w:t>
      </w:r>
      <w:r w:rsidRPr="00A4421A">
        <w:rPr>
          <w:rFonts w:ascii="Arial" w:hAnsi="Arial" w:eastAsia="Times New Roman" w:cs="Times New Roman"/>
          <w:sz w:val="20"/>
          <w:szCs w:val="24"/>
          <w:lang w:val="nl-NL" w:eastAsia="nl-NL"/>
        </w:rPr>
        <w:t xml:space="preserve">In Bijlage III bij de NFV 2011 is verwoord dat in onderhandelingen met (potentiële) verdragspartners de belangen van de belastingplichtigen die in het Caribische deel van Nederland </w:t>
      </w:r>
      <w:r w:rsidRPr="00F85AED" w:rsidR="00F85AED">
        <w:rPr>
          <w:rFonts w:ascii="Arial" w:hAnsi="Arial" w:eastAsia="Times New Roman" w:cs="Times New Roman"/>
          <w:sz w:val="20"/>
          <w:szCs w:val="24"/>
          <w:lang w:val="nl-NL" w:eastAsia="nl-NL"/>
        </w:rPr>
        <w:t xml:space="preserve">(de eilanden Bonaire, Sint Eustatius en Saba) </w:t>
      </w:r>
      <w:r w:rsidRPr="00A4421A">
        <w:rPr>
          <w:rFonts w:ascii="Arial" w:hAnsi="Arial" w:eastAsia="Times New Roman" w:cs="Times New Roman"/>
          <w:sz w:val="20"/>
          <w:szCs w:val="24"/>
          <w:lang w:val="nl-NL" w:eastAsia="nl-NL"/>
        </w:rPr>
        <w:t>wonen of gevestigd zijn uitdrukkelijk zullen worden behartigd. Bij de onderhandelinge</w:t>
      </w:r>
      <w:r w:rsidRPr="00A4421A" w:rsidR="00A30A52">
        <w:rPr>
          <w:rFonts w:ascii="Arial" w:hAnsi="Arial" w:eastAsia="Times New Roman" w:cs="Times New Roman"/>
          <w:sz w:val="20"/>
          <w:szCs w:val="24"/>
          <w:lang w:val="nl-NL" w:eastAsia="nl-NL"/>
        </w:rPr>
        <w:t>n met Liechtenstein</w:t>
      </w:r>
      <w:r w:rsidRPr="00A4421A">
        <w:rPr>
          <w:rFonts w:ascii="Arial" w:hAnsi="Arial" w:eastAsia="Times New Roman" w:cs="Times New Roman"/>
          <w:sz w:val="20"/>
          <w:szCs w:val="24"/>
          <w:lang w:val="nl-NL" w:eastAsia="nl-NL"/>
        </w:rPr>
        <w:t xml:space="preserve"> is gehandeld overeenkomstig </w:t>
      </w:r>
      <w:r w:rsidRPr="00A4421A" w:rsidR="004B6DFB">
        <w:rPr>
          <w:rFonts w:ascii="Arial" w:hAnsi="Arial" w:eastAsia="Times New Roman" w:cs="Times New Roman"/>
          <w:sz w:val="20"/>
          <w:szCs w:val="24"/>
          <w:lang w:val="nl-NL" w:eastAsia="nl-NL"/>
        </w:rPr>
        <w:t>dit uitgangspunt. Hoewel Liechtenstein</w:t>
      </w:r>
      <w:r w:rsidRPr="00A4421A">
        <w:rPr>
          <w:rFonts w:ascii="Arial" w:hAnsi="Arial" w:eastAsia="Times New Roman" w:cs="Times New Roman"/>
          <w:sz w:val="20"/>
          <w:szCs w:val="24"/>
          <w:lang w:val="nl-NL" w:eastAsia="nl-NL"/>
        </w:rPr>
        <w:t xml:space="preserve"> begrip had voor het</w:t>
      </w:r>
      <w:r w:rsidRPr="00A4421A" w:rsidR="004B6DFB">
        <w:rPr>
          <w:rFonts w:ascii="Arial" w:hAnsi="Arial" w:eastAsia="Times New Roman" w:cs="Times New Roman"/>
          <w:sz w:val="20"/>
          <w:szCs w:val="24"/>
          <w:lang w:val="nl-NL" w:eastAsia="nl-NL"/>
        </w:rPr>
        <w:t xml:space="preserve"> Nederlandse verzoek was Liechtenstein </w:t>
      </w:r>
      <w:r w:rsidRPr="00A4421A">
        <w:rPr>
          <w:rFonts w:ascii="Arial" w:hAnsi="Arial" w:eastAsia="Times New Roman" w:cs="Times New Roman"/>
          <w:sz w:val="20"/>
          <w:szCs w:val="24"/>
          <w:lang w:val="nl-NL" w:eastAsia="nl-NL"/>
        </w:rPr>
        <w:t>niet bereid het Verdrag mede van toepassing te laten zijn op het Caribische deel van Nederland. Dit heeft Nederland uiteindelijk in het kader van een totaalcompromis geaccepteerd.</w:t>
      </w:r>
    </w:p>
    <w:p w:rsidRPr="006949BC" w:rsidR="006949BC" w:rsidP="006949BC" w:rsidRDefault="00F85AED" w14:paraId="768D310B" w14:textId="45F83DFB">
      <w:pPr>
        <w:spacing w:after="0" w:line="360" w:lineRule="auto"/>
        <w:ind w:firstLine="709"/>
        <w:rPr>
          <w:rFonts w:ascii="Arial" w:hAnsi="Arial" w:eastAsia="Times New Roman" w:cs="Times New Roman"/>
          <w:sz w:val="20"/>
          <w:szCs w:val="24"/>
          <w:lang w:val="nl-NL" w:eastAsia="nl-NL"/>
        </w:rPr>
      </w:pPr>
      <w:r w:rsidRPr="00F85AED">
        <w:rPr>
          <w:rFonts w:ascii="Arial" w:hAnsi="Arial" w:eastAsia="Times New Roman" w:cs="Times New Roman"/>
          <w:sz w:val="20"/>
          <w:szCs w:val="24"/>
          <w:lang w:val="nl-NL" w:eastAsia="nl-NL"/>
        </w:rPr>
        <w:t xml:space="preserve">Wel bepaalt artikel 29 van het Verdrag dat het Verdrag onder voorwaarden kan worden uitgebreid tot de delen van het Koninkrijk die niet in Europa zijn gelegen. Indien tot uitbreiding wordt overgegaan, behoeft dit een afzonderlijk verdrag dat door het Koninkrijk met </w:t>
      </w:r>
      <w:r>
        <w:rPr>
          <w:rFonts w:ascii="Arial" w:hAnsi="Arial" w:eastAsia="Times New Roman" w:cs="Times New Roman"/>
          <w:sz w:val="20"/>
          <w:szCs w:val="24"/>
          <w:lang w:val="nl-NL" w:eastAsia="nl-NL"/>
        </w:rPr>
        <w:t>Liechtenstein</w:t>
      </w:r>
      <w:r w:rsidRPr="00F85AED">
        <w:rPr>
          <w:rFonts w:ascii="Arial" w:hAnsi="Arial" w:eastAsia="Times New Roman" w:cs="Times New Roman"/>
          <w:sz w:val="20"/>
          <w:szCs w:val="24"/>
          <w:lang w:val="nl-NL" w:eastAsia="nl-NL"/>
        </w:rPr>
        <w:t xml:space="preserve"> wordt aangegaan ten </w:t>
      </w:r>
      <w:r w:rsidRPr="00F85AED">
        <w:rPr>
          <w:rFonts w:ascii="Arial" w:hAnsi="Arial" w:eastAsia="Times New Roman" w:cs="Times New Roman"/>
          <w:sz w:val="20"/>
          <w:szCs w:val="24"/>
          <w:lang w:val="nl-NL" w:eastAsia="nl-NL"/>
        </w:rPr>
        <w:lastRenderedPageBreak/>
        <w:t>behoeve van het Caribische deel van Nederland (Bonaire, Sint-Eustatius en Saba) of ten behoeve van het betreffende Caribische land van het Koninkrijk (Aruba, Curaçao of Sint Maarten).</w:t>
      </w:r>
      <w:r>
        <w:rPr>
          <w:rFonts w:ascii="Arial" w:hAnsi="Arial" w:eastAsia="Times New Roman" w:cs="Times New Roman"/>
          <w:sz w:val="20"/>
          <w:szCs w:val="24"/>
          <w:lang w:val="nl-NL" w:eastAsia="nl-NL"/>
        </w:rPr>
        <w:t xml:space="preserve"> De Caribische landen van het Koninkrijk</w:t>
      </w:r>
      <w:r w:rsidR="00457CEB">
        <w:rPr>
          <w:rFonts w:ascii="Arial" w:hAnsi="Arial" w:eastAsia="Times New Roman" w:cs="Times New Roman"/>
          <w:sz w:val="20"/>
          <w:szCs w:val="24"/>
          <w:lang w:val="nl-NL" w:eastAsia="nl-NL"/>
        </w:rPr>
        <w:t xml:space="preserve">, die </w:t>
      </w:r>
      <w:r>
        <w:rPr>
          <w:rFonts w:ascii="Arial" w:hAnsi="Arial" w:eastAsia="Times New Roman" w:cs="Times New Roman"/>
          <w:sz w:val="20"/>
          <w:szCs w:val="24"/>
          <w:lang w:val="nl-NL" w:eastAsia="nl-NL"/>
        </w:rPr>
        <w:t xml:space="preserve">fiscaal autonoom </w:t>
      </w:r>
      <w:r w:rsidR="00457CEB">
        <w:rPr>
          <w:rFonts w:ascii="Arial" w:hAnsi="Arial" w:eastAsia="Times New Roman" w:cs="Times New Roman"/>
          <w:sz w:val="20"/>
          <w:szCs w:val="24"/>
          <w:lang w:val="nl-NL" w:eastAsia="nl-NL"/>
        </w:rPr>
        <w:t xml:space="preserve">zijn, </w:t>
      </w:r>
      <w:r>
        <w:rPr>
          <w:rFonts w:ascii="Arial" w:hAnsi="Arial" w:eastAsia="Times New Roman" w:cs="Times New Roman"/>
          <w:sz w:val="20"/>
          <w:szCs w:val="24"/>
          <w:lang w:val="nl-NL" w:eastAsia="nl-NL"/>
        </w:rPr>
        <w:t xml:space="preserve">kunnen </w:t>
      </w:r>
      <w:r w:rsidR="00457CEB">
        <w:rPr>
          <w:rFonts w:ascii="Arial" w:hAnsi="Arial" w:eastAsia="Times New Roman" w:cs="Times New Roman"/>
          <w:sz w:val="20"/>
          <w:szCs w:val="24"/>
          <w:lang w:val="nl-NL" w:eastAsia="nl-NL"/>
        </w:rPr>
        <w:t xml:space="preserve">overigens </w:t>
      </w:r>
      <w:r>
        <w:rPr>
          <w:rFonts w:ascii="Arial" w:hAnsi="Arial" w:eastAsia="Times New Roman" w:cs="Times New Roman"/>
          <w:sz w:val="20"/>
          <w:szCs w:val="24"/>
          <w:lang w:val="nl-NL" w:eastAsia="nl-NL"/>
        </w:rPr>
        <w:t>ook zelfstandig besluiten om in onderhandeling te treden met Liechtenstein over een belastingverdrag.</w:t>
      </w:r>
    </w:p>
    <w:p w:rsidRPr="006949BC" w:rsidR="006949BC" w:rsidP="006949BC" w:rsidRDefault="006949BC" w14:paraId="219F5F6B"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Arial"/>
          <w:bCs/>
          <w:i/>
          <w:iCs/>
          <w:sz w:val="20"/>
          <w:szCs w:val="20"/>
          <w:lang w:val="nl-NL" w:eastAsia="nl-NL"/>
        </w:rPr>
        <w:t>I.7</w:t>
      </w:r>
      <w:r w:rsidRPr="006949BC">
        <w:rPr>
          <w:rFonts w:ascii="Arial" w:hAnsi="Arial" w:eastAsia="Times New Roman" w:cs="Arial"/>
          <w:bCs/>
          <w:i/>
          <w:iCs/>
          <w:sz w:val="20"/>
          <w:szCs w:val="20"/>
          <w:lang w:val="nl-NL" w:eastAsia="nl-NL"/>
        </w:rPr>
        <w:tab/>
      </w:r>
      <w:proofErr w:type="spellStart"/>
      <w:r w:rsidRPr="00314DCA">
        <w:rPr>
          <w:rFonts w:ascii="Arial" w:hAnsi="Arial" w:eastAsia="Times New Roman" w:cs="Arial"/>
          <w:bCs/>
          <w:i/>
          <w:iCs/>
          <w:sz w:val="20"/>
          <w:szCs w:val="20"/>
          <w:lang w:val="nl-NL" w:eastAsia="nl-NL"/>
        </w:rPr>
        <w:t>Toetsschema</w:t>
      </w:r>
      <w:proofErr w:type="spellEnd"/>
      <w:r w:rsidRPr="00314DCA">
        <w:rPr>
          <w:rFonts w:ascii="Arial" w:hAnsi="Arial" w:eastAsia="Times New Roman" w:cs="Arial"/>
          <w:bCs/>
          <w:i/>
          <w:iCs/>
          <w:sz w:val="20"/>
          <w:szCs w:val="20"/>
          <w:lang w:val="nl-NL" w:eastAsia="nl-NL"/>
        </w:rPr>
        <w:t xml:space="preserve"> Fiscaal Verdragsbeleid</w:t>
      </w:r>
      <w:r w:rsidRPr="006949BC">
        <w:rPr>
          <w:rFonts w:ascii="Arial" w:hAnsi="Arial" w:eastAsia="Times New Roman" w:cs="Arial"/>
          <w:bCs/>
          <w:i/>
          <w:iCs/>
          <w:sz w:val="20"/>
          <w:szCs w:val="20"/>
          <w:lang w:val="nl-NL" w:eastAsia="nl-NL"/>
        </w:rPr>
        <w:t xml:space="preserve"> </w:t>
      </w:r>
    </w:p>
    <w:p w:rsidRPr="006949BC" w:rsidR="006949BC" w:rsidP="006949BC" w:rsidRDefault="006949BC" w14:paraId="7A1C5F6A" w14:textId="77777777">
      <w:pPr>
        <w:spacing w:after="240" w:line="360" w:lineRule="auto"/>
        <w:ind w:firstLine="720"/>
        <w:rPr>
          <w:rFonts w:ascii="Arial" w:hAnsi="Arial" w:eastAsia="Times New Roman" w:cs="Arial"/>
          <w:sz w:val="20"/>
          <w:szCs w:val="20"/>
          <w:lang w:val="nl-NL" w:eastAsia="nl-NL"/>
        </w:rPr>
      </w:pPr>
      <w:r w:rsidRPr="006949BC">
        <w:rPr>
          <w:rFonts w:ascii="Arial" w:hAnsi="Arial" w:eastAsia="Times New Roman" w:cs="Arial"/>
          <w:sz w:val="20"/>
          <w:szCs w:val="20"/>
          <w:lang w:val="nl-NL" w:eastAsia="nl-NL"/>
        </w:rPr>
        <w:t xml:space="preserve">Het </w:t>
      </w:r>
      <w:proofErr w:type="spellStart"/>
      <w:r w:rsidRPr="006949BC">
        <w:rPr>
          <w:rFonts w:ascii="Arial" w:hAnsi="Arial" w:eastAsia="Times New Roman" w:cs="Arial"/>
          <w:sz w:val="20"/>
          <w:szCs w:val="20"/>
          <w:lang w:val="nl-NL" w:eastAsia="nl-NL"/>
        </w:rPr>
        <w:t>Toetsschema</w:t>
      </w:r>
      <w:proofErr w:type="spellEnd"/>
      <w:r w:rsidRPr="006949BC">
        <w:rPr>
          <w:rFonts w:ascii="Arial" w:hAnsi="Arial" w:eastAsia="Times New Roman" w:cs="Arial"/>
          <w:sz w:val="20"/>
          <w:szCs w:val="20"/>
          <w:lang w:val="nl-NL" w:eastAsia="nl-NL"/>
        </w:rPr>
        <w:t xml:space="preserve"> Fiscaal Verdragsbeleid 2011 is hierna opgenomen</w:t>
      </w:r>
      <w:r w:rsidRPr="006949BC">
        <w:rPr>
          <w:rFonts w:ascii="Arial" w:hAnsi="Arial" w:eastAsia="Times New Roman" w:cs="Arial"/>
          <w:sz w:val="20"/>
          <w:szCs w:val="20"/>
          <w:vertAlign w:val="superscript"/>
          <w:lang w:val="nl-NL" w:eastAsia="nl-NL"/>
        </w:rPr>
        <w:footnoteReference w:id="10"/>
      </w:r>
      <w:r w:rsidRPr="006949BC">
        <w:rPr>
          <w:rFonts w:ascii="Arial" w:hAnsi="Arial" w:eastAsia="Times New Roman" w:cs="Arial"/>
          <w:sz w:val="20"/>
          <w:szCs w:val="20"/>
          <w:lang w:val="nl-NL" w:eastAsia="nl-NL"/>
        </w:rPr>
        <w:t xml:space="preserve">. In de rechter kolom van het </w:t>
      </w:r>
      <w:proofErr w:type="spellStart"/>
      <w:r w:rsidRPr="006949BC">
        <w:rPr>
          <w:rFonts w:ascii="Arial" w:hAnsi="Arial" w:eastAsia="Times New Roman" w:cs="Arial"/>
          <w:sz w:val="20"/>
          <w:szCs w:val="20"/>
          <w:lang w:val="nl-NL" w:eastAsia="nl-NL"/>
        </w:rPr>
        <w:t>toetsschema</w:t>
      </w:r>
      <w:proofErr w:type="spellEnd"/>
      <w:r w:rsidRPr="006949BC">
        <w:rPr>
          <w:rFonts w:ascii="Arial" w:hAnsi="Arial" w:eastAsia="Times New Roman" w:cs="Arial"/>
          <w:sz w:val="20"/>
          <w:szCs w:val="20"/>
          <w:lang w:val="nl-NL" w:eastAsia="nl-NL"/>
        </w:rPr>
        <w:t xml:space="preserve"> zijn de paragraafnummers uit deze toelichting opgenomen die corresponderen met de desbetreffende onderdelen van het schema. </w:t>
      </w: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6949BC" w:rsidR="006949BC" w:rsidTr="006949BC" w14:paraId="1AEE13EB" w14:textId="77777777">
        <w:trPr>
          <w:cantSplit/>
          <w:trHeight w:val="682"/>
          <w:tblHeader/>
        </w:trPr>
        <w:tc>
          <w:tcPr>
            <w:tcW w:w="693" w:type="dxa"/>
            <w:shd w:val="clear" w:color="auto" w:fill="BFBFBF"/>
            <w:textDirection w:val="btLr"/>
            <w:vAlign w:val="center"/>
          </w:tcPr>
          <w:p w:rsidRPr="006949BC" w:rsidR="006949BC" w:rsidP="006949BC" w:rsidRDefault="006949BC" w14:paraId="2D8553A7" w14:textId="77777777">
            <w:pPr>
              <w:spacing w:after="0" w:line="276" w:lineRule="auto"/>
              <w:jc w:val="center"/>
              <w:rPr>
                <w:rFonts w:ascii="Arial" w:hAnsi="Arial" w:eastAsia="Calibri" w:cs="Arial"/>
                <w:sz w:val="16"/>
                <w:szCs w:val="16"/>
                <w:lang w:val="nl-NL"/>
              </w:rPr>
            </w:pPr>
            <w:r w:rsidRPr="006949BC">
              <w:rPr>
                <w:rFonts w:ascii="Arial" w:hAnsi="Arial" w:eastAsia="Times New Roman" w:cs="Times New Roman"/>
                <w:sz w:val="20"/>
                <w:szCs w:val="24"/>
                <w:lang w:val="nl-NL" w:eastAsia="nl-NL"/>
              </w:rPr>
              <w:br w:type="page"/>
            </w:r>
            <w:r w:rsidRPr="006949BC">
              <w:rPr>
                <w:rFonts w:ascii="Arial" w:hAnsi="Arial" w:eastAsia="Times New Roman" w:cs="Times New Roman"/>
                <w:sz w:val="26"/>
                <w:szCs w:val="24"/>
                <w:lang w:val="nl-NL" w:eastAsia="nl-NL"/>
              </w:rPr>
              <w:t xml:space="preserve"> </w:t>
            </w:r>
            <w:r w:rsidRPr="006949BC">
              <w:rPr>
                <w:rFonts w:ascii="Arial" w:hAnsi="Arial" w:eastAsia="Calibri" w:cs="Arial"/>
                <w:sz w:val="16"/>
                <w:szCs w:val="16"/>
                <w:lang w:val="nl-NL"/>
              </w:rPr>
              <w:t>NFV 2011</w:t>
            </w:r>
          </w:p>
        </w:tc>
        <w:tc>
          <w:tcPr>
            <w:tcW w:w="6352" w:type="dxa"/>
            <w:gridSpan w:val="2"/>
            <w:shd w:val="clear" w:color="auto" w:fill="BFBFBF"/>
            <w:vAlign w:val="center"/>
          </w:tcPr>
          <w:p w:rsidRPr="006949BC" w:rsidR="006949BC" w:rsidP="006949BC" w:rsidRDefault="006949BC" w14:paraId="6EE7081B" w14:textId="77777777">
            <w:pPr>
              <w:spacing w:after="0" w:line="276" w:lineRule="auto"/>
              <w:jc w:val="center"/>
              <w:rPr>
                <w:rFonts w:ascii="Arial" w:hAnsi="Arial" w:eastAsia="Calibri" w:cs="Arial"/>
                <w:sz w:val="16"/>
                <w:szCs w:val="16"/>
                <w:lang w:val="nl-NL"/>
              </w:rPr>
            </w:pPr>
            <w:r w:rsidRPr="006949BC">
              <w:rPr>
                <w:rFonts w:ascii="Arial" w:hAnsi="Arial" w:eastAsia="Calibri" w:cs="Arial"/>
                <w:sz w:val="16"/>
                <w:szCs w:val="16"/>
                <w:lang w:val="nl-NL"/>
              </w:rPr>
              <w:t>Inzet</w:t>
            </w:r>
          </w:p>
        </w:tc>
        <w:tc>
          <w:tcPr>
            <w:tcW w:w="356" w:type="dxa"/>
            <w:gridSpan w:val="5"/>
            <w:shd w:val="clear" w:color="auto" w:fill="BFBFBF"/>
            <w:textDirection w:val="btLr"/>
            <w:vAlign w:val="bottom"/>
          </w:tcPr>
          <w:p w:rsidRPr="006949BC" w:rsidR="006949BC" w:rsidP="006949BC" w:rsidRDefault="006949BC" w14:paraId="302ED6DD"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t>Ja</w:t>
            </w:r>
          </w:p>
        </w:tc>
        <w:tc>
          <w:tcPr>
            <w:tcW w:w="355" w:type="dxa"/>
            <w:gridSpan w:val="3"/>
            <w:shd w:val="clear" w:color="auto" w:fill="BFBFBF"/>
            <w:textDirection w:val="btLr"/>
            <w:vAlign w:val="bottom"/>
          </w:tcPr>
          <w:p w:rsidRPr="006949BC" w:rsidR="006949BC" w:rsidP="006949BC" w:rsidRDefault="006949BC" w14:paraId="0FF5BB39"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t>Deels</w:t>
            </w:r>
          </w:p>
        </w:tc>
        <w:tc>
          <w:tcPr>
            <w:tcW w:w="428" w:type="dxa"/>
            <w:gridSpan w:val="2"/>
            <w:shd w:val="clear" w:color="auto" w:fill="BFBFBF"/>
            <w:textDirection w:val="btLr"/>
            <w:vAlign w:val="bottom"/>
          </w:tcPr>
          <w:p w:rsidRPr="006949BC" w:rsidR="006949BC" w:rsidP="006949BC" w:rsidRDefault="006949BC" w14:paraId="611C3280"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t>Nee</w:t>
            </w:r>
          </w:p>
        </w:tc>
        <w:tc>
          <w:tcPr>
            <w:tcW w:w="433" w:type="dxa"/>
            <w:gridSpan w:val="2"/>
            <w:shd w:val="clear" w:color="auto" w:fill="BFBFBF"/>
            <w:textDirection w:val="btLr"/>
            <w:vAlign w:val="bottom"/>
          </w:tcPr>
          <w:p w:rsidRPr="006949BC" w:rsidR="006949BC" w:rsidP="006949BC" w:rsidRDefault="006949BC" w14:paraId="11CA4C91"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t>N.v.t.</w:t>
            </w:r>
          </w:p>
        </w:tc>
        <w:tc>
          <w:tcPr>
            <w:tcW w:w="559" w:type="dxa"/>
            <w:shd w:val="clear" w:color="auto" w:fill="BFBFBF"/>
            <w:textDirection w:val="btLr"/>
            <w:vAlign w:val="center"/>
          </w:tcPr>
          <w:p w:rsidRPr="006949BC" w:rsidR="006949BC" w:rsidP="006949BC" w:rsidRDefault="006949BC" w14:paraId="18E81804"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t>Zie par.</w:t>
            </w:r>
          </w:p>
        </w:tc>
      </w:tr>
      <w:tr w:rsidRPr="006949BC" w:rsidR="006949BC" w:rsidTr="006949BC" w14:paraId="1C75ECCE" w14:textId="77777777">
        <w:trPr>
          <w:gridAfter w:val="10"/>
          <w:wAfter w:w="1952" w:type="dxa"/>
          <w:cantSplit/>
          <w:trHeight w:val="403"/>
        </w:trPr>
        <w:tc>
          <w:tcPr>
            <w:tcW w:w="693" w:type="dxa"/>
            <w:shd w:val="clear" w:color="auto" w:fill="FFFFFF"/>
            <w:vAlign w:val="center"/>
          </w:tcPr>
          <w:p w:rsidRPr="006949BC" w:rsidR="006949BC" w:rsidP="006949BC" w:rsidRDefault="006949BC" w14:paraId="3A7ED645" w14:textId="77777777">
            <w:pPr>
              <w:spacing w:after="0" w:line="276" w:lineRule="auto"/>
              <w:jc w:val="right"/>
              <w:rPr>
                <w:rFonts w:ascii="Arial" w:hAnsi="Arial" w:eastAsia="Calibri" w:cs="Arial"/>
                <w:sz w:val="16"/>
                <w:szCs w:val="16"/>
                <w:lang w:val="nl-NL"/>
              </w:rPr>
            </w:pPr>
          </w:p>
        </w:tc>
        <w:tc>
          <w:tcPr>
            <w:tcW w:w="6531" w:type="dxa"/>
            <w:gridSpan w:val="5"/>
            <w:shd w:val="clear" w:color="auto" w:fill="FFFFFF"/>
            <w:vAlign w:val="center"/>
          </w:tcPr>
          <w:p w:rsidRPr="006949BC" w:rsidR="006949BC" w:rsidP="006949BC" w:rsidRDefault="006949BC" w14:paraId="2EEEDBE0" w14:textId="77777777">
            <w:pPr>
              <w:spacing w:after="0" w:line="276" w:lineRule="auto"/>
              <w:rPr>
                <w:rFonts w:ascii="Arial" w:hAnsi="Arial" w:eastAsia="Times New Roman" w:cs="Arial"/>
                <w:b/>
                <w:sz w:val="16"/>
                <w:szCs w:val="16"/>
                <w:lang w:val="en-GB" w:eastAsia="nl-NL"/>
              </w:rPr>
            </w:pPr>
            <w:r w:rsidRPr="006949BC">
              <w:rPr>
                <w:rFonts w:ascii="Arial" w:hAnsi="Arial" w:eastAsia="Calibri" w:cs="Arial"/>
                <w:b/>
                <w:sz w:val="16"/>
                <w:szCs w:val="16"/>
                <w:lang w:val="nl-NL"/>
              </w:rPr>
              <w:t>Algemeen</w:t>
            </w:r>
          </w:p>
        </w:tc>
      </w:tr>
      <w:tr w:rsidRPr="006949BC" w:rsidR="006949BC" w:rsidTr="006949BC" w14:paraId="13F33863" w14:textId="77777777">
        <w:trPr>
          <w:trHeight w:val="255"/>
        </w:trPr>
        <w:tc>
          <w:tcPr>
            <w:tcW w:w="693" w:type="dxa"/>
            <w:shd w:val="clear" w:color="auto" w:fill="BFBFBF"/>
            <w:vAlign w:val="center"/>
          </w:tcPr>
          <w:p w:rsidRPr="006949BC" w:rsidR="006949BC" w:rsidP="006949BC" w:rsidRDefault="006949BC" w14:paraId="730A58CD"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IV</w:t>
            </w:r>
          </w:p>
        </w:tc>
        <w:tc>
          <w:tcPr>
            <w:tcW w:w="6352" w:type="dxa"/>
            <w:gridSpan w:val="2"/>
            <w:shd w:val="clear" w:color="auto" w:fill="007BC7"/>
            <w:vAlign w:val="center"/>
          </w:tcPr>
          <w:p w:rsidRPr="006949BC" w:rsidR="006949BC" w:rsidP="006949BC" w:rsidRDefault="006949BC" w14:paraId="6EFD92A0"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Globaal beslisschema voor het aangaan van verdragsrelaties gevolgd</w:t>
            </w:r>
          </w:p>
        </w:tc>
        <w:tc>
          <w:tcPr>
            <w:tcW w:w="356" w:type="dxa"/>
            <w:gridSpan w:val="5"/>
            <w:shd w:val="clear" w:color="auto" w:fill="BFBFBF"/>
            <w:vAlign w:val="center"/>
          </w:tcPr>
          <w:p w:rsidRPr="006949BC" w:rsidR="006949BC" w:rsidP="006949BC" w:rsidRDefault="006949BC" w14:paraId="10EF0288"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tcPr>
          <w:p w:rsidRPr="006949BC" w:rsidR="006949BC" w:rsidP="006949BC" w:rsidRDefault="006949BC" w14:paraId="3C40DF5E" w14:textId="77777777">
            <w:pPr>
              <w:spacing w:after="0" w:line="360" w:lineRule="auto"/>
              <w:ind w:firstLine="709"/>
              <w:jc w:val="center"/>
              <w:rPr>
                <w:rFonts w:ascii="Arial" w:hAnsi="Arial" w:eastAsia="Calibri" w:cs="Arial"/>
                <w:b/>
                <w:color w:val="007BC7"/>
                <w:sz w:val="16"/>
                <w:szCs w:val="16"/>
                <w:lang w:val="nl-NL"/>
              </w:rPr>
            </w:pPr>
          </w:p>
        </w:tc>
        <w:tc>
          <w:tcPr>
            <w:tcW w:w="428" w:type="dxa"/>
            <w:gridSpan w:val="2"/>
            <w:shd w:val="clear" w:color="auto" w:fill="BFBFBF"/>
          </w:tcPr>
          <w:p w:rsidRPr="006949BC" w:rsidR="006949BC" w:rsidP="006949BC" w:rsidRDefault="006949BC" w14:paraId="1FC5E953" w14:textId="77777777">
            <w:pPr>
              <w:spacing w:after="0" w:line="360" w:lineRule="auto"/>
              <w:ind w:firstLine="709"/>
              <w:jc w:val="center"/>
              <w:rPr>
                <w:rFonts w:ascii="Arial" w:hAnsi="Arial" w:eastAsia="Calibri" w:cs="Arial"/>
                <w:b/>
                <w:color w:val="007BC7"/>
                <w:sz w:val="16"/>
                <w:szCs w:val="16"/>
                <w:lang w:val="nl-NL"/>
              </w:rPr>
            </w:pPr>
          </w:p>
        </w:tc>
        <w:tc>
          <w:tcPr>
            <w:tcW w:w="433" w:type="dxa"/>
            <w:gridSpan w:val="2"/>
            <w:shd w:val="clear" w:color="auto" w:fill="BFBFBF"/>
          </w:tcPr>
          <w:p w:rsidRPr="006949BC" w:rsidR="006949BC" w:rsidP="006949BC" w:rsidRDefault="006949BC" w14:paraId="0694D645"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16ECC2A0"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I.0</w:t>
            </w:r>
          </w:p>
        </w:tc>
      </w:tr>
      <w:tr w:rsidRPr="006949BC" w:rsidR="006949BC" w:rsidTr="006949BC" w14:paraId="2799F1E6" w14:textId="77777777">
        <w:trPr>
          <w:trHeight w:val="532"/>
        </w:trPr>
        <w:tc>
          <w:tcPr>
            <w:tcW w:w="693" w:type="dxa"/>
            <w:shd w:val="clear" w:color="auto" w:fill="BFBFBF"/>
            <w:vAlign w:val="center"/>
          </w:tcPr>
          <w:p w:rsidRPr="006949BC" w:rsidR="006949BC" w:rsidP="006949BC" w:rsidRDefault="006949BC" w14:paraId="74C6F3A5"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1.2.6</w:t>
            </w:r>
          </w:p>
        </w:tc>
        <w:tc>
          <w:tcPr>
            <w:tcW w:w="6352" w:type="dxa"/>
            <w:gridSpan w:val="2"/>
            <w:shd w:val="clear" w:color="auto" w:fill="007BC7"/>
            <w:vAlign w:val="center"/>
          </w:tcPr>
          <w:p w:rsidRPr="006949BC" w:rsidR="006949BC" w:rsidP="006949BC" w:rsidRDefault="006949BC" w14:paraId="0F7DFE4D"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Bijzonder regime geheel of gedeeltelijk uitgezonderd van verdragsvoordelen in gevallen waarin het risico op verdragsmisbruik bestaat</w:t>
            </w:r>
          </w:p>
        </w:tc>
        <w:tc>
          <w:tcPr>
            <w:tcW w:w="356" w:type="dxa"/>
            <w:gridSpan w:val="5"/>
            <w:shd w:val="clear" w:color="auto" w:fill="BFBFBF"/>
            <w:vAlign w:val="center"/>
          </w:tcPr>
          <w:p w:rsidRPr="006949BC" w:rsidR="006949BC" w:rsidP="006949BC" w:rsidRDefault="006949BC" w14:paraId="6F917F1A"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tcPr>
          <w:p w:rsidRPr="006949BC" w:rsidR="006949BC" w:rsidP="006949BC" w:rsidRDefault="006949BC" w14:paraId="3BC5EBF3" w14:textId="77777777">
            <w:pPr>
              <w:spacing w:after="0" w:line="360" w:lineRule="auto"/>
              <w:ind w:left="-548" w:right="-83" w:firstLine="533"/>
              <w:jc w:val="center"/>
              <w:rPr>
                <w:rFonts w:ascii="Arial" w:hAnsi="Arial" w:eastAsia="Calibri" w:cs="Arial"/>
                <w:b/>
                <w:color w:val="007BC7"/>
                <w:sz w:val="16"/>
                <w:szCs w:val="16"/>
                <w:lang w:val="nl-NL"/>
              </w:rPr>
            </w:pPr>
          </w:p>
        </w:tc>
        <w:tc>
          <w:tcPr>
            <w:tcW w:w="428" w:type="dxa"/>
            <w:gridSpan w:val="2"/>
            <w:shd w:val="clear" w:color="auto" w:fill="BFBFBF"/>
          </w:tcPr>
          <w:p w:rsidRPr="006949BC" w:rsidR="006949BC" w:rsidP="006949BC" w:rsidRDefault="006949BC" w14:paraId="32F9AB82" w14:textId="77777777">
            <w:pPr>
              <w:spacing w:after="0" w:line="360" w:lineRule="auto"/>
              <w:ind w:firstLine="709"/>
              <w:jc w:val="center"/>
              <w:rPr>
                <w:rFonts w:ascii="Arial" w:hAnsi="Arial" w:eastAsia="Calibri" w:cs="Arial"/>
                <w:b/>
                <w:color w:val="007BC7"/>
                <w:sz w:val="16"/>
                <w:szCs w:val="16"/>
                <w:lang w:val="nl-NL"/>
              </w:rPr>
            </w:pPr>
          </w:p>
        </w:tc>
        <w:tc>
          <w:tcPr>
            <w:tcW w:w="433" w:type="dxa"/>
            <w:gridSpan w:val="2"/>
            <w:shd w:val="clear" w:color="auto" w:fill="BFBFBF"/>
          </w:tcPr>
          <w:p w:rsidRPr="006949BC" w:rsidR="006949BC" w:rsidP="006949BC" w:rsidRDefault="006949BC" w14:paraId="2F357916"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C53EB8" w14:paraId="3173192F" w14:textId="51092E23">
            <w:pPr>
              <w:spacing w:after="0" w:line="276" w:lineRule="auto"/>
              <w:rPr>
                <w:rFonts w:ascii="Arial" w:hAnsi="Arial" w:eastAsia="Calibri" w:cs="Arial"/>
                <w:sz w:val="16"/>
                <w:szCs w:val="16"/>
                <w:lang w:val="nl-NL"/>
              </w:rPr>
            </w:pPr>
            <w:r>
              <w:rPr>
                <w:rFonts w:ascii="Arial" w:hAnsi="Arial" w:eastAsia="Calibri" w:cs="Arial"/>
                <w:sz w:val="16"/>
                <w:szCs w:val="16"/>
                <w:lang w:val="nl-NL"/>
              </w:rPr>
              <w:t>II.4</w:t>
            </w:r>
          </w:p>
        </w:tc>
      </w:tr>
      <w:tr w:rsidRPr="006949BC" w:rsidR="006949BC" w:rsidTr="006949BC" w14:paraId="4A445439" w14:textId="77777777">
        <w:trPr>
          <w:trHeight w:val="255"/>
        </w:trPr>
        <w:tc>
          <w:tcPr>
            <w:tcW w:w="693" w:type="dxa"/>
            <w:shd w:val="clear" w:color="auto" w:fill="BFBFBF"/>
            <w:vAlign w:val="center"/>
          </w:tcPr>
          <w:p w:rsidRPr="006949BC" w:rsidR="006949BC" w:rsidP="006949BC" w:rsidRDefault="006949BC" w14:paraId="57E1C584"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1.3.5</w:t>
            </w:r>
          </w:p>
        </w:tc>
        <w:tc>
          <w:tcPr>
            <w:tcW w:w="6352" w:type="dxa"/>
            <w:gridSpan w:val="2"/>
            <w:shd w:val="clear" w:color="auto" w:fill="007BC7"/>
            <w:vAlign w:val="center"/>
          </w:tcPr>
          <w:p w:rsidRPr="006949BC" w:rsidR="006949BC" w:rsidP="006949BC" w:rsidRDefault="006949BC" w14:paraId="0B63454E"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6949BC" w:rsidR="006949BC" w:rsidP="006949BC" w:rsidRDefault="006949BC" w14:paraId="7A666779"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tcPr>
          <w:p w:rsidRPr="006949BC" w:rsidR="006949BC" w:rsidP="006949BC" w:rsidRDefault="006949BC" w14:paraId="459C7841" w14:textId="77777777">
            <w:pPr>
              <w:spacing w:after="0" w:line="276" w:lineRule="auto"/>
              <w:rPr>
                <w:rFonts w:ascii="Arial" w:hAnsi="Arial" w:eastAsia="Calibri" w:cs="Arial"/>
                <w:b/>
                <w:color w:val="007BC7"/>
                <w:sz w:val="16"/>
                <w:szCs w:val="16"/>
                <w:lang w:val="nl-NL"/>
              </w:rPr>
            </w:pPr>
          </w:p>
        </w:tc>
        <w:tc>
          <w:tcPr>
            <w:tcW w:w="428" w:type="dxa"/>
            <w:gridSpan w:val="2"/>
            <w:shd w:val="clear" w:color="auto" w:fill="BFBFBF"/>
          </w:tcPr>
          <w:p w:rsidRPr="006949BC" w:rsidR="006949BC" w:rsidP="006949BC" w:rsidRDefault="006949BC" w14:paraId="1EBE33A7"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33" w:type="dxa"/>
            <w:gridSpan w:val="2"/>
            <w:shd w:val="clear" w:color="auto" w:fill="BFBFBF"/>
          </w:tcPr>
          <w:p w:rsidRPr="006949BC" w:rsidR="006949BC" w:rsidP="006949BC" w:rsidRDefault="006949BC" w14:paraId="01D03F93" w14:textId="77777777">
            <w:pPr>
              <w:spacing w:after="0" w:line="276" w:lineRule="auto"/>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2D239CD5"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39BE847B" w14:textId="77777777">
        <w:trPr>
          <w:trHeight w:val="255"/>
        </w:trPr>
        <w:tc>
          <w:tcPr>
            <w:tcW w:w="693" w:type="dxa"/>
            <w:shd w:val="clear" w:color="auto" w:fill="BFBFBF"/>
            <w:vAlign w:val="center"/>
          </w:tcPr>
          <w:p w:rsidRPr="006949BC" w:rsidR="006949BC" w:rsidP="006949BC" w:rsidRDefault="006949BC" w14:paraId="3A5FEC11"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III</w:t>
            </w:r>
          </w:p>
        </w:tc>
        <w:tc>
          <w:tcPr>
            <w:tcW w:w="6352" w:type="dxa"/>
            <w:gridSpan w:val="2"/>
            <w:shd w:val="clear" w:color="auto" w:fill="007BC7"/>
            <w:vAlign w:val="center"/>
          </w:tcPr>
          <w:p w:rsidRPr="006949BC" w:rsidR="006949BC" w:rsidP="006949BC" w:rsidRDefault="006949BC" w14:paraId="0CF02E75"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Dubbele belastingheffing in relatie tot BES eilanden geadresseerd </w:t>
            </w:r>
          </w:p>
        </w:tc>
        <w:tc>
          <w:tcPr>
            <w:tcW w:w="356" w:type="dxa"/>
            <w:gridSpan w:val="5"/>
            <w:shd w:val="clear" w:color="auto" w:fill="BFBFBF"/>
            <w:vAlign w:val="center"/>
          </w:tcPr>
          <w:p w:rsidRPr="006949BC" w:rsidR="006949BC" w:rsidP="006949BC" w:rsidRDefault="006949BC" w14:paraId="7532EFA7"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tcPr>
          <w:p w:rsidRPr="006949BC" w:rsidR="006949BC" w:rsidP="006949BC" w:rsidRDefault="006949BC" w14:paraId="3E20DFDD" w14:textId="77777777">
            <w:pPr>
              <w:spacing w:after="0" w:line="276" w:lineRule="auto"/>
              <w:rPr>
                <w:rFonts w:ascii="Arial" w:hAnsi="Arial" w:eastAsia="Calibri" w:cs="Arial"/>
                <w:b/>
                <w:color w:val="007BC7"/>
                <w:sz w:val="16"/>
                <w:szCs w:val="16"/>
                <w:lang w:val="nl-NL"/>
              </w:rPr>
            </w:pPr>
          </w:p>
        </w:tc>
        <w:tc>
          <w:tcPr>
            <w:tcW w:w="428" w:type="dxa"/>
            <w:gridSpan w:val="2"/>
            <w:shd w:val="clear" w:color="auto" w:fill="BFBFBF"/>
          </w:tcPr>
          <w:p w:rsidRPr="006949BC" w:rsidR="006949BC" w:rsidP="006949BC" w:rsidRDefault="006949BC" w14:paraId="0E39076A"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33" w:type="dxa"/>
            <w:gridSpan w:val="2"/>
            <w:shd w:val="clear" w:color="auto" w:fill="BFBFBF"/>
          </w:tcPr>
          <w:p w:rsidRPr="006949BC" w:rsidR="006949BC" w:rsidP="006949BC" w:rsidRDefault="006949BC" w14:paraId="3CDE3717" w14:textId="77777777">
            <w:pPr>
              <w:spacing w:after="0" w:line="276" w:lineRule="auto"/>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33F42F12"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I.6</w:t>
            </w:r>
          </w:p>
        </w:tc>
      </w:tr>
      <w:tr w:rsidRPr="002C4A51" w:rsidR="006949BC" w:rsidTr="006949BC" w14:paraId="2C58A7B4" w14:textId="77777777">
        <w:trPr>
          <w:gridAfter w:val="10"/>
          <w:wAfter w:w="1952" w:type="dxa"/>
          <w:cantSplit/>
          <w:trHeight w:val="403"/>
        </w:trPr>
        <w:tc>
          <w:tcPr>
            <w:tcW w:w="693" w:type="dxa"/>
            <w:shd w:val="clear" w:color="auto" w:fill="FFFFFF"/>
            <w:vAlign w:val="center"/>
          </w:tcPr>
          <w:p w:rsidRPr="006949BC" w:rsidR="006949BC" w:rsidP="006949BC" w:rsidRDefault="006949BC" w14:paraId="5CED2C56" w14:textId="77777777">
            <w:pPr>
              <w:spacing w:after="0" w:line="276" w:lineRule="auto"/>
              <w:jc w:val="right"/>
              <w:rPr>
                <w:rFonts w:ascii="Arial" w:hAnsi="Arial" w:eastAsia="Calibri" w:cs="Arial"/>
                <w:sz w:val="16"/>
                <w:szCs w:val="16"/>
                <w:lang w:val="nl-NL"/>
              </w:rPr>
            </w:pPr>
          </w:p>
        </w:tc>
        <w:tc>
          <w:tcPr>
            <w:tcW w:w="6531" w:type="dxa"/>
            <w:gridSpan w:val="5"/>
            <w:shd w:val="clear" w:color="auto" w:fill="FFFFFF"/>
            <w:vAlign w:val="center"/>
          </w:tcPr>
          <w:p w:rsidRPr="006949BC" w:rsidR="006949BC" w:rsidP="006949BC" w:rsidRDefault="006949BC" w14:paraId="11CACE4A" w14:textId="77777777">
            <w:pPr>
              <w:spacing w:after="0" w:line="360" w:lineRule="auto"/>
              <w:rPr>
                <w:rFonts w:ascii="Arial" w:hAnsi="Arial" w:eastAsia="Times New Roman" w:cs="Arial"/>
                <w:b/>
                <w:sz w:val="16"/>
                <w:szCs w:val="16"/>
                <w:lang w:val="nl-NL" w:eastAsia="nl-NL"/>
              </w:rPr>
            </w:pPr>
            <w:r w:rsidRPr="006949BC">
              <w:rPr>
                <w:rFonts w:ascii="Arial" w:hAnsi="Arial" w:eastAsia="Calibri" w:cs="Arial"/>
                <w:b/>
                <w:sz w:val="16"/>
                <w:szCs w:val="16"/>
                <w:lang w:val="nl-NL"/>
              </w:rPr>
              <w:t>Specifieke elementen</w:t>
            </w:r>
            <w:r w:rsidRPr="006949BC">
              <w:rPr>
                <w:rFonts w:ascii="Arial" w:hAnsi="Arial" w:eastAsia="Times New Roman" w:cs="Arial"/>
                <w:b/>
                <w:sz w:val="16"/>
                <w:szCs w:val="16"/>
                <w:lang w:val="nl-NL" w:eastAsia="nl-NL"/>
              </w:rPr>
              <w:br/>
            </w:r>
            <w:r w:rsidRPr="006949BC">
              <w:rPr>
                <w:rFonts w:ascii="Arial" w:hAnsi="Arial" w:eastAsia="Calibri" w:cs="Arial"/>
                <w:i/>
                <w:sz w:val="16"/>
                <w:szCs w:val="16"/>
                <w:lang w:val="nl-NL"/>
              </w:rPr>
              <w:t>Verdragstoegang en –voordelen</w:t>
            </w:r>
          </w:p>
        </w:tc>
      </w:tr>
      <w:tr w:rsidRPr="006949BC" w:rsidR="006949BC" w:rsidTr="006949BC" w14:paraId="50A13678" w14:textId="77777777">
        <w:trPr>
          <w:trHeight w:val="255"/>
        </w:trPr>
        <w:tc>
          <w:tcPr>
            <w:tcW w:w="693" w:type="dxa"/>
            <w:shd w:val="clear" w:color="auto" w:fill="BFBFBF"/>
            <w:vAlign w:val="center"/>
          </w:tcPr>
          <w:p w:rsidRPr="006949BC" w:rsidR="006949BC" w:rsidP="006949BC" w:rsidRDefault="006949BC" w14:paraId="60266E6B"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2.2.1</w:t>
            </w:r>
          </w:p>
        </w:tc>
        <w:tc>
          <w:tcPr>
            <w:tcW w:w="6352" w:type="dxa"/>
            <w:gridSpan w:val="2"/>
            <w:shd w:val="clear" w:color="auto" w:fill="007BC7"/>
            <w:vAlign w:val="center"/>
          </w:tcPr>
          <w:p w:rsidRPr="006949BC" w:rsidR="006949BC" w:rsidP="006949BC" w:rsidRDefault="006949BC" w14:paraId="3D66EA65"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shd w:val="clear" w:color="auto" w:fill="BFBFBF"/>
            <w:vAlign w:val="center"/>
          </w:tcPr>
          <w:p w:rsidRPr="006949BC" w:rsidR="006949BC" w:rsidP="006949BC" w:rsidRDefault="006949BC" w14:paraId="303AF145"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6046AFF8"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12D99703"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33" w:type="dxa"/>
            <w:gridSpan w:val="2"/>
            <w:shd w:val="clear" w:color="auto" w:fill="BFBFBF"/>
            <w:vAlign w:val="center"/>
          </w:tcPr>
          <w:p w:rsidRPr="006949BC" w:rsidR="006949BC" w:rsidP="006949BC" w:rsidRDefault="006949BC" w14:paraId="4083005E"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7CB1EB6A"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II.4</w:t>
            </w:r>
          </w:p>
        </w:tc>
      </w:tr>
      <w:tr w:rsidRPr="006949BC" w:rsidR="006949BC" w:rsidTr="006949BC" w14:paraId="19CDAF23" w14:textId="77777777">
        <w:trPr>
          <w:trHeight w:val="255"/>
        </w:trPr>
        <w:tc>
          <w:tcPr>
            <w:tcW w:w="693" w:type="dxa"/>
            <w:shd w:val="clear" w:color="auto" w:fill="BFBFBF"/>
            <w:vAlign w:val="center"/>
          </w:tcPr>
          <w:p w:rsidRPr="006949BC" w:rsidR="006949BC" w:rsidP="006949BC" w:rsidRDefault="006949BC" w14:paraId="53B38843"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2.2.1</w:t>
            </w:r>
          </w:p>
        </w:tc>
        <w:tc>
          <w:tcPr>
            <w:tcW w:w="6352" w:type="dxa"/>
            <w:gridSpan w:val="2"/>
            <w:shd w:val="clear" w:color="auto" w:fill="007BC7"/>
            <w:vAlign w:val="center"/>
          </w:tcPr>
          <w:p w:rsidRPr="006949BC" w:rsidR="006949BC" w:rsidP="006949BC" w:rsidRDefault="006949BC" w14:paraId="297F570C"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De </w:t>
            </w:r>
            <w:proofErr w:type="spellStart"/>
            <w:r w:rsidRPr="006949BC">
              <w:rPr>
                <w:rFonts w:ascii="Arial" w:hAnsi="Arial" w:eastAsia="Calibri" w:cs="Arial"/>
                <w:color w:val="FFFFFF"/>
                <w:sz w:val="16"/>
                <w:szCs w:val="16"/>
                <w:lang w:val="nl-NL"/>
              </w:rPr>
              <w:t>vbi</w:t>
            </w:r>
            <w:proofErr w:type="spellEnd"/>
            <w:r w:rsidRPr="006949BC">
              <w:rPr>
                <w:rFonts w:ascii="Arial" w:hAnsi="Arial" w:eastAsia="Calibri" w:cs="Arial"/>
                <w:color w:val="FFFFFF"/>
                <w:sz w:val="16"/>
                <w:szCs w:val="16"/>
                <w:lang w:val="nl-NL"/>
              </w:rPr>
              <w:t xml:space="preserve"> komt voor sommige verdragsvoordelen niet in aanmerking</w:t>
            </w:r>
            <w:r w:rsidRPr="006949BC">
              <w:rPr>
                <w:rFonts w:ascii="Arial" w:hAnsi="Arial" w:eastAsia="Calibri" w:cs="Arial"/>
                <w:color w:val="FFFFFF"/>
                <w:sz w:val="16"/>
                <w:szCs w:val="16"/>
                <w:vertAlign w:val="superscript"/>
                <w:lang w:val="nl-NL"/>
              </w:rPr>
              <w:footnoteReference w:id="11"/>
            </w:r>
          </w:p>
        </w:tc>
        <w:tc>
          <w:tcPr>
            <w:tcW w:w="356" w:type="dxa"/>
            <w:gridSpan w:val="5"/>
            <w:shd w:val="clear" w:color="auto" w:fill="BFBFBF"/>
            <w:vAlign w:val="center"/>
          </w:tcPr>
          <w:p w:rsidRPr="006949BC" w:rsidR="006949BC" w:rsidP="006949BC" w:rsidRDefault="006949BC" w14:paraId="153B1FA2"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C53EB8" w14:paraId="18394D24" w14:textId="0E7D2798">
            <w:pPr>
              <w:spacing w:after="0" w:line="276" w:lineRule="auto"/>
              <w:jc w:val="center"/>
              <w:rPr>
                <w:rFonts w:ascii="Arial" w:hAnsi="Arial" w:eastAsia="Calibri" w:cs="Arial"/>
                <w:b/>
                <w:color w:val="007BC7"/>
                <w:sz w:val="16"/>
                <w:szCs w:val="16"/>
                <w:lang w:val="nl-NL"/>
              </w:rPr>
            </w:pPr>
            <w:r>
              <w:rPr>
                <w:rFonts w:ascii="Arial" w:hAnsi="Arial" w:eastAsia="Calibri" w:cs="Arial"/>
                <w:b/>
                <w:color w:val="007BC7"/>
                <w:sz w:val="16"/>
                <w:szCs w:val="16"/>
                <w:lang w:val="nl-NL"/>
              </w:rPr>
              <w:t>X</w:t>
            </w:r>
          </w:p>
        </w:tc>
        <w:tc>
          <w:tcPr>
            <w:tcW w:w="428" w:type="dxa"/>
            <w:gridSpan w:val="2"/>
            <w:shd w:val="clear" w:color="auto" w:fill="BFBFBF"/>
            <w:vAlign w:val="center"/>
          </w:tcPr>
          <w:p w:rsidRPr="006949BC" w:rsidR="006949BC" w:rsidP="006949BC" w:rsidRDefault="006949BC" w14:paraId="695115E6"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66C1FEC1"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3B572906"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w:t>
            </w:r>
          </w:p>
        </w:tc>
      </w:tr>
      <w:tr w:rsidRPr="006949BC" w:rsidR="006949BC" w:rsidTr="006949BC" w14:paraId="748489C2" w14:textId="77777777">
        <w:trPr>
          <w:trHeight w:val="255"/>
        </w:trPr>
        <w:tc>
          <w:tcPr>
            <w:tcW w:w="693" w:type="dxa"/>
            <w:shd w:val="clear" w:color="auto" w:fill="BFBFBF"/>
            <w:vAlign w:val="center"/>
          </w:tcPr>
          <w:p w:rsidRPr="006949BC" w:rsidR="006949BC" w:rsidP="006949BC" w:rsidRDefault="006949BC" w14:paraId="02C49109"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2.2.1</w:t>
            </w:r>
            <w:r w:rsidRPr="006949BC">
              <w:rPr>
                <w:rFonts w:ascii="Arial" w:hAnsi="Arial" w:eastAsia="Calibri" w:cs="Arial"/>
                <w:sz w:val="16"/>
                <w:szCs w:val="16"/>
                <w:lang w:val="nl-NL"/>
              </w:rPr>
              <w:br/>
              <w:t>/II.2</w:t>
            </w:r>
          </w:p>
        </w:tc>
        <w:tc>
          <w:tcPr>
            <w:tcW w:w="6352" w:type="dxa"/>
            <w:gridSpan w:val="2"/>
            <w:shd w:val="clear" w:color="auto" w:fill="007BC7"/>
            <w:vAlign w:val="center"/>
          </w:tcPr>
          <w:p w:rsidRPr="006949BC" w:rsidR="006949BC" w:rsidP="006949BC" w:rsidRDefault="006949BC" w14:paraId="49FCA60A"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Duidelijkheid is gegeven over de verdragstoegang van en aanspraak op verdragsvoordelen door pensioen- en overheidsfondsen</w:t>
            </w:r>
          </w:p>
        </w:tc>
        <w:tc>
          <w:tcPr>
            <w:tcW w:w="356" w:type="dxa"/>
            <w:gridSpan w:val="5"/>
            <w:shd w:val="clear" w:color="auto" w:fill="BFBFBF"/>
            <w:vAlign w:val="center"/>
          </w:tcPr>
          <w:p w:rsidRPr="006949BC" w:rsidR="006949BC" w:rsidP="006949BC" w:rsidRDefault="006949BC" w14:paraId="7C7AA812"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088EB49A"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65B3275F"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24FA66E4"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354A0A93"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II.4</w:t>
            </w:r>
          </w:p>
        </w:tc>
      </w:tr>
      <w:tr w:rsidRPr="006949BC" w:rsidR="006949BC" w:rsidTr="006949BC" w14:paraId="695276FB" w14:textId="77777777">
        <w:trPr>
          <w:trHeight w:val="255"/>
        </w:trPr>
        <w:tc>
          <w:tcPr>
            <w:tcW w:w="693" w:type="dxa"/>
            <w:shd w:val="clear" w:color="auto" w:fill="BFBFBF"/>
            <w:vAlign w:val="center"/>
          </w:tcPr>
          <w:p w:rsidRPr="006949BC" w:rsidR="006949BC" w:rsidP="006949BC" w:rsidRDefault="006949BC" w14:paraId="1BA5C7F2"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2.2.2</w:t>
            </w:r>
          </w:p>
        </w:tc>
        <w:tc>
          <w:tcPr>
            <w:tcW w:w="6352" w:type="dxa"/>
            <w:gridSpan w:val="2"/>
            <w:shd w:val="clear" w:color="auto" w:fill="007BC7"/>
            <w:vAlign w:val="center"/>
          </w:tcPr>
          <w:p w:rsidRPr="006949BC" w:rsidR="006949BC" w:rsidP="006949BC" w:rsidRDefault="006949BC" w14:paraId="41F45B1E"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Corporate </w:t>
            </w:r>
            <w:proofErr w:type="spellStart"/>
            <w:r w:rsidRPr="006949BC">
              <w:rPr>
                <w:rFonts w:ascii="Arial" w:hAnsi="Arial" w:eastAsia="Calibri" w:cs="Arial"/>
                <w:color w:val="FFFFFF"/>
                <w:sz w:val="16"/>
                <w:szCs w:val="16"/>
                <w:lang w:val="nl-NL"/>
              </w:rPr>
              <w:t>tiebreaker</w:t>
            </w:r>
            <w:proofErr w:type="spellEnd"/>
            <w:r w:rsidRPr="006949BC">
              <w:rPr>
                <w:rFonts w:ascii="Arial" w:hAnsi="Arial" w:eastAsia="Calibri" w:cs="Arial"/>
                <w:color w:val="FFFFFF"/>
                <w:sz w:val="16"/>
                <w:szCs w:val="16"/>
                <w:lang w:val="nl-NL"/>
              </w:rPr>
              <w:t xml:space="preserve"> op basis van plaats van werkelijke leiding opgenomen</w:t>
            </w:r>
          </w:p>
        </w:tc>
        <w:tc>
          <w:tcPr>
            <w:tcW w:w="356" w:type="dxa"/>
            <w:gridSpan w:val="5"/>
            <w:shd w:val="clear" w:color="auto" w:fill="BFBFBF"/>
            <w:vAlign w:val="center"/>
          </w:tcPr>
          <w:p w:rsidRPr="006949BC" w:rsidR="006949BC" w:rsidP="006949BC" w:rsidRDefault="006949BC" w14:paraId="56585D52"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17010150"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1C9C0A78"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33" w:type="dxa"/>
            <w:gridSpan w:val="2"/>
            <w:shd w:val="clear" w:color="auto" w:fill="BFBFBF"/>
            <w:vAlign w:val="center"/>
          </w:tcPr>
          <w:p w:rsidRPr="006949BC" w:rsidR="006949BC" w:rsidP="006949BC" w:rsidRDefault="006949BC" w14:paraId="294A5E1C"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25091AB6"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II.4</w:t>
            </w:r>
          </w:p>
        </w:tc>
      </w:tr>
      <w:tr w:rsidRPr="006949BC" w:rsidR="006949BC" w:rsidTr="006949BC" w14:paraId="7CA92049" w14:textId="77777777">
        <w:trPr>
          <w:trHeight w:val="255"/>
        </w:trPr>
        <w:tc>
          <w:tcPr>
            <w:tcW w:w="693" w:type="dxa"/>
            <w:shd w:val="clear" w:color="auto" w:fill="BFBFBF"/>
            <w:vAlign w:val="center"/>
          </w:tcPr>
          <w:p w:rsidRPr="006949BC" w:rsidR="006949BC" w:rsidP="006949BC" w:rsidRDefault="006949BC" w14:paraId="1BAB643C"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2.3</w:t>
            </w:r>
          </w:p>
        </w:tc>
        <w:tc>
          <w:tcPr>
            <w:tcW w:w="6352" w:type="dxa"/>
            <w:gridSpan w:val="2"/>
            <w:shd w:val="clear" w:color="auto" w:fill="007BC7"/>
            <w:vAlign w:val="center"/>
          </w:tcPr>
          <w:p w:rsidRPr="006949BC" w:rsidR="006949BC" w:rsidP="006949BC" w:rsidRDefault="006949BC" w14:paraId="19311E9A"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Regeling voor oplossing dubbele heffing en vrijstelling ten aanzien van hybride (rechts)vormen opgenomen </w:t>
            </w:r>
          </w:p>
        </w:tc>
        <w:tc>
          <w:tcPr>
            <w:tcW w:w="356" w:type="dxa"/>
            <w:gridSpan w:val="5"/>
            <w:shd w:val="clear" w:color="auto" w:fill="BFBFBF"/>
            <w:vAlign w:val="center"/>
          </w:tcPr>
          <w:p w:rsidRPr="006949BC" w:rsidR="006949BC" w:rsidP="006949BC" w:rsidRDefault="006949BC" w14:paraId="0C6FB465"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34682DE1"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1BB4EA81"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06952192"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22359530"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w:t>
            </w:r>
          </w:p>
        </w:tc>
      </w:tr>
      <w:tr w:rsidRPr="006949BC" w:rsidR="006949BC" w:rsidTr="006949BC" w14:paraId="13FAA8A4" w14:textId="77777777">
        <w:trPr>
          <w:trHeight w:val="255"/>
        </w:trPr>
        <w:tc>
          <w:tcPr>
            <w:tcW w:w="693" w:type="dxa"/>
            <w:shd w:val="clear" w:color="auto" w:fill="BFBFBF"/>
            <w:vAlign w:val="center"/>
          </w:tcPr>
          <w:p w:rsidRPr="006949BC" w:rsidR="006949BC" w:rsidP="006949BC" w:rsidRDefault="006949BC" w14:paraId="7F488627"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2.4</w:t>
            </w:r>
          </w:p>
        </w:tc>
        <w:tc>
          <w:tcPr>
            <w:tcW w:w="6352" w:type="dxa"/>
            <w:gridSpan w:val="2"/>
            <w:shd w:val="clear" w:color="auto" w:fill="007BC7"/>
            <w:vAlign w:val="center"/>
          </w:tcPr>
          <w:p w:rsidRPr="006949BC" w:rsidR="006949BC" w:rsidP="006949BC" w:rsidRDefault="006949BC" w14:paraId="1C4F8D44"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Overeenstemming over fiscale behandeling besloten </w:t>
            </w:r>
            <w:proofErr w:type="spellStart"/>
            <w:r w:rsidRPr="006949BC">
              <w:rPr>
                <w:rFonts w:ascii="Arial" w:hAnsi="Arial" w:eastAsia="Calibri" w:cs="Arial"/>
                <w:color w:val="FFFFFF"/>
                <w:sz w:val="16"/>
                <w:szCs w:val="16"/>
                <w:lang w:val="nl-NL"/>
              </w:rPr>
              <w:t>FGR’s</w:t>
            </w:r>
            <w:proofErr w:type="spellEnd"/>
            <w:r w:rsidRPr="006949BC">
              <w:rPr>
                <w:rFonts w:ascii="Arial" w:hAnsi="Arial" w:eastAsia="Calibri" w:cs="Arial"/>
                <w:color w:val="FFFFFF"/>
                <w:sz w:val="16"/>
                <w:szCs w:val="16"/>
                <w:lang w:val="nl-NL"/>
              </w:rPr>
              <w:t xml:space="preserve"> als asset poolinginstrument</w:t>
            </w:r>
          </w:p>
        </w:tc>
        <w:tc>
          <w:tcPr>
            <w:tcW w:w="356" w:type="dxa"/>
            <w:gridSpan w:val="5"/>
            <w:shd w:val="clear" w:color="auto" w:fill="BFBFBF"/>
            <w:vAlign w:val="center"/>
          </w:tcPr>
          <w:p w:rsidRPr="00C53EB8" w:rsidR="006949BC" w:rsidP="006949BC" w:rsidRDefault="006949BC" w14:paraId="32EB305D" w14:textId="28DABBD9">
            <w:pPr>
              <w:spacing w:after="0" w:line="276" w:lineRule="auto"/>
              <w:jc w:val="center"/>
              <w:rPr>
                <w:rFonts w:ascii="Arial" w:hAnsi="Arial" w:eastAsia="Calibri" w:cs="Arial"/>
                <w:b/>
                <w:color w:val="007BC7"/>
                <w:sz w:val="16"/>
                <w:szCs w:val="16"/>
                <w:highlight w:val="yellow"/>
                <w:lang w:val="nl-NL"/>
              </w:rPr>
            </w:pPr>
          </w:p>
        </w:tc>
        <w:tc>
          <w:tcPr>
            <w:tcW w:w="355" w:type="dxa"/>
            <w:gridSpan w:val="3"/>
            <w:shd w:val="clear" w:color="auto" w:fill="BFBFBF"/>
            <w:vAlign w:val="center"/>
          </w:tcPr>
          <w:p w:rsidRPr="006949BC" w:rsidR="006949BC" w:rsidP="006949BC" w:rsidRDefault="006949BC" w14:paraId="03AB1E48"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986981" w14:paraId="56B55000" w14:textId="279299CB">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33" w:type="dxa"/>
            <w:gridSpan w:val="2"/>
            <w:shd w:val="clear" w:color="auto" w:fill="BFBFBF"/>
            <w:vAlign w:val="center"/>
          </w:tcPr>
          <w:p w:rsidRPr="006949BC" w:rsidR="006949BC" w:rsidP="006949BC" w:rsidRDefault="006949BC" w14:paraId="04CAF169"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C53EB8" w14:paraId="789C01B6" w14:textId="690E1F26">
            <w:pPr>
              <w:spacing w:after="0" w:line="276" w:lineRule="auto"/>
              <w:rPr>
                <w:rFonts w:ascii="Arial" w:hAnsi="Arial" w:eastAsia="Calibri" w:cs="Arial"/>
                <w:sz w:val="16"/>
                <w:szCs w:val="16"/>
                <w:lang w:val="nl-NL"/>
              </w:rPr>
            </w:pPr>
            <w:r w:rsidRPr="00986981">
              <w:rPr>
                <w:rFonts w:ascii="Arial" w:hAnsi="Arial" w:eastAsia="Calibri" w:cs="Arial"/>
                <w:sz w:val="16"/>
                <w:szCs w:val="16"/>
                <w:lang w:val="nl-NL"/>
              </w:rPr>
              <w:t>-</w:t>
            </w:r>
          </w:p>
        </w:tc>
      </w:tr>
      <w:tr w:rsidRPr="006949BC" w:rsidR="006949BC" w:rsidTr="006949BC" w14:paraId="05DDC07E" w14:textId="77777777">
        <w:trPr>
          <w:trHeight w:val="255"/>
        </w:trPr>
        <w:tc>
          <w:tcPr>
            <w:tcW w:w="693" w:type="dxa"/>
            <w:shd w:val="clear" w:color="auto" w:fill="BFBFBF"/>
            <w:vAlign w:val="center"/>
          </w:tcPr>
          <w:p w:rsidRPr="006949BC" w:rsidR="006949BC" w:rsidP="006949BC" w:rsidRDefault="006949BC" w14:paraId="1224696F"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2.5</w:t>
            </w:r>
          </w:p>
        </w:tc>
        <w:tc>
          <w:tcPr>
            <w:tcW w:w="6352" w:type="dxa"/>
            <w:gridSpan w:val="2"/>
            <w:shd w:val="clear" w:color="auto" w:fill="007BC7"/>
            <w:vAlign w:val="center"/>
          </w:tcPr>
          <w:p w:rsidRPr="006949BC" w:rsidR="006949BC" w:rsidP="006949BC" w:rsidRDefault="006949BC" w14:paraId="19ED703D"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Afgezonderde Particuliere Vermogens tijdens onderhandelingen besproken en zo nodig geadresseerd in het verdrag</w:t>
            </w:r>
          </w:p>
        </w:tc>
        <w:tc>
          <w:tcPr>
            <w:tcW w:w="356" w:type="dxa"/>
            <w:gridSpan w:val="5"/>
            <w:shd w:val="clear" w:color="auto" w:fill="BFBFBF"/>
            <w:vAlign w:val="center"/>
          </w:tcPr>
          <w:p w:rsidRPr="006949BC" w:rsidR="006949BC" w:rsidP="006949BC" w:rsidRDefault="006949BC" w14:paraId="44F78E61"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681DFE3F"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61AF9D03"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29276C09"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C53EB8" w14:paraId="686856FB" w14:textId="75AEDA0B">
            <w:pPr>
              <w:spacing w:after="0" w:line="276" w:lineRule="auto"/>
              <w:rPr>
                <w:rFonts w:ascii="Arial" w:hAnsi="Arial" w:eastAsia="Calibri" w:cs="Arial"/>
                <w:sz w:val="16"/>
                <w:szCs w:val="16"/>
                <w:lang w:val="nl-NL"/>
              </w:rPr>
            </w:pPr>
            <w:r>
              <w:rPr>
                <w:rFonts w:ascii="Arial" w:hAnsi="Arial" w:eastAsia="Calibri" w:cs="Arial"/>
                <w:sz w:val="16"/>
                <w:szCs w:val="16"/>
                <w:lang w:val="nl-NL"/>
              </w:rPr>
              <w:t>I.2</w:t>
            </w:r>
          </w:p>
        </w:tc>
      </w:tr>
      <w:tr w:rsidRPr="006949BC" w:rsidR="006949BC" w:rsidTr="006949BC" w14:paraId="1D7C63BE" w14:textId="77777777">
        <w:trPr>
          <w:gridAfter w:val="10"/>
          <w:wAfter w:w="1952" w:type="dxa"/>
          <w:cantSplit/>
          <w:trHeight w:val="403"/>
        </w:trPr>
        <w:tc>
          <w:tcPr>
            <w:tcW w:w="693" w:type="dxa"/>
            <w:shd w:val="clear" w:color="auto" w:fill="FFFFFF"/>
            <w:vAlign w:val="center"/>
          </w:tcPr>
          <w:p w:rsidRPr="006949BC" w:rsidR="006949BC" w:rsidP="006949BC" w:rsidRDefault="006949BC" w14:paraId="272E4511" w14:textId="77777777">
            <w:pPr>
              <w:spacing w:after="0" w:line="276" w:lineRule="auto"/>
              <w:jc w:val="right"/>
              <w:rPr>
                <w:rFonts w:ascii="Arial" w:hAnsi="Arial" w:eastAsia="Calibri" w:cs="Arial"/>
                <w:i/>
                <w:sz w:val="16"/>
                <w:szCs w:val="16"/>
                <w:lang w:val="nl-NL"/>
              </w:rPr>
            </w:pPr>
          </w:p>
        </w:tc>
        <w:tc>
          <w:tcPr>
            <w:tcW w:w="6531" w:type="dxa"/>
            <w:gridSpan w:val="5"/>
            <w:shd w:val="clear" w:color="auto" w:fill="FFFFFF"/>
            <w:vAlign w:val="center"/>
          </w:tcPr>
          <w:p w:rsidRPr="006949BC" w:rsidR="006949BC" w:rsidP="006949BC" w:rsidRDefault="006949BC" w14:paraId="351C65DB" w14:textId="77777777">
            <w:pPr>
              <w:spacing w:after="0" w:line="360" w:lineRule="auto"/>
              <w:rPr>
                <w:rFonts w:ascii="Arial" w:hAnsi="Arial" w:eastAsia="Calibri" w:cs="Arial"/>
                <w:i/>
                <w:sz w:val="16"/>
                <w:szCs w:val="16"/>
                <w:lang w:val="nl-NL"/>
              </w:rPr>
            </w:pPr>
            <w:r w:rsidRPr="006949BC">
              <w:rPr>
                <w:rFonts w:ascii="Arial" w:hAnsi="Arial" w:eastAsia="Calibri" w:cs="Arial"/>
                <w:i/>
                <w:sz w:val="16"/>
                <w:szCs w:val="16"/>
                <w:lang w:val="nl-NL"/>
              </w:rPr>
              <w:t>Ondernemingswinsten</w:t>
            </w:r>
          </w:p>
        </w:tc>
      </w:tr>
      <w:tr w:rsidRPr="006949BC" w:rsidR="006949BC" w:rsidTr="006949BC" w14:paraId="417E9780" w14:textId="77777777">
        <w:trPr>
          <w:trHeight w:val="255"/>
        </w:trPr>
        <w:tc>
          <w:tcPr>
            <w:tcW w:w="693" w:type="dxa"/>
            <w:shd w:val="clear" w:color="auto" w:fill="BFBFBF"/>
            <w:vAlign w:val="center"/>
          </w:tcPr>
          <w:p w:rsidRPr="006949BC" w:rsidR="006949BC" w:rsidP="006949BC" w:rsidRDefault="006949BC" w14:paraId="480B3A0D"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2.6.2</w:t>
            </w:r>
          </w:p>
        </w:tc>
        <w:tc>
          <w:tcPr>
            <w:tcW w:w="6352" w:type="dxa"/>
            <w:gridSpan w:val="2"/>
            <w:shd w:val="clear" w:color="auto" w:fill="007BC7"/>
            <w:vAlign w:val="center"/>
          </w:tcPr>
          <w:p w:rsidRPr="006949BC" w:rsidR="006949BC" w:rsidP="006949BC" w:rsidRDefault="006949BC" w14:paraId="71BEF03E"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Definitie ‘vaste inrichting’ in overeenstemming met OESO-beginselen</w:t>
            </w:r>
          </w:p>
        </w:tc>
        <w:tc>
          <w:tcPr>
            <w:tcW w:w="356" w:type="dxa"/>
            <w:gridSpan w:val="5"/>
            <w:shd w:val="clear" w:color="auto" w:fill="BFBFBF"/>
            <w:vAlign w:val="center"/>
          </w:tcPr>
          <w:p w:rsidRPr="006949BC" w:rsidR="006949BC" w:rsidP="006949BC" w:rsidRDefault="006949BC" w14:paraId="45136D77"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155B3A49"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67D7C401"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5B875120"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71400EA4"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II.5</w:t>
            </w:r>
          </w:p>
        </w:tc>
      </w:tr>
      <w:tr w:rsidRPr="006949BC" w:rsidR="006949BC" w:rsidTr="006949BC" w14:paraId="4F00F175" w14:textId="77777777">
        <w:trPr>
          <w:trHeight w:val="255"/>
        </w:trPr>
        <w:tc>
          <w:tcPr>
            <w:tcW w:w="693" w:type="dxa"/>
            <w:shd w:val="clear" w:color="auto" w:fill="BFBFBF"/>
            <w:vAlign w:val="center"/>
          </w:tcPr>
          <w:p w:rsidRPr="006949BC" w:rsidR="006949BC" w:rsidP="006949BC" w:rsidRDefault="006949BC" w14:paraId="3086CEF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2.6.3</w:t>
            </w:r>
          </w:p>
        </w:tc>
        <w:tc>
          <w:tcPr>
            <w:tcW w:w="6352" w:type="dxa"/>
            <w:gridSpan w:val="2"/>
            <w:shd w:val="clear" w:color="auto" w:fill="007BC7"/>
            <w:vAlign w:val="center"/>
          </w:tcPr>
          <w:p w:rsidRPr="006949BC" w:rsidR="006949BC" w:rsidP="006949BC" w:rsidRDefault="006949BC" w14:paraId="3EBE7574"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6949BC" w:rsidR="006949BC" w:rsidP="006949BC" w:rsidRDefault="006949BC" w14:paraId="2BACC4EC"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1E0B6D26"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3767155C"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08AB3A00"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2BDCC1BB"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II.5</w:t>
            </w:r>
          </w:p>
        </w:tc>
      </w:tr>
      <w:tr w:rsidRPr="006949BC" w:rsidR="006949BC" w:rsidTr="006949BC" w14:paraId="744ED568" w14:textId="77777777">
        <w:trPr>
          <w:trHeight w:val="255"/>
        </w:trPr>
        <w:tc>
          <w:tcPr>
            <w:tcW w:w="693" w:type="dxa"/>
            <w:shd w:val="clear" w:color="auto" w:fill="BFBFBF"/>
            <w:vAlign w:val="center"/>
          </w:tcPr>
          <w:p w:rsidRPr="006949BC" w:rsidR="006949BC" w:rsidP="006949BC" w:rsidRDefault="006949BC" w14:paraId="723BFD21"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2.6.4</w:t>
            </w:r>
          </w:p>
        </w:tc>
        <w:tc>
          <w:tcPr>
            <w:tcW w:w="6352" w:type="dxa"/>
            <w:gridSpan w:val="2"/>
            <w:shd w:val="clear" w:color="auto" w:fill="007BC7"/>
            <w:vAlign w:val="center"/>
          </w:tcPr>
          <w:p w:rsidRPr="006949BC" w:rsidR="006949BC" w:rsidP="006949BC" w:rsidRDefault="006949BC" w14:paraId="026ABCD9"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Winsttoerekening vaste inrichtingen conform artikel 7 OESO-modelverdrag</w:t>
            </w:r>
          </w:p>
        </w:tc>
        <w:tc>
          <w:tcPr>
            <w:tcW w:w="356" w:type="dxa"/>
            <w:gridSpan w:val="5"/>
            <w:shd w:val="clear" w:color="auto" w:fill="BFBFBF"/>
            <w:vAlign w:val="center"/>
          </w:tcPr>
          <w:p w:rsidRPr="006949BC" w:rsidR="006949BC" w:rsidP="006949BC" w:rsidRDefault="006949BC" w14:paraId="53DB8D00"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28BD0D60"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77B6D438" w14:textId="77777777">
            <w:pPr>
              <w:spacing w:after="0" w:line="276" w:lineRule="auto"/>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3BF858F6"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4179AF82"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II.7</w:t>
            </w:r>
          </w:p>
        </w:tc>
      </w:tr>
      <w:tr w:rsidRPr="006949BC" w:rsidR="006949BC" w:rsidTr="006949BC" w14:paraId="09A81F65" w14:textId="77777777">
        <w:trPr>
          <w:trHeight w:val="255"/>
        </w:trPr>
        <w:tc>
          <w:tcPr>
            <w:tcW w:w="693" w:type="dxa"/>
            <w:shd w:val="clear" w:color="auto" w:fill="BFBFBF"/>
            <w:vAlign w:val="center"/>
          </w:tcPr>
          <w:p w:rsidRPr="006949BC" w:rsidR="006949BC" w:rsidP="006949BC" w:rsidRDefault="006949BC" w14:paraId="0F5DE60E"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2.6.4</w:t>
            </w:r>
          </w:p>
        </w:tc>
        <w:tc>
          <w:tcPr>
            <w:tcW w:w="6352" w:type="dxa"/>
            <w:gridSpan w:val="2"/>
            <w:shd w:val="clear" w:color="auto" w:fill="007BC7"/>
            <w:vAlign w:val="center"/>
          </w:tcPr>
          <w:p w:rsidRPr="006949BC" w:rsidR="006949BC" w:rsidP="006949BC" w:rsidRDefault="006949BC" w14:paraId="204F5086"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Toegang tot </w:t>
            </w:r>
            <w:proofErr w:type="spellStart"/>
            <w:r w:rsidRPr="006949BC">
              <w:rPr>
                <w:rFonts w:ascii="Arial" w:hAnsi="Arial" w:eastAsia="Calibri" w:cs="Arial"/>
                <w:color w:val="FFFFFF"/>
                <w:sz w:val="16"/>
                <w:szCs w:val="16"/>
                <w:lang w:val="nl-NL"/>
              </w:rPr>
              <w:t>onderlingoverlegprocedure</w:t>
            </w:r>
            <w:proofErr w:type="spellEnd"/>
            <w:r w:rsidRPr="006949BC">
              <w:rPr>
                <w:rFonts w:ascii="Arial" w:hAnsi="Arial" w:eastAsia="Calibri" w:cs="Arial"/>
                <w:color w:val="FFFFFF"/>
                <w:sz w:val="16"/>
                <w:szCs w:val="16"/>
                <w:lang w:val="nl-NL"/>
              </w:rPr>
              <w:t xml:space="preserve"> en arbitrage in kwesties over winsttoerekening en verrekenprijzen</w:t>
            </w:r>
          </w:p>
        </w:tc>
        <w:tc>
          <w:tcPr>
            <w:tcW w:w="356" w:type="dxa"/>
            <w:gridSpan w:val="5"/>
            <w:shd w:val="clear" w:color="auto" w:fill="BFBFBF"/>
            <w:vAlign w:val="center"/>
          </w:tcPr>
          <w:p w:rsidRPr="006949BC" w:rsidR="006949BC" w:rsidP="006949BC" w:rsidRDefault="00C53EB8" w14:paraId="1DD0E951" w14:textId="418188B0">
            <w:pPr>
              <w:spacing w:after="0" w:line="276" w:lineRule="auto"/>
              <w:jc w:val="center"/>
              <w:rPr>
                <w:rFonts w:ascii="Arial" w:hAnsi="Arial" w:eastAsia="Calibri" w:cs="Arial"/>
                <w:b/>
                <w:color w:val="007BC7"/>
                <w:sz w:val="16"/>
                <w:szCs w:val="16"/>
                <w:lang w:val="nl-NL"/>
              </w:rPr>
            </w:pPr>
            <w:r>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72938A96" w14:textId="61B03F84">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2138853F"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105C72F8"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C53EB8" w14:paraId="45B34698" w14:textId="2165AAB2">
            <w:pPr>
              <w:spacing w:after="0" w:line="276" w:lineRule="auto"/>
              <w:rPr>
                <w:rFonts w:ascii="Arial" w:hAnsi="Arial" w:eastAsia="Calibri" w:cs="Arial"/>
                <w:sz w:val="16"/>
                <w:szCs w:val="16"/>
                <w:lang w:val="nl-NL"/>
              </w:rPr>
            </w:pPr>
            <w:r>
              <w:rPr>
                <w:rFonts w:ascii="Arial" w:hAnsi="Arial" w:eastAsia="Calibri" w:cs="Arial"/>
                <w:sz w:val="16"/>
                <w:szCs w:val="16"/>
                <w:lang w:val="nl-NL"/>
              </w:rPr>
              <w:t>II.24</w:t>
            </w:r>
          </w:p>
        </w:tc>
      </w:tr>
      <w:tr w:rsidRPr="006949BC" w:rsidR="006949BC" w:rsidTr="006949BC" w14:paraId="27082365" w14:textId="77777777">
        <w:trPr>
          <w:trHeight w:val="255"/>
        </w:trPr>
        <w:tc>
          <w:tcPr>
            <w:tcW w:w="693" w:type="dxa"/>
            <w:shd w:val="clear" w:color="auto" w:fill="BFBFBF"/>
            <w:vAlign w:val="center"/>
          </w:tcPr>
          <w:p w:rsidRPr="006949BC" w:rsidR="006949BC" w:rsidP="006949BC" w:rsidRDefault="006949BC" w14:paraId="11C927EE"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2.6.5</w:t>
            </w:r>
          </w:p>
        </w:tc>
        <w:tc>
          <w:tcPr>
            <w:tcW w:w="6352" w:type="dxa"/>
            <w:gridSpan w:val="2"/>
            <w:shd w:val="clear" w:color="auto" w:fill="007BC7"/>
            <w:vAlign w:val="center"/>
          </w:tcPr>
          <w:p w:rsidRPr="006949BC" w:rsidR="006949BC" w:rsidP="006949BC" w:rsidRDefault="006949BC" w14:paraId="6D0D9ED0"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6949BC" w:rsidR="006949BC" w:rsidP="006949BC" w:rsidRDefault="00C53EB8" w14:paraId="3E928B19" w14:textId="170B249E">
            <w:pPr>
              <w:spacing w:after="0" w:line="276" w:lineRule="auto"/>
              <w:jc w:val="center"/>
              <w:rPr>
                <w:rFonts w:ascii="Arial" w:hAnsi="Arial" w:eastAsia="Calibri" w:cs="Arial"/>
                <w:b/>
                <w:color w:val="007BC7"/>
                <w:sz w:val="16"/>
                <w:szCs w:val="16"/>
                <w:lang w:val="nl-NL"/>
              </w:rPr>
            </w:pPr>
            <w:r>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16EF098A"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6B4DA33C" w14:textId="7044B61B">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1C7C262A"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61D0EC5A"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II.8</w:t>
            </w:r>
          </w:p>
        </w:tc>
      </w:tr>
      <w:tr w:rsidRPr="006949BC" w:rsidR="006949BC" w:rsidTr="006949BC" w14:paraId="35408047" w14:textId="77777777">
        <w:trPr>
          <w:trHeight w:val="255"/>
        </w:trPr>
        <w:tc>
          <w:tcPr>
            <w:tcW w:w="693" w:type="dxa"/>
            <w:shd w:val="clear" w:color="auto" w:fill="BFBFBF"/>
            <w:vAlign w:val="center"/>
          </w:tcPr>
          <w:p w:rsidRPr="006949BC" w:rsidR="006949BC" w:rsidP="006949BC" w:rsidRDefault="006949BC" w14:paraId="7E42A657"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2.6.5</w:t>
            </w:r>
          </w:p>
        </w:tc>
        <w:tc>
          <w:tcPr>
            <w:tcW w:w="1350" w:type="dxa"/>
            <w:shd w:val="clear" w:color="auto" w:fill="BFBFBF"/>
            <w:vAlign w:val="center"/>
          </w:tcPr>
          <w:p w:rsidRPr="006949BC" w:rsidR="006949BC" w:rsidP="006949BC" w:rsidRDefault="006949BC" w14:paraId="5DF450D7" w14:textId="77777777">
            <w:pPr>
              <w:spacing w:after="0" w:line="276" w:lineRule="auto"/>
              <w:rPr>
                <w:rFonts w:ascii="Arial" w:hAnsi="Arial" w:eastAsia="Times New Roman" w:cs="Arial"/>
                <w:color w:val="000000"/>
                <w:sz w:val="16"/>
                <w:szCs w:val="16"/>
                <w:lang w:val="en-GB" w:eastAsia="nl-NL"/>
              </w:rPr>
            </w:pPr>
            <w:r w:rsidRPr="006949BC">
              <w:rPr>
                <w:rFonts w:ascii="Arial" w:hAnsi="Arial" w:eastAsia="Calibri" w:cs="Arial"/>
                <w:color w:val="000000"/>
                <w:sz w:val="16"/>
                <w:szCs w:val="16"/>
                <w:lang w:val="nl-NL"/>
              </w:rPr>
              <w:t>Terugvaloptie:</w:t>
            </w:r>
          </w:p>
        </w:tc>
        <w:tc>
          <w:tcPr>
            <w:tcW w:w="5002" w:type="dxa"/>
            <w:shd w:val="clear" w:color="auto" w:fill="007BC7"/>
            <w:vAlign w:val="center"/>
          </w:tcPr>
          <w:p w:rsidRPr="006949BC" w:rsidR="006949BC" w:rsidP="006949BC" w:rsidRDefault="006949BC" w14:paraId="00CE1E0D" w14:textId="77777777">
            <w:pPr>
              <w:spacing w:after="0" w:line="276" w:lineRule="auto"/>
              <w:rPr>
                <w:rFonts w:ascii="Arial" w:hAnsi="Arial" w:eastAsia="Times New Roman" w:cs="Arial"/>
                <w:color w:val="FFFFFF"/>
                <w:sz w:val="16"/>
                <w:szCs w:val="16"/>
                <w:lang w:val="nl-NL" w:eastAsia="nl-NL"/>
              </w:rPr>
            </w:pPr>
            <w:r w:rsidRPr="006949BC">
              <w:rPr>
                <w:rFonts w:ascii="Arial" w:hAnsi="Arial" w:eastAsia="Calibri" w:cs="Arial"/>
                <w:color w:val="FFFFFF"/>
                <w:sz w:val="16"/>
                <w:szCs w:val="16"/>
                <w:lang w:val="nl-NL"/>
              </w:rPr>
              <w:t>Beperkte bronstaatsheffing scheep- en luchtvaartwinsten</w:t>
            </w:r>
          </w:p>
        </w:tc>
        <w:tc>
          <w:tcPr>
            <w:tcW w:w="356" w:type="dxa"/>
            <w:gridSpan w:val="5"/>
            <w:shd w:val="clear" w:color="auto" w:fill="BFBFBF"/>
            <w:vAlign w:val="center"/>
          </w:tcPr>
          <w:p w:rsidRPr="006949BC" w:rsidR="006949BC" w:rsidP="006949BC" w:rsidRDefault="006949BC" w14:paraId="7E63994F"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4DFD5B91"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0BAEB666"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48983009"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shd w:val="clear" w:color="auto" w:fill="BFBFBF"/>
            <w:vAlign w:val="center"/>
          </w:tcPr>
          <w:p w:rsidRPr="006949BC" w:rsidR="006949BC" w:rsidP="006949BC" w:rsidRDefault="006949BC" w14:paraId="11779FF7"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342B0A61" w14:textId="77777777">
        <w:trPr>
          <w:trHeight w:val="255"/>
        </w:trPr>
        <w:tc>
          <w:tcPr>
            <w:tcW w:w="693" w:type="dxa"/>
            <w:shd w:val="clear" w:color="auto" w:fill="BFBFBF"/>
            <w:vAlign w:val="center"/>
          </w:tcPr>
          <w:p w:rsidRPr="006949BC" w:rsidR="006949BC" w:rsidP="006949BC" w:rsidRDefault="006949BC" w14:paraId="0685EA74"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lastRenderedPageBreak/>
              <w:t>2.6.5</w:t>
            </w:r>
          </w:p>
        </w:tc>
        <w:tc>
          <w:tcPr>
            <w:tcW w:w="6352" w:type="dxa"/>
            <w:gridSpan w:val="2"/>
            <w:shd w:val="clear" w:color="auto" w:fill="007BC7"/>
            <w:vAlign w:val="center"/>
          </w:tcPr>
          <w:p w:rsidRPr="006949BC" w:rsidR="006949BC" w:rsidP="006949BC" w:rsidRDefault="006949BC" w14:paraId="5A8022A1" w14:textId="77777777">
            <w:pPr>
              <w:spacing w:after="0" w:line="276" w:lineRule="auto"/>
              <w:rPr>
                <w:rFonts w:ascii="Arial" w:hAnsi="Arial" w:eastAsia="Times New Roman" w:cs="Arial"/>
                <w:color w:val="FFFFFF"/>
                <w:sz w:val="20"/>
                <w:szCs w:val="24"/>
                <w:lang w:val="nl-NL" w:eastAsia="nl-NL"/>
              </w:rPr>
            </w:pPr>
            <w:r w:rsidRPr="006949BC">
              <w:rPr>
                <w:rFonts w:ascii="Arial" w:hAnsi="Arial" w:eastAsia="Calibri" w:cs="Arial"/>
                <w:color w:val="FFFFFF"/>
                <w:sz w:val="16"/>
                <w:szCs w:val="16"/>
                <w:lang w:val="nl-NL"/>
              </w:rPr>
              <w:t>Vrijwaring van heffingen over de omzet behaald met passagiers- en vrachtvervoer</w:t>
            </w:r>
          </w:p>
        </w:tc>
        <w:tc>
          <w:tcPr>
            <w:tcW w:w="356" w:type="dxa"/>
            <w:gridSpan w:val="5"/>
            <w:shd w:val="clear" w:color="auto" w:fill="BFBFBF"/>
            <w:vAlign w:val="center"/>
          </w:tcPr>
          <w:p w:rsidRPr="006949BC" w:rsidR="006949BC" w:rsidP="006949BC" w:rsidRDefault="006949BC" w14:paraId="00BD6710"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7D278BDA"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712D2F7E" w14:textId="77777777">
            <w:pPr>
              <w:spacing w:after="0" w:line="276" w:lineRule="auto"/>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 xml:space="preserve"> X</w:t>
            </w:r>
          </w:p>
        </w:tc>
        <w:tc>
          <w:tcPr>
            <w:tcW w:w="433" w:type="dxa"/>
            <w:gridSpan w:val="2"/>
            <w:shd w:val="clear" w:color="auto" w:fill="BFBFBF"/>
            <w:vAlign w:val="center"/>
          </w:tcPr>
          <w:p w:rsidRPr="006949BC" w:rsidR="006949BC" w:rsidP="006949BC" w:rsidRDefault="006949BC" w14:paraId="6D83DF8B"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7723D18D"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3A4E2AAC" w14:textId="77777777">
        <w:trPr>
          <w:gridAfter w:val="10"/>
          <w:wAfter w:w="1952" w:type="dxa"/>
          <w:cantSplit/>
          <w:trHeight w:val="403"/>
        </w:trPr>
        <w:tc>
          <w:tcPr>
            <w:tcW w:w="693" w:type="dxa"/>
            <w:shd w:val="clear" w:color="auto" w:fill="FFFFFF"/>
            <w:vAlign w:val="center"/>
          </w:tcPr>
          <w:p w:rsidRPr="006949BC" w:rsidR="006949BC" w:rsidP="006949BC" w:rsidRDefault="006949BC" w14:paraId="723A0453" w14:textId="77777777">
            <w:pPr>
              <w:spacing w:after="0" w:line="276" w:lineRule="auto"/>
              <w:ind w:left="113" w:right="113"/>
              <w:rPr>
                <w:rFonts w:ascii="Arial" w:hAnsi="Arial" w:eastAsia="Calibri" w:cs="Arial"/>
                <w:sz w:val="16"/>
                <w:szCs w:val="16"/>
                <w:lang w:val="nl-NL"/>
              </w:rPr>
            </w:pPr>
            <w:r w:rsidRPr="006949BC">
              <w:rPr>
                <w:rFonts w:ascii="Arial" w:hAnsi="Arial" w:eastAsia="Calibri" w:cs="Arial"/>
                <w:sz w:val="16"/>
                <w:szCs w:val="16"/>
                <w:lang w:val="nl-NL"/>
              </w:rPr>
              <w:br w:type="page"/>
            </w:r>
          </w:p>
        </w:tc>
        <w:tc>
          <w:tcPr>
            <w:tcW w:w="6531" w:type="dxa"/>
            <w:gridSpan w:val="5"/>
            <w:shd w:val="clear" w:color="auto" w:fill="FFFFFF"/>
            <w:vAlign w:val="center"/>
          </w:tcPr>
          <w:p w:rsidRPr="006949BC" w:rsidR="006949BC" w:rsidP="006949BC" w:rsidRDefault="006949BC" w14:paraId="36C4E33B" w14:textId="77777777">
            <w:pPr>
              <w:spacing w:after="0" w:line="360" w:lineRule="auto"/>
              <w:rPr>
                <w:rFonts w:ascii="Arial" w:hAnsi="Arial" w:eastAsia="Times New Roman" w:cs="Arial"/>
                <w:i/>
                <w:sz w:val="16"/>
                <w:szCs w:val="16"/>
                <w:lang w:val="en-GB" w:eastAsia="nl-NL"/>
              </w:rPr>
            </w:pPr>
            <w:r w:rsidRPr="006949BC">
              <w:rPr>
                <w:rFonts w:ascii="Arial" w:hAnsi="Arial" w:eastAsia="Calibri" w:cs="Arial"/>
                <w:i/>
                <w:sz w:val="16"/>
                <w:szCs w:val="16"/>
                <w:lang w:val="nl-NL"/>
              </w:rPr>
              <w:t>Vermogensinkomsten en -winsten</w:t>
            </w:r>
          </w:p>
        </w:tc>
      </w:tr>
      <w:tr w:rsidRPr="006949BC" w:rsidR="006949BC" w:rsidTr="006949BC" w14:paraId="1471F200" w14:textId="77777777">
        <w:trPr>
          <w:trHeight w:val="255"/>
        </w:trPr>
        <w:tc>
          <w:tcPr>
            <w:tcW w:w="693" w:type="dxa"/>
            <w:shd w:val="clear" w:color="auto" w:fill="BFBFBF"/>
            <w:vAlign w:val="center"/>
          </w:tcPr>
          <w:p w:rsidRPr="006949BC" w:rsidR="006949BC" w:rsidP="006949BC" w:rsidRDefault="006949BC" w14:paraId="63C7D2F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2.7.1</w:t>
            </w:r>
          </w:p>
        </w:tc>
        <w:tc>
          <w:tcPr>
            <w:tcW w:w="6352" w:type="dxa"/>
            <w:gridSpan w:val="2"/>
            <w:shd w:val="clear" w:color="auto" w:fill="007BC7"/>
            <w:vAlign w:val="center"/>
          </w:tcPr>
          <w:p w:rsidRPr="006949BC" w:rsidR="006949BC" w:rsidP="006949BC" w:rsidRDefault="006949BC" w14:paraId="03F51657"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Uitsluitende woonstaatheffing voor deelnemingsdividenden</w:t>
            </w:r>
          </w:p>
        </w:tc>
        <w:tc>
          <w:tcPr>
            <w:tcW w:w="356" w:type="dxa"/>
            <w:gridSpan w:val="5"/>
            <w:shd w:val="clear" w:color="auto" w:fill="BFBFBF"/>
            <w:vAlign w:val="center"/>
          </w:tcPr>
          <w:p w:rsidRPr="006949BC" w:rsidR="006949BC" w:rsidP="006949BC" w:rsidRDefault="006949BC" w14:paraId="6C66BB74"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3C3245A8"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6FA702E3"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7526BBE4"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6A031CBA"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II.10</w:t>
            </w:r>
          </w:p>
        </w:tc>
      </w:tr>
      <w:tr w:rsidRPr="006949BC" w:rsidR="006949BC" w:rsidTr="006949BC" w14:paraId="21207425" w14:textId="77777777">
        <w:trPr>
          <w:trHeight w:val="255"/>
        </w:trPr>
        <w:tc>
          <w:tcPr>
            <w:tcW w:w="693" w:type="dxa"/>
            <w:shd w:val="clear" w:color="auto" w:fill="BFBFBF"/>
            <w:vAlign w:val="center"/>
          </w:tcPr>
          <w:p w:rsidRPr="006949BC" w:rsidR="006949BC" w:rsidP="006949BC" w:rsidRDefault="006949BC" w14:paraId="725DA91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2.7.2</w:t>
            </w:r>
          </w:p>
        </w:tc>
        <w:tc>
          <w:tcPr>
            <w:tcW w:w="6352" w:type="dxa"/>
            <w:gridSpan w:val="2"/>
            <w:shd w:val="clear" w:color="auto" w:fill="007BC7"/>
            <w:vAlign w:val="center"/>
          </w:tcPr>
          <w:p w:rsidRPr="006949BC" w:rsidR="006949BC" w:rsidP="006949BC" w:rsidRDefault="006949BC" w14:paraId="0E2CAEF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Tarief portfoliodividenden t.a.v. Nederland niet lager dan 15%</w:t>
            </w:r>
          </w:p>
        </w:tc>
        <w:tc>
          <w:tcPr>
            <w:tcW w:w="356" w:type="dxa"/>
            <w:gridSpan w:val="5"/>
            <w:shd w:val="clear" w:color="auto" w:fill="BFBFBF"/>
            <w:vAlign w:val="center"/>
          </w:tcPr>
          <w:p w:rsidRPr="006949BC" w:rsidR="006949BC" w:rsidP="006949BC" w:rsidRDefault="006949BC" w14:paraId="634060CA"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37CE0E49"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7706C562"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59CF29A6"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7B7DB89E"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II.10</w:t>
            </w:r>
          </w:p>
        </w:tc>
      </w:tr>
      <w:tr w:rsidRPr="006949BC" w:rsidR="006949BC" w:rsidTr="006949BC" w14:paraId="69473201" w14:textId="77777777">
        <w:trPr>
          <w:trHeight w:val="255"/>
        </w:trPr>
        <w:tc>
          <w:tcPr>
            <w:tcW w:w="693" w:type="dxa"/>
            <w:shd w:val="clear" w:color="auto" w:fill="BFBFBF"/>
            <w:vAlign w:val="center"/>
          </w:tcPr>
          <w:p w:rsidRPr="006949BC" w:rsidR="006949BC" w:rsidP="006949BC" w:rsidRDefault="006949BC" w14:paraId="751474E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2.8.1</w:t>
            </w:r>
          </w:p>
        </w:tc>
        <w:tc>
          <w:tcPr>
            <w:tcW w:w="6352" w:type="dxa"/>
            <w:gridSpan w:val="2"/>
            <w:shd w:val="clear" w:color="auto" w:fill="007BC7"/>
            <w:vAlign w:val="center"/>
          </w:tcPr>
          <w:p w:rsidRPr="006949BC" w:rsidR="006949BC" w:rsidP="006949BC" w:rsidRDefault="006949BC" w14:paraId="2CD58402"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Uitsluitende woonstaatheffing interest &amp; royalty’s</w:t>
            </w:r>
          </w:p>
        </w:tc>
        <w:tc>
          <w:tcPr>
            <w:tcW w:w="356" w:type="dxa"/>
            <w:gridSpan w:val="5"/>
            <w:shd w:val="clear" w:color="auto" w:fill="BFBFBF"/>
            <w:vAlign w:val="center"/>
          </w:tcPr>
          <w:p w:rsidRPr="006949BC" w:rsidR="006949BC" w:rsidP="006949BC" w:rsidRDefault="006949BC" w14:paraId="1635FC4C"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shd w:val="clear" w:color="auto" w:fill="BFBFBF"/>
            <w:vAlign w:val="center"/>
          </w:tcPr>
          <w:p w:rsidRPr="006949BC" w:rsidR="006949BC" w:rsidP="006949BC" w:rsidRDefault="006949BC" w14:paraId="301CB299"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57FC59E4"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07117685"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43FC7501"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II.11</w:t>
            </w:r>
          </w:p>
          <w:p w:rsidRPr="006949BC" w:rsidR="006949BC" w:rsidP="006949BC" w:rsidRDefault="006949BC" w14:paraId="4721730A"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II.12</w:t>
            </w:r>
          </w:p>
        </w:tc>
      </w:tr>
      <w:tr w:rsidRPr="006949BC" w:rsidR="006949BC" w:rsidTr="006949BC" w14:paraId="75797FD3" w14:textId="77777777">
        <w:trPr>
          <w:trHeight w:val="255"/>
        </w:trPr>
        <w:tc>
          <w:tcPr>
            <w:tcW w:w="693" w:type="dxa"/>
            <w:shd w:val="clear" w:color="auto" w:fill="BFBFBF"/>
            <w:vAlign w:val="center"/>
          </w:tcPr>
          <w:p w:rsidRPr="006949BC" w:rsidR="006949BC" w:rsidP="006949BC" w:rsidRDefault="006949BC" w14:paraId="6B56355D"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2.8.1</w:t>
            </w:r>
          </w:p>
        </w:tc>
        <w:tc>
          <w:tcPr>
            <w:tcW w:w="1350" w:type="dxa"/>
            <w:shd w:val="clear" w:color="auto" w:fill="BFBFBF"/>
            <w:vAlign w:val="center"/>
          </w:tcPr>
          <w:p w:rsidRPr="006949BC" w:rsidR="006949BC" w:rsidP="006949BC" w:rsidRDefault="006949BC" w14:paraId="654A2B4A" w14:textId="77777777">
            <w:pPr>
              <w:spacing w:after="0" w:line="276" w:lineRule="auto"/>
              <w:rPr>
                <w:rFonts w:ascii="Arial" w:hAnsi="Arial" w:eastAsia="Times New Roman" w:cs="Arial"/>
                <w:color w:val="000000"/>
                <w:sz w:val="16"/>
                <w:szCs w:val="16"/>
                <w:lang w:val="en-GB" w:eastAsia="nl-NL"/>
              </w:rPr>
            </w:pPr>
            <w:r w:rsidRPr="006949BC">
              <w:rPr>
                <w:rFonts w:ascii="Arial" w:hAnsi="Arial" w:eastAsia="Calibri" w:cs="Arial"/>
                <w:color w:val="000000"/>
                <w:sz w:val="16"/>
                <w:szCs w:val="16"/>
                <w:lang w:val="nl-NL"/>
              </w:rPr>
              <w:t>Terugvaloptie:</w:t>
            </w:r>
          </w:p>
        </w:tc>
        <w:tc>
          <w:tcPr>
            <w:tcW w:w="5002" w:type="dxa"/>
            <w:shd w:val="clear" w:color="auto" w:fill="007BC7"/>
            <w:vAlign w:val="center"/>
          </w:tcPr>
          <w:p w:rsidRPr="006949BC" w:rsidR="006949BC" w:rsidP="006949BC" w:rsidRDefault="006949BC" w14:paraId="696BB57C" w14:textId="77777777">
            <w:pPr>
              <w:spacing w:after="0" w:line="276" w:lineRule="auto"/>
              <w:rPr>
                <w:rFonts w:ascii="Arial" w:hAnsi="Arial" w:eastAsia="Times New Roman" w:cs="Arial"/>
                <w:color w:val="FFFFFF"/>
                <w:sz w:val="16"/>
                <w:szCs w:val="16"/>
                <w:lang w:val="en-GB" w:eastAsia="nl-NL"/>
              </w:rPr>
            </w:pPr>
            <w:r w:rsidRPr="006949BC">
              <w:rPr>
                <w:rFonts w:ascii="Arial" w:hAnsi="Arial" w:eastAsia="Calibri" w:cs="Arial"/>
                <w:color w:val="FFFFFF"/>
                <w:sz w:val="16"/>
                <w:szCs w:val="16"/>
                <w:lang w:val="nl-NL"/>
              </w:rPr>
              <w:t>Uitzonderingen bronheffingsrecht</w:t>
            </w:r>
          </w:p>
        </w:tc>
        <w:tc>
          <w:tcPr>
            <w:tcW w:w="356" w:type="dxa"/>
            <w:gridSpan w:val="5"/>
            <w:shd w:val="clear" w:color="auto" w:fill="BFBFBF"/>
            <w:vAlign w:val="center"/>
          </w:tcPr>
          <w:p w:rsidRPr="006949BC" w:rsidR="006949BC" w:rsidP="006949BC" w:rsidRDefault="006949BC" w14:paraId="641E3CB2"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770B7305"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0D487869"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304015B5"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shd w:val="clear" w:color="auto" w:fill="BFBFBF"/>
            <w:vAlign w:val="center"/>
          </w:tcPr>
          <w:p w:rsidRPr="006949BC" w:rsidR="006949BC" w:rsidP="006949BC" w:rsidRDefault="006949BC" w14:paraId="258D981F"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p w:rsidRPr="006949BC" w:rsidR="006949BC" w:rsidP="006949BC" w:rsidRDefault="006949BC" w14:paraId="4411AF29" w14:textId="77777777">
            <w:pPr>
              <w:spacing w:after="0" w:line="276" w:lineRule="auto"/>
              <w:rPr>
                <w:rFonts w:ascii="Arial" w:hAnsi="Arial" w:eastAsia="Calibri" w:cs="Arial"/>
                <w:sz w:val="16"/>
                <w:szCs w:val="16"/>
                <w:lang w:val="nl-NL"/>
              </w:rPr>
            </w:pPr>
          </w:p>
        </w:tc>
      </w:tr>
      <w:tr w:rsidRPr="006949BC" w:rsidR="006949BC" w:rsidTr="006949BC" w14:paraId="7C92BC2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129A9E0"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666E9B1" w14:textId="77777777">
            <w:pPr>
              <w:spacing w:after="0" w:line="276" w:lineRule="auto"/>
              <w:rPr>
                <w:rFonts w:ascii="Arial" w:hAnsi="Arial" w:eastAsia="Calibri" w:cs="Arial"/>
                <w:color w:val="FFFFFF"/>
                <w:sz w:val="16"/>
                <w:szCs w:val="16"/>
                <w:lang w:val="nl-NL"/>
              </w:rPr>
            </w:pPr>
            <w:proofErr w:type="spellStart"/>
            <w:r w:rsidRPr="006949BC">
              <w:rPr>
                <w:rFonts w:ascii="Arial" w:hAnsi="Arial" w:eastAsia="Calibri" w:cs="Arial"/>
                <w:color w:val="FFFFFF"/>
                <w:sz w:val="16"/>
                <w:szCs w:val="16"/>
                <w:lang w:val="nl-NL"/>
              </w:rPr>
              <w:t>Aanmerkelijkbelangvoorbehoud</w:t>
            </w:r>
            <w:proofErr w:type="spellEnd"/>
            <w:r w:rsidRPr="006949BC">
              <w:rPr>
                <w:rFonts w:ascii="Arial" w:hAnsi="Arial" w:eastAsia="Calibri" w:cs="Arial"/>
                <w:color w:val="FFFFFF"/>
                <w:sz w:val="16"/>
                <w:szCs w:val="16"/>
                <w:lang w:val="nl-NL"/>
              </w:rPr>
              <w:t xml:space="preserve">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51FF3AE"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5D445E2" w14:textId="77777777">
            <w:pPr>
              <w:spacing w:after="0" w:line="276" w:lineRule="auto"/>
              <w:jc w:val="center"/>
              <w:rPr>
                <w:rFonts w:ascii="Arial" w:hAnsi="Arial" w:eastAsia="Calibri" w:cs="Arial"/>
                <w:b/>
                <w:color w:val="007BC7"/>
                <w:sz w:val="16"/>
                <w:szCs w:val="16"/>
                <w:lang w:val="nl-NL"/>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B89C9B1" w14:textId="77777777">
            <w:pPr>
              <w:spacing w:after="0" w:line="276" w:lineRule="auto"/>
              <w:jc w:val="center"/>
              <w:rPr>
                <w:rFonts w:ascii="Arial" w:hAnsi="Arial" w:eastAsia="Calibri" w:cs="Arial"/>
                <w:b/>
                <w:color w:val="007BC7"/>
                <w:sz w:val="16"/>
                <w:szCs w:val="16"/>
                <w:lang w:val="nl-NL"/>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00B55EF"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DEC6201"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II.10</w:t>
            </w:r>
          </w:p>
          <w:p w:rsidRPr="006949BC" w:rsidR="006949BC" w:rsidP="006949BC" w:rsidRDefault="006949BC" w14:paraId="10789257"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II.13</w:t>
            </w:r>
          </w:p>
        </w:tc>
      </w:tr>
      <w:tr w:rsidRPr="006949BC" w:rsidR="006949BC" w:rsidTr="006949BC" w14:paraId="3F4A6498" w14:textId="77777777">
        <w:trPr>
          <w:trHeight w:val="255"/>
        </w:trPr>
        <w:tc>
          <w:tcPr>
            <w:tcW w:w="693" w:type="dxa"/>
            <w:shd w:val="clear" w:color="auto" w:fill="BFBFBF"/>
            <w:vAlign w:val="center"/>
          </w:tcPr>
          <w:p w:rsidRPr="006949BC" w:rsidR="006949BC" w:rsidP="006949BC" w:rsidRDefault="006949BC" w14:paraId="2448952F"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2.9.3</w:t>
            </w:r>
          </w:p>
        </w:tc>
        <w:tc>
          <w:tcPr>
            <w:tcW w:w="1350" w:type="dxa"/>
            <w:shd w:val="clear" w:color="auto" w:fill="BFBFBF"/>
            <w:vAlign w:val="center"/>
          </w:tcPr>
          <w:p w:rsidRPr="006949BC" w:rsidR="006949BC" w:rsidP="006949BC" w:rsidRDefault="006949BC" w14:paraId="0F8FF954" w14:textId="77777777">
            <w:pPr>
              <w:spacing w:after="0" w:line="276" w:lineRule="auto"/>
              <w:rPr>
                <w:rFonts w:ascii="Arial" w:hAnsi="Arial" w:eastAsia="Times New Roman" w:cs="Arial"/>
                <w:color w:val="000000"/>
                <w:sz w:val="16"/>
                <w:szCs w:val="16"/>
                <w:lang w:val="en-GB" w:eastAsia="nl-NL"/>
              </w:rPr>
            </w:pPr>
            <w:r w:rsidRPr="006949BC">
              <w:rPr>
                <w:rFonts w:ascii="Arial" w:hAnsi="Arial" w:eastAsia="Calibri" w:cs="Arial"/>
                <w:color w:val="000000"/>
                <w:sz w:val="16"/>
                <w:szCs w:val="16"/>
                <w:lang w:val="nl-NL"/>
              </w:rPr>
              <w:t>Zo nodig:</w:t>
            </w:r>
          </w:p>
        </w:tc>
        <w:tc>
          <w:tcPr>
            <w:tcW w:w="5002" w:type="dxa"/>
            <w:shd w:val="clear" w:color="auto" w:fill="007BC7"/>
            <w:vAlign w:val="center"/>
          </w:tcPr>
          <w:p w:rsidRPr="006949BC" w:rsidR="006949BC" w:rsidP="006949BC" w:rsidRDefault="006949BC" w14:paraId="215CC969"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Uitbreiding </w:t>
            </w:r>
            <w:proofErr w:type="spellStart"/>
            <w:r w:rsidRPr="006949BC">
              <w:rPr>
                <w:rFonts w:ascii="Arial" w:hAnsi="Arial" w:eastAsia="Calibri" w:cs="Arial"/>
                <w:color w:val="FFFFFF"/>
                <w:sz w:val="16"/>
                <w:szCs w:val="16"/>
                <w:lang w:val="nl-NL"/>
              </w:rPr>
              <w:t>aanmerkelijkbelangvoorbehoud</w:t>
            </w:r>
            <w:proofErr w:type="spellEnd"/>
            <w:r w:rsidRPr="006949BC">
              <w:rPr>
                <w:rFonts w:ascii="Arial" w:hAnsi="Arial" w:eastAsia="Calibri" w:cs="Arial"/>
                <w:color w:val="FFFFFF"/>
                <w:sz w:val="16"/>
                <w:szCs w:val="16"/>
                <w:lang w:val="nl-NL"/>
              </w:rPr>
              <w:t xml:space="preserve"> indien verdragspartner waardeaangroei niet belast</w:t>
            </w:r>
          </w:p>
        </w:tc>
        <w:tc>
          <w:tcPr>
            <w:tcW w:w="356" w:type="dxa"/>
            <w:gridSpan w:val="5"/>
            <w:shd w:val="clear" w:color="auto" w:fill="BFBFBF"/>
            <w:vAlign w:val="center"/>
          </w:tcPr>
          <w:p w:rsidRPr="006949BC" w:rsidR="006949BC" w:rsidP="006949BC" w:rsidRDefault="006949BC" w14:paraId="7FA775F7" w14:textId="77777777">
            <w:pPr>
              <w:spacing w:after="0" w:line="276" w:lineRule="auto"/>
              <w:jc w:val="center"/>
              <w:rPr>
                <w:rFonts w:ascii="Arial" w:hAnsi="Arial" w:eastAsia="Calibri" w:cs="Arial"/>
                <w:b/>
                <w:color w:val="007BC7"/>
                <w:sz w:val="16"/>
                <w:szCs w:val="16"/>
                <w:lang w:val="nl-NL"/>
              </w:rPr>
            </w:pPr>
          </w:p>
        </w:tc>
        <w:tc>
          <w:tcPr>
            <w:tcW w:w="355" w:type="dxa"/>
            <w:gridSpan w:val="3"/>
            <w:shd w:val="clear" w:color="auto" w:fill="BFBFBF"/>
            <w:vAlign w:val="center"/>
          </w:tcPr>
          <w:p w:rsidRPr="006949BC" w:rsidR="006949BC" w:rsidP="006949BC" w:rsidRDefault="006949BC" w14:paraId="5665871B" w14:textId="77777777">
            <w:pPr>
              <w:spacing w:after="0" w:line="276" w:lineRule="auto"/>
              <w:jc w:val="center"/>
              <w:rPr>
                <w:rFonts w:ascii="Arial" w:hAnsi="Arial" w:eastAsia="Calibri" w:cs="Arial"/>
                <w:b/>
                <w:color w:val="007BC7"/>
                <w:sz w:val="16"/>
                <w:szCs w:val="16"/>
                <w:lang w:val="nl-NL"/>
              </w:rPr>
            </w:pPr>
          </w:p>
        </w:tc>
        <w:tc>
          <w:tcPr>
            <w:tcW w:w="428" w:type="dxa"/>
            <w:gridSpan w:val="2"/>
            <w:shd w:val="clear" w:color="auto" w:fill="BFBFBF"/>
            <w:vAlign w:val="center"/>
          </w:tcPr>
          <w:p w:rsidRPr="006949BC" w:rsidR="006949BC" w:rsidP="006949BC" w:rsidRDefault="006949BC" w14:paraId="0FFCF2C0" w14:textId="77777777">
            <w:pPr>
              <w:spacing w:after="0" w:line="276" w:lineRule="auto"/>
              <w:jc w:val="center"/>
              <w:rPr>
                <w:rFonts w:ascii="Arial" w:hAnsi="Arial" w:eastAsia="Calibri" w:cs="Arial"/>
                <w:b/>
                <w:color w:val="007BC7"/>
                <w:sz w:val="16"/>
                <w:szCs w:val="16"/>
                <w:lang w:val="nl-NL"/>
              </w:rPr>
            </w:pPr>
          </w:p>
        </w:tc>
        <w:tc>
          <w:tcPr>
            <w:tcW w:w="433" w:type="dxa"/>
            <w:gridSpan w:val="2"/>
            <w:shd w:val="clear" w:color="auto" w:fill="BFBFBF"/>
            <w:vAlign w:val="center"/>
          </w:tcPr>
          <w:p w:rsidRPr="006949BC" w:rsidR="006949BC" w:rsidP="006949BC" w:rsidRDefault="006949BC" w14:paraId="75F95E5A"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shd w:val="clear" w:color="auto" w:fill="BFBFBF"/>
            <w:vAlign w:val="center"/>
          </w:tcPr>
          <w:p w:rsidRPr="006949BC" w:rsidR="006949BC" w:rsidP="006949BC" w:rsidRDefault="006949BC" w14:paraId="7AA5A225"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0A01BFA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401FE80"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B8D41D3" w14:textId="77777777">
            <w:pPr>
              <w:spacing w:after="0" w:line="276" w:lineRule="auto"/>
              <w:rPr>
                <w:rFonts w:ascii="Arial" w:hAnsi="Arial" w:eastAsia="Times New Roman" w:cs="Arial"/>
                <w:color w:val="000000"/>
                <w:sz w:val="16"/>
                <w:szCs w:val="16"/>
                <w:lang w:val="en-GB" w:eastAsia="nl-NL"/>
              </w:rPr>
            </w:pPr>
            <w:r w:rsidRPr="006949BC">
              <w:rPr>
                <w:rFonts w:ascii="Arial" w:hAnsi="Arial" w:eastAsia="Calibri" w:cs="Arial"/>
                <w:color w:val="000000"/>
                <w:sz w:val="16"/>
                <w:szCs w:val="16"/>
                <w:lang w:val="nl-NL"/>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752326DF"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0973684" w14:textId="77777777">
            <w:pPr>
              <w:spacing w:after="0" w:line="276" w:lineRule="auto"/>
              <w:jc w:val="center"/>
              <w:rPr>
                <w:rFonts w:ascii="Arial" w:hAnsi="Arial" w:eastAsia="Calibri" w:cs="Arial"/>
                <w:b/>
                <w:color w:val="007BC7"/>
                <w:sz w:val="16"/>
                <w:szCs w:val="16"/>
                <w:lang w:val="nl-NL"/>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4134963" w14:textId="77777777">
            <w:pPr>
              <w:spacing w:after="0" w:line="276" w:lineRule="auto"/>
              <w:jc w:val="center"/>
              <w:rPr>
                <w:rFonts w:ascii="Arial" w:hAnsi="Arial" w:eastAsia="Calibri" w:cs="Arial"/>
                <w:b/>
                <w:color w:val="007BC7"/>
                <w:sz w:val="16"/>
                <w:szCs w:val="16"/>
                <w:lang w:val="nl-NL"/>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2F30FDE" w14:textId="77777777">
            <w:pPr>
              <w:spacing w:after="0" w:line="276" w:lineRule="auto"/>
              <w:jc w:val="center"/>
              <w:rPr>
                <w:rFonts w:ascii="Arial" w:hAnsi="Arial" w:eastAsia="Calibri" w:cs="Arial"/>
                <w:b/>
                <w:color w:val="007BC7"/>
                <w:sz w:val="16"/>
                <w:szCs w:val="16"/>
                <w:lang w:val="nl-NL"/>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1B47445"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2DD2C85"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036F6C6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0228BF8"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86046D7"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08A8438"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CFF1F9A" w14:textId="77777777">
            <w:pPr>
              <w:spacing w:after="0" w:line="276" w:lineRule="auto"/>
              <w:jc w:val="center"/>
              <w:rPr>
                <w:rFonts w:ascii="Arial" w:hAnsi="Arial" w:eastAsia="Calibri" w:cs="Arial"/>
                <w:b/>
                <w:color w:val="007BC7"/>
                <w:sz w:val="16"/>
                <w:szCs w:val="16"/>
                <w:lang w:val="nl-NL"/>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26C26D1" w14:textId="77777777">
            <w:pPr>
              <w:spacing w:after="0" w:line="276" w:lineRule="auto"/>
              <w:jc w:val="center"/>
              <w:rPr>
                <w:rFonts w:ascii="Arial" w:hAnsi="Arial" w:eastAsia="Calibri" w:cs="Arial"/>
                <w:b/>
                <w:color w:val="007BC7"/>
                <w:sz w:val="16"/>
                <w:szCs w:val="16"/>
                <w:lang w:val="nl-NL"/>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A1A11E4"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52D3C4F"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II.10</w:t>
            </w:r>
          </w:p>
        </w:tc>
      </w:tr>
      <w:tr w:rsidRPr="006949BC" w:rsidR="006949BC" w:rsidTr="006949BC" w14:paraId="594D1EB3" w14:textId="77777777">
        <w:trPr>
          <w:gridAfter w:val="11"/>
          <w:wAfter w:w="2094" w:type="dxa"/>
          <w:cantSplit/>
          <w:trHeight w:val="403"/>
        </w:trPr>
        <w:tc>
          <w:tcPr>
            <w:tcW w:w="693" w:type="dxa"/>
            <w:shd w:val="clear" w:color="auto" w:fill="FFFFFF"/>
            <w:vAlign w:val="center"/>
          </w:tcPr>
          <w:p w:rsidRPr="006949BC" w:rsidR="006949BC" w:rsidP="006949BC" w:rsidRDefault="006949BC" w14:paraId="649F879C" w14:textId="77777777">
            <w:pPr>
              <w:spacing w:after="0" w:line="360" w:lineRule="auto"/>
              <w:ind w:firstLine="709"/>
              <w:jc w:val="center"/>
              <w:rPr>
                <w:rFonts w:ascii="Arial" w:hAnsi="Arial" w:eastAsia="Times New Roman" w:cs="Arial"/>
                <w:b/>
                <w:sz w:val="16"/>
                <w:szCs w:val="16"/>
                <w:lang w:val="en-GB" w:eastAsia="nl-NL"/>
              </w:rPr>
            </w:pPr>
          </w:p>
        </w:tc>
        <w:tc>
          <w:tcPr>
            <w:tcW w:w="6389" w:type="dxa"/>
            <w:gridSpan w:val="4"/>
            <w:shd w:val="clear" w:color="auto" w:fill="FFFFFF"/>
            <w:vAlign w:val="center"/>
          </w:tcPr>
          <w:p w:rsidRPr="006949BC" w:rsidR="006949BC" w:rsidP="006949BC" w:rsidRDefault="006949BC" w14:paraId="572248BB" w14:textId="77777777">
            <w:pPr>
              <w:spacing w:after="0" w:line="360" w:lineRule="auto"/>
              <w:rPr>
                <w:rFonts w:ascii="Arial" w:hAnsi="Arial" w:eastAsia="Times New Roman" w:cs="Arial"/>
                <w:i/>
                <w:sz w:val="16"/>
                <w:szCs w:val="16"/>
                <w:lang w:val="en-GB" w:eastAsia="nl-NL"/>
              </w:rPr>
            </w:pPr>
            <w:r w:rsidRPr="006949BC">
              <w:rPr>
                <w:rFonts w:ascii="Arial" w:hAnsi="Arial" w:eastAsia="Calibri" w:cs="Arial"/>
                <w:i/>
                <w:sz w:val="16"/>
                <w:szCs w:val="16"/>
                <w:lang w:val="nl-NL"/>
              </w:rPr>
              <w:t>Arbeid</w:t>
            </w:r>
          </w:p>
        </w:tc>
      </w:tr>
      <w:tr w:rsidRPr="006949BC" w:rsidR="006949BC" w:rsidTr="006949BC" w14:paraId="2B52A911"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E9FA10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CF167E1"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42AF096"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E5CA021" w14:textId="77777777">
            <w:pPr>
              <w:spacing w:after="0" w:line="276" w:lineRule="auto"/>
              <w:ind w:left="-70"/>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277F293"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EA1AA0C"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B05747C"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II.14</w:t>
            </w:r>
          </w:p>
        </w:tc>
      </w:tr>
      <w:tr w:rsidRPr="006949BC" w:rsidR="006949BC" w:rsidTr="006949BC" w14:paraId="6ECA352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D2CB9DC"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57E2E7BD"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6E12E0E"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7B0943E" w14:textId="77777777">
            <w:pPr>
              <w:spacing w:after="0" w:line="276" w:lineRule="auto"/>
              <w:ind w:left="-77" w:firstLine="77"/>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C340177"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228FE49"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9AFF801"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II.17</w:t>
            </w:r>
          </w:p>
        </w:tc>
      </w:tr>
      <w:tr w:rsidRPr="006949BC" w:rsidR="006949BC" w:rsidTr="006949BC" w14:paraId="24E96DCD" w14:textId="77777777">
        <w:trPr>
          <w:trHeight w:val="255"/>
        </w:trPr>
        <w:tc>
          <w:tcPr>
            <w:tcW w:w="693" w:type="dxa"/>
            <w:shd w:val="clear" w:color="auto" w:fill="BFBFBF"/>
            <w:vAlign w:val="center"/>
          </w:tcPr>
          <w:p w:rsidRPr="006949BC" w:rsidR="006949BC" w:rsidP="006949BC" w:rsidRDefault="006949BC" w14:paraId="5E64F9A5"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2.11.2</w:t>
            </w:r>
          </w:p>
        </w:tc>
        <w:tc>
          <w:tcPr>
            <w:tcW w:w="1350" w:type="dxa"/>
            <w:shd w:val="clear" w:color="auto" w:fill="BFBFBF"/>
            <w:vAlign w:val="center"/>
          </w:tcPr>
          <w:p w:rsidRPr="006949BC" w:rsidR="006949BC" w:rsidP="006949BC" w:rsidRDefault="006949BC" w14:paraId="62CA13DE" w14:textId="77777777">
            <w:pPr>
              <w:spacing w:after="0" w:line="276" w:lineRule="auto"/>
              <w:rPr>
                <w:rFonts w:ascii="Arial" w:hAnsi="Arial" w:eastAsia="Times New Roman" w:cs="Arial"/>
                <w:color w:val="000000"/>
                <w:sz w:val="16"/>
                <w:szCs w:val="16"/>
                <w:lang w:val="en-GB" w:eastAsia="nl-NL"/>
              </w:rPr>
            </w:pPr>
            <w:r w:rsidRPr="006949BC">
              <w:rPr>
                <w:rFonts w:ascii="Arial" w:hAnsi="Arial" w:eastAsia="Calibri" w:cs="Arial"/>
                <w:color w:val="000000"/>
                <w:sz w:val="16"/>
                <w:szCs w:val="16"/>
                <w:lang w:val="nl-NL"/>
              </w:rPr>
              <w:t>Indien Ja:</w:t>
            </w:r>
          </w:p>
        </w:tc>
        <w:tc>
          <w:tcPr>
            <w:tcW w:w="5023" w:type="dxa"/>
            <w:gridSpan w:val="2"/>
            <w:shd w:val="clear" w:color="auto" w:fill="007BC7"/>
            <w:vAlign w:val="center"/>
          </w:tcPr>
          <w:p w:rsidRPr="006949BC" w:rsidR="006949BC" w:rsidP="006949BC" w:rsidRDefault="006949BC" w14:paraId="7D691F2F"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Geen splitsing particuliere en publiekrechtelijke pensioenen indien bronstaatheffing</w:t>
            </w:r>
          </w:p>
        </w:tc>
        <w:tc>
          <w:tcPr>
            <w:tcW w:w="423" w:type="dxa"/>
            <w:gridSpan w:val="6"/>
            <w:shd w:val="clear" w:color="auto" w:fill="BFBFBF"/>
            <w:vAlign w:val="center"/>
          </w:tcPr>
          <w:p w:rsidRPr="006949BC" w:rsidR="006949BC" w:rsidP="006949BC" w:rsidRDefault="006949BC" w14:paraId="44DE51B9" w14:textId="77777777">
            <w:pPr>
              <w:spacing w:after="0" w:line="276" w:lineRule="auto"/>
              <w:jc w:val="center"/>
              <w:rPr>
                <w:rFonts w:ascii="Arial" w:hAnsi="Arial" w:eastAsia="Calibri" w:cs="Arial"/>
                <w:b/>
                <w:color w:val="007BC7"/>
                <w:sz w:val="16"/>
                <w:szCs w:val="16"/>
                <w:lang w:val="nl-NL"/>
              </w:rPr>
            </w:pPr>
          </w:p>
        </w:tc>
        <w:tc>
          <w:tcPr>
            <w:tcW w:w="353" w:type="dxa"/>
            <w:gridSpan w:val="2"/>
            <w:shd w:val="clear" w:color="auto" w:fill="BFBFBF"/>
            <w:vAlign w:val="center"/>
          </w:tcPr>
          <w:p w:rsidRPr="006949BC" w:rsidR="006949BC" w:rsidP="006949BC" w:rsidRDefault="006949BC" w14:paraId="1FF20598" w14:textId="77777777">
            <w:pPr>
              <w:spacing w:after="0" w:line="276" w:lineRule="auto"/>
              <w:jc w:val="center"/>
              <w:rPr>
                <w:rFonts w:ascii="Arial" w:hAnsi="Arial" w:eastAsia="Calibri" w:cs="Arial"/>
                <w:b/>
                <w:color w:val="007BC7"/>
                <w:sz w:val="16"/>
                <w:szCs w:val="16"/>
                <w:lang w:val="nl-NL"/>
              </w:rPr>
            </w:pPr>
            <w:r w:rsidRPr="00986981">
              <w:rPr>
                <w:rFonts w:ascii="Arial" w:hAnsi="Arial" w:eastAsia="Calibri" w:cs="Arial"/>
                <w:b/>
                <w:color w:val="007BC7"/>
                <w:sz w:val="16"/>
                <w:szCs w:val="16"/>
                <w:lang w:val="nl-NL"/>
              </w:rPr>
              <w:t>X</w:t>
            </w:r>
          </w:p>
        </w:tc>
        <w:tc>
          <w:tcPr>
            <w:tcW w:w="422" w:type="dxa"/>
            <w:gridSpan w:val="2"/>
            <w:shd w:val="clear" w:color="auto" w:fill="BFBFBF"/>
            <w:vAlign w:val="center"/>
          </w:tcPr>
          <w:p w:rsidRPr="006949BC" w:rsidR="006949BC" w:rsidP="006949BC" w:rsidRDefault="006949BC" w14:paraId="22CD5477" w14:textId="77777777">
            <w:pPr>
              <w:spacing w:after="0" w:line="276" w:lineRule="auto"/>
              <w:jc w:val="center"/>
              <w:rPr>
                <w:rFonts w:ascii="Arial" w:hAnsi="Arial" w:eastAsia="Calibri" w:cs="Arial"/>
                <w:b/>
                <w:color w:val="007BC7"/>
                <w:sz w:val="16"/>
                <w:szCs w:val="16"/>
                <w:lang w:val="nl-NL"/>
              </w:rPr>
            </w:pPr>
          </w:p>
        </w:tc>
        <w:tc>
          <w:tcPr>
            <w:tcW w:w="353" w:type="dxa"/>
            <w:shd w:val="clear" w:color="auto" w:fill="BFBFBF"/>
            <w:vAlign w:val="center"/>
          </w:tcPr>
          <w:p w:rsidRPr="006949BC" w:rsidR="006949BC" w:rsidP="006949BC" w:rsidRDefault="006949BC" w14:paraId="3A2E0E35" w14:textId="77777777">
            <w:pPr>
              <w:spacing w:after="0" w:line="276" w:lineRule="auto"/>
              <w:jc w:val="center"/>
              <w:rPr>
                <w:rFonts w:ascii="Arial" w:hAnsi="Arial" w:eastAsia="Calibri" w:cs="Arial"/>
                <w:b/>
                <w:color w:val="007BC7"/>
                <w:sz w:val="16"/>
                <w:szCs w:val="16"/>
                <w:lang w:val="nl-NL"/>
              </w:rPr>
            </w:pPr>
          </w:p>
        </w:tc>
        <w:tc>
          <w:tcPr>
            <w:tcW w:w="559" w:type="dxa"/>
            <w:shd w:val="clear" w:color="auto" w:fill="BFBFBF"/>
            <w:vAlign w:val="center"/>
          </w:tcPr>
          <w:p w:rsidRPr="006949BC" w:rsidR="006949BC" w:rsidP="006949BC" w:rsidRDefault="006949BC" w14:paraId="13E3CAD8"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II.17</w:t>
            </w:r>
            <w:r w:rsidRPr="006949BC">
              <w:rPr>
                <w:rFonts w:ascii="Arial" w:hAnsi="Arial" w:eastAsia="Calibri" w:cs="Arial"/>
                <w:sz w:val="16"/>
                <w:szCs w:val="16"/>
                <w:lang w:val="nl-NL"/>
              </w:rPr>
              <w:br/>
              <w:t>II.18</w:t>
            </w:r>
          </w:p>
        </w:tc>
      </w:tr>
      <w:tr w:rsidRPr="006949BC" w:rsidR="006949BC" w:rsidTr="006949BC" w14:paraId="277222DC" w14:textId="77777777">
        <w:trPr>
          <w:trHeight w:val="255"/>
        </w:trPr>
        <w:tc>
          <w:tcPr>
            <w:tcW w:w="693" w:type="dxa"/>
            <w:shd w:val="clear" w:color="auto" w:fill="BFBFBF"/>
            <w:vAlign w:val="center"/>
          </w:tcPr>
          <w:p w:rsidRPr="006949BC" w:rsidR="006949BC" w:rsidP="006949BC" w:rsidRDefault="006949BC" w14:paraId="2A262731"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2.11.1</w:t>
            </w:r>
          </w:p>
        </w:tc>
        <w:tc>
          <w:tcPr>
            <w:tcW w:w="1350" w:type="dxa"/>
            <w:shd w:val="clear" w:color="auto" w:fill="BFBFBF"/>
            <w:vAlign w:val="center"/>
          </w:tcPr>
          <w:p w:rsidRPr="006949BC" w:rsidR="006949BC" w:rsidP="006949BC" w:rsidRDefault="006949BC" w14:paraId="14BA54DA" w14:textId="77777777">
            <w:pPr>
              <w:spacing w:after="0" w:line="276" w:lineRule="auto"/>
              <w:rPr>
                <w:rFonts w:ascii="Arial" w:hAnsi="Arial" w:eastAsia="Times New Roman" w:cs="Arial"/>
                <w:color w:val="000000"/>
                <w:sz w:val="16"/>
                <w:szCs w:val="16"/>
                <w:lang w:val="nl-NL" w:eastAsia="nl-NL"/>
              </w:rPr>
            </w:pPr>
            <w:r w:rsidRPr="006949BC">
              <w:rPr>
                <w:rFonts w:ascii="Arial" w:hAnsi="Arial" w:eastAsia="Calibri" w:cs="Arial"/>
                <w:color w:val="000000"/>
                <w:sz w:val="16"/>
                <w:szCs w:val="16"/>
                <w:lang w:val="nl-NL"/>
              </w:rPr>
              <w:t>Terugvaloptie:</w:t>
            </w:r>
          </w:p>
        </w:tc>
        <w:tc>
          <w:tcPr>
            <w:tcW w:w="5023" w:type="dxa"/>
            <w:gridSpan w:val="2"/>
            <w:shd w:val="clear" w:color="auto" w:fill="007BC7"/>
            <w:vAlign w:val="center"/>
          </w:tcPr>
          <w:p w:rsidRPr="006949BC" w:rsidR="006949BC" w:rsidP="006949BC" w:rsidRDefault="006949BC" w14:paraId="4B55DEB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Beperkt bronheffingsrecht </w:t>
            </w:r>
          </w:p>
        </w:tc>
        <w:tc>
          <w:tcPr>
            <w:tcW w:w="423" w:type="dxa"/>
            <w:gridSpan w:val="6"/>
            <w:shd w:val="clear" w:color="auto" w:fill="BFBFBF"/>
            <w:vAlign w:val="center"/>
          </w:tcPr>
          <w:p w:rsidRPr="006949BC" w:rsidR="006949BC" w:rsidP="006949BC" w:rsidRDefault="006949BC" w14:paraId="384D5903" w14:textId="77777777">
            <w:pPr>
              <w:spacing w:after="0" w:line="276" w:lineRule="auto"/>
              <w:jc w:val="center"/>
              <w:rPr>
                <w:rFonts w:ascii="Arial" w:hAnsi="Arial" w:eastAsia="Calibri" w:cs="Arial"/>
                <w:b/>
                <w:color w:val="007BC7"/>
                <w:sz w:val="16"/>
                <w:szCs w:val="16"/>
                <w:lang w:val="nl-NL"/>
              </w:rPr>
            </w:pPr>
          </w:p>
        </w:tc>
        <w:tc>
          <w:tcPr>
            <w:tcW w:w="353" w:type="dxa"/>
            <w:gridSpan w:val="2"/>
            <w:shd w:val="clear" w:color="auto" w:fill="BFBFBF"/>
            <w:vAlign w:val="center"/>
          </w:tcPr>
          <w:p w:rsidRPr="006949BC" w:rsidR="006949BC" w:rsidP="006949BC" w:rsidRDefault="006949BC" w14:paraId="0A5C95B8" w14:textId="77777777">
            <w:pPr>
              <w:spacing w:after="0" w:line="276" w:lineRule="auto"/>
              <w:jc w:val="center"/>
              <w:rPr>
                <w:rFonts w:ascii="Arial" w:hAnsi="Arial" w:eastAsia="Calibri" w:cs="Arial"/>
                <w:b/>
                <w:color w:val="007BC7"/>
                <w:sz w:val="16"/>
                <w:szCs w:val="16"/>
                <w:lang w:val="nl-NL"/>
              </w:rPr>
            </w:pPr>
          </w:p>
        </w:tc>
        <w:tc>
          <w:tcPr>
            <w:tcW w:w="422" w:type="dxa"/>
            <w:gridSpan w:val="2"/>
            <w:shd w:val="clear" w:color="auto" w:fill="BFBFBF"/>
            <w:vAlign w:val="center"/>
          </w:tcPr>
          <w:p w:rsidRPr="006949BC" w:rsidR="006949BC" w:rsidP="006949BC" w:rsidRDefault="006949BC" w14:paraId="1CE86E37" w14:textId="77777777">
            <w:pPr>
              <w:spacing w:after="0" w:line="276" w:lineRule="auto"/>
              <w:jc w:val="center"/>
              <w:rPr>
                <w:rFonts w:ascii="Arial" w:hAnsi="Arial" w:eastAsia="Calibri" w:cs="Arial"/>
                <w:b/>
                <w:color w:val="007BC7"/>
                <w:sz w:val="16"/>
                <w:szCs w:val="16"/>
                <w:lang w:val="nl-NL"/>
              </w:rPr>
            </w:pPr>
          </w:p>
        </w:tc>
        <w:tc>
          <w:tcPr>
            <w:tcW w:w="353" w:type="dxa"/>
            <w:shd w:val="clear" w:color="auto" w:fill="BFBFBF"/>
            <w:vAlign w:val="center"/>
          </w:tcPr>
          <w:p w:rsidRPr="006949BC" w:rsidR="006949BC" w:rsidP="006949BC" w:rsidRDefault="006949BC" w14:paraId="1BD8FA91"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shd w:val="clear" w:color="auto" w:fill="BFBFBF"/>
            <w:vAlign w:val="center"/>
          </w:tcPr>
          <w:p w:rsidRPr="006949BC" w:rsidR="006949BC" w:rsidP="006949BC" w:rsidRDefault="006949BC" w14:paraId="6E114432"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48EBF16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0B00C97"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5CDFDF4F"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386CD77" w14:textId="478040F3">
            <w:pPr>
              <w:spacing w:after="0" w:line="276" w:lineRule="auto"/>
              <w:jc w:val="center"/>
              <w:rPr>
                <w:rFonts w:ascii="Arial" w:hAnsi="Arial" w:eastAsia="Calibri" w:cs="Arial"/>
                <w:b/>
                <w:color w:val="007BC7"/>
                <w:sz w:val="16"/>
                <w:szCs w:val="16"/>
                <w:lang w:val="nl-NL"/>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5851A0F"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C53EB8" w14:paraId="4E458465" w14:textId="21889026">
            <w:pPr>
              <w:spacing w:after="0" w:line="276" w:lineRule="auto"/>
              <w:jc w:val="center"/>
              <w:rPr>
                <w:rFonts w:ascii="Arial" w:hAnsi="Arial" w:eastAsia="Calibri" w:cs="Arial"/>
                <w:b/>
                <w:color w:val="007BC7"/>
                <w:sz w:val="16"/>
                <w:szCs w:val="16"/>
                <w:lang w:val="nl-NL"/>
              </w:rPr>
            </w:pPr>
            <w:r w:rsidRPr="00986981">
              <w:rPr>
                <w:rFonts w:ascii="Arial" w:hAnsi="Arial" w:eastAsia="Calibri" w:cs="Arial"/>
                <w:b/>
                <w:color w:val="007BC7"/>
                <w:sz w:val="16"/>
                <w:szCs w:val="16"/>
                <w:lang w:val="nl-NL"/>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BF4F374"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F2C7E08"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II.23</w:t>
            </w:r>
          </w:p>
        </w:tc>
      </w:tr>
      <w:tr w:rsidRPr="006949BC" w:rsidR="006949BC" w:rsidTr="006949BC" w14:paraId="1603599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E98662B"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5794351E"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BC6B442" w14:textId="77777777">
            <w:pPr>
              <w:spacing w:after="0" w:line="276" w:lineRule="auto"/>
              <w:jc w:val="center"/>
              <w:rPr>
                <w:rFonts w:ascii="Arial" w:hAnsi="Arial" w:eastAsia="Calibri" w:cs="Arial"/>
                <w:b/>
                <w:color w:val="007BC7"/>
                <w:sz w:val="16"/>
                <w:szCs w:val="16"/>
                <w:lang w:val="nl-NL"/>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0FE4B8D"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6A5388F"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B77CC12"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DDCADC5"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II.16</w:t>
            </w:r>
          </w:p>
        </w:tc>
      </w:tr>
      <w:tr w:rsidRPr="006949BC" w:rsidR="006949BC" w:rsidTr="006949BC" w14:paraId="7752D77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9912650"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70779BD5"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7A2333D"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494848C"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0ADE373"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9FB7E88"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6031F362" w14:textId="245FB011">
            <w:pPr>
              <w:spacing w:after="0" w:line="276" w:lineRule="auto"/>
              <w:rPr>
                <w:rFonts w:ascii="Arial" w:hAnsi="Arial" w:eastAsia="Calibri" w:cs="Arial"/>
                <w:sz w:val="16"/>
                <w:szCs w:val="16"/>
                <w:lang w:val="nl-NL"/>
              </w:rPr>
            </w:pPr>
            <w:r>
              <w:rPr>
                <w:rFonts w:ascii="Arial" w:hAnsi="Arial" w:eastAsia="Calibri" w:cs="Arial"/>
                <w:sz w:val="16"/>
                <w:szCs w:val="16"/>
                <w:lang w:val="nl-NL"/>
              </w:rPr>
              <w:t>II.22</w:t>
            </w:r>
          </w:p>
        </w:tc>
      </w:tr>
      <w:tr w:rsidRPr="006949BC" w:rsidR="006949BC" w:rsidTr="006949BC" w14:paraId="7164947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0218491"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60E78451"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CCC08DE"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A7D06A4"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9747AD3"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498C1CD"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34FA473"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44D1A282" w14:textId="77777777">
        <w:trPr>
          <w:gridAfter w:val="10"/>
          <w:wAfter w:w="1952" w:type="dxa"/>
          <w:cantSplit/>
          <w:trHeight w:val="403"/>
        </w:trPr>
        <w:tc>
          <w:tcPr>
            <w:tcW w:w="693" w:type="dxa"/>
            <w:shd w:val="clear" w:color="auto" w:fill="FFFFFF"/>
            <w:vAlign w:val="center"/>
          </w:tcPr>
          <w:p w:rsidRPr="006949BC" w:rsidR="006949BC" w:rsidP="006949BC" w:rsidRDefault="006949BC" w14:paraId="3AA1488A" w14:textId="77777777">
            <w:pPr>
              <w:spacing w:after="0" w:line="276" w:lineRule="auto"/>
              <w:jc w:val="right"/>
              <w:rPr>
                <w:rFonts w:ascii="Arial" w:hAnsi="Arial" w:eastAsia="Calibri" w:cs="Arial"/>
                <w:sz w:val="16"/>
                <w:szCs w:val="16"/>
                <w:lang w:val="nl-NL"/>
              </w:rPr>
            </w:pPr>
          </w:p>
        </w:tc>
        <w:tc>
          <w:tcPr>
            <w:tcW w:w="6531" w:type="dxa"/>
            <w:gridSpan w:val="5"/>
            <w:shd w:val="clear" w:color="auto" w:fill="FFFFFF"/>
            <w:vAlign w:val="center"/>
          </w:tcPr>
          <w:p w:rsidRPr="006949BC" w:rsidR="006949BC" w:rsidP="006949BC" w:rsidRDefault="006949BC" w14:paraId="5868BAC3" w14:textId="77777777">
            <w:pPr>
              <w:spacing w:after="0" w:line="360" w:lineRule="auto"/>
              <w:rPr>
                <w:rFonts w:ascii="Arial" w:hAnsi="Arial" w:eastAsia="Times New Roman" w:cs="Arial"/>
                <w:i/>
                <w:sz w:val="16"/>
                <w:szCs w:val="16"/>
                <w:lang w:val="en-GB" w:eastAsia="nl-NL"/>
              </w:rPr>
            </w:pPr>
            <w:r w:rsidRPr="006949BC">
              <w:rPr>
                <w:rFonts w:ascii="Arial" w:hAnsi="Arial" w:eastAsia="Calibri" w:cs="Arial"/>
                <w:i/>
                <w:sz w:val="16"/>
                <w:szCs w:val="16"/>
                <w:lang w:val="nl-NL"/>
              </w:rPr>
              <w:t>Voorkomingsmethodiek</w:t>
            </w:r>
          </w:p>
        </w:tc>
      </w:tr>
      <w:tr w:rsidRPr="006949BC" w:rsidR="006949BC" w:rsidTr="006949BC" w14:paraId="32C1051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9541CA2"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6ADB50A9"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AB24D1D"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5455D21"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1127DBF"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D6F0284"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56C08527" w14:textId="1834CA0F">
            <w:pPr>
              <w:spacing w:after="0" w:line="276" w:lineRule="auto"/>
              <w:rPr>
                <w:rFonts w:ascii="Arial" w:hAnsi="Arial" w:eastAsia="Calibri" w:cs="Arial"/>
                <w:sz w:val="16"/>
                <w:szCs w:val="16"/>
                <w:lang w:val="nl-NL"/>
              </w:rPr>
            </w:pPr>
            <w:r>
              <w:rPr>
                <w:rFonts w:ascii="Arial" w:hAnsi="Arial" w:eastAsia="Calibri" w:cs="Arial"/>
                <w:sz w:val="16"/>
                <w:szCs w:val="16"/>
                <w:lang w:val="nl-NL"/>
              </w:rPr>
              <w:t>II.22</w:t>
            </w:r>
          </w:p>
        </w:tc>
      </w:tr>
      <w:tr w:rsidRPr="006949BC" w:rsidR="006949BC" w:rsidTr="006949BC" w14:paraId="2B44F35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1EDB1C7"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06C9F86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Geen </w:t>
            </w:r>
            <w:proofErr w:type="spellStart"/>
            <w:r w:rsidRPr="006949BC">
              <w:rPr>
                <w:rFonts w:ascii="Arial" w:hAnsi="Arial" w:eastAsia="Calibri" w:cs="Arial"/>
                <w:color w:val="FFFFFF"/>
                <w:sz w:val="16"/>
                <w:szCs w:val="16"/>
                <w:lang w:val="nl-NL"/>
              </w:rPr>
              <w:t>tax</w:t>
            </w:r>
            <w:proofErr w:type="spellEnd"/>
            <w:r w:rsidRPr="006949BC">
              <w:rPr>
                <w:rFonts w:ascii="Arial" w:hAnsi="Arial" w:eastAsia="Calibri" w:cs="Arial"/>
                <w:color w:val="FFFFFF"/>
                <w:sz w:val="16"/>
                <w:szCs w:val="16"/>
                <w:lang w:val="nl-NL"/>
              </w:rPr>
              <w:t xml:space="preserve">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D4AA052"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2F51FAB"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0CC873D"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16CF7C5"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1C6A0B6C" w14:textId="26AF6726">
            <w:pPr>
              <w:spacing w:after="0" w:line="276" w:lineRule="auto"/>
              <w:rPr>
                <w:rFonts w:ascii="Arial" w:hAnsi="Arial" w:eastAsia="Calibri" w:cs="Arial"/>
                <w:sz w:val="16"/>
                <w:szCs w:val="16"/>
                <w:lang w:val="nl-NL"/>
              </w:rPr>
            </w:pPr>
            <w:r>
              <w:rPr>
                <w:rFonts w:ascii="Arial" w:hAnsi="Arial" w:eastAsia="Calibri" w:cs="Arial"/>
                <w:sz w:val="16"/>
                <w:szCs w:val="16"/>
                <w:lang w:val="nl-NL"/>
              </w:rPr>
              <w:t>II.22</w:t>
            </w:r>
          </w:p>
        </w:tc>
      </w:tr>
      <w:tr w:rsidRPr="006949BC" w:rsidR="006949BC" w:rsidTr="006949BC" w14:paraId="16EB73CF" w14:textId="77777777">
        <w:trPr>
          <w:gridAfter w:val="10"/>
          <w:wAfter w:w="1952" w:type="dxa"/>
          <w:cantSplit/>
          <w:trHeight w:val="403"/>
        </w:trPr>
        <w:tc>
          <w:tcPr>
            <w:tcW w:w="693" w:type="dxa"/>
            <w:shd w:val="clear" w:color="auto" w:fill="FFFFFF"/>
            <w:vAlign w:val="center"/>
          </w:tcPr>
          <w:p w:rsidRPr="006949BC" w:rsidR="006949BC" w:rsidP="006949BC" w:rsidRDefault="006949BC" w14:paraId="0F375667" w14:textId="77777777">
            <w:pPr>
              <w:spacing w:after="0" w:line="276" w:lineRule="auto"/>
              <w:jc w:val="right"/>
              <w:rPr>
                <w:rFonts w:ascii="Arial" w:hAnsi="Arial" w:eastAsia="Calibri" w:cs="Arial"/>
                <w:sz w:val="16"/>
                <w:szCs w:val="16"/>
                <w:lang w:val="nl-NL"/>
              </w:rPr>
            </w:pPr>
          </w:p>
        </w:tc>
        <w:tc>
          <w:tcPr>
            <w:tcW w:w="6531" w:type="dxa"/>
            <w:gridSpan w:val="5"/>
            <w:shd w:val="clear" w:color="auto" w:fill="FFFFFF"/>
            <w:vAlign w:val="center"/>
          </w:tcPr>
          <w:p w:rsidRPr="006949BC" w:rsidR="006949BC" w:rsidP="006949BC" w:rsidRDefault="006949BC" w14:paraId="58FA5714" w14:textId="77777777">
            <w:pPr>
              <w:spacing w:after="0" w:line="360" w:lineRule="auto"/>
              <w:rPr>
                <w:rFonts w:ascii="Arial" w:hAnsi="Arial" w:eastAsia="Times New Roman" w:cs="Arial"/>
                <w:i/>
                <w:sz w:val="16"/>
                <w:szCs w:val="16"/>
                <w:lang w:val="en-GB" w:eastAsia="nl-NL"/>
              </w:rPr>
            </w:pPr>
            <w:r w:rsidRPr="006949BC">
              <w:rPr>
                <w:rFonts w:ascii="Arial" w:hAnsi="Arial" w:eastAsia="Calibri" w:cs="Arial"/>
                <w:i/>
                <w:sz w:val="16"/>
                <w:szCs w:val="16"/>
                <w:lang w:val="nl-NL"/>
              </w:rPr>
              <w:t>Administratieve samenwerking en overig</w:t>
            </w:r>
          </w:p>
        </w:tc>
      </w:tr>
      <w:tr w:rsidRPr="006949BC" w:rsidR="006949BC" w:rsidTr="006949BC" w14:paraId="4304FA37"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1C681FF"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1775FD8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48B5752"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0A19845"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25B3A61"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0DB4E44"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185654EE" w14:textId="538A204C">
            <w:pPr>
              <w:spacing w:after="0" w:line="276" w:lineRule="auto"/>
              <w:rPr>
                <w:rFonts w:ascii="Arial" w:hAnsi="Arial" w:eastAsia="Calibri" w:cs="Arial"/>
                <w:sz w:val="16"/>
                <w:szCs w:val="16"/>
                <w:lang w:val="nl-NL"/>
              </w:rPr>
            </w:pPr>
            <w:r>
              <w:rPr>
                <w:rFonts w:ascii="Arial" w:hAnsi="Arial" w:eastAsia="Calibri" w:cs="Arial"/>
                <w:sz w:val="16"/>
                <w:szCs w:val="16"/>
                <w:lang w:val="nl-NL"/>
              </w:rPr>
              <w:t>II.25</w:t>
            </w:r>
          </w:p>
        </w:tc>
      </w:tr>
      <w:tr w:rsidRPr="006949BC" w:rsidR="006949BC" w:rsidTr="006949BC" w14:paraId="24C232D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0FFDBF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62A626E2"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B2EA6FD"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7C8E730"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15A0DE2"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6D34ABB"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42E6A12E" w14:textId="3E7CA494">
            <w:pPr>
              <w:spacing w:after="0" w:line="276" w:lineRule="auto"/>
              <w:rPr>
                <w:rFonts w:ascii="Arial" w:hAnsi="Arial" w:eastAsia="Calibri" w:cs="Arial"/>
                <w:sz w:val="16"/>
                <w:szCs w:val="16"/>
                <w:lang w:val="nl-NL"/>
              </w:rPr>
            </w:pPr>
            <w:r>
              <w:rPr>
                <w:rFonts w:ascii="Arial" w:hAnsi="Arial" w:eastAsia="Calibri" w:cs="Arial"/>
                <w:sz w:val="16"/>
                <w:szCs w:val="16"/>
                <w:lang w:val="nl-NL"/>
              </w:rPr>
              <w:t>II.26</w:t>
            </w:r>
          </w:p>
        </w:tc>
      </w:tr>
      <w:tr w:rsidRPr="006949BC" w:rsidR="006949BC" w:rsidTr="006949BC" w14:paraId="2EAA6B4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925F0E5"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F976C4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F2135D4"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81B1102"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1685179"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A0A36F9"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14EBA1C9" w14:textId="3BC34475">
            <w:pPr>
              <w:spacing w:after="0" w:line="276" w:lineRule="auto"/>
              <w:rPr>
                <w:rFonts w:ascii="Arial" w:hAnsi="Arial" w:eastAsia="Calibri" w:cs="Arial"/>
                <w:sz w:val="16"/>
                <w:szCs w:val="16"/>
                <w:lang w:val="nl-NL"/>
              </w:rPr>
            </w:pPr>
            <w:r>
              <w:rPr>
                <w:rFonts w:ascii="Arial" w:hAnsi="Arial" w:eastAsia="Calibri" w:cs="Arial"/>
                <w:sz w:val="16"/>
                <w:szCs w:val="16"/>
                <w:lang w:val="nl-NL"/>
              </w:rPr>
              <w:t>II.24</w:t>
            </w:r>
          </w:p>
        </w:tc>
      </w:tr>
      <w:tr w:rsidRPr="006949BC" w:rsidR="006949BC" w:rsidTr="006949BC" w14:paraId="793011A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AE18CE4"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19E6FB15"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4D3B142B" w14:textId="4DB346CD">
            <w:pPr>
              <w:spacing w:after="0" w:line="276" w:lineRule="auto"/>
              <w:jc w:val="center"/>
              <w:rPr>
                <w:rFonts w:ascii="Arial" w:hAnsi="Arial" w:eastAsia="Calibri" w:cs="Arial"/>
                <w:b/>
                <w:color w:val="007BC7"/>
                <w:sz w:val="16"/>
                <w:szCs w:val="16"/>
                <w:lang w:val="nl-NL"/>
              </w:rPr>
            </w:pPr>
            <w:r>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E8190A8"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B977177" w14:textId="0A6193B5">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BE8ECEB"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31D5FBF7" w14:textId="59A5EE49">
            <w:pPr>
              <w:spacing w:after="0" w:line="276" w:lineRule="auto"/>
              <w:rPr>
                <w:rFonts w:ascii="Arial" w:hAnsi="Arial" w:eastAsia="Calibri" w:cs="Arial"/>
                <w:sz w:val="16"/>
                <w:szCs w:val="16"/>
                <w:lang w:val="nl-NL"/>
              </w:rPr>
            </w:pPr>
            <w:r>
              <w:rPr>
                <w:rFonts w:ascii="Arial" w:hAnsi="Arial" w:eastAsia="Calibri" w:cs="Arial"/>
                <w:sz w:val="16"/>
                <w:szCs w:val="16"/>
                <w:lang w:val="nl-NL"/>
              </w:rPr>
              <w:t>II.24</w:t>
            </w:r>
          </w:p>
        </w:tc>
      </w:tr>
      <w:tr w:rsidRPr="006949BC" w:rsidR="006949BC" w:rsidTr="006949BC" w14:paraId="38B8158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442285EB"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7B785638"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29097FB" w14:textId="77777777">
            <w:pPr>
              <w:spacing w:after="0" w:line="276" w:lineRule="auto"/>
              <w:jc w:val="center"/>
              <w:rPr>
                <w:rFonts w:ascii="Arial" w:hAnsi="Arial" w:eastAsia="Calibri" w:cs="Arial"/>
                <w:b/>
                <w:color w:val="007BC7"/>
                <w:sz w:val="16"/>
                <w:szCs w:val="16"/>
                <w:lang w:val="nl-NL"/>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02358EB"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716F5F4"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6E66F88"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151585F"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05C7E6D4" w14:textId="77777777">
        <w:trPr>
          <w:gridAfter w:val="10"/>
          <w:wAfter w:w="1952" w:type="dxa"/>
          <w:cantSplit/>
          <w:trHeight w:val="403"/>
        </w:trPr>
        <w:tc>
          <w:tcPr>
            <w:tcW w:w="693" w:type="dxa"/>
            <w:shd w:val="clear" w:color="auto" w:fill="FFFFFF"/>
            <w:vAlign w:val="center"/>
          </w:tcPr>
          <w:p w:rsidRPr="006949BC" w:rsidR="006949BC" w:rsidP="006949BC" w:rsidRDefault="006949BC" w14:paraId="091F57F5" w14:textId="77777777">
            <w:pPr>
              <w:spacing w:after="0" w:line="276" w:lineRule="auto"/>
              <w:jc w:val="right"/>
              <w:rPr>
                <w:rFonts w:ascii="Arial" w:hAnsi="Arial" w:eastAsia="Calibri" w:cs="Arial"/>
                <w:sz w:val="16"/>
                <w:szCs w:val="16"/>
                <w:lang w:val="nl-NL"/>
              </w:rPr>
            </w:pPr>
          </w:p>
        </w:tc>
        <w:tc>
          <w:tcPr>
            <w:tcW w:w="6531" w:type="dxa"/>
            <w:gridSpan w:val="5"/>
            <w:shd w:val="clear" w:color="auto" w:fill="FFFFFF"/>
            <w:vAlign w:val="center"/>
          </w:tcPr>
          <w:p w:rsidRPr="006949BC" w:rsidR="006949BC" w:rsidP="006949BC" w:rsidRDefault="006949BC" w14:paraId="127DF90B" w14:textId="77777777">
            <w:pPr>
              <w:spacing w:after="0" w:line="360" w:lineRule="auto"/>
              <w:rPr>
                <w:rFonts w:ascii="Arial" w:hAnsi="Arial" w:eastAsia="Times New Roman" w:cs="Arial"/>
                <w:i/>
                <w:sz w:val="16"/>
                <w:szCs w:val="16"/>
                <w:lang w:val="en-GB" w:eastAsia="nl-NL"/>
              </w:rPr>
            </w:pPr>
            <w:r w:rsidRPr="006949BC">
              <w:rPr>
                <w:rFonts w:ascii="Arial" w:hAnsi="Arial" w:eastAsia="Calibri" w:cs="Arial"/>
                <w:i/>
                <w:sz w:val="16"/>
                <w:szCs w:val="16"/>
                <w:lang w:val="nl-NL"/>
              </w:rPr>
              <w:t>Instrumentarium voorkomen verdragsmisbruik</w:t>
            </w:r>
          </w:p>
        </w:tc>
      </w:tr>
      <w:tr w:rsidRPr="006949BC" w:rsidR="006949BC" w:rsidTr="006949BC" w14:paraId="03F0329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0EEFF99"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BD06D58"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Indien aansluiting is gezocht bij nationale antimisbruikleerstukken is consultatie en/of </w:t>
            </w:r>
            <w:proofErr w:type="spellStart"/>
            <w:r w:rsidRPr="006949BC">
              <w:rPr>
                <w:rFonts w:ascii="Arial" w:hAnsi="Arial" w:eastAsia="Calibri" w:cs="Arial"/>
                <w:color w:val="FFFFFF"/>
                <w:sz w:val="16"/>
                <w:szCs w:val="16"/>
                <w:lang w:val="nl-NL"/>
              </w:rPr>
              <w:t>onderlingoverlegmogelijkheid</w:t>
            </w:r>
            <w:proofErr w:type="spellEnd"/>
            <w:r w:rsidRPr="006949BC">
              <w:rPr>
                <w:rFonts w:ascii="Arial" w:hAnsi="Arial" w:eastAsia="Calibri" w:cs="Arial"/>
                <w:color w:val="FFFFFF"/>
                <w:sz w:val="16"/>
                <w:szCs w:val="16"/>
                <w:lang w:val="nl-NL"/>
              </w:rPr>
              <w:t xml:space="preserve">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5FF9DDE" w14:textId="77777777">
            <w:pPr>
              <w:spacing w:after="0" w:line="276" w:lineRule="auto"/>
              <w:jc w:val="center"/>
              <w:rPr>
                <w:rFonts w:ascii="Arial" w:hAnsi="Arial" w:eastAsia="Calibri" w:cs="Arial"/>
                <w:b/>
                <w:color w:val="007BC7"/>
                <w:sz w:val="16"/>
                <w:szCs w:val="16"/>
                <w:lang w:val="nl-NL"/>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A57F969"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C07E79D"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64D7444"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471FC7D"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 xml:space="preserve">- </w:t>
            </w:r>
          </w:p>
        </w:tc>
      </w:tr>
      <w:tr w:rsidRPr="006949BC" w:rsidR="006949BC" w:rsidTr="006949BC" w14:paraId="4F31090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0D0680C"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63474DE" w14:textId="77777777">
            <w:pPr>
              <w:spacing w:after="0" w:line="276" w:lineRule="auto"/>
              <w:rPr>
                <w:rFonts w:ascii="Arial" w:hAnsi="Arial" w:eastAsia="Calibri" w:cs="Arial"/>
                <w:color w:val="FFFFFF"/>
                <w:sz w:val="16"/>
                <w:szCs w:val="16"/>
                <w:lang w:val="nl-NL"/>
              </w:rPr>
            </w:pPr>
            <w:proofErr w:type="spellStart"/>
            <w:r w:rsidRPr="006949BC">
              <w:rPr>
                <w:rFonts w:ascii="Arial" w:hAnsi="Arial" w:eastAsia="Calibri" w:cs="Arial"/>
                <w:color w:val="FFFFFF"/>
                <w:sz w:val="16"/>
                <w:szCs w:val="16"/>
                <w:lang w:val="nl-NL"/>
              </w:rPr>
              <w:t>Verdragsvoordeelbeperkende</w:t>
            </w:r>
            <w:proofErr w:type="spellEnd"/>
            <w:r w:rsidRPr="006949BC">
              <w:rPr>
                <w:rFonts w:ascii="Arial" w:hAnsi="Arial" w:eastAsia="Calibri" w:cs="Arial"/>
                <w:color w:val="FFFFFF"/>
                <w:sz w:val="16"/>
                <w:szCs w:val="16"/>
                <w:lang w:val="nl-NL"/>
              </w:rPr>
              <w:t xml:space="preserv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57440B0"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7E28A30"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8DC1CA5"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F43AB2C" w14:textId="77777777">
            <w:pPr>
              <w:spacing w:after="0" w:line="276" w:lineRule="auto"/>
              <w:jc w:val="center"/>
              <w:rPr>
                <w:rFonts w:ascii="Arial" w:hAnsi="Arial" w:eastAsia="Calibri" w:cs="Arial"/>
                <w:b/>
                <w:color w:val="007BC7"/>
                <w:sz w:val="16"/>
                <w:szCs w:val="16"/>
                <w:lang w:val="nl-NL"/>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314DCA" w14:paraId="620AB0E4" w14:textId="4ABAFE05">
            <w:pPr>
              <w:spacing w:after="0" w:line="276" w:lineRule="auto"/>
              <w:rPr>
                <w:rFonts w:ascii="Arial" w:hAnsi="Arial" w:eastAsia="Calibri" w:cs="Arial"/>
                <w:sz w:val="16"/>
                <w:szCs w:val="16"/>
                <w:lang w:val="nl-NL"/>
              </w:rPr>
            </w:pPr>
            <w:r>
              <w:rPr>
                <w:rFonts w:ascii="Arial" w:hAnsi="Arial" w:eastAsia="Calibri" w:cs="Arial"/>
                <w:sz w:val="16"/>
                <w:szCs w:val="16"/>
                <w:lang w:val="nl-NL"/>
              </w:rPr>
              <w:t>II.28</w:t>
            </w:r>
          </w:p>
        </w:tc>
      </w:tr>
      <w:tr w:rsidRPr="006949BC" w:rsidR="006949BC" w:rsidTr="006949BC" w14:paraId="4F4DD218" w14:textId="77777777">
        <w:trPr>
          <w:gridAfter w:val="10"/>
          <w:wAfter w:w="1952" w:type="dxa"/>
          <w:cantSplit/>
          <w:trHeight w:val="403"/>
        </w:trPr>
        <w:tc>
          <w:tcPr>
            <w:tcW w:w="693" w:type="dxa"/>
            <w:shd w:val="clear" w:color="auto" w:fill="FFFFFF"/>
            <w:vAlign w:val="center"/>
          </w:tcPr>
          <w:p w:rsidRPr="006949BC" w:rsidR="006949BC" w:rsidP="006949BC" w:rsidRDefault="006949BC" w14:paraId="2734F29E" w14:textId="77777777">
            <w:pPr>
              <w:spacing w:after="0" w:line="276" w:lineRule="auto"/>
              <w:jc w:val="center"/>
              <w:rPr>
                <w:rFonts w:ascii="Arial" w:hAnsi="Arial" w:eastAsia="Calibri" w:cs="Arial"/>
                <w:b/>
                <w:sz w:val="16"/>
                <w:szCs w:val="16"/>
                <w:lang w:val="nl-NL"/>
              </w:rPr>
            </w:pPr>
          </w:p>
        </w:tc>
        <w:tc>
          <w:tcPr>
            <w:tcW w:w="6531" w:type="dxa"/>
            <w:gridSpan w:val="5"/>
            <w:shd w:val="clear" w:color="auto" w:fill="FFFFFF"/>
            <w:vAlign w:val="center"/>
          </w:tcPr>
          <w:p w:rsidRPr="006949BC" w:rsidR="006949BC" w:rsidP="006949BC" w:rsidRDefault="006949BC" w14:paraId="354C6866" w14:textId="77777777">
            <w:pPr>
              <w:spacing w:after="0" w:line="360" w:lineRule="auto"/>
              <w:rPr>
                <w:rFonts w:ascii="Arial" w:hAnsi="Arial" w:eastAsia="Calibri" w:cs="Arial"/>
                <w:b/>
                <w:sz w:val="16"/>
                <w:szCs w:val="16"/>
                <w:lang w:val="nl-NL"/>
              </w:rPr>
            </w:pPr>
            <w:r w:rsidRPr="006949BC">
              <w:rPr>
                <w:rFonts w:ascii="Arial" w:hAnsi="Arial" w:eastAsia="Calibri" w:cs="Arial"/>
                <w:b/>
                <w:sz w:val="16"/>
                <w:szCs w:val="16"/>
                <w:lang w:val="nl-NL"/>
              </w:rPr>
              <w:t>Ontwikkelingslanden</w:t>
            </w:r>
          </w:p>
        </w:tc>
      </w:tr>
      <w:tr w:rsidRPr="006949BC" w:rsidR="006949BC" w:rsidTr="006949BC" w14:paraId="6FCF871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781AFAB"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453D21DD"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549071B" w14:textId="77777777">
            <w:pPr>
              <w:spacing w:after="0" w:line="276" w:lineRule="auto"/>
              <w:jc w:val="center"/>
              <w:rPr>
                <w:rFonts w:ascii="Arial" w:hAnsi="Arial" w:eastAsia="Calibri" w:cs="Arial"/>
                <w:b/>
                <w:color w:val="007BC7"/>
                <w:sz w:val="16"/>
                <w:szCs w:val="16"/>
                <w:lang w:val="nl-NL"/>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DA27F42"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DF8E8C3"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10635F7"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6511642"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24C4783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77D6DA6"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71E41E17"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7635FAD" w14:textId="77777777">
            <w:pPr>
              <w:spacing w:after="0" w:line="276" w:lineRule="auto"/>
              <w:jc w:val="center"/>
              <w:rPr>
                <w:rFonts w:ascii="Arial" w:hAnsi="Arial" w:eastAsia="Calibri" w:cs="Arial"/>
                <w:b/>
                <w:color w:val="007BC7"/>
                <w:sz w:val="16"/>
                <w:szCs w:val="16"/>
                <w:lang w:val="nl-NL"/>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A5A4B7D"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50EB382"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009456F"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EB9B0E8"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48AF812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045B2B3"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2CE53E24"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Bronbelasting op interest &amp; royalty’s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18DBEFF" w14:textId="77777777">
            <w:pPr>
              <w:spacing w:after="0" w:line="276" w:lineRule="auto"/>
              <w:jc w:val="center"/>
              <w:rPr>
                <w:rFonts w:ascii="Arial" w:hAnsi="Arial" w:eastAsia="Calibri" w:cs="Arial"/>
                <w:b/>
                <w:color w:val="007BC7"/>
                <w:sz w:val="16"/>
                <w:szCs w:val="16"/>
                <w:lang w:val="nl-NL"/>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5E52742"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231FFB1A"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CF0CC0B"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CD0934B"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1F0A3A3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FFABE5D" w14:textId="77777777">
            <w:pPr>
              <w:spacing w:after="0" w:line="276" w:lineRule="auto"/>
              <w:jc w:val="right"/>
              <w:rPr>
                <w:rFonts w:ascii="Arial" w:hAnsi="Arial" w:eastAsia="Calibri" w:cs="Arial"/>
                <w:sz w:val="16"/>
                <w:szCs w:val="16"/>
                <w:lang w:val="nl-NL"/>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2165BFAB"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776BA58" w14:textId="77777777">
            <w:pPr>
              <w:spacing w:after="0" w:line="276" w:lineRule="auto"/>
              <w:jc w:val="center"/>
              <w:rPr>
                <w:rFonts w:ascii="Arial" w:hAnsi="Arial" w:eastAsia="Calibri" w:cs="Arial"/>
                <w:b/>
                <w:color w:val="007BC7"/>
                <w:sz w:val="16"/>
                <w:szCs w:val="16"/>
                <w:lang w:val="nl-NL"/>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0D796CB"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9C08E89"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1B28FEBB" w14:textId="77777777">
            <w:pPr>
              <w:spacing w:after="0" w:line="276" w:lineRule="auto"/>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 xml:space="preserve"> 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EC10C86"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r w:rsidRPr="006949BC" w:rsidR="006949BC" w:rsidTr="006949BC" w14:paraId="69F7A28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666FE2E" w14:textId="77777777">
            <w:pPr>
              <w:spacing w:after="0" w:line="276" w:lineRule="auto"/>
              <w:jc w:val="right"/>
              <w:rPr>
                <w:rFonts w:ascii="Arial" w:hAnsi="Arial" w:eastAsia="Calibri" w:cs="Arial"/>
                <w:sz w:val="16"/>
                <w:szCs w:val="16"/>
                <w:lang w:val="nl-NL"/>
              </w:rPr>
            </w:pPr>
            <w:r w:rsidRPr="006949BC">
              <w:rPr>
                <w:rFonts w:ascii="Arial" w:hAnsi="Arial" w:eastAsia="Calibri" w:cs="Arial"/>
                <w:sz w:val="16"/>
                <w:szCs w:val="16"/>
                <w:lang w:val="nl-NL"/>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6949BC" w:rsidR="006949BC" w:rsidP="006949BC" w:rsidRDefault="006949BC" w14:paraId="18321423" w14:textId="77777777">
            <w:pPr>
              <w:spacing w:after="0" w:line="276" w:lineRule="auto"/>
              <w:rPr>
                <w:rFonts w:ascii="Arial" w:hAnsi="Arial" w:eastAsia="Calibri" w:cs="Arial"/>
                <w:color w:val="FFFFFF"/>
                <w:sz w:val="16"/>
                <w:szCs w:val="16"/>
                <w:lang w:val="nl-NL"/>
              </w:rPr>
            </w:pPr>
            <w:r w:rsidRPr="006949BC">
              <w:rPr>
                <w:rFonts w:ascii="Arial" w:hAnsi="Arial" w:eastAsia="Calibri" w:cs="Arial"/>
                <w:color w:val="FFFFFF"/>
                <w:sz w:val="16"/>
                <w:szCs w:val="16"/>
                <w:lang w:val="nl-NL"/>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543B4BFE" w14:textId="77777777">
            <w:pPr>
              <w:spacing w:after="0" w:line="276" w:lineRule="auto"/>
              <w:jc w:val="center"/>
              <w:rPr>
                <w:rFonts w:ascii="Arial" w:hAnsi="Arial" w:eastAsia="Calibri" w:cs="Arial"/>
                <w:b/>
                <w:color w:val="007BC7"/>
                <w:sz w:val="16"/>
                <w:szCs w:val="16"/>
                <w:lang w:val="nl-NL"/>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01DF41D8" w14:textId="77777777">
            <w:pPr>
              <w:spacing w:after="0" w:line="276" w:lineRule="auto"/>
              <w:jc w:val="center"/>
              <w:rPr>
                <w:rFonts w:ascii="Arial" w:hAnsi="Arial" w:eastAsia="Calibri" w:cs="Arial"/>
                <w:b/>
                <w:color w:val="007BC7"/>
                <w:sz w:val="16"/>
                <w:szCs w:val="16"/>
                <w:lang w:val="nl-NL"/>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6CEDA487" w14:textId="77777777">
            <w:pPr>
              <w:spacing w:after="0" w:line="276" w:lineRule="auto"/>
              <w:jc w:val="center"/>
              <w:rPr>
                <w:rFonts w:ascii="Arial" w:hAnsi="Arial" w:eastAsia="Calibri" w:cs="Arial"/>
                <w:b/>
                <w:color w:val="007BC7"/>
                <w:sz w:val="16"/>
                <w:szCs w:val="16"/>
                <w:lang w:val="nl-NL"/>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73CDBD90" w14:textId="77777777">
            <w:pPr>
              <w:spacing w:after="0" w:line="276" w:lineRule="auto"/>
              <w:jc w:val="center"/>
              <w:rPr>
                <w:rFonts w:ascii="Arial" w:hAnsi="Arial" w:eastAsia="Calibri" w:cs="Arial"/>
                <w:b/>
                <w:color w:val="007BC7"/>
                <w:sz w:val="16"/>
                <w:szCs w:val="16"/>
                <w:lang w:val="nl-NL"/>
              </w:rPr>
            </w:pPr>
            <w:r w:rsidRPr="006949BC">
              <w:rPr>
                <w:rFonts w:ascii="Arial" w:hAnsi="Arial" w:eastAsia="Calibri" w:cs="Arial"/>
                <w:b/>
                <w:color w:val="007BC7"/>
                <w:sz w:val="16"/>
                <w:szCs w:val="16"/>
                <w:lang w:val="nl-NL"/>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949BC" w:rsidR="006949BC" w:rsidP="006949BC" w:rsidRDefault="006949BC" w14:paraId="36EE2B15" w14:textId="77777777">
            <w:pPr>
              <w:spacing w:after="0" w:line="276" w:lineRule="auto"/>
              <w:rPr>
                <w:rFonts w:ascii="Arial" w:hAnsi="Arial" w:eastAsia="Calibri" w:cs="Arial"/>
                <w:sz w:val="16"/>
                <w:szCs w:val="16"/>
                <w:lang w:val="nl-NL"/>
              </w:rPr>
            </w:pPr>
            <w:r w:rsidRPr="006949BC">
              <w:rPr>
                <w:rFonts w:ascii="Arial" w:hAnsi="Arial" w:eastAsia="Calibri" w:cs="Arial"/>
                <w:sz w:val="16"/>
                <w:szCs w:val="16"/>
                <w:lang w:val="nl-NL"/>
              </w:rPr>
              <w:t>-</w:t>
            </w:r>
          </w:p>
        </w:tc>
      </w:tr>
    </w:tbl>
    <w:p w:rsidRPr="00B17C86" w:rsidR="002F1D2A" w:rsidP="002F1D2A" w:rsidRDefault="002F1D2A" w14:paraId="249B1A9D" w14:textId="78C62A18">
      <w:pPr>
        <w:pBdr>
          <w:top w:val="single" w:color="auto" w:sz="4" w:space="1"/>
          <w:left w:val="single" w:color="auto" w:sz="4" w:space="0"/>
          <w:bottom w:val="single" w:color="auto" w:sz="4" w:space="1"/>
          <w:right w:val="single" w:color="auto" w:sz="4" w:space="4"/>
        </w:pBdr>
        <w:rPr>
          <w:rFonts w:ascii="Arial" w:hAnsi="Arial" w:cs="Arial"/>
          <w:b/>
          <w:sz w:val="16"/>
          <w:szCs w:val="16"/>
          <w:lang w:val="nl-NL"/>
        </w:rPr>
      </w:pPr>
      <w:r w:rsidRPr="00B17C86">
        <w:rPr>
          <w:rFonts w:ascii="Arial" w:hAnsi="Arial" w:cs="Arial"/>
          <w:b/>
          <w:sz w:val="16"/>
          <w:szCs w:val="16"/>
          <w:lang w:val="nl-NL"/>
        </w:rPr>
        <w:t>Toelichting</w:t>
      </w:r>
      <w:r w:rsidRPr="00B17C86">
        <w:rPr>
          <w:rFonts w:ascii="Arial" w:hAnsi="Arial" w:cs="Arial"/>
          <w:sz w:val="16"/>
          <w:szCs w:val="16"/>
          <w:lang w:val="nl-NL"/>
        </w:rPr>
        <w:br/>
        <w:t xml:space="preserve">In bovenstaand </w:t>
      </w:r>
      <w:proofErr w:type="spellStart"/>
      <w:r w:rsidRPr="00B17C86">
        <w:rPr>
          <w:rFonts w:ascii="Arial" w:hAnsi="Arial" w:cs="Arial"/>
          <w:sz w:val="16"/>
          <w:szCs w:val="16"/>
          <w:lang w:val="nl-NL"/>
        </w:rPr>
        <w:t>toetsschema</w:t>
      </w:r>
      <w:proofErr w:type="spellEnd"/>
      <w:r w:rsidRPr="00B17C86">
        <w:rPr>
          <w:rFonts w:ascii="Arial" w:hAnsi="Arial" w:cs="Arial"/>
          <w:sz w:val="16"/>
          <w:szCs w:val="16"/>
          <w:lang w:val="nl-NL"/>
        </w:rPr>
        <w:t xml:space="preserve"> met standaardcriteria voor het sluiten van belastingverdragen zijn de standaardcriteria opgenomen zoals geformuleerd en toegelicht in de NFV 2011. Dit schema biedt tevens uitvoering aan de motie-Van Vliet</w:t>
      </w:r>
      <w:r w:rsidRPr="00B17C86">
        <w:rPr>
          <w:rStyle w:val="FootnoteReference"/>
          <w:rFonts w:ascii="Arial" w:hAnsi="Arial" w:cs="Arial"/>
          <w:sz w:val="16"/>
          <w:szCs w:val="16"/>
        </w:rPr>
        <w:footnoteReference w:id="12"/>
      </w:r>
      <w:r w:rsidRPr="00B17C86">
        <w:rPr>
          <w:rFonts w:ascii="Arial" w:hAnsi="Arial" w:cs="Arial"/>
          <w:sz w:val="16"/>
          <w:szCs w:val="16"/>
          <w:lang w:val="nl-NL"/>
        </w:rPr>
        <w:t xml:space="preserve"> en wordt gevoegd bij elke toelichting bij nieuwe belastingverdragen. Per onderdeel wordt aangegeven of de inzet geconc</w:t>
      </w:r>
      <w:r w:rsidRPr="00B17C86" w:rsidR="00B14853">
        <w:rPr>
          <w:rFonts w:ascii="Arial" w:hAnsi="Arial" w:cs="Arial"/>
          <w:sz w:val="16"/>
          <w:szCs w:val="16"/>
          <w:lang w:val="nl-NL"/>
        </w:rPr>
        <w:t>retiseerd is in het V</w:t>
      </w:r>
      <w:r w:rsidRPr="00B17C86">
        <w:rPr>
          <w:rFonts w:ascii="Arial" w:hAnsi="Arial" w:cs="Arial"/>
          <w:sz w:val="16"/>
          <w:szCs w:val="16"/>
          <w:lang w:val="nl-NL"/>
        </w:rPr>
        <w:t>erdrag en wordt verwezen naar de relevante passage in de toelichting.</w:t>
      </w:r>
    </w:p>
    <w:p w:rsidRPr="002F1D2A" w:rsidR="002F1D2A" w:rsidP="000B1ADB" w:rsidRDefault="002F1D2A" w14:paraId="237C4522" w14:textId="77777777">
      <w:pPr>
        <w:spacing w:after="0" w:line="360" w:lineRule="auto"/>
        <w:outlineLvl w:val="0"/>
        <w:rPr>
          <w:rFonts w:ascii="Arial" w:hAnsi="Arial" w:eastAsia="Times New Roman" w:cs="Times New Roman"/>
          <w:b/>
          <w:sz w:val="20"/>
          <w:szCs w:val="24"/>
          <w:lang w:val="nl-NL" w:eastAsia="nl-NL"/>
        </w:rPr>
      </w:pPr>
    </w:p>
    <w:p w:rsidRPr="000B1ADB" w:rsidR="000B1ADB" w:rsidP="000B1ADB" w:rsidRDefault="000B1ADB" w14:paraId="3A1A7B8E" w14:textId="041C191C">
      <w:pPr>
        <w:pStyle w:val="Heading1"/>
        <w:numPr>
          <w:ilvl w:val="0"/>
          <w:numId w:val="0"/>
        </w:numPr>
        <w:rPr>
          <w:lang w:val="nl-NL"/>
        </w:rPr>
      </w:pPr>
      <w:r w:rsidRPr="000B1ADB">
        <w:rPr>
          <w:lang w:val="nl-NL"/>
        </w:rPr>
        <w:t>II.</w:t>
      </w:r>
      <w:r>
        <w:rPr>
          <w:lang w:val="nl-NL"/>
        </w:rPr>
        <w:t xml:space="preserve"> </w:t>
      </w:r>
      <w:r w:rsidRPr="000B1ADB">
        <w:rPr>
          <w:lang w:val="nl-NL"/>
        </w:rPr>
        <w:t>ARTIKELSGEWIJZE TOELICHTING</w:t>
      </w:r>
    </w:p>
    <w:p w:rsidR="000B1ADB" w:rsidP="000B1ADB" w:rsidRDefault="000B1ADB" w14:paraId="18A62893" w14:textId="396F5815">
      <w:pPr>
        <w:rPr>
          <w:highlight w:val="yellow"/>
          <w:lang w:val="nl-NL" w:eastAsia="nl-NL"/>
        </w:rPr>
      </w:pPr>
    </w:p>
    <w:p w:rsidRPr="00314DCA" w:rsidR="000B1ADB" w:rsidP="000B1ADB" w:rsidRDefault="000B1ADB" w14:paraId="5C017D57" w14:textId="2C49A0D2">
      <w:pPr>
        <w:keepNext/>
        <w:numPr>
          <w:ilvl w:val="1"/>
          <w:numId w:val="2"/>
        </w:numPr>
        <w:spacing w:before="240" w:after="60" w:line="360" w:lineRule="auto"/>
        <w:outlineLvl w:val="1"/>
        <w:rPr>
          <w:rFonts w:ascii="Arial" w:hAnsi="Arial" w:eastAsia="Times New Roman" w:cs="Times New Roman"/>
          <w:bCs/>
          <w:i/>
          <w:iCs/>
          <w:sz w:val="20"/>
          <w:szCs w:val="28"/>
          <w:lang w:val="nl-NL" w:eastAsia="nl-NL"/>
        </w:rPr>
      </w:pPr>
      <w:r w:rsidRPr="00314DCA">
        <w:rPr>
          <w:rFonts w:ascii="Arial" w:hAnsi="Arial" w:eastAsia="Times New Roman" w:cs="Times New Roman"/>
          <w:bCs/>
          <w:i/>
          <w:iCs/>
          <w:sz w:val="20"/>
          <w:szCs w:val="28"/>
          <w:lang w:val="nl-NL" w:eastAsia="nl-NL"/>
        </w:rPr>
        <w:t>Titel en preambule</w:t>
      </w:r>
    </w:p>
    <w:p w:rsidR="00A03C95" w:rsidP="00986981" w:rsidRDefault="003B11FF" w14:paraId="70F17CE4" w14:textId="68041753">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de titel en de preambule wordt tot uitdrukking gebracht dat het Verdrag ertoe strekt </w:t>
      </w:r>
      <w:r w:rsidRPr="003B11FF">
        <w:rPr>
          <w:rFonts w:ascii="Arial" w:hAnsi="Arial" w:eastAsia="Times New Roman" w:cs="Times New Roman"/>
          <w:sz w:val="20"/>
          <w:szCs w:val="24"/>
          <w:lang w:val="nl-NL" w:eastAsia="nl-NL"/>
        </w:rPr>
        <w:t xml:space="preserve">om dubbele belasting </w:t>
      </w:r>
      <w:r w:rsidR="00CE4FC8">
        <w:rPr>
          <w:rFonts w:ascii="Arial" w:hAnsi="Arial" w:eastAsia="Times New Roman" w:cs="Times New Roman"/>
          <w:sz w:val="20"/>
          <w:szCs w:val="24"/>
          <w:lang w:val="nl-NL" w:eastAsia="nl-NL"/>
        </w:rPr>
        <w:t xml:space="preserve">op inkomen en vermogen </w:t>
      </w:r>
      <w:r w:rsidRPr="003B11FF">
        <w:rPr>
          <w:rFonts w:ascii="Arial" w:hAnsi="Arial" w:eastAsia="Times New Roman" w:cs="Times New Roman"/>
          <w:sz w:val="20"/>
          <w:szCs w:val="24"/>
          <w:lang w:val="nl-NL" w:eastAsia="nl-NL"/>
        </w:rPr>
        <w:t xml:space="preserve">te vermijden, zonder daarmee mogelijkheden te creëren voor dubbele niet-heffing of verlaagde heffing door belastingontduiking of belastingontwijking. </w:t>
      </w:r>
      <w:r w:rsidRPr="00654446" w:rsidR="00654446">
        <w:rPr>
          <w:rFonts w:ascii="Arial" w:hAnsi="Arial" w:eastAsia="Times New Roman" w:cs="Times New Roman"/>
          <w:sz w:val="20"/>
          <w:szCs w:val="24"/>
          <w:lang w:val="nl-NL" w:eastAsia="nl-NL"/>
        </w:rPr>
        <w:t xml:space="preserve">Daarbij wordt expliciet verwezen naar </w:t>
      </w:r>
      <w:proofErr w:type="spellStart"/>
      <w:r w:rsidRPr="00654446" w:rsidR="00654446">
        <w:rPr>
          <w:rFonts w:ascii="Arial" w:hAnsi="Arial" w:eastAsia="Times New Roman" w:cs="Times New Roman"/>
          <w:sz w:val="20"/>
          <w:szCs w:val="24"/>
          <w:lang w:val="nl-NL" w:eastAsia="nl-NL"/>
        </w:rPr>
        <w:t>treaty</w:t>
      </w:r>
      <w:proofErr w:type="spellEnd"/>
      <w:r w:rsidRPr="00654446" w:rsidR="00654446">
        <w:rPr>
          <w:rFonts w:ascii="Arial" w:hAnsi="Arial" w:eastAsia="Times New Roman" w:cs="Times New Roman"/>
          <w:sz w:val="20"/>
          <w:szCs w:val="24"/>
          <w:lang w:val="nl-NL" w:eastAsia="nl-NL"/>
        </w:rPr>
        <w:t xml:space="preserve">-shopping-constructies. </w:t>
      </w:r>
      <w:r w:rsidR="000B14F4">
        <w:rPr>
          <w:rFonts w:ascii="Arial" w:hAnsi="Arial" w:eastAsia="Times New Roman" w:cs="Times New Roman"/>
          <w:sz w:val="20"/>
          <w:szCs w:val="24"/>
          <w:lang w:val="nl-NL" w:eastAsia="nl-NL"/>
        </w:rPr>
        <w:t>Dit stemt overeen met de titel en de prea</w:t>
      </w:r>
      <w:r w:rsidR="006E12EF">
        <w:rPr>
          <w:rFonts w:ascii="Arial" w:hAnsi="Arial" w:eastAsia="Times New Roman" w:cs="Times New Roman"/>
          <w:sz w:val="20"/>
          <w:szCs w:val="24"/>
          <w:lang w:val="nl-NL" w:eastAsia="nl-NL"/>
        </w:rPr>
        <w:t>mbule van het OESO-modelverdrag.</w:t>
      </w:r>
    </w:p>
    <w:p w:rsidRPr="005F55C7" w:rsidR="005F55C7" w:rsidP="00A24FB6" w:rsidRDefault="001C4546" w14:paraId="08B66F05" w14:textId="4A71D2A9">
      <w:pPr>
        <w:keepNext/>
        <w:numPr>
          <w:ilvl w:val="1"/>
          <w:numId w:val="1"/>
        </w:numPr>
        <w:spacing w:before="240" w:after="60" w:line="360" w:lineRule="auto"/>
        <w:ind w:left="567" w:hanging="567"/>
        <w:outlineLvl w:val="1"/>
        <w:rPr>
          <w:rFonts w:ascii="Arial" w:hAnsi="Arial" w:eastAsia="Times New Roman" w:cs="Times New Roman"/>
          <w:bCs/>
          <w:i/>
          <w:iCs/>
          <w:sz w:val="20"/>
          <w:szCs w:val="24"/>
          <w:lang w:val="nl-NL" w:eastAsia="nl-NL"/>
        </w:rPr>
      </w:pPr>
      <w:r w:rsidRPr="00A03C95">
        <w:rPr>
          <w:rFonts w:ascii="Arial" w:hAnsi="Arial" w:eastAsia="Times New Roman" w:cs="Times New Roman"/>
          <w:bCs/>
          <w:i/>
          <w:iCs/>
          <w:sz w:val="20"/>
          <w:szCs w:val="28"/>
          <w:lang w:val="nl-NL" w:eastAsia="nl-NL"/>
        </w:rPr>
        <w:t>Personen op wie het Verdr</w:t>
      </w:r>
      <w:r w:rsidR="001314D4">
        <w:rPr>
          <w:rFonts w:ascii="Arial" w:hAnsi="Arial" w:eastAsia="Times New Roman" w:cs="Times New Roman"/>
          <w:bCs/>
          <w:i/>
          <w:iCs/>
          <w:sz w:val="20"/>
          <w:szCs w:val="28"/>
          <w:lang w:val="nl-NL" w:eastAsia="nl-NL"/>
        </w:rPr>
        <w:t xml:space="preserve">ag van toepassing is (artikel 1 </w:t>
      </w:r>
      <w:r w:rsidR="00D63B02">
        <w:rPr>
          <w:rFonts w:ascii="Arial" w:hAnsi="Arial" w:eastAsia="Times New Roman" w:cs="Times New Roman"/>
          <w:bCs/>
          <w:i/>
          <w:iCs/>
          <w:sz w:val="20"/>
          <w:szCs w:val="28"/>
          <w:lang w:val="nl-NL" w:eastAsia="nl-NL"/>
        </w:rPr>
        <w:t xml:space="preserve">van het Verdrag </w:t>
      </w:r>
      <w:r w:rsidR="001314D4">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5F55C7">
        <w:rPr>
          <w:rFonts w:ascii="Arial" w:hAnsi="Arial" w:eastAsia="Times New Roman" w:cs="Times New Roman"/>
          <w:bCs/>
          <w:i/>
          <w:iCs/>
          <w:sz w:val="20"/>
          <w:szCs w:val="28"/>
          <w:lang w:val="nl-NL" w:eastAsia="nl-NL"/>
        </w:rPr>
        <w:t>I</w:t>
      </w:r>
      <w:r w:rsidR="009461E5">
        <w:rPr>
          <w:rFonts w:ascii="Arial" w:hAnsi="Arial" w:eastAsia="Times New Roman" w:cs="Times New Roman"/>
          <w:bCs/>
          <w:i/>
          <w:iCs/>
          <w:sz w:val="20"/>
          <w:szCs w:val="28"/>
          <w:lang w:val="nl-NL" w:eastAsia="nl-NL"/>
        </w:rPr>
        <w:t xml:space="preserve"> van het Protocol</w:t>
      </w:r>
      <w:r w:rsidR="001314D4">
        <w:rPr>
          <w:rFonts w:ascii="Arial" w:hAnsi="Arial" w:eastAsia="Times New Roman" w:cs="Times New Roman"/>
          <w:bCs/>
          <w:i/>
          <w:iCs/>
          <w:sz w:val="20"/>
          <w:szCs w:val="28"/>
          <w:lang w:val="nl-NL" w:eastAsia="nl-NL"/>
        </w:rPr>
        <w:t>)</w:t>
      </w:r>
      <w:r w:rsidR="005F55C7">
        <w:rPr>
          <w:rFonts w:ascii="Arial" w:hAnsi="Arial" w:eastAsia="Times New Roman" w:cs="Times New Roman"/>
          <w:bCs/>
          <w:i/>
          <w:iCs/>
          <w:sz w:val="20"/>
          <w:szCs w:val="28"/>
          <w:lang w:val="nl-NL" w:eastAsia="nl-NL"/>
        </w:rPr>
        <w:t xml:space="preserve"> </w:t>
      </w:r>
    </w:p>
    <w:p w:rsidRPr="001C4546" w:rsidR="001C4546" w:rsidP="00A24FB6" w:rsidRDefault="001C4546" w14:paraId="37ED4BBA" w14:textId="655EBEDD">
      <w:pPr>
        <w:spacing w:after="0" w:line="360" w:lineRule="auto"/>
        <w:ind w:firstLine="567"/>
        <w:rPr>
          <w:rFonts w:ascii="Arial" w:hAnsi="Arial" w:eastAsia="Times New Roman" w:cs="Arial"/>
          <w:sz w:val="20"/>
          <w:szCs w:val="20"/>
          <w:lang w:val="nl-NL" w:eastAsia="nl-NL"/>
        </w:rPr>
      </w:pPr>
      <w:r w:rsidRPr="001C4546">
        <w:rPr>
          <w:rFonts w:ascii="Arial" w:hAnsi="Arial" w:eastAsia="Times New Roman" w:cs="Arial"/>
          <w:sz w:val="20"/>
          <w:szCs w:val="20"/>
          <w:lang w:val="nl-NL" w:eastAsia="nl-NL"/>
        </w:rPr>
        <w:t xml:space="preserve">Artikel 1 beschrijft de personele werkingssfeer van het Verdrag. Het Verdrag geldt ten aanzien van personen die inwoner zijn van een verdragsluitende staat of van beide verdragsluitende staten. De uitdrukkingen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verdragsluitende staat</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en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persoon</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worden omschreven in artikel 3, eerste</w:t>
      </w:r>
      <w:r w:rsidR="00174A1B">
        <w:rPr>
          <w:rFonts w:ascii="Arial" w:hAnsi="Arial" w:eastAsia="Times New Roman" w:cs="Arial"/>
          <w:sz w:val="20"/>
          <w:szCs w:val="20"/>
          <w:lang w:val="nl-NL" w:eastAsia="nl-NL"/>
        </w:rPr>
        <w:t xml:space="preserve"> lid, onderdelen a tot en met c</w:t>
      </w:r>
      <w:r w:rsidRPr="001C4546">
        <w:rPr>
          <w:rFonts w:ascii="Arial" w:hAnsi="Arial" w:eastAsia="Times New Roman" w:cs="Arial"/>
          <w:sz w:val="20"/>
          <w:szCs w:val="20"/>
          <w:lang w:val="nl-NL" w:eastAsia="nl-NL"/>
        </w:rPr>
        <w:t xml:space="preserve">, en het begrip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inwoner</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in artikel 4 van het Verdrag. </w:t>
      </w:r>
    </w:p>
    <w:p w:rsidRPr="001C4546" w:rsidR="001C4546" w:rsidP="00A24FB6" w:rsidRDefault="001C4546" w14:paraId="11045D3A" w14:textId="1D3495A6">
      <w:pPr>
        <w:spacing w:after="0" w:line="360" w:lineRule="auto"/>
        <w:ind w:firstLine="709"/>
        <w:rPr>
          <w:rFonts w:ascii="Arial" w:hAnsi="Arial" w:eastAsia="Times New Roman" w:cs="Times New Roman"/>
          <w:sz w:val="20"/>
          <w:szCs w:val="24"/>
          <w:lang w:val="nl-NL" w:eastAsia="nl-NL"/>
        </w:rPr>
      </w:pPr>
      <w:r w:rsidRPr="001C4546">
        <w:rPr>
          <w:rFonts w:ascii="Arial" w:hAnsi="Arial" w:eastAsia="Times New Roman" w:cs="Arial"/>
          <w:sz w:val="20"/>
          <w:szCs w:val="20"/>
          <w:lang w:val="nl-NL" w:eastAsia="nl-NL"/>
        </w:rPr>
        <w:t xml:space="preserve">Het tweede lid heeft betrekking op entiteiten die in de ene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 xml:space="preserve">staat volgens nationaal recht worden aangemerkt als een fiscaal zelfstandig lichaam, maar </w:t>
      </w:r>
      <w:r w:rsidR="002F571B">
        <w:rPr>
          <w:rFonts w:ascii="Arial" w:hAnsi="Arial" w:eastAsia="Times New Roman" w:cs="Arial"/>
          <w:sz w:val="20"/>
          <w:szCs w:val="20"/>
          <w:lang w:val="nl-NL" w:eastAsia="nl-NL"/>
        </w:rPr>
        <w:t xml:space="preserve">die </w:t>
      </w:r>
      <w:r w:rsidRPr="001C4546">
        <w:rPr>
          <w:rFonts w:ascii="Arial" w:hAnsi="Arial" w:eastAsia="Times New Roman" w:cs="Arial"/>
          <w:sz w:val="20"/>
          <w:szCs w:val="20"/>
          <w:lang w:val="nl-NL" w:eastAsia="nl-NL"/>
        </w:rPr>
        <w:t xml:space="preserve">volgens het nationale recht van de andere staat als fiscaal transparant worden beschouwd. Men spreekt in dit verband wel van hybride entiteiten. De andere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staat ziet dan geen zelfstandig belastingplichtig lichaam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vragen over de verdragsgerechtigdheid van de entiteit of van de daarin deelnemende personen, en kan leiden tot dubbele vrijstelling of dubbele belasting van inkomsten</w:t>
      </w:r>
      <w:r w:rsidRPr="001C4546">
        <w:rPr>
          <w:rFonts w:ascii="Arial" w:hAnsi="Arial" w:eastAsia="Times New Roman" w:cs="Times New Roman"/>
          <w:sz w:val="20"/>
          <w:szCs w:val="24"/>
          <w:lang w:val="nl-NL" w:eastAsia="nl-NL"/>
        </w:rPr>
        <w:t>.</w:t>
      </w:r>
      <w:r w:rsidR="003D397A">
        <w:rPr>
          <w:rFonts w:ascii="Arial" w:hAnsi="Arial" w:eastAsia="Times New Roman" w:cs="Times New Roman"/>
          <w:sz w:val="20"/>
          <w:szCs w:val="24"/>
          <w:lang w:val="nl-NL" w:eastAsia="nl-NL"/>
        </w:rPr>
        <w:t xml:space="preserve"> Het tweede lid strekt ertoe </w:t>
      </w:r>
      <w:r w:rsidR="00D60135">
        <w:rPr>
          <w:rFonts w:ascii="Arial" w:hAnsi="Arial" w:eastAsia="Times New Roman" w:cs="Times New Roman"/>
          <w:sz w:val="20"/>
          <w:szCs w:val="24"/>
          <w:lang w:val="nl-NL" w:eastAsia="nl-NL"/>
        </w:rPr>
        <w:t>dit te voorkomen, en sluit geheel aan bij artikel 1, tweede lid, van het OESO-modelverdrag.</w:t>
      </w:r>
    </w:p>
    <w:p w:rsidR="002F571B" w:rsidP="00A24FB6" w:rsidRDefault="00C86B63" w14:paraId="4347E82B" w14:textId="0B1EF539">
      <w:pPr>
        <w:spacing w:after="0" w:line="360" w:lineRule="auto"/>
        <w:ind w:firstLine="709"/>
        <w:rPr>
          <w:rFonts w:ascii="Arial" w:hAnsi="Arial" w:eastAsia="Times New Roman" w:cs="Arial"/>
          <w:sz w:val="20"/>
          <w:szCs w:val="20"/>
          <w:lang w:val="nl-NL" w:eastAsia="nl-NL"/>
        </w:rPr>
      </w:pPr>
      <w:r>
        <w:rPr>
          <w:rFonts w:ascii="Arial" w:hAnsi="Arial" w:eastAsia="Times New Roman" w:cs="Times New Roman"/>
          <w:sz w:val="20"/>
          <w:szCs w:val="24"/>
          <w:lang w:val="nl-NL" w:eastAsia="nl-NL"/>
        </w:rPr>
        <w:t>H</w:t>
      </w:r>
      <w:r w:rsidRPr="001C4546" w:rsidR="001C4546">
        <w:rPr>
          <w:rFonts w:ascii="Arial" w:hAnsi="Arial" w:eastAsia="Times New Roman" w:cs="Times New Roman"/>
          <w:sz w:val="20"/>
          <w:szCs w:val="24"/>
          <w:lang w:val="nl-NL" w:eastAsia="nl-NL"/>
        </w:rPr>
        <w:t xml:space="preserve">et tweede lid bepaalt dat </w:t>
      </w:r>
      <w:r w:rsidRPr="001C4546" w:rsidR="001C4546">
        <w:rPr>
          <w:rFonts w:ascii="Arial" w:hAnsi="Arial" w:eastAsia="Times New Roman" w:cs="Arial"/>
          <w:sz w:val="20"/>
          <w:szCs w:val="20"/>
          <w:lang w:val="nl-NL" w:eastAsia="nl-NL"/>
        </w:rPr>
        <w:t xml:space="preserve">als een verdragsluitende staat het door of via een hybride entiteit verkregen inkomen in aanmerking neemt als inkomen van een inwoner van die staat, dit inkomen ook voor de toepassing van het Verdrag als zodanig moet worden behandeld. De bepaling voorkomt daarmee </w:t>
      </w:r>
      <w:r w:rsidRPr="001C4546" w:rsidR="001C4546">
        <w:rPr>
          <w:rFonts w:ascii="Arial" w:hAnsi="Arial" w:eastAsia="Times New Roman" w:cs="Arial"/>
          <w:sz w:val="20"/>
          <w:szCs w:val="20"/>
          <w:lang w:val="nl-NL" w:eastAsia="nl-NL"/>
        </w:rPr>
        <w:lastRenderedPageBreak/>
        <w:t xml:space="preserve">dat de inwoner van de ene staat de verdragsvoordelen met betrekking tot dat inkomen niet deelachtig zou kunnen worden omdat de andere staat (de bronstaat) dat inkomen, volgens de eigen kwalificatie van de hybride entiteit, aan een andere persoon zou toerekenen. Aan de andere kant stelt de bepaling ook buiten twijfel dat er geen verdragsvoordelen worden verleend voor inkomen </w:t>
      </w:r>
      <w:r w:rsidR="00860B27">
        <w:rPr>
          <w:rFonts w:ascii="Arial" w:hAnsi="Arial" w:eastAsia="Times New Roman" w:cs="Arial"/>
          <w:sz w:val="20"/>
          <w:szCs w:val="20"/>
          <w:lang w:val="nl-NL" w:eastAsia="nl-NL"/>
        </w:rPr>
        <w:t>dat</w:t>
      </w:r>
      <w:r w:rsidRPr="001C4546" w:rsidR="001C4546">
        <w:rPr>
          <w:rFonts w:ascii="Arial" w:hAnsi="Arial" w:eastAsia="Times New Roman" w:cs="Arial"/>
          <w:sz w:val="20"/>
          <w:szCs w:val="20"/>
          <w:lang w:val="nl-NL" w:eastAsia="nl-NL"/>
        </w:rPr>
        <w:t xml:space="preserve"> bij geen van de verdragslui</w:t>
      </w:r>
      <w:r w:rsidR="00A106E4">
        <w:rPr>
          <w:rFonts w:ascii="Arial" w:hAnsi="Arial" w:eastAsia="Times New Roman" w:cs="Arial"/>
          <w:sz w:val="20"/>
          <w:szCs w:val="20"/>
          <w:lang w:val="nl-NL" w:eastAsia="nl-NL"/>
        </w:rPr>
        <w:t>tende staten in aanmerking wordt</w:t>
      </w:r>
      <w:r w:rsidRPr="001C4546" w:rsidR="001C4546">
        <w:rPr>
          <w:rFonts w:ascii="Arial" w:hAnsi="Arial" w:eastAsia="Times New Roman" w:cs="Arial"/>
          <w:sz w:val="20"/>
          <w:szCs w:val="20"/>
          <w:lang w:val="nl-NL" w:eastAsia="nl-NL"/>
        </w:rPr>
        <w:t xml:space="preserve"> genomen als inkomen van een inwoner.</w:t>
      </w:r>
    </w:p>
    <w:p w:rsidR="001C4546" w:rsidP="00A24FB6" w:rsidRDefault="00710C22" w14:paraId="195068F4" w14:textId="3315769B">
      <w:pPr>
        <w:spacing w:after="0" w:line="360" w:lineRule="auto"/>
        <w:ind w:firstLine="709"/>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Beide verdragsluitende staten </w:t>
      </w:r>
      <w:r w:rsidR="002F571B">
        <w:rPr>
          <w:rFonts w:ascii="Arial" w:hAnsi="Arial" w:eastAsia="Times New Roman" w:cs="Arial"/>
          <w:sz w:val="20"/>
          <w:szCs w:val="20"/>
          <w:lang w:val="nl-NL" w:eastAsia="nl-NL"/>
        </w:rPr>
        <w:t xml:space="preserve">zijn van mening </w:t>
      </w:r>
      <w:r w:rsidR="0088770A">
        <w:rPr>
          <w:rFonts w:ascii="Arial" w:hAnsi="Arial" w:eastAsia="Times New Roman" w:cs="Arial"/>
          <w:sz w:val="20"/>
          <w:szCs w:val="20"/>
          <w:lang w:val="nl-NL" w:eastAsia="nl-NL"/>
        </w:rPr>
        <w:t>dat de bepaling</w:t>
      </w:r>
      <w:r w:rsidRPr="00710C22">
        <w:rPr>
          <w:rFonts w:ascii="Arial" w:hAnsi="Arial" w:eastAsia="Times New Roman" w:cs="Arial"/>
          <w:sz w:val="20"/>
          <w:szCs w:val="20"/>
          <w:lang w:val="nl-NL" w:eastAsia="nl-NL"/>
        </w:rPr>
        <w:t xml:space="preserve"> </w:t>
      </w:r>
      <w:r w:rsidR="00242449">
        <w:rPr>
          <w:rFonts w:ascii="Arial" w:hAnsi="Arial" w:eastAsia="Times New Roman" w:cs="Arial"/>
          <w:sz w:val="20"/>
          <w:szCs w:val="20"/>
          <w:lang w:val="nl-NL" w:eastAsia="nl-NL"/>
        </w:rPr>
        <w:t xml:space="preserve">niet tot </w:t>
      </w:r>
      <w:r w:rsidRPr="00710C22">
        <w:rPr>
          <w:rFonts w:ascii="Arial" w:hAnsi="Arial" w:eastAsia="Times New Roman" w:cs="Arial"/>
          <w:sz w:val="20"/>
          <w:szCs w:val="20"/>
          <w:lang w:val="nl-NL" w:eastAsia="nl-NL"/>
        </w:rPr>
        <w:t>gevolg</w:t>
      </w:r>
      <w:r w:rsidR="00242449">
        <w:rPr>
          <w:rFonts w:ascii="Arial" w:hAnsi="Arial" w:eastAsia="Times New Roman" w:cs="Arial"/>
          <w:sz w:val="20"/>
          <w:szCs w:val="20"/>
          <w:lang w:val="nl-NL" w:eastAsia="nl-NL"/>
        </w:rPr>
        <w:t xml:space="preserve"> heeft </w:t>
      </w:r>
      <w:r w:rsidRPr="00710C22">
        <w:rPr>
          <w:rFonts w:ascii="Arial" w:hAnsi="Arial" w:eastAsia="Times New Roman" w:cs="Arial"/>
          <w:sz w:val="20"/>
          <w:szCs w:val="20"/>
          <w:lang w:val="nl-NL" w:eastAsia="nl-NL"/>
        </w:rPr>
        <w:t xml:space="preserve">dat een verdragsluitende staat wordt beperkt in </w:t>
      </w:r>
      <w:r w:rsidR="00D86E5C">
        <w:rPr>
          <w:rFonts w:ascii="Arial" w:hAnsi="Arial" w:eastAsia="Times New Roman" w:cs="Arial"/>
          <w:sz w:val="20"/>
          <w:szCs w:val="20"/>
          <w:lang w:val="nl-NL" w:eastAsia="nl-NL"/>
        </w:rPr>
        <w:t xml:space="preserve">het belasten van </w:t>
      </w:r>
      <w:r w:rsidR="002F571B">
        <w:rPr>
          <w:rFonts w:ascii="Arial" w:hAnsi="Arial" w:eastAsia="Times New Roman" w:cs="Arial"/>
          <w:sz w:val="20"/>
          <w:szCs w:val="20"/>
          <w:lang w:val="nl-NL" w:eastAsia="nl-NL"/>
        </w:rPr>
        <w:t xml:space="preserve">de </w:t>
      </w:r>
      <w:r w:rsidR="00D86E5C">
        <w:rPr>
          <w:rFonts w:ascii="Arial" w:hAnsi="Arial" w:eastAsia="Times New Roman" w:cs="Arial"/>
          <w:sz w:val="20"/>
          <w:szCs w:val="20"/>
          <w:lang w:val="nl-NL" w:eastAsia="nl-NL"/>
        </w:rPr>
        <w:t>eigen inwoners. Op verzoek van Liechtenstein is besloten dit niet expliciet op te nemen</w:t>
      </w:r>
      <w:r w:rsidR="002D1F28">
        <w:rPr>
          <w:rFonts w:ascii="Arial" w:hAnsi="Arial" w:eastAsia="Times New Roman" w:cs="Arial"/>
          <w:sz w:val="20"/>
          <w:szCs w:val="20"/>
          <w:lang w:val="nl-NL" w:eastAsia="nl-NL"/>
        </w:rPr>
        <w:t xml:space="preserve"> </w:t>
      </w:r>
      <w:r w:rsidR="00D86E5C">
        <w:rPr>
          <w:rFonts w:ascii="Arial" w:hAnsi="Arial" w:eastAsia="Times New Roman" w:cs="Arial"/>
          <w:sz w:val="20"/>
          <w:szCs w:val="20"/>
          <w:lang w:val="nl-NL" w:eastAsia="nl-NL"/>
        </w:rPr>
        <w:t xml:space="preserve">in het Verdrag. </w:t>
      </w:r>
      <w:r w:rsidRPr="007C34DD" w:rsidR="00D86E5C">
        <w:rPr>
          <w:rFonts w:ascii="Arial" w:hAnsi="Arial" w:eastAsia="Times New Roman" w:cs="Arial"/>
          <w:sz w:val="20"/>
          <w:szCs w:val="20"/>
          <w:lang w:val="nl-NL" w:eastAsia="nl-NL"/>
        </w:rPr>
        <w:t>Hiermee wijkt artikel 1</w:t>
      </w:r>
      <w:r w:rsidR="00D208D0">
        <w:rPr>
          <w:rFonts w:ascii="Arial" w:hAnsi="Arial" w:eastAsia="Times New Roman" w:cs="Arial"/>
          <w:sz w:val="20"/>
          <w:szCs w:val="20"/>
          <w:lang w:val="nl-NL" w:eastAsia="nl-NL"/>
        </w:rPr>
        <w:t xml:space="preserve"> van het Verdrag</w:t>
      </w:r>
      <w:r w:rsidRPr="007C34DD" w:rsidR="00D86E5C">
        <w:rPr>
          <w:rFonts w:ascii="Arial" w:hAnsi="Arial" w:eastAsia="Times New Roman" w:cs="Arial"/>
          <w:sz w:val="20"/>
          <w:szCs w:val="20"/>
          <w:lang w:val="nl-NL" w:eastAsia="nl-NL"/>
        </w:rPr>
        <w:t xml:space="preserve"> af van </w:t>
      </w:r>
      <w:r w:rsidR="00217095">
        <w:rPr>
          <w:rFonts w:ascii="Arial" w:hAnsi="Arial" w:eastAsia="Times New Roman" w:cs="Arial"/>
          <w:sz w:val="20"/>
          <w:szCs w:val="20"/>
          <w:lang w:val="nl-NL" w:eastAsia="nl-NL"/>
        </w:rPr>
        <w:t xml:space="preserve">artikel 1 van </w:t>
      </w:r>
      <w:r w:rsidRPr="007C34DD" w:rsidR="00D86E5C">
        <w:rPr>
          <w:rFonts w:ascii="Arial" w:hAnsi="Arial" w:eastAsia="Times New Roman" w:cs="Arial"/>
          <w:sz w:val="20"/>
          <w:szCs w:val="20"/>
          <w:lang w:val="nl-NL" w:eastAsia="nl-NL"/>
        </w:rPr>
        <w:t>het OESO-modelverdrag</w:t>
      </w:r>
      <w:r w:rsidR="00B14853">
        <w:rPr>
          <w:rFonts w:ascii="Arial" w:hAnsi="Arial" w:eastAsia="Times New Roman" w:cs="Arial"/>
          <w:sz w:val="20"/>
          <w:szCs w:val="20"/>
          <w:lang w:val="nl-NL" w:eastAsia="nl-NL"/>
        </w:rPr>
        <w:t>,</w:t>
      </w:r>
      <w:r w:rsidRPr="007C34DD" w:rsidR="00D86E5C">
        <w:rPr>
          <w:rFonts w:ascii="Arial" w:hAnsi="Arial" w:eastAsia="Times New Roman" w:cs="Arial"/>
          <w:sz w:val="20"/>
          <w:szCs w:val="20"/>
          <w:lang w:val="nl-NL" w:eastAsia="nl-NL"/>
        </w:rPr>
        <w:t xml:space="preserve"> waarin wel expliciet </w:t>
      </w:r>
      <w:r w:rsidRPr="007C34DD" w:rsidR="00C05C95">
        <w:rPr>
          <w:rFonts w:ascii="Arial" w:hAnsi="Arial" w:eastAsia="Times New Roman" w:cs="Arial"/>
          <w:sz w:val="20"/>
          <w:szCs w:val="20"/>
          <w:lang w:val="nl-NL" w:eastAsia="nl-NL"/>
        </w:rPr>
        <w:t xml:space="preserve">het beginsel </w:t>
      </w:r>
      <w:r w:rsidRPr="007C34DD" w:rsidR="00D86E5C">
        <w:rPr>
          <w:rFonts w:ascii="Arial" w:hAnsi="Arial" w:eastAsia="Times New Roman" w:cs="Arial"/>
          <w:sz w:val="20"/>
          <w:szCs w:val="20"/>
          <w:lang w:val="nl-NL" w:eastAsia="nl-NL"/>
        </w:rPr>
        <w:t xml:space="preserve">is opgenomen dat </w:t>
      </w:r>
      <w:r w:rsidRPr="007C34DD" w:rsidR="00C05C95">
        <w:rPr>
          <w:rFonts w:ascii="Arial" w:hAnsi="Arial" w:eastAsia="Times New Roman" w:cs="Arial"/>
          <w:sz w:val="20"/>
          <w:szCs w:val="20"/>
          <w:lang w:val="nl-NL" w:eastAsia="nl-NL"/>
        </w:rPr>
        <w:t xml:space="preserve">het verdrag de </w:t>
      </w:r>
      <w:r w:rsidRPr="007C34DD" w:rsidR="00D86E5C">
        <w:rPr>
          <w:rFonts w:ascii="Arial" w:hAnsi="Arial" w:eastAsia="Times New Roman" w:cs="Arial"/>
          <w:sz w:val="20"/>
          <w:szCs w:val="20"/>
          <w:lang w:val="nl-NL" w:eastAsia="nl-NL"/>
        </w:rPr>
        <w:t xml:space="preserve">verdragsluitende </w:t>
      </w:r>
      <w:r w:rsidRPr="007C34DD" w:rsidR="00C05C95">
        <w:rPr>
          <w:rFonts w:ascii="Arial" w:hAnsi="Arial" w:eastAsia="Times New Roman" w:cs="Arial"/>
          <w:sz w:val="20"/>
          <w:szCs w:val="20"/>
          <w:lang w:val="nl-NL" w:eastAsia="nl-NL"/>
        </w:rPr>
        <w:t xml:space="preserve">staten in principe niet beperkt in het recht de </w:t>
      </w:r>
      <w:r w:rsidRPr="007C34DD" w:rsidR="002D1F28">
        <w:rPr>
          <w:rFonts w:ascii="Arial" w:hAnsi="Arial" w:eastAsia="Times New Roman" w:cs="Arial"/>
          <w:sz w:val="20"/>
          <w:szCs w:val="20"/>
          <w:lang w:val="nl-NL" w:eastAsia="nl-NL"/>
        </w:rPr>
        <w:t>eigen inwoner</w:t>
      </w:r>
      <w:r w:rsidRPr="007C34DD" w:rsidR="00D86E5C">
        <w:rPr>
          <w:rFonts w:ascii="Arial" w:hAnsi="Arial" w:eastAsia="Times New Roman" w:cs="Arial"/>
          <w:sz w:val="20"/>
          <w:szCs w:val="20"/>
          <w:lang w:val="nl-NL" w:eastAsia="nl-NL"/>
        </w:rPr>
        <w:t>s</w:t>
      </w:r>
      <w:r w:rsidRPr="007C34DD" w:rsidR="002D1F28">
        <w:rPr>
          <w:rFonts w:ascii="Arial" w:hAnsi="Arial" w:eastAsia="Times New Roman" w:cs="Arial"/>
          <w:sz w:val="20"/>
          <w:szCs w:val="20"/>
          <w:lang w:val="nl-NL" w:eastAsia="nl-NL"/>
        </w:rPr>
        <w:t xml:space="preserve"> </w:t>
      </w:r>
      <w:r w:rsidRPr="007C34DD" w:rsidR="00D86E5C">
        <w:rPr>
          <w:rFonts w:ascii="Arial" w:hAnsi="Arial" w:eastAsia="Times New Roman" w:cs="Arial"/>
          <w:sz w:val="20"/>
          <w:szCs w:val="20"/>
          <w:lang w:val="nl-NL" w:eastAsia="nl-NL"/>
        </w:rPr>
        <w:t>te belasten</w:t>
      </w:r>
      <w:r w:rsidRPr="0087670A" w:rsidR="00C05C95">
        <w:rPr>
          <w:rFonts w:ascii="Arial" w:hAnsi="Arial" w:eastAsia="Times New Roman" w:cs="Arial"/>
          <w:sz w:val="20"/>
          <w:szCs w:val="20"/>
          <w:lang w:val="nl-NL" w:eastAsia="nl-NL"/>
        </w:rPr>
        <w:t xml:space="preserve">, behalve </w:t>
      </w:r>
      <w:r w:rsidR="00B07791">
        <w:rPr>
          <w:rFonts w:ascii="Arial" w:hAnsi="Arial" w:eastAsia="Times New Roman" w:cs="Arial"/>
          <w:sz w:val="20"/>
          <w:szCs w:val="20"/>
          <w:lang w:val="nl-NL" w:eastAsia="nl-NL"/>
        </w:rPr>
        <w:t>waar</w:t>
      </w:r>
      <w:r w:rsidRPr="0087670A" w:rsidR="00C05C95">
        <w:rPr>
          <w:rFonts w:ascii="Arial" w:hAnsi="Arial" w:eastAsia="Times New Roman" w:cs="Arial"/>
          <w:sz w:val="20"/>
          <w:szCs w:val="20"/>
          <w:lang w:val="nl-NL" w:eastAsia="nl-NL"/>
        </w:rPr>
        <w:t xml:space="preserve"> dit uitdrukkelijk de bedoeling is</w:t>
      </w:r>
      <w:r w:rsidRPr="007C34DD" w:rsidR="00C05C95">
        <w:rPr>
          <w:rFonts w:ascii="Arial" w:hAnsi="Arial" w:eastAsia="Times New Roman" w:cs="Arial"/>
          <w:sz w:val="20"/>
          <w:szCs w:val="20"/>
          <w:lang w:val="nl-NL" w:eastAsia="nl-NL"/>
        </w:rPr>
        <w:t>.</w:t>
      </w:r>
      <w:r w:rsidR="00D86E5C">
        <w:rPr>
          <w:rFonts w:ascii="Arial" w:hAnsi="Arial" w:eastAsia="Times New Roman" w:cs="Arial"/>
          <w:sz w:val="20"/>
          <w:szCs w:val="20"/>
          <w:lang w:val="nl-NL" w:eastAsia="nl-NL"/>
        </w:rPr>
        <w:t xml:space="preserve"> </w:t>
      </w:r>
    </w:p>
    <w:p w:rsidRPr="005F55C7" w:rsidR="00056278" w:rsidP="00A24FB6" w:rsidRDefault="005F55C7" w14:paraId="027ECED9" w14:textId="7658619F">
      <w:pPr>
        <w:spacing w:after="0" w:line="360" w:lineRule="auto"/>
        <w:ind w:firstLine="709"/>
        <w:rPr>
          <w:rFonts w:ascii="Arial" w:hAnsi="Arial" w:eastAsia="Times New Roman" w:cs="Arial"/>
          <w:sz w:val="20"/>
          <w:szCs w:val="20"/>
          <w:lang w:val="nl-NL" w:eastAsia="nl-NL"/>
        </w:rPr>
      </w:pPr>
      <w:r w:rsidRPr="005F55C7">
        <w:rPr>
          <w:rFonts w:ascii="Arial" w:hAnsi="Arial" w:eastAsia="Times New Roman" w:cs="Arial"/>
          <w:sz w:val="20"/>
          <w:szCs w:val="20"/>
          <w:lang w:val="nl-NL" w:eastAsia="nl-NL"/>
        </w:rPr>
        <w:t xml:space="preserve">Artikel I van </w:t>
      </w:r>
      <w:r>
        <w:rPr>
          <w:rFonts w:ascii="Arial" w:hAnsi="Arial" w:eastAsia="Times New Roman" w:cs="Arial"/>
          <w:sz w:val="20"/>
          <w:szCs w:val="20"/>
          <w:lang w:val="nl-NL" w:eastAsia="nl-NL"/>
        </w:rPr>
        <w:t xml:space="preserve">het Protocol ziet </w:t>
      </w:r>
      <w:r w:rsidRPr="005F55C7">
        <w:rPr>
          <w:rFonts w:ascii="Arial" w:hAnsi="Arial" w:eastAsia="Times New Roman" w:cs="Arial"/>
          <w:sz w:val="20"/>
          <w:szCs w:val="20"/>
          <w:lang w:val="nl-NL" w:eastAsia="nl-NL"/>
        </w:rPr>
        <w:t xml:space="preserve">als enige </w:t>
      </w:r>
      <w:r>
        <w:rPr>
          <w:rFonts w:ascii="Arial" w:hAnsi="Arial" w:eastAsia="Times New Roman" w:cs="Arial"/>
          <w:sz w:val="20"/>
          <w:szCs w:val="20"/>
          <w:lang w:val="nl-NL" w:eastAsia="nl-NL"/>
        </w:rPr>
        <w:t xml:space="preserve">protocolbepaling </w:t>
      </w:r>
      <w:r w:rsidRPr="005F55C7">
        <w:rPr>
          <w:rFonts w:ascii="Arial" w:hAnsi="Arial" w:eastAsia="Times New Roman" w:cs="Arial"/>
          <w:sz w:val="20"/>
          <w:szCs w:val="20"/>
          <w:lang w:val="nl-NL" w:eastAsia="nl-NL"/>
        </w:rPr>
        <w:t>op het hele verd</w:t>
      </w:r>
      <w:r>
        <w:rPr>
          <w:rFonts w:ascii="Arial" w:hAnsi="Arial" w:eastAsia="Times New Roman" w:cs="Arial"/>
          <w:sz w:val="20"/>
          <w:szCs w:val="20"/>
          <w:lang w:val="nl-NL" w:eastAsia="nl-NL"/>
        </w:rPr>
        <w:t>rag</w:t>
      </w:r>
      <w:r w:rsidR="00D208D0">
        <w:rPr>
          <w:rFonts w:ascii="Arial" w:hAnsi="Arial" w:eastAsia="Times New Roman" w:cs="Arial"/>
          <w:sz w:val="20"/>
          <w:szCs w:val="20"/>
          <w:lang w:val="nl-NL" w:eastAsia="nl-NL"/>
        </w:rPr>
        <w:t xml:space="preserve"> en komt indirect voort uit</w:t>
      </w:r>
      <w:r w:rsidR="00056278">
        <w:rPr>
          <w:rFonts w:ascii="Arial" w:hAnsi="Arial" w:eastAsia="Times New Roman" w:cs="Arial"/>
          <w:sz w:val="20"/>
          <w:szCs w:val="20"/>
          <w:lang w:val="nl-NL" w:eastAsia="nl-NL"/>
        </w:rPr>
        <w:t xml:space="preserve"> het regeerakkoord 2017-2021</w:t>
      </w:r>
      <w:r w:rsidR="00D208D0">
        <w:rPr>
          <w:rFonts w:ascii="Arial" w:hAnsi="Arial" w:eastAsia="Times New Roman" w:cs="Arial"/>
          <w:sz w:val="20"/>
          <w:szCs w:val="20"/>
          <w:lang w:val="nl-NL" w:eastAsia="nl-NL"/>
        </w:rPr>
        <w:t>, waarin</w:t>
      </w:r>
      <w:r w:rsidR="008D2CBF">
        <w:rPr>
          <w:rFonts w:ascii="Arial" w:hAnsi="Arial" w:eastAsia="Times New Roman" w:cs="Arial"/>
          <w:sz w:val="20"/>
          <w:szCs w:val="20"/>
          <w:lang w:val="nl-NL" w:eastAsia="nl-NL"/>
        </w:rPr>
        <w:t xml:space="preserve"> de regering </w:t>
      </w:r>
      <w:r w:rsidR="00D208D0">
        <w:rPr>
          <w:rFonts w:ascii="Arial" w:hAnsi="Arial" w:eastAsia="Times New Roman" w:cs="Arial"/>
          <w:sz w:val="20"/>
          <w:szCs w:val="20"/>
          <w:lang w:val="nl-NL" w:eastAsia="nl-NL"/>
        </w:rPr>
        <w:t xml:space="preserve">heeft </w:t>
      </w:r>
      <w:r w:rsidR="00653716">
        <w:rPr>
          <w:rFonts w:ascii="Arial" w:hAnsi="Arial" w:eastAsia="Times New Roman" w:cs="Arial"/>
          <w:sz w:val="20"/>
          <w:szCs w:val="20"/>
          <w:lang w:val="nl-NL" w:eastAsia="nl-NL"/>
        </w:rPr>
        <w:t xml:space="preserve">aangekondigd </w:t>
      </w:r>
      <w:r w:rsidR="008D2CBF">
        <w:rPr>
          <w:rFonts w:ascii="Arial" w:hAnsi="Arial" w:eastAsia="Times New Roman" w:cs="Arial"/>
          <w:sz w:val="20"/>
          <w:szCs w:val="20"/>
          <w:lang w:val="nl-NL" w:eastAsia="nl-NL"/>
        </w:rPr>
        <w:t xml:space="preserve">bronheffingen </w:t>
      </w:r>
      <w:r w:rsidR="00653716">
        <w:rPr>
          <w:rFonts w:ascii="Arial" w:hAnsi="Arial" w:eastAsia="Times New Roman" w:cs="Arial"/>
          <w:sz w:val="20"/>
          <w:szCs w:val="20"/>
          <w:lang w:val="nl-NL" w:eastAsia="nl-NL"/>
        </w:rPr>
        <w:t xml:space="preserve">in te voeren </w:t>
      </w:r>
      <w:r w:rsidRPr="00653716" w:rsidR="00653716">
        <w:rPr>
          <w:rFonts w:ascii="Arial" w:hAnsi="Arial" w:eastAsia="Times New Roman" w:cs="Arial"/>
          <w:sz w:val="20"/>
          <w:szCs w:val="20"/>
          <w:lang w:val="nl-NL" w:eastAsia="nl-NL"/>
        </w:rPr>
        <w:t>op uitgaande financiële st</w:t>
      </w:r>
      <w:r w:rsidR="00653716">
        <w:rPr>
          <w:rFonts w:ascii="Arial" w:hAnsi="Arial" w:eastAsia="Times New Roman" w:cs="Arial"/>
          <w:sz w:val="20"/>
          <w:szCs w:val="20"/>
          <w:lang w:val="nl-NL" w:eastAsia="nl-NL"/>
        </w:rPr>
        <w:t xml:space="preserve">romen naar landen met zeer lage </w:t>
      </w:r>
      <w:r w:rsidRPr="00653716" w:rsidR="00653716">
        <w:rPr>
          <w:rFonts w:ascii="Arial" w:hAnsi="Arial" w:eastAsia="Times New Roman" w:cs="Arial"/>
          <w:sz w:val="20"/>
          <w:szCs w:val="20"/>
          <w:lang w:val="nl-NL" w:eastAsia="nl-NL"/>
        </w:rPr>
        <w:t>belastingen (</w:t>
      </w:r>
      <w:r w:rsidRPr="00A24FB6" w:rsidR="00653716">
        <w:rPr>
          <w:rFonts w:ascii="Arial" w:hAnsi="Arial" w:eastAsia="Times New Roman" w:cs="Arial"/>
          <w:i/>
          <w:sz w:val="20"/>
          <w:szCs w:val="20"/>
          <w:lang w:val="nl-NL" w:eastAsia="nl-NL"/>
        </w:rPr>
        <w:t xml:space="preserve">low </w:t>
      </w:r>
      <w:proofErr w:type="spellStart"/>
      <w:r w:rsidRPr="00A24FB6" w:rsidR="00653716">
        <w:rPr>
          <w:rFonts w:ascii="Arial" w:hAnsi="Arial" w:eastAsia="Times New Roman" w:cs="Arial"/>
          <w:i/>
          <w:sz w:val="20"/>
          <w:szCs w:val="20"/>
          <w:lang w:val="nl-NL" w:eastAsia="nl-NL"/>
        </w:rPr>
        <w:t>tax</w:t>
      </w:r>
      <w:proofErr w:type="spellEnd"/>
      <w:r w:rsidRPr="00A24FB6" w:rsidR="00653716">
        <w:rPr>
          <w:rFonts w:ascii="Arial" w:hAnsi="Arial" w:eastAsia="Times New Roman" w:cs="Arial"/>
          <w:i/>
          <w:sz w:val="20"/>
          <w:szCs w:val="20"/>
          <w:lang w:val="nl-NL" w:eastAsia="nl-NL"/>
        </w:rPr>
        <w:t xml:space="preserve"> </w:t>
      </w:r>
      <w:proofErr w:type="spellStart"/>
      <w:r w:rsidRPr="00A24FB6" w:rsidR="00653716">
        <w:rPr>
          <w:rFonts w:ascii="Arial" w:hAnsi="Arial" w:eastAsia="Times New Roman" w:cs="Arial"/>
          <w:i/>
          <w:sz w:val="20"/>
          <w:szCs w:val="20"/>
          <w:lang w:val="nl-NL" w:eastAsia="nl-NL"/>
        </w:rPr>
        <w:t>jurisdictions</w:t>
      </w:r>
      <w:proofErr w:type="spellEnd"/>
      <w:r w:rsidRPr="00653716" w:rsidR="00653716">
        <w:rPr>
          <w:rFonts w:ascii="Arial" w:hAnsi="Arial" w:eastAsia="Times New Roman" w:cs="Arial"/>
          <w:sz w:val="20"/>
          <w:szCs w:val="20"/>
          <w:lang w:val="nl-NL" w:eastAsia="nl-NL"/>
        </w:rPr>
        <w:t>)</w:t>
      </w:r>
      <w:r w:rsidR="00653716">
        <w:rPr>
          <w:rFonts w:ascii="Arial" w:hAnsi="Arial" w:eastAsia="Times New Roman" w:cs="Arial"/>
          <w:sz w:val="20"/>
          <w:szCs w:val="20"/>
          <w:lang w:val="nl-NL" w:eastAsia="nl-NL"/>
        </w:rPr>
        <w:t xml:space="preserve"> teneinde brievenbusconstructies tegen te gaan.</w:t>
      </w:r>
      <w:r w:rsidR="00217095">
        <w:rPr>
          <w:rFonts w:ascii="Arial" w:hAnsi="Arial" w:eastAsia="Times New Roman" w:cs="Arial"/>
          <w:sz w:val="20"/>
          <w:szCs w:val="20"/>
          <w:lang w:val="nl-NL" w:eastAsia="nl-NL"/>
        </w:rPr>
        <w:t xml:space="preserve"> In het artikel is op</w:t>
      </w:r>
      <w:r w:rsidR="00840F9D">
        <w:rPr>
          <w:rFonts w:ascii="Arial" w:hAnsi="Arial" w:eastAsia="Times New Roman" w:cs="Arial"/>
          <w:sz w:val="20"/>
          <w:szCs w:val="20"/>
          <w:lang w:val="nl-NL" w:eastAsia="nl-NL"/>
        </w:rPr>
        <w:t xml:space="preserve"> verzoek van Nederland</w:t>
      </w:r>
      <w:r w:rsidRPr="00056278" w:rsidR="00056278">
        <w:rPr>
          <w:rFonts w:ascii="Arial" w:hAnsi="Arial" w:eastAsia="Times New Roman" w:cs="Arial"/>
          <w:sz w:val="20"/>
          <w:szCs w:val="20"/>
          <w:lang w:val="nl-NL" w:eastAsia="nl-NL"/>
        </w:rPr>
        <w:t xml:space="preserve"> een bepaling opgenomen waarmee </w:t>
      </w:r>
      <w:r w:rsidR="00653716">
        <w:rPr>
          <w:rFonts w:ascii="Arial" w:hAnsi="Arial" w:eastAsia="Times New Roman" w:cs="Arial"/>
          <w:sz w:val="20"/>
          <w:szCs w:val="20"/>
          <w:lang w:val="nl-NL" w:eastAsia="nl-NL"/>
        </w:rPr>
        <w:t>Nederland</w:t>
      </w:r>
      <w:r w:rsidRPr="00056278" w:rsidR="00056278">
        <w:rPr>
          <w:rFonts w:ascii="Arial" w:hAnsi="Arial" w:eastAsia="Times New Roman" w:cs="Arial"/>
          <w:sz w:val="20"/>
          <w:szCs w:val="20"/>
          <w:lang w:val="nl-NL" w:eastAsia="nl-NL"/>
        </w:rPr>
        <w:t xml:space="preserve"> </w:t>
      </w:r>
      <w:r w:rsidR="00B807E3">
        <w:rPr>
          <w:rFonts w:ascii="Arial" w:hAnsi="Arial" w:eastAsia="Times New Roman" w:cs="Arial"/>
          <w:sz w:val="20"/>
          <w:szCs w:val="20"/>
          <w:lang w:val="nl-NL" w:eastAsia="nl-NL"/>
        </w:rPr>
        <w:t xml:space="preserve">of Liechtenstein als bronland het </w:t>
      </w:r>
      <w:r w:rsidRPr="00056278" w:rsidR="00056278">
        <w:rPr>
          <w:rFonts w:ascii="Arial" w:hAnsi="Arial" w:eastAsia="Times New Roman" w:cs="Arial"/>
          <w:sz w:val="20"/>
          <w:szCs w:val="20"/>
          <w:lang w:val="nl-NL" w:eastAsia="nl-NL"/>
        </w:rPr>
        <w:t xml:space="preserve">nationale recht kan toepassen indien </w:t>
      </w:r>
      <w:r w:rsidR="00653716">
        <w:rPr>
          <w:rFonts w:ascii="Arial" w:hAnsi="Arial" w:eastAsia="Times New Roman" w:cs="Arial"/>
          <w:sz w:val="20"/>
          <w:szCs w:val="20"/>
          <w:lang w:val="nl-NL" w:eastAsia="nl-NL"/>
        </w:rPr>
        <w:t>Liechtenstein</w:t>
      </w:r>
      <w:r w:rsidRPr="00F2230C" w:rsidR="00653716">
        <w:rPr>
          <w:rFonts w:ascii="Arial" w:hAnsi="Arial" w:eastAsia="Times New Roman" w:cs="Arial"/>
          <w:sz w:val="20"/>
          <w:szCs w:val="20"/>
          <w:lang w:val="nl-NL" w:eastAsia="nl-NL"/>
        </w:rPr>
        <w:t xml:space="preserve"> </w:t>
      </w:r>
      <w:r w:rsidRPr="00F2230C" w:rsidR="00B807E3">
        <w:rPr>
          <w:rFonts w:ascii="Arial" w:hAnsi="Arial" w:eastAsia="Times New Roman" w:cs="Arial"/>
          <w:sz w:val="20"/>
          <w:szCs w:val="20"/>
          <w:lang w:val="nl-NL" w:eastAsia="nl-NL"/>
        </w:rPr>
        <w:t xml:space="preserve">respectievelijk Nederland </w:t>
      </w:r>
      <w:r w:rsidRPr="00F2230C" w:rsidR="00653716">
        <w:rPr>
          <w:rFonts w:ascii="Arial" w:hAnsi="Arial" w:eastAsia="Times New Roman" w:cs="Arial"/>
          <w:sz w:val="20"/>
          <w:szCs w:val="20"/>
          <w:lang w:val="nl-NL" w:eastAsia="nl-NL"/>
        </w:rPr>
        <w:t xml:space="preserve">een </w:t>
      </w:r>
      <w:r w:rsidRPr="00653716" w:rsidR="00653716">
        <w:rPr>
          <w:rFonts w:ascii="Arial" w:hAnsi="Arial" w:eastAsia="Times New Roman" w:cs="Arial"/>
          <w:sz w:val="20"/>
          <w:szCs w:val="20"/>
          <w:lang w:val="nl-NL" w:eastAsia="nl-NL"/>
        </w:rPr>
        <w:t>nominaal winstbelastingtarief van minder da</w:t>
      </w:r>
      <w:r w:rsidR="00B807E3">
        <w:rPr>
          <w:rFonts w:ascii="Arial" w:hAnsi="Arial" w:eastAsia="Times New Roman" w:cs="Arial"/>
          <w:sz w:val="20"/>
          <w:szCs w:val="20"/>
          <w:lang w:val="nl-NL" w:eastAsia="nl-NL"/>
        </w:rPr>
        <w:t xml:space="preserve">n 9% </w:t>
      </w:r>
      <w:r w:rsidR="00653716">
        <w:rPr>
          <w:rFonts w:ascii="Arial" w:hAnsi="Arial" w:eastAsia="Times New Roman" w:cs="Arial"/>
          <w:sz w:val="20"/>
          <w:szCs w:val="20"/>
          <w:lang w:val="nl-NL" w:eastAsia="nl-NL"/>
        </w:rPr>
        <w:t>introduceert</w:t>
      </w:r>
      <w:r w:rsidRPr="00653716" w:rsidR="00653716">
        <w:rPr>
          <w:rFonts w:ascii="Arial" w:hAnsi="Arial" w:eastAsia="Times New Roman" w:cs="Arial"/>
          <w:sz w:val="20"/>
          <w:szCs w:val="20"/>
          <w:lang w:val="nl-NL" w:eastAsia="nl-NL"/>
        </w:rPr>
        <w:t xml:space="preserve">, buitenlands inkomen vrijstelt </w:t>
      </w:r>
      <w:r w:rsidR="004C04C8">
        <w:rPr>
          <w:rFonts w:ascii="Arial" w:hAnsi="Arial" w:eastAsia="Times New Roman" w:cs="Arial"/>
          <w:sz w:val="20"/>
          <w:szCs w:val="20"/>
          <w:lang w:val="nl-NL" w:eastAsia="nl-NL"/>
        </w:rPr>
        <w:t xml:space="preserve">of </w:t>
      </w:r>
      <w:r w:rsidR="00840F9D">
        <w:rPr>
          <w:rFonts w:ascii="Arial" w:hAnsi="Arial" w:eastAsia="Times New Roman" w:cs="Arial"/>
          <w:sz w:val="20"/>
          <w:szCs w:val="20"/>
          <w:lang w:val="nl-NL" w:eastAsia="nl-NL"/>
        </w:rPr>
        <w:t xml:space="preserve">wordt </w:t>
      </w:r>
      <w:r w:rsidR="004C04C8">
        <w:rPr>
          <w:rFonts w:ascii="Arial" w:hAnsi="Arial" w:eastAsia="Times New Roman" w:cs="Arial"/>
          <w:sz w:val="20"/>
          <w:szCs w:val="20"/>
          <w:lang w:val="nl-NL" w:eastAsia="nl-NL"/>
        </w:rPr>
        <w:t>opgenomen in annex I van</w:t>
      </w:r>
      <w:r w:rsidRPr="00653716" w:rsidR="00653716">
        <w:rPr>
          <w:rFonts w:ascii="Arial" w:hAnsi="Arial" w:eastAsia="Times New Roman" w:cs="Arial"/>
          <w:sz w:val="20"/>
          <w:szCs w:val="20"/>
          <w:lang w:val="nl-NL" w:eastAsia="nl-NL"/>
        </w:rPr>
        <w:t xml:space="preserve"> de EU-lijst van niet-coöperatieve rechtsgebieden</w:t>
      </w:r>
      <w:r w:rsidR="004C04C8">
        <w:rPr>
          <w:rFonts w:ascii="Arial" w:hAnsi="Arial" w:eastAsia="Times New Roman" w:cs="Arial"/>
          <w:sz w:val="20"/>
          <w:szCs w:val="20"/>
          <w:lang w:val="nl-NL" w:eastAsia="nl-NL"/>
        </w:rPr>
        <w:t xml:space="preserve">, de zogenoemde </w:t>
      </w:r>
      <w:r w:rsidR="00E14707">
        <w:rPr>
          <w:rFonts w:ascii="Arial" w:hAnsi="Arial" w:eastAsia="Times New Roman" w:cs="Arial"/>
          <w:sz w:val="20"/>
          <w:szCs w:val="20"/>
          <w:lang w:val="nl-NL" w:eastAsia="nl-NL"/>
        </w:rPr>
        <w:t>‘</w:t>
      </w:r>
      <w:r w:rsidR="004C04C8">
        <w:rPr>
          <w:rFonts w:ascii="Arial" w:hAnsi="Arial" w:eastAsia="Times New Roman" w:cs="Arial"/>
          <w:sz w:val="20"/>
          <w:szCs w:val="20"/>
          <w:lang w:val="nl-NL" w:eastAsia="nl-NL"/>
        </w:rPr>
        <w:t>zwarte lijst</w:t>
      </w:r>
      <w:r w:rsidR="00E14707">
        <w:rPr>
          <w:rFonts w:ascii="Arial" w:hAnsi="Arial" w:eastAsia="Times New Roman" w:cs="Arial"/>
          <w:sz w:val="20"/>
          <w:szCs w:val="20"/>
          <w:lang w:val="nl-NL" w:eastAsia="nl-NL"/>
        </w:rPr>
        <w:t>’</w:t>
      </w:r>
      <w:r w:rsidRPr="00653716" w:rsidR="00653716">
        <w:rPr>
          <w:rFonts w:ascii="Arial" w:hAnsi="Arial" w:eastAsia="Times New Roman" w:cs="Arial"/>
          <w:sz w:val="20"/>
          <w:szCs w:val="20"/>
          <w:lang w:val="nl-NL" w:eastAsia="nl-NL"/>
        </w:rPr>
        <w:t>.</w:t>
      </w:r>
      <w:r w:rsidR="00B807E3">
        <w:rPr>
          <w:rFonts w:ascii="Arial" w:hAnsi="Arial" w:eastAsia="Times New Roman" w:cs="Arial"/>
          <w:sz w:val="20"/>
          <w:szCs w:val="20"/>
          <w:lang w:val="nl-NL" w:eastAsia="nl-NL"/>
        </w:rPr>
        <w:t xml:space="preserve"> </w:t>
      </w:r>
      <w:r w:rsidR="007D71B2">
        <w:rPr>
          <w:rFonts w:ascii="Arial" w:hAnsi="Arial" w:eastAsia="Times New Roman" w:cs="Arial"/>
          <w:sz w:val="20"/>
          <w:szCs w:val="20"/>
          <w:lang w:val="nl-NL" w:eastAsia="nl-NL"/>
        </w:rPr>
        <w:t xml:space="preserve">Voor de definitie van een </w:t>
      </w:r>
      <w:r w:rsidRPr="00A24FB6" w:rsidR="007D71B2">
        <w:rPr>
          <w:rFonts w:ascii="Arial" w:hAnsi="Arial" w:eastAsia="Times New Roman" w:cs="Arial"/>
          <w:i/>
          <w:sz w:val="20"/>
          <w:szCs w:val="20"/>
          <w:lang w:val="nl-NL" w:eastAsia="nl-NL"/>
        </w:rPr>
        <w:t xml:space="preserve">low </w:t>
      </w:r>
      <w:proofErr w:type="spellStart"/>
      <w:r w:rsidRPr="00A24FB6" w:rsidR="00D7590D">
        <w:rPr>
          <w:rFonts w:ascii="Arial" w:hAnsi="Arial" w:eastAsia="Times New Roman" w:cs="Arial"/>
          <w:i/>
          <w:sz w:val="20"/>
          <w:szCs w:val="20"/>
          <w:lang w:val="nl-NL" w:eastAsia="nl-NL"/>
        </w:rPr>
        <w:t>tax</w:t>
      </w:r>
      <w:proofErr w:type="spellEnd"/>
      <w:r w:rsidRPr="00A24FB6" w:rsidR="007D71B2">
        <w:rPr>
          <w:rFonts w:ascii="Arial" w:hAnsi="Arial" w:eastAsia="Times New Roman" w:cs="Arial"/>
          <w:i/>
          <w:sz w:val="20"/>
          <w:szCs w:val="20"/>
          <w:lang w:val="nl-NL" w:eastAsia="nl-NL"/>
        </w:rPr>
        <w:t xml:space="preserve"> </w:t>
      </w:r>
      <w:proofErr w:type="spellStart"/>
      <w:r w:rsidRPr="00A24FB6" w:rsidR="007D71B2">
        <w:rPr>
          <w:rFonts w:ascii="Arial" w:hAnsi="Arial" w:eastAsia="Times New Roman" w:cs="Arial"/>
          <w:i/>
          <w:sz w:val="20"/>
          <w:szCs w:val="20"/>
          <w:lang w:val="nl-NL" w:eastAsia="nl-NL"/>
        </w:rPr>
        <w:t>jurisdiction</w:t>
      </w:r>
      <w:proofErr w:type="spellEnd"/>
      <w:r w:rsidR="007D71B2">
        <w:rPr>
          <w:rFonts w:ascii="Arial" w:hAnsi="Arial" w:eastAsia="Times New Roman" w:cs="Arial"/>
          <w:sz w:val="20"/>
          <w:szCs w:val="20"/>
          <w:lang w:val="nl-NL" w:eastAsia="nl-NL"/>
        </w:rPr>
        <w:t xml:space="preserve"> is zoveel mogelijk aangesloten bij de definitie van </w:t>
      </w:r>
      <w:r w:rsidRPr="007D71B2" w:rsidR="007D71B2">
        <w:rPr>
          <w:rFonts w:ascii="Arial" w:hAnsi="Arial" w:eastAsia="Times New Roman" w:cs="Arial"/>
          <w:sz w:val="20"/>
          <w:szCs w:val="20"/>
          <w:lang w:val="nl-NL" w:eastAsia="nl-NL"/>
        </w:rPr>
        <w:t xml:space="preserve">een </w:t>
      </w:r>
      <w:proofErr w:type="spellStart"/>
      <w:r w:rsidRPr="007D71B2" w:rsidR="007D71B2">
        <w:rPr>
          <w:rFonts w:ascii="Arial" w:hAnsi="Arial" w:eastAsia="Times New Roman" w:cs="Arial"/>
          <w:sz w:val="20"/>
          <w:szCs w:val="20"/>
          <w:lang w:val="nl-NL" w:eastAsia="nl-NL"/>
        </w:rPr>
        <w:t>laagbelaste</w:t>
      </w:r>
      <w:proofErr w:type="spellEnd"/>
      <w:r w:rsidRPr="007D71B2" w:rsidR="007D71B2">
        <w:rPr>
          <w:rFonts w:ascii="Arial" w:hAnsi="Arial" w:eastAsia="Times New Roman" w:cs="Arial"/>
          <w:sz w:val="20"/>
          <w:szCs w:val="20"/>
          <w:lang w:val="nl-NL" w:eastAsia="nl-NL"/>
        </w:rPr>
        <w:t xml:space="preserve"> buitenlandse vennootschap of vaste inrichting</w:t>
      </w:r>
      <w:r w:rsidR="007D71B2">
        <w:rPr>
          <w:rFonts w:ascii="Arial" w:hAnsi="Arial" w:eastAsia="Times New Roman" w:cs="Arial"/>
          <w:sz w:val="20"/>
          <w:szCs w:val="20"/>
          <w:lang w:val="nl-NL" w:eastAsia="nl-NL"/>
        </w:rPr>
        <w:t xml:space="preserve"> uit de CFC-regeling </w:t>
      </w:r>
      <w:r w:rsidR="00D105CE">
        <w:rPr>
          <w:rFonts w:ascii="Arial" w:hAnsi="Arial" w:eastAsia="Times New Roman" w:cs="Arial"/>
          <w:sz w:val="20"/>
          <w:szCs w:val="20"/>
          <w:lang w:val="nl-NL" w:eastAsia="nl-NL"/>
        </w:rPr>
        <w:t>(</w:t>
      </w:r>
      <w:proofErr w:type="spellStart"/>
      <w:r w:rsidR="00D105CE">
        <w:rPr>
          <w:rFonts w:ascii="Arial" w:hAnsi="Arial" w:eastAsia="Times New Roman" w:cs="Arial"/>
          <w:i/>
          <w:sz w:val="20"/>
          <w:szCs w:val="20"/>
          <w:lang w:val="nl-NL" w:eastAsia="nl-NL"/>
        </w:rPr>
        <w:t>controlled</w:t>
      </w:r>
      <w:proofErr w:type="spellEnd"/>
      <w:r w:rsidR="00D105CE">
        <w:rPr>
          <w:rFonts w:ascii="Arial" w:hAnsi="Arial" w:eastAsia="Times New Roman" w:cs="Arial"/>
          <w:i/>
          <w:sz w:val="20"/>
          <w:szCs w:val="20"/>
          <w:lang w:val="nl-NL" w:eastAsia="nl-NL"/>
        </w:rPr>
        <w:t xml:space="preserve"> </w:t>
      </w:r>
      <w:proofErr w:type="spellStart"/>
      <w:r w:rsidR="00D105CE">
        <w:rPr>
          <w:rFonts w:ascii="Arial" w:hAnsi="Arial" w:eastAsia="Times New Roman" w:cs="Arial"/>
          <w:i/>
          <w:sz w:val="20"/>
          <w:szCs w:val="20"/>
          <w:lang w:val="nl-NL" w:eastAsia="nl-NL"/>
        </w:rPr>
        <w:t>foreign</w:t>
      </w:r>
      <w:proofErr w:type="spellEnd"/>
      <w:r w:rsidR="00D105CE">
        <w:rPr>
          <w:rFonts w:ascii="Arial" w:hAnsi="Arial" w:eastAsia="Times New Roman" w:cs="Arial"/>
          <w:i/>
          <w:sz w:val="20"/>
          <w:szCs w:val="20"/>
          <w:lang w:val="nl-NL" w:eastAsia="nl-NL"/>
        </w:rPr>
        <w:t xml:space="preserve"> companies</w:t>
      </w:r>
      <w:r w:rsidR="00D105CE">
        <w:rPr>
          <w:rFonts w:ascii="Arial" w:hAnsi="Arial" w:eastAsia="Times New Roman" w:cs="Arial"/>
          <w:sz w:val="20"/>
          <w:szCs w:val="20"/>
          <w:lang w:val="nl-NL" w:eastAsia="nl-NL"/>
        </w:rPr>
        <w:t xml:space="preserve">) </w:t>
      </w:r>
      <w:r w:rsidR="007D71B2">
        <w:rPr>
          <w:rFonts w:ascii="Arial" w:hAnsi="Arial" w:eastAsia="Times New Roman" w:cs="Arial"/>
          <w:sz w:val="20"/>
          <w:szCs w:val="20"/>
          <w:lang w:val="nl-NL" w:eastAsia="nl-NL"/>
        </w:rPr>
        <w:t>in</w:t>
      </w:r>
      <w:r w:rsidRPr="003D6434" w:rsidR="007D71B2">
        <w:rPr>
          <w:rFonts w:ascii="Arial" w:hAnsi="Arial" w:eastAsia="Times New Roman" w:cs="Arial"/>
          <w:sz w:val="20"/>
          <w:szCs w:val="20"/>
          <w:lang w:val="nl-NL" w:eastAsia="nl-NL"/>
        </w:rPr>
        <w:t xml:space="preserve"> de </w:t>
      </w:r>
      <w:r w:rsidRPr="007D71B2" w:rsidR="007D71B2">
        <w:rPr>
          <w:rFonts w:ascii="Arial" w:hAnsi="Arial" w:eastAsia="Times New Roman" w:cs="Arial"/>
          <w:sz w:val="20"/>
          <w:szCs w:val="20"/>
          <w:lang w:val="nl-NL" w:eastAsia="nl-NL"/>
        </w:rPr>
        <w:t>Wet implementatie eerste EU-richtlijn antibelastingontwijking</w:t>
      </w:r>
      <w:r w:rsidR="00D7590D">
        <w:rPr>
          <w:rFonts w:ascii="Arial" w:hAnsi="Arial" w:eastAsia="Times New Roman" w:cs="Arial"/>
          <w:sz w:val="20"/>
          <w:szCs w:val="20"/>
          <w:lang w:val="nl-NL" w:eastAsia="nl-NL"/>
        </w:rPr>
        <w:t xml:space="preserve"> </w:t>
      </w:r>
      <w:r w:rsidRPr="003D6434" w:rsidR="00D7590D">
        <w:rPr>
          <w:rFonts w:ascii="Arial" w:hAnsi="Arial" w:eastAsia="Times New Roman" w:cs="Arial"/>
          <w:sz w:val="20"/>
          <w:szCs w:val="20"/>
          <w:lang w:val="nl-NL" w:eastAsia="nl-NL"/>
        </w:rPr>
        <w:t>(</w:t>
      </w:r>
      <w:r w:rsidRPr="009B6749" w:rsidR="00D7590D">
        <w:rPr>
          <w:rFonts w:ascii="Arial" w:hAnsi="Arial" w:eastAsia="Times New Roman" w:cs="Arial"/>
          <w:i/>
          <w:sz w:val="20"/>
          <w:szCs w:val="20"/>
          <w:lang w:val="nl-NL" w:eastAsia="nl-NL"/>
        </w:rPr>
        <w:t>St</w:t>
      </w:r>
      <w:r w:rsidRPr="009B6749" w:rsidR="00F53E38">
        <w:rPr>
          <w:rFonts w:ascii="Arial" w:hAnsi="Arial" w:eastAsia="Times New Roman" w:cs="Arial"/>
          <w:i/>
          <w:sz w:val="20"/>
          <w:szCs w:val="20"/>
          <w:lang w:val="nl-NL" w:eastAsia="nl-NL"/>
        </w:rPr>
        <w:t>b</w:t>
      </w:r>
      <w:r w:rsidRPr="003D6434" w:rsidR="00F53E38">
        <w:rPr>
          <w:rFonts w:ascii="Arial" w:hAnsi="Arial" w:eastAsia="Times New Roman" w:cs="Arial"/>
          <w:sz w:val="20"/>
          <w:szCs w:val="20"/>
          <w:lang w:val="nl-NL" w:eastAsia="nl-NL"/>
        </w:rPr>
        <w:t xml:space="preserve"> 2018, </w:t>
      </w:r>
      <w:r w:rsidRPr="003D6434" w:rsidR="00D7590D">
        <w:rPr>
          <w:rFonts w:ascii="Arial" w:hAnsi="Arial" w:eastAsia="Times New Roman" w:cs="Arial"/>
          <w:sz w:val="20"/>
          <w:szCs w:val="20"/>
          <w:lang w:val="nl-NL" w:eastAsia="nl-NL"/>
        </w:rPr>
        <w:t>508)</w:t>
      </w:r>
      <w:r w:rsidR="00E53651">
        <w:rPr>
          <w:rFonts w:ascii="Arial" w:hAnsi="Arial" w:eastAsia="Times New Roman" w:cs="Arial"/>
          <w:sz w:val="20"/>
          <w:szCs w:val="20"/>
          <w:lang w:val="nl-NL" w:eastAsia="nl-NL"/>
        </w:rPr>
        <w:t>, zoals toegelicht in de memorie van toelichting bij die wet.</w:t>
      </w:r>
      <w:r w:rsidR="00E53651">
        <w:rPr>
          <w:rStyle w:val="FootnoteReference"/>
          <w:rFonts w:ascii="Arial" w:hAnsi="Arial" w:eastAsia="Times New Roman" w:cs="Arial"/>
          <w:sz w:val="20"/>
          <w:szCs w:val="20"/>
          <w:lang w:val="nl-NL" w:eastAsia="nl-NL"/>
        </w:rPr>
        <w:footnoteReference w:id="13"/>
      </w:r>
      <w:r w:rsidR="007D71B2">
        <w:rPr>
          <w:rFonts w:ascii="Arial" w:hAnsi="Arial" w:eastAsia="Times New Roman" w:cs="Arial"/>
          <w:sz w:val="20"/>
          <w:szCs w:val="20"/>
          <w:lang w:val="nl-NL" w:eastAsia="nl-NL"/>
        </w:rPr>
        <w:t xml:space="preserve"> De</w:t>
      </w:r>
      <w:r w:rsidR="00D7590D">
        <w:rPr>
          <w:rFonts w:ascii="Arial" w:hAnsi="Arial" w:eastAsia="Times New Roman" w:cs="Arial"/>
          <w:sz w:val="20"/>
          <w:szCs w:val="20"/>
          <w:lang w:val="nl-NL" w:eastAsia="nl-NL"/>
        </w:rPr>
        <w:t xml:space="preserve"> bepaling is daarnaast gebaseerd op een voorstel van de</w:t>
      </w:r>
      <w:r w:rsidR="00257B5B">
        <w:rPr>
          <w:rFonts w:ascii="Arial" w:hAnsi="Arial" w:eastAsia="Times New Roman" w:cs="Arial"/>
          <w:sz w:val="20"/>
          <w:szCs w:val="20"/>
          <w:lang w:val="nl-NL" w:eastAsia="nl-NL"/>
        </w:rPr>
        <w:t xml:space="preserve"> OESO </w:t>
      </w:r>
      <w:r w:rsidRPr="00257B5B" w:rsidR="00257B5B">
        <w:rPr>
          <w:rFonts w:ascii="Arial" w:hAnsi="Arial" w:eastAsia="Times New Roman" w:cs="Arial"/>
          <w:sz w:val="20"/>
          <w:szCs w:val="20"/>
          <w:lang w:val="nl-NL" w:eastAsia="nl-NL"/>
        </w:rPr>
        <w:t xml:space="preserve">voor </w:t>
      </w:r>
      <w:r w:rsidR="00D7590D">
        <w:rPr>
          <w:rFonts w:ascii="Arial" w:hAnsi="Arial" w:eastAsia="Times New Roman" w:cs="Arial"/>
          <w:sz w:val="20"/>
          <w:szCs w:val="20"/>
          <w:lang w:val="nl-NL" w:eastAsia="nl-NL"/>
        </w:rPr>
        <w:t>een dergelijke bepaling</w:t>
      </w:r>
      <w:r w:rsidRPr="00257B5B" w:rsidR="00257B5B">
        <w:rPr>
          <w:rFonts w:ascii="Arial" w:hAnsi="Arial" w:eastAsia="Times New Roman" w:cs="Arial"/>
          <w:sz w:val="20"/>
          <w:szCs w:val="20"/>
          <w:lang w:val="nl-NL" w:eastAsia="nl-NL"/>
        </w:rPr>
        <w:t xml:space="preserve"> in paragraaf 101 van</w:t>
      </w:r>
      <w:r w:rsidR="00D7590D">
        <w:rPr>
          <w:rFonts w:ascii="Arial" w:hAnsi="Arial" w:eastAsia="Times New Roman" w:cs="Arial"/>
          <w:sz w:val="20"/>
          <w:szCs w:val="20"/>
          <w:lang w:val="nl-NL" w:eastAsia="nl-NL"/>
        </w:rPr>
        <w:t xml:space="preserve"> het </w:t>
      </w:r>
      <w:r w:rsidRPr="00257B5B" w:rsidR="00257B5B">
        <w:rPr>
          <w:rFonts w:ascii="Arial" w:hAnsi="Arial" w:eastAsia="Times New Roman" w:cs="Arial"/>
          <w:sz w:val="20"/>
          <w:szCs w:val="20"/>
          <w:lang w:val="nl-NL" w:eastAsia="nl-NL"/>
        </w:rPr>
        <w:t>commentaar op artikel 1</w:t>
      </w:r>
      <w:r w:rsidR="00D7590D">
        <w:rPr>
          <w:rFonts w:ascii="Arial" w:hAnsi="Arial" w:eastAsia="Times New Roman" w:cs="Arial"/>
          <w:sz w:val="20"/>
          <w:szCs w:val="20"/>
          <w:lang w:val="nl-NL" w:eastAsia="nl-NL"/>
        </w:rPr>
        <w:t xml:space="preserve"> van het OESO-modelverdrag.</w:t>
      </w:r>
      <w:r w:rsidR="00257B5B">
        <w:rPr>
          <w:rFonts w:ascii="Arial" w:hAnsi="Arial" w:eastAsia="Times New Roman" w:cs="Arial"/>
          <w:sz w:val="20"/>
          <w:szCs w:val="20"/>
          <w:lang w:val="nl-NL" w:eastAsia="nl-NL"/>
        </w:rPr>
        <w:t xml:space="preserve"> </w:t>
      </w:r>
      <w:r w:rsidR="009E043A">
        <w:rPr>
          <w:rFonts w:ascii="Arial" w:hAnsi="Arial" w:eastAsia="Times New Roman" w:cs="Arial"/>
          <w:sz w:val="20"/>
          <w:szCs w:val="20"/>
          <w:lang w:val="nl-NL" w:eastAsia="nl-NL"/>
        </w:rPr>
        <w:t>De bepaling is</w:t>
      </w:r>
      <w:r w:rsidR="001314D4">
        <w:rPr>
          <w:rFonts w:ascii="Arial" w:hAnsi="Arial" w:eastAsia="Times New Roman" w:cs="Arial"/>
          <w:sz w:val="20"/>
          <w:szCs w:val="20"/>
          <w:lang w:val="nl-NL" w:eastAsia="nl-NL"/>
        </w:rPr>
        <w:t xml:space="preserve"> </w:t>
      </w:r>
      <w:r w:rsidR="00D7590D">
        <w:rPr>
          <w:rFonts w:ascii="Arial" w:hAnsi="Arial" w:eastAsia="Times New Roman" w:cs="Arial"/>
          <w:sz w:val="20"/>
          <w:szCs w:val="20"/>
          <w:lang w:val="nl-NL" w:eastAsia="nl-NL"/>
        </w:rPr>
        <w:t>conform dat voorstel van de OESO</w:t>
      </w:r>
      <w:r w:rsidR="00B807E3">
        <w:rPr>
          <w:rFonts w:ascii="Arial" w:hAnsi="Arial" w:eastAsia="Times New Roman" w:cs="Arial"/>
          <w:sz w:val="20"/>
          <w:szCs w:val="20"/>
          <w:lang w:val="nl-NL" w:eastAsia="nl-NL"/>
        </w:rPr>
        <w:t xml:space="preserve"> </w:t>
      </w:r>
      <w:r w:rsidRPr="00056278" w:rsidR="00056278">
        <w:rPr>
          <w:rFonts w:ascii="Arial" w:hAnsi="Arial" w:eastAsia="Times New Roman" w:cs="Arial"/>
          <w:sz w:val="20"/>
          <w:szCs w:val="20"/>
          <w:lang w:val="nl-NL" w:eastAsia="nl-NL"/>
        </w:rPr>
        <w:t>zo geformuleerd dat de staten eerst opnieuw met elkaar in overleg zullen treden over de verdeling van de heffingsrechten. Mocht dat niet het gewenst</w:t>
      </w:r>
      <w:r w:rsidR="00B807E3">
        <w:rPr>
          <w:rFonts w:ascii="Arial" w:hAnsi="Arial" w:eastAsia="Times New Roman" w:cs="Arial"/>
          <w:sz w:val="20"/>
          <w:szCs w:val="20"/>
          <w:lang w:val="nl-NL" w:eastAsia="nl-NL"/>
        </w:rPr>
        <w:t>e resultaat opleveren, dan hoeft het</w:t>
      </w:r>
      <w:r w:rsidRPr="00056278" w:rsidR="00056278">
        <w:rPr>
          <w:rFonts w:ascii="Arial" w:hAnsi="Arial" w:eastAsia="Times New Roman" w:cs="Arial"/>
          <w:sz w:val="20"/>
          <w:szCs w:val="20"/>
          <w:lang w:val="nl-NL" w:eastAsia="nl-NL"/>
        </w:rPr>
        <w:t xml:space="preserve"> bronland geen verdragsvoordelen meer te geven </w:t>
      </w:r>
      <w:r w:rsidR="00520F0D">
        <w:rPr>
          <w:rFonts w:ascii="Arial" w:hAnsi="Arial" w:eastAsia="Times New Roman" w:cs="Arial"/>
          <w:sz w:val="20"/>
          <w:szCs w:val="20"/>
          <w:lang w:val="nl-NL" w:eastAsia="nl-NL"/>
        </w:rPr>
        <w:t>ten aanzien van</w:t>
      </w:r>
      <w:r w:rsidRPr="00056278" w:rsidR="00056278">
        <w:rPr>
          <w:rFonts w:ascii="Arial" w:hAnsi="Arial" w:eastAsia="Times New Roman" w:cs="Arial"/>
          <w:sz w:val="20"/>
          <w:szCs w:val="20"/>
          <w:lang w:val="nl-NL" w:eastAsia="nl-NL"/>
        </w:rPr>
        <w:t xml:space="preserve"> dividenden, interest, royalty’s, vermogenswinsten en restinkomen.</w:t>
      </w:r>
      <w:r w:rsidRPr="006F35F0" w:rsidR="00056278">
        <w:rPr>
          <w:rFonts w:ascii="Arial" w:hAnsi="Arial" w:eastAsia="Times New Roman" w:cs="Arial"/>
          <w:sz w:val="20"/>
          <w:szCs w:val="20"/>
          <w:lang w:val="nl-NL" w:eastAsia="nl-NL"/>
        </w:rPr>
        <w:t xml:space="preserve"> </w:t>
      </w:r>
      <w:r w:rsidRPr="006F35F0" w:rsidR="00840F9D">
        <w:rPr>
          <w:rFonts w:ascii="Arial" w:hAnsi="Arial" w:cs="Arial"/>
          <w:sz w:val="20"/>
          <w:szCs w:val="20"/>
          <w:lang w:val="nl-NL"/>
        </w:rPr>
        <w:t xml:space="preserve">De achtergrond van deze bepaling is dat Nederland de mogelijkheid open wil houden de conditionele bronheffing op rente en royalty’s onder de Wet </w:t>
      </w:r>
      <w:r w:rsidRPr="006F35F0" w:rsidR="00BF1545">
        <w:rPr>
          <w:rFonts w:ascii="Arial" w:hAnsi="Arial" w:cs="Arial"/>
          <w:sz w:val="20"/>
          <w:szCs w:val="20"/>
          <w:lang w:val="nl-NL"/>
        </w:rPr>
        <w:t xml:space="preserve">bronbelasting 2021 </w:t>
      </w:r>
      <w:r w:rsidRPr="006F35F0" w:rsidR="00840F9D">
        <w:rPr>
          <w:rFonts w:ascii="Arial" w:hAnsi="Arial" w:cs="Arial"/>
          <w:sz w:val="20"/>
          <w:szCs w:val="20"/>
          <w:lang w:val="nl-NL"/>
        </w:rPr>
        <w:t>te heffen</w:t>
      </w:r>
      <w:r w:rsidR="005378D6">
        <w:rPr>
          <w:rFonts w:ascii="Arial" w:hAnsi="Arial" w:cs="Arial"/>
          <w:sz w:val="20"/>
          <w:szCs w:val="20"/>
          <w:lang w:val="nl-NL"/>
        </w:rPr>
        <w:t xml:space="preserve"> in de genoemde situaties</w:t>
      </w:r>
      <w:r w:rsidRPr="006F35F0" w:rsidR="00840F9D">
        <w:rPr>
          <w:rFonts w:ascii="Arial" w:hAnsi="Arial" w:cs="Arial"/>
          <w:sz w:val="20"/>
          <w:szCs w:val="20"/>
          <w:lang w:val="nl-NL"/>
        </w:rPr>
        <w:t>.</w:t>
      </w:r>
    </w:p>
    <w:p w:rsidRPr="00D7688F" w:rsidR="00D7688F" w:rsidP="00D7688F" w:rsidRDefault="00D7688F" w14:paraId="14A1AAF3" w14:textId="60FD962C">
      <w:pPr>
        <w:keepNext/>
        <w:numPr>
          <w:ilvl w:val="1"/>
          <w:numId w:val="1"/>
        </w:numPr>
        <w:spacing w:before="240" w:after="60" w:line="360" w:lineRule="auto"/>
        <w:ind w:left="142"/>
        <w:outlineLvl w:val="1"/>
        <w:rPr>
          <w:rFonts w:ascii="Arial" w:hAnsi="Arial" w:eastAsia="Times New Roman" w:cs="Times New Roman"/>
          <w:bCs/>
          <w:i/>
          <w:iCs/>
          <w:sz w:val="20"/>
          <w:szCs w:val="28"/>
          <w:lang w:val="nl-NL" w:eastAsia="nl-NL"/>
        </w:rPr>
      </w:pPr>
      <w:r w:rsidRPr="00D7688F">
        <w:rPr>
          <w:rFonts w:ascii="Arial" w:hAnsi="Arial" w:eastAsia="Times New Roman" w:cs="Times New Roman"/>
          <w:bCs/>
          <w:i/>
          <w:iCs/>
          <w:sz w:val="20"/>
          <w:szCs w:val="28"/>
          <w:lang w:val="nl-NL" w:eastAsia="nl-NL"/>
        </w:rPr>
        <w:t>Belastingen waarop het Verdrag van toepassing is (artikel 2</w:t>
      </w:r>
      <w:r>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Pr>
          <w:rFonts w:ascii="Arial" w:hAnsi="Arial" w:eastAsia="Times New Roman" w:cs="Times New Roman"/>
          <w:bCs/>
          <w:i/>
          <w:iCs/>
          <w:sz w:val="20"/>
          <w:szCs w:val="28"/>
          <w:lang w:val="nl-NL" w:eastAsia="nl-NL"/>
        </w:rPr>
        <w:t>II</w:t>
      </w:r>
      <w:r w:rsidR="009461E5">
        <w:rPr>
          <w:rFonts w:ascii="Arial" w:hAnsi="Arial" w:eastAsia="Times New Roman" w:cs="Times New Roman"/>
          <w:bCs/>
          <w:i/>
          <w:iCs/>
          <w:sz w:val="20"/>
          <w:szCs w:val="28"/>
          <w:lang w:val="nl-NL" w:eastAsia="nl-NL"/>
        </w:rPr>
        <w:t xml:space="preserve"> van het Protocol</w:t>
      </w:r>
      <w:r w:rsidRPr="00D7688F">
        <w:rPr>
          <w:rFonts w:ascii="Arial" w:hAnsi="Arial" w:eastAsia="Times New Roman" w:cs="Times New Roman"/>
          <w:bCs/>
          <w:i/>
          <w:iCs/>
          <w:sz w:val="20"/>
          <w:szCs w:val="28"/>
          <w:lang w:val="nl-NL" w:eastAsia="nl-NL"/>
        </w:rPr>
        <w:t>)</w:t>
      </w:r>
    </w:p>
    <w:p w:rsidRPr="00D7688F" w:rsidR="00D7688F" w:rsidP="00D7688F" w:rsidRDefault="00D7688F" w14:paraId="1927E407" w14:textId="77777777">
      <w:pPr>
        <w:spacing w:after="0" w:line="360" w:lineRule="auto"/>
        <w:ind w:firstLine="709"/>
        <w:rPr>
          <w:rFonts w:ascii="Arial" w:hAnsi="Arial" w:eastAsia="Times New Roman" w:cs="Times New Roman"/>
          <w:sz w:val="20"/>
          <w:szCs w:val="24"/>
          <w:lang w:val="nl-NL" w:eastAsia="nl-NL"/>
        </w:rPr>
      </w:pPr>
      <w:r w:rsidRPr="00D7688F">
        <w:rPr>
          <w:rFonts w:ascii="Arial" w:hAnsi="Arial" w:eastAsia="Times New Roman" w:cs="Times New Roman"/>
          <w:sz w:val="20"/>
          <w:szCs w:val="24"/>
          <w:lang w:val="nl-NL" w:eastAsia="nl-NL"/>
        </w:rPr>
        <w:t xml:space="preserve">In artikel 2 is neergelegd op welke belastingen het Verdrag ziet, waarmee de materiële werkingssfeer van het Verdrag is vastgesteld. Het eerste, tweede en vierde lid van dit artikel </w:t>
      </w:r>
      <w:r>
        <w:rPr>
          <w:rFonts w:ascii="Arial" w:hAnsi="Arial" w:eastAsia="Times New Roman" w:cs="Times New Roman"/>
          <w:sz w:val="20"/>
          <w:szCs w:val="24"/>
          <w:lang w:val="nl-NL" w:eastAsia="nl-NL"/>
        </w:rPr>
        <w:t>stemmen</w:t>
      </w:r>
      <w:r w:rsidRPr="00D7688F">
        <w:rPr>
          <w:rFonts w:ascii="Arial" w:hAnsi="Arial" w:eastAsia="Times New Roman" w:cs="Arial"/>
          <w:sz w:val="20"/>
          <w:szCs w:val="20"/>
          <w:lang w:val="nl-NL" w:eastAsia="nl-NL"/>
        </w:rPr>
        <w:t xml:space="preserve"> overeen </w:t>
      </w:r>
      <w:r w:rsidRPr="00D7688F">
        <w:rPr>
          <w:rFonts w:ascii="Arial" w:hAnsi="Arial" w:eastAsia="Times New Roman" w:cs="Times New Roman"/>
          <w:sz w:val="20"/>
          <w:szCs w:val="24"/>
          <w:lang w:val="nl-NL" w:eastAsia="nl-NL"/>
        </w:rPr>
        <w:t>met het eerste, tweede en vierde lid van artikel 2 van het OESO-modelverdrag.</w:t>
      </w:r>
    </w:p>
    <w:p w:rsidR="003B4471" w:rsidP="00D7688F" w:rsidRDefault="00D7688F" w14:paraId="5EAE3EB6" w14:textId="64743D4C">
      <w:pPr>
        <w:spacing w:after="0" w:line="360" w:lineRule="auto"/>
        <w:ind w:firstLine="709"/>
        <w:rPr>
          <w:rFonts w:ascii="Arial" w:hAnsi="Arial" w:eastAsia="Times New Roman" w:cs="Arial"/>
          <w:sz w:val="20"/>
          <w:szCs w:val="20"/>
          <w:lang w:val="nl-NL" w:eastAsia="nl-NL"/>
        </w:rPr>
      </w:pPr>
      <w:r w:rsidRPr="00D7688F">
        <w:rPr>
          <w:rFonts w:ascii="Arial" w:hAnsi="Arial" w:eastAsia="Times New Roman" w:cs="Times New Roman"/>
          <w:sz w:val="20"/>
          <w:szCs w:val="24"/>
          <w:lang w:val="nl-NL" w:eastAsia="nl-NL"/>
        </w:rPr>
        <w:lastRenderedPageBreak/>
        <w:t xml:space="preserve">Het derde lid bevat een opsomming van </w:t>
      </w:r>
      <w:r>
        <w:rPr>
          <w:rFonts w:ascii="Arial" w:hAnsi="Arial" w:eastAsia="Times New Roman" w:cs="Times New Roman"/>
          <w:sz w:val="20"/>
          <w:szCs w:val="24"/>
          <w:lang w:val="nl-NL" w:eastAsia="nl-NL"/>
        </w:rPr>
        <w:t xml:space="preserve">de </w:t>
      </w:r>
      <w:r w:rsidR="004659F3">
        <w:rPr>
          <w:rFonts w:ascii="Arial" w:hAnsi="Arial" w:eastAsia="Times New Roman" w:cs="Times New Roman"/>
          <w:sz w:val="20"/>
          <w:szCs w:val="24"/>
          <w:lang w:val="nl-NL" w:eastAsia="nl-NL"/>
        </w:rPr>
        <w:t xml:space="preserve">ten tijde van de ondertekening van het Verdrag van kracht zijnde </w:t>
      </w:r>
      <w:r>
        <w:rPr>
          <w:rFonts w:ascii="Arial" w:hAnsi="Arial" w:eastAsia="Times New Roman" w:cs="Times New Roman"/>
          <w:sz w:val="20"/>
          <w:szCs w:val="24"/>
          <w:lang w:val="nl-NL" w:eastAsia="nl-NL"/>
        </w:rPr>
        <w:t>Nederlandse en Liechtensteinse</w:t>
      </w:r>
      <w:r w:rsidRPr="00D7688F">
        <w:rPr>
          <w:rFonts w:ascii="Arial" w:hAnsi="Arial" w:eastAsia="Times New Roman" w:cs="Times New Roman"/>
          <w:sz w:val="20"/>
          <w:szCs w:val="24"/>
          <w:lang w:val="nl-NL" w:eastAsia="nl-NL"/>
        </w:rPr>
        <w:t xml:space="preserve"> belastingen waarop de bepalingen van het Verdrag van toepassing zijn. </w:t>
      </w:r>
      <w:r w:rsidRPr="00D7688F">
        <w:rPr>
          <w:rFonts w:ascii="Arial" w:hAnsi="Arial" w:eastAsia="Times New Roman" w:cs="Arial"/>
          <w:sz w:val="20"/>
          <w:szCs w:val="20"/>
          <w:lang w:val="nl-NL" w:eastAsia="nl-NL"/>
        </w:rPr>
        <w:t>Voor Nederland zijn dat de relevante directe belastingen die in het Europese deel van Nederland worden geheven van natuurlijke personen en lichamen. Ook is wat betreft Nederland het zogenoemde staatswinstaandeel in nettowinsten behaald met exploitatie van natuurlijke rijkdommen onder de reikwijdte van het Verdrag gebracht.</w:t>
      </w:r>
    </w:p>
    <w:p w:rsidR="007D4A0A" w:rsidP="00D7688F" w:rsidRDefault="00343312" w14:paraId="365BF1B6" w14:textId="0A77FB3D">
      <w:pPr>
        <w:spacing w:after="0" w:line="360" w:lineRule="auto"/>
        <w:ind w:firstLine="709"/>
        <w:rPr>
          <w:rFonts w:ascii="Arial" w:hAnsi="Arial" w:eastAsia="Times New Roman" w:cs="Arial"/>
          <w:sz w:val="20"/>
          <w:szCs w:val="20"/>
          <w:lang w:val="nl-NL" w:eastAsia="nl-NL"/>
        </w:rPr>
      </w:pPr>
      <w:r>
        <w:rPr>
          <w:rFonts w:ascii="Arial" w:hAnsi="Arial" w:eastAsia="Times New Roman" w:cs="Arial"/>
          <w:sz w:val="20"/>
          <w:szCs w:val="20"/>
          <w:lang w:val="nl-NL" w:eastAsia="nl-NL"/>
        </w:rPr>
        <w:t>Voor de goede orde wordt opgemerkt dat op het tijdstip waarop het Verdrag tot stand is gekomen (</w:t>
      </w:r>
      <w:r w:rsidR="009A1AEA">
        <w:rPr>
          <w:rFonts w:ascii="Arial" w:hAnsi="Arial" w:eastAsia="Times New Roman" w:cs="Arial"/>
          <w:sz w:val="20"/>
          <w:szCs w:val="20"/>
          <w:lang w:val="nl-NL" w:eastAsia="nl-NL"/>
        </w:rPr>
        <w:t>3 juni 2020</w:t>
      </w:r>
      <w:r>
        <w:rPr>
          <w:rFonts w:ascii="Arial" w:hAnsi="Arial" w:eastAsia="Times New Roman" w:cs="Arial"/>
          <w:sz w:val="20"/>
          <w:szCs w:val="20"/>
          <w:lang w:val="nl-NL" w:eastAsia="nl-NL"/>
        </w:rPr>
        <w:t xml:space="preserve">) de Wet bronbelasting 2021 nog niet in werking was getreden. Dat zal, gelet op artikel </w:t>
      </w:r>
      <w:r w:rsidR="00732A1A">
        <w:rPr>
          <w:rFonts w:ascii="Arial" w:hAnsi="Arial" w:eastAsia="Times New Roman" w:cs="Arial"/>
          <w:sz w:val="20"/>
          <w:szCs w:val="20"/>
          <w:lang w:val="nl-NL" w:eastAsia="nl-NL"/>
        </w:rPr>
        <w:t>8.1</w:t>
      </w:r>
      <w:r>
        <w:rPr>
          <w:rFonts w:ascii="Arial" w:hAnsi="Arial" w:eastAsia="Times New Roman" w:cs="Arial"/>
          <w:sz w:val="20"/>
          <w:szCs w:val="20"/>
          <w:lang w:val="nl-NL" w:eastAsia="nl-NL"/>
        </w:rPr>
        <w:t xml:space="preserve"> van die wet, vanaf 1 januari 2021 het geval zijn. </w:t>
      </w:r>
      <w:r w:rsidR="00732A1A">
        <w:rPr>
          <w:rFonts w:ascii="Arial" w:hAnsi="Arial" w:eastAsia="Times New Roman" w:cs="Arial"/>
          <w:sz w:val="20"/>
          <w:szCs w:val="20"/>
          <w:lang w:val="nl-NL" w:eastAsia="nl-NL"/>
        </w:rPr>
        <w:t>Dat neemt niet weg dat deze belasting wel onder de werkings</w:t>
      </w:r>
      <w:r w:rsidR="003B4471">
        <w:rPr>
          <w:rFonts w:ascii="Arial" w:hAnsi="Arial" w:eastAsia="Times New Roman" w:cs="Arial"/>
          <w:sz w:val="20"/>
          <w:szCs w:val="20"/>
          <w:lang w:val="nl-NL" w:eastAsia="nl-NL"/>
        </w:rPr>
        <w:t>s</w:t>
      </w:r>
      <w:r w:rsidR="00732A1A">
        <w:rPr>
          <w:rFonts w:ascii="Arial" w:hAnsi="Arial" w:eastAsia="Times New Roman" w:cs="Arial"/>
          <w:sz w:val="20"/>
          <w:szCs w:val="20"/>
          <w:lang w:val="nl-NL" w:eastAsia="nl-NL"/>
        </w:rPr>
        <w:t xml:space="preserve">feer van het Verdrag zal vallen. Dit vloeit voort uit </w:t>
      </w:r>
      <w:r w:rsidR="002F0D7E">
        <w:rPr>
          <w:rFonts w:ascii="Arial" w:hAnsi="Arial" w:eastAsia="Times New Roman" w:cs="Arial"/>
          <w:sz w:val="20"/>
          <w:szCs w:val="20"/>
          <w:lang w:val="nl-NL" w:eastAsia="nl-NL"/>
        </w:rPr>
        <w:t xml:space="preserve">de in het tweede lid opgenomen hoofdregel dat het Verdrag van toepassing </w:t>
      </w:r>
      <w:r w:rsidR="00DF646F">
        <w:rPr>
          <w:rFonts w:ascii="Arial" w:hAnsi="Arial" w:eastAsia="Times New Roman" w:cs="Arial"/>
          <w:sz w:val="20"/>
          <w:szCs w:val="20"/>
          <w:lang w:val="nl-NL" w:eastAsia="nl-NL"/>
        </w:rPr>
        <w:t xml:space="preserve">is </w:t>
      </w:r>
      <w:r w:rsidR="002F0D7E">
        <w:rPr>
          <w:rFonts w:ascii="Arial" w:hAnsi="Arial" w:eastAsia="Times New Roman" w:cs="Arial"/>
          <w:sz w:val="20"/>
          <w:szCs w:val="20"/>
          <w:lang w:val="nl-NL" w:eastAsia="nl-NL"/>
        </w:rPr>
        <w:t>op de belastingen naar het inkomen of bestanddelen van het inkomen; de in het derde l</w:t>
      </w:r>
      <w:r w:rsidR="00C61EBD">
        <w:rPr>
          <w:rFonts w:ascii="Arial" w:hAnsi="Arial" w:eastAsia="Times New Roman" w:cs="Arial"/>
          <w:sz w:val="20"/>
          <w:szCs w:val="20"/>
          <w:lang w:val="nl-NL" w:eastAsia="nl-NL"/>
        </w:rPr>
        <w:t>i</w:t>
      </w:r>
      <w:r w:rsidR="002F0D7E">
        <w:rPr>
          <w:rFonts w:ascii="Arial" w:hAnsi="Arial" w:eastAsia="Times New Roman" w:cs="Arial"/>
          <w:sz w:val="20"/>
          <w:szCs w:val="20"/>
          <w:lang w:val="nl-NL" w:eastAsia="nl-NL"/>
        </w:rPr>
        <w:t>d opgenomen opsomming is in die zin niet limitatief</w:t>
      </w:r>
      <w:r w:rsidR="00C14FF5">
        <w:rPr>
          <w:rFonts w:ascii="Arial" w:hAnsi="Arial" w:eastAsia="Times New Roman" w:cs="Arial"/>
          <w:sz w:val="20"/>
          <w:szCs w:val="20"/>
          <w:lang w:val="nl-NL" w:eastAsia="nl-NL"/>
        </w:rPr>
        <w:t>.</w:t>
      </w:r>
    </w:p>
    <w:p w:rsidRPr="004736E2" w:rsidR="00D7688F" w:rsidP="00D7688F" w:rsidRDefault="00D7688F" w14:paraId="2A63996A" w14:textId="5AF6B6F1">
      <w:pPr>
        <w:spacing w:after="0" w:line="360" w:lineRule="auto"/>
        <w:ind w:firstLine="709"/>
        <w:rPr>
          <w:rFonts w:ascii="Arial" w:hAnsi="Arial" w:eastAsia="Times New Roman" w:cs="Times New Roman"/>
          <w:sz w:val="20"/>
          <w:szCs w:val="24"/>
          <w:lang w:val="nl-NL" w:eastAsia="nl-NL"/>
        </w:rPr>
      </w:pPr>
      <w:r>
        <w:rPr>
          <w:rFonts w:ascii="Arial" w:hAnsi="Arial" w:eastAsia="Times New Roman" w:cs="Arial"/>
          <w:sz w:val="20"/>
          <w:szCs w:val="20"/>
          <w:lang w:val="nl-NL" w:eastAsia="nl-NL"/>
        </w:rPr>
        <w:t>Voor Liechtenstein</w:t>
      </w:r>
      <w:r w:rsidRPr="00D7688F">
        <w:rPr>
          <w:rFonts w:ascii="Arial" w:hAnsi="Arial" w:eastAsia="Times New Roman" w:cs="Arial"/>
          <w:sz w:val="20"/>
          <w:szCs w:val="20"/>
          <w:lang w:val="nl-NL" w:eastAsia="nl-NL"/>
        </w:rPr>
        <w:t xml:space="preserve"> </w:t>
      </w:r>
      <w:r w:rsidR="00495236">
        <w:rPr>
          <w:rFonts w:ascii="Arial" w:hAnsi="Arial" w:eastAsia="Times New Roman" w:cs="Arial"/>
          <w:sz w:val="20"/>
          <w:szCs w:val="20"/>
          <w:lang w:val="nl-NL" w:eastAsia="nl-NL"/>
        </w:rPr>
        <w:t>is het Verdrag van toepassing op</w:t>
      </w:r>
      <w:r w:rsidRPr="00D7688F">
        <w:rPr>
          <w:rFonts w:ascii="Arial" w:hAnsi="Arial" w:eastAsia="Times New Roman" w:cs="Arial"/>
          <w:sz w:val="20"/>
          <w:szCs w:val="20"/>
          <w:lang w:val="nl-NL" w:eastAsia="nl-NL"/>
        </w:rPr>
        <w:t xml:space="preserve"> </w:t>
      </w:r>
      <w:r w:rsidRPr="004736E2">
        <w:rPr>
          <w:rFonts w:ascii="Arial" w:hAnsi="Arial" w:eastAsia="Times New Roman" w:cs="Arial"/>
          <w:sz w:val="20"/>
          <w:szCs w:val="20"/>
          <w:lang w:val="nl-NL" w:eastAsia="nl-NL"/>
        </w:rPr>
        <w:t>de</w:t>
      </w:r>
      <w:r w:rsidRPr="004736E2" w:rsidR="0045516F">
        <w:rPr>
          <w:rFonts w:ascii="Arial" w:hAnsi="Arial" w:eastAsia="Times New Roman" w:cs="Times New Roman"/>
          <w:sz w:val="20"/>
          <w:szCs w:val="24"/>
          <w:lang w:val="nl-NL" w:eastAsia="nl-NL"/>
        </w:rPr>
        <w:t xml:space="preserve"> inkomstenbelasting (</w:t>
      </w:r>
      <w:proofErr w:type="spellStart"/>
      <w:r w:rsidRPr="009B6749" w:rsidR="0045516F">
        <w:rPr>
          <w:rFonts w:ascii="Arial" w:hAnsi="Arial" w:eastAsia="Times New Roman" w:cs="Times New Roman"/>
          <w:i/>
          <w:sz w:val="20"/>
          <w:szCs w:val="24"/>
          <w:lang w:val="nl-NL" w:eastAsia="nl-NL"/>
        </w:rPr>
        <w:t>Erwerbssteuer</w:t>
      </w:r>
      <w:proofErr w:type="spellEnd"/>
      <w:r w:rsidRPr="004736E2" w:rsidR="0045516F">
        <w:rPr>
          <w:rFonts w:ascii="Arial" w:hAnsi="Arial" w:eastAsia="Times New Roman" w:cs="Times New Roman"/>
          <w:sz w:val="20"/>
          <w:szCs w:val="24"/>
          <w:lang w:val="nl-NL" w:eastAsia="nl-NL"/>
        </w:rPr>
        <w:t>)</w:t>
      </w:r>
      <w:r w:rsidRPr="004736E2">
        <w:rPr>
          <w:rFonts w:ascii="Arial" w:hAnsi="Arial" w:eastAsia="Times New Roman" w:cs="Times New Roman"/>
          <w:sz w:val="20"/>
          <w:szCs w:val="24"/>
          <w:lang w:val="nl-NL" w:eastAsia="nl-NL"/>
        </w:rPr>
        <w:t>,</w:t>
      </w:r>
      <w:r w:rsidRPr="004736E2" w:rsidR="0045516F">
        <w:rPr>
          <w:rFonts w:ascii="Arial" w:hAnsi="Arial" w:eastAsia="Times New Roman" w:cs="Times New Roman"/>
          <w:sz w:val="20"/>
          <w:szCs w:val="24"/>
          <w:lang w:val="nl-NL" w:eastAsia="nl-NL"/>
        </w:rPr>
        <w:t xml:space="preserve"> </w:t>
      </w:r>
      <w:r w:rsidRPr="004736E2">
        <w:rPr>
          <w:rFonts w:ascii="Arial" w:hAnsi="Arial" w:eastAsia="Times New Roman" w:cs="Times New Roman"/>
          <w:sz w:val="20"/>
          <w:szCs w:val="24"/>
          <w:lang w:val="nl-NL" w:eastAsia="nl-NL"/>
        </w:rPr>
        <w:t>de vennootschapsbelasting</w:t>
      </w:r>
      <w:r w:rsidRPr="004736E2" w:rsidR="0045516F">
        <w:rPr>
          <w:rFonts w:ascii="Arial" w:hAnsi="Arial" w:eastAsia="Times New Roman" w:cs="Times New Roman"/>
          <w:sz w:val="20"/>
          <w:szCs w:val="24"/>
          <w:lang w:val="nl-NL" w:eastAsia="nl-NL"/>
        </w:rPr>
        <w:t xml:space="preserve"> (</w:t>
      </w:r>
      <w:proofErr w:type="spellStart"/>
      <w:r w:rsidRPr="009B6749" w:rsidR="0045516F">
        <w:rPr>
          <w:rFonts w:ascii="Arial" w:hAnsi="Arial" w:eastAsia="Times New Roman" w:cs="Times New Roman"/>
          <w:i/>
          <w:sz w:val="20"/>
          <w:szCs w:val="24"/>
          <w:lang w:val="nl-NL" w:eastAsia="nl-NL"/>
        </w:rPr>
        <w:t>Ertrags</w:t>
      </w:r>
      <w:r w:rsidRPr="009B6749" w:rsidR="00495236">
        <w:rPr>
          <w:rFonts w:ascii="Arial" w:hAnsi="Arial" w:eastAsia="Times New Roman" w:cs="Times New Roman"/>
          <w:i/>
          <w:sz w:val="20"/>
          <w:szCs w:val="24"/>
          <w:lang w:val="nl-NL" w:eastAsia="nl-NL"/>
        </w:rPr>
        <w:t>s</w:t>
      </w:r>
      <w:r w:rsidRPr="009B6749" w:rsidR="0045516F">
        <w:rPr>
          <w:rFonts w:ascii="Arial" w:hAnsi="Arial" w:eastAsia="Times New Roman" w:cs="Times New Roman"/>
          <w:i/>
          <w:sz w:val="20"/>
          <w:szCs w:val="24"/>
          <w:lang w:val="nl-NL" w:eastAsia="nl-NL"/>
        </w:rPr>
        <w:t>teuer</w:t>
      </w:r>
      <w:proofErr w:type="spellEnd"/>
      <w:r w:rsidRPr="004736E2" w:rsidR="0045516F">
        <w:rPr>
          <w:rFonts w:ascii="Arial" w:hAnsi="Arial" w:eastAsia="Times New Roman" w:cs="Times New Roman"/>
          <w:sz w:val="20"/>
          <w:szCs w:val="24"/>
          <w:lang w:val="nl-NL" w:eastAsia="nl-NL"/>
        </w:rPr>
        <w:t>)</w:t>
      </w:r>
      <w:r w:rsidRPr="004736E2" w:rsidR="004736E2">
        <w:rPr>
          <w:rFonts w:ascii="Arial" w:hAnsi="Arial" w:eastAsia="Times New Roman" w:cs="Times New Roman"/>
          <w:sz w:val="20"/>
          <w:szCs w:val="24"/>
          <w:lang w:val="nl-NL" w:eastAsia="nl-NL"/>
        </w:rPr>
        <w:t>,</w:t>
      </w:r>
      <w:r w:rsidRPr="004736E2" w:rsidR="0045516F">
        <w:rPr>
          <w:rFonts w:ascii="Arial" w:hAnsi="Arial" w:eastAsia="Times New Roman" w:cs="Times New Roman"/>
          <w:sz w:val="20"/>
          <w:szCs w:val="24"/>
          <w:lang w:val="nl-NL" w:eastAsia="nl-NL"/>
        </w:rPr>
        <w:t xml:space="preserve"> </w:t>
      </w:r>
      <w:r w:rsidRPr="004736E2" w:rsidR="004736E2">
        <w:rPr>
          <w:rFonts w:ascii="Arial" w:hAnsi="Arial" w:eastAsia="Times New Roman" w:cs="Times New Roman"/>
          <w:sz w:val="20"/>
          <w:szCs w:val="24"/>
          <w:lang w:val="nl-NL" w:eastAsia="nl-NL"/>
        </w:rPr>
        <w:t xml:space="preserve">de </w:t>
      </w:r>
      <w:r w:rsidR="00DF646F">
        <w:rPr>
          <w:rFonts w:ascii="Arial" w:hAnsi="Arial" w:eastAsia="Times New Roman" w:cs="Times New Roman"/>
          <w:sz w:val="20"/>
          <w:szCs w:val="24"/>
          <w:lang w:val="nl-NL" w:eastAsia="nl-NL"/>
        </w:rPr>
        <w:t>vastgoed</w:t>
      </w:r>
      <w:r w:rsidRPr="004736E2" w:rsidR="004736E2">
        <w:rPr>
          <w:rFonts w:ascii="Arial" w:hAnsi="Arial" w:eastAsia="Times New Roman" w:cs="Times New Roman"/>
          <w:sz w:val="20"/>
          <w:szCs w:val="24"/>
          <w:lang w:val="nl-NL" w:eastAsia="nl-NL"/>
        </w:rPr>
        <w:t>vermogenswinstenbelasting (</w:t>
      </w:r>
      <w:proofErr w:type="spellStart"/>
      <w:r w:rsidRPr="009B6749" w:rsidR="004736E2">
        <w:rPr>
          <w:rFonts w:ascii="Arial" w:hAnsi="Arial" w:eastAsia="Times New Roman" w:cs="Times New Roman"/>
          <w:i/>
          <w:sz w:val="20"/>
          <w:szCs w:val="24"/>
          <w:lang w:val="nl-NL" w:eastAsia="nl-NL"/>
        </w:rPr>
        <w:t>Grundstückgewinnsteuer</w:t>
      </w:r>
      <w:proofErr w:type="spellEnd"/>
      <w:r w:rsidRPr="004736E2" w:rsidR="004736E2">
        <w:rPr>
          <w:rFonts w:ascii="Arial" w:hAnsi="Arial" w:eastAsia="Times New Roman" w:cs="Times New Roman"/>
          <w:sz w:val="20"/>
          <w:szCs w:val="24"/>
          <w:lang w:val="nl-NL" w:eastAsia="nl-NL"/>
        </w:rPr>
        <w:t xml:space="preserve">) </w:t>
      </w:r>
      <w:r w:rsidRPr="004736E2" w:rsidR="0045516F">
        <w:rPr>
          <w:rFonts w:ascii="Arial" w:hAnsi="Arial" w:eastAsia="Times New Roman" w:cs="Times New Roman"/>
          <w:sz w:val="20"/>
          <w:szCs w:val="24"/>
          <w:lang w:val="nl-NL" w:eastAsia="nl-NL"/>
        </w:rPr>
        <w:t>en de vermogensbelasting (</w:t>
      </w:r>
      <w:proofErr w:type="spellStart"/>
      <w:r w:rsidRPr="009B6749" w:rsidR="0045516F">
        <w:rPr>
          <w:rFonts w:ascii="Arial" w:hAnsi="Arial" w:eastAsia="Times New Roman" w:cs="Times New Roman"/>
          <w:i/>
          <w:sz w:val="20"/>
          <w:szCs w:val="24"/>
          <w:lang w:val="nl-NL" w:eastAsia="nl-NL"/>
        </w:rPr>
        <w:t>Vermögenssteuer</w:t>
      </w:r>
      <w:proofErr w:type="spellEnd"/>
      <w:r w:rsidRPr="004736E2" w:rsidR="0045516F">
        <w:rPr>
          <w:rFonts w:ascii="Arial" w:hAnsi="Arial" w:eastAsia="Times New Roman" w:cs="Times New Roman"/>
          <w:sz w:val="20"/>
          <w:szCs w:val="24"/>
          <w:lang w:val="nl-NL" w:eastAsia="nl-NL"/>
        </w:rPr>
        <w:t xml:space="preserve">). </w:t>
      </w:r>
      <w:r w:rsidRPr="004736E2">
        <w:rPr>
          <w:rFonts w:ascii="Arial" w:hAnsi="Arial" w:eastAsia="Times New Roman" w:cs="Times New Roman"/>
          <w:sz w:val="20"/>
          <w:szCs w:val="24"/>
          <w:lang w:val="nl-NL" w:eastAsia="nl-NL"/>
        </w:rPr>
        <w:t xml:space="preserve"> </w:t>
      </w:r>
    </w:p>
    <w:p w:rsidRPr="00D7688F" w:rsidR="00D7688F" w:rsidP="00D7688F" w:rsidRDefault="00D7688F" w14:paraId="4A014C2D" w14:textId="605FF129">
      <w:pPr>
        <w:spacing w:after="0" w:line="360" w:lineRule="auto"/>
        <w:ind w:firstLine="709"/>
        <w:rPr>
          <w:rFonts w:ascii="Arial" w:hAnsi="Arial" w:eastAsia="Times New Roman" w:cs="Times New Roman"/>
          <w:sz w:val="20"/>
          <w:szCs w:val="24"/>
          <w:lang w:val="nl-NL" w:eastAsia="nl-NL"/>
        </w:rPr>
      </w:pPr>
      <w:r w:rsidRPr="004736E2">
        <w:rPr>
          <w:rFonts w:ascii="Arial" w:hAnsi="Arial" w:eastAsia="Times New Roman" w:cs="Times New Roman"/>
          <w:sz w:val="20"/>
          <w:szCs w:val="24"/>
          <w:lang w:val="nl-NL" w:eastAsia="nl-NL"/>
        </w:rPr>
        <w:t>In artikel II van het Protocol is</w:t>
      </w:r>
      <w:r w:rsidRPr="004736E2" w:rsidR="00615B57">
        <w:rPr>
          <w:rFonts w:ascii="Arial" w:hAnsi="Arial" w:eastAsia="Times New Roman" w:cs="Times New Roman"/>
          <w:sz w:val="20"/>
          <w:szCs w:val="24"/>
          <w:lang w:val="nl-NL" w:eastAsia="nl-NL"/>
        </w:rPr>
        <w:t xml:space="preserve"> op verzoek van Liechtenstein </w:t>
      </w:r>
      <w:r w:rsidRPr="004736E2">
        <w:rPr>
          <w:rFonts w:ascii="Arial" w:hAnsi="Arial" w:eastAsia="Times New Roman" w:cs="Times New Roman"/>
          <w:sz w:val="20"/>
          <w:szCs w:val="24"/>
          <w:lang w:val="nl-NL" w:eastAsia="nl-NL"/>
        </w:rPr>
        <w:t xml:space="preserve">bevestigd dat </w:t>
      </w:r>
      <w:r w:rsidRPr="004736E2" w:rsidR="00615B57">
        <w:rPr>
          <w:rFonts w:ascii="Arial" w:hAnsi="Arial" w:eastAsia="Times New Roman" w:cs="Times New Roman"/>
          <w:sz w:val="20"/>
          <w:szCs w:val="24"/>
          <w:lang w:val="nl-NL" w:eastAsia="nl-NL"/>
        </w:rPr>
        <w:t xml:space="preserve">de Liechtensteinse </w:t>
      </w:r>
      <w:proofErr w:type="spellStart"/>
      <w:r w:rsidRPr="009B6749" w:rsidR="00615B57">
        <w:rPr>
          <w:rFonts w:ascii="Arial" w:hAnsi="Arial" w:eastAsia="Times New Roman" w:cs="Times New Roman"/>
          <w:i/>
          <w:sz w:val="20"/>
          <w:szCs w:val="24"/>
          <w:lang w:val="nl-NL" w:eastAsia="nl-NL"/>
        </w:rPr>
        <w:t>Vermögens</w:t>
      </w:r>
      <w:r w:rsidRPr="009B6749" w:rsidR="007D4A0A">
        <w:rPr>
          <w:rFonts w:ascii="Arial" w:hAnsi="Arial" w:eastAsia="Times New Roman" w:cs="Times New Roman"/>
          <w:i/>
          <w:sz w:val="20"/>
          <w:szCs w:val="24"/>
          <w:lang w:val="nl-NL" w:eastAsia="nl-NL"/>
        </w:rPr>
        <w:t>s</w:t>
      </w:r>
      <w:r w:rsidRPr="009B6749" w:rsidR="00615B57">
        <w:rPr>
          <w:rFonts w:ascii="Arial" w:hAnsi="Arial" w:eastAsia="Times New Roman" w:cs="Times New Roman"/>
          <w:i/>
          <w:sz w:val="20"/>
          <w:szCs w:val="24"/>
          <w:lang w:val="nl-NL" w:eastAsia="nl-NL"/>
        </w:rPr>
        <w:t>teuer</w:t>
      </w:r>
      <w:proofErr w:type="spellEnd"/>
      <w:r w:rsidRPr="004736E2" w:rsidR="00615B57">
        <w:rPr>
          <w:rFonts w:ascii="Arial" w:hAnsi="Arial" w:eastAsia="Times New Roman" w:cs="Times New Roman"/>
          <w:sz w:val="20"/>
          <w:szCs w:val="24"/>
          <w:lang w:val="nl-NL" w:eastAsia="nl-NL"/>
        </w:rPr>
        <w:t xml:space="preserve"> </w:t>
      </w:r>
      <w:r w:rsidRPr="004736E2" w:rsidR="004736E2">
        <w:rPr>
          <w:rFonts w:ascii="Arial" w:hAnsi="Arial" w:eastAsia="Times New Roman" w:cs="Times New Roman"/>
          <w:sz w:val="20"/>
          <w:szCs w:val="24"/>
          <w:lang w:val="nl-NL" w:eastAsia="nl-NL"/>
        </w:rPr>
        <w:t>geïntegreerd</w:t>
      </w:r>
      <w:r w:rsidRPr="004736E2" w:rsidR="00615B57">
        <w:rPr>
          <w:rFonts w:ascii="Arial" w:hAnsi="Arial" w:eastAsia="Times New Roman" w:cs="Times New Roman"/>
          <w:sz w:val="20"/>
          <w:szCs w:val="24"/>
          <w:lang w:val="nl-NL" w:eastAsia="nl-NL"/>
        </w:rPr>
        <w:t xml:space="preserve"> </w:t>
      </w:r>
      <w:r w:rsidR="00037F4A">
        <w:rPr>
          <w:rFonts w:ascii="Arial" w:hAnsi="Arial" w:eastAsia="Times New Roman" w:cs="Times New Roman"/>
          <w:sz w:val="20"/>
          <w:szCs w:val="24"/>
          <w:lang w:val="nl-NL" w:eastAsia="nl-NL"/>
        </w:rPr>
        <w:t xml:space="preserve">is </w:t>
      </w:r>
      <w:r w:rsidRPr="004736E2" w:rsidR="00615B57">
        <w:rPr>
          <w:rFonts w:ascii="Arial" w:hAnsi="Arial" w:eastAsia="Times New Roman" w:cs="Times New Roman"/>
          <w:sz w:val="20"/>
          <w:szCs w:val="24"/>
          <w:lang w:val="nl-NL" w:eastAsia="nl-NL"/>
        </w:rPr>
        <w:t>in de Liechtensteinse inkomstenbelasting en het fictieve rendement over vermogen als inkomstenbelasting wordt aangemerkt</w:t>
      </w:r>
      <w:r w:rsidR="00A7310D">
        <w:rPr>
          <w:rFonts w:ascii="Arial" w:hAnsi="Arial" w:eastAsia="Times New Roman" w:cs="Times New Roman"/>
          <w:sz w:val="20"/>
          <w:szCs w:val="24"/>
          <w:lang w:val="nl-NL" w:eastAsia="nl-NL"/>
        </w:rPr>
        <w:t>.</w:t>
      </w:r>
    </w:p>
    <w:p w:rsidRPr="00314DCA" w:rsidR="00D7688F" w:rsidP="00314DCA" w:rsidRDefault="00D7688F" w14:paraId="1F58964D" w14:textId="067FF7C1">
      <w:pPr>
        <w:spacing w:after="0" w:line="360" w:lineRule="auto"/>
        <w:ind w:firstLine="709"/>
        <w:rPr>
          <w:rFonts w:ascii="Arial" w:hAnsi="Arial" w:eastAsia="Times New Roman" w:cs="Times New Roman"/>
          <w:sz w:val="20"/>
          <w:szCs w:val="24"/>
          <w:lang w:val="nl-NL" w:eastAsia="nl-NL"/>
        </w:rPr>
      </w:pPr>
      <w:r w:rsidRPr="00D7688F">
        <w:rPr>
          <w:rFonts w:ascii="Arial" w:hAnsi="Arial" w:eastAsia="Times New Roman" w:cs="Times New Roman"/>
          <w:sz w:val="20"/>
          <w:szCs w:val="24"/>
          <w:lang w:val="nl-NL" w:eastAsia="nl-NL"/>
        </w:rPr>
        <w:t xml:space="preserve">Het vierde lid </w:t>
      </w:r>
      <w:r w:rsidR="0042195A">
        <w:rPr>
          <w:rFonts w:ascii="Arial" w:hAnsi="Arial" w:eastAsia="Times New Roman" w:cs="Times New Roman"/>
          <w:sz w:val="20"/>
          <w:szCs w:val="24"/>
          <w:lang w:val="nl-NL" w:eastAsia="nl-NL"/>
        </w:rPr>
        <w:t xml:space="preserve">van </w:t>
      </w:r>
      <w:r w:rsidRPr="00D7688F" w:rsidR="0042195A">
        <w:rPr>
          <w:rFonts w:ascii="Arial" w:hAnsi="Arial" w:eastAsia="Times New Roman" w:cs="Times New Roman"/>
          <w:sz w:val="20"/>
          <w:szCs w:val="24"/>
          <w:lang w:val="nl-NL" w:eastAsia="nl-NL"/>
        </w:rPr>
        <w:t>artikel 2</w:t>
      </w:r>
      <w:r w:rsidR="0042195A">
        <w:rPr>
          <w:rFonts w:ascii="Arial" w:hAnsi="Arial" w:eastAsia="Times New Roman" w:cs="Times New Roman"/>
          <w:sz w:val="20"/>
          <w:szCs w:val="24"/>
          <w:lang w:val="nl-NL" w:eastAsia="nl-NL"/>
        </w:rPr>
        <w:t xml:space="preserve"> van het Verdrag </w:t>
      </w:r>
      <w:r w:rsidRPr="00D7688F">
        <w:rPr>
          <w:rFonts w:ascii="Arial" w:hAnsi="Arial" w:eastAsia="Times New Roman" w:cs="Times New Roman"/>
          <w:sz w:val="20"/>
          <w:szCs w:val="24"/>
          <w:lang w:val="nl-NL" w:eastAsia="nl-NL"/>
        </w:rPr>
        <w:t xml:space="preserve">bepaalt </w:t>
      </w:r>
      <w:r w:rsidRPr="00D7688F">
        <w:rPr>
          <w:rFonts w:ascii="Arial" w:hAnsi="Arial" w:eastAsia="Times New Roman" w:cs="Arial"/>
          <w:sz w:val="20"/>
          <w:szCs w:val="20"/>
          <w:lang w:val="nl-NL" w:eastAsia="nl-NL"/>
        </w:rPr>
        <w:t>dat het Verdrag ook van toepassing is op alle gelijke of in wezen gelijksoortige belastingen die na de datum van ondertekening van het Verdrag naast of in de plaats van de in het derde lid opgesomde belastingen worden geheven, alsmede op andere toekomstige belastingen in de zi</w:t>
      </w:r>
      <w:r w:rsidR="00935F4E">
        <w:rPr>
          <w:rFonts w:ascii="Arial" w:hAnsi="Arial" w:eastAsia="Times New Roman" w:cs="Arial"/>
          <w:sz w:val="20"/>
          <w:szCs w:val="20"/>
          <w:lang w:val="nl-NL" w:eastAsia="nl-NL"/>
        </w:rPr>
        <w:t>n van het eerste en tweede lid.</w:t>
      </w:r>
      <w:r w:rsidR="00C70601">
        <w:rPr>
          <w:rFonts w:ascii="Arial" w:hAnsi="Arial" w:eastAsia="Times New Roman" w:cs="Arial"/>
          <w:sz w:val="20"/>
          <w:szCs w:val="20"/>
          <w:lang w:val="nl-NL" w:eastAsia="nl-NL"/>
        </w:rPr>
        <w:t xml:space="preserve"> </w:t>
      </w:r>
      <w:r w:rsidR="00D74A45">
        <w:rPr>
          <w:rFonts w:ascii="Arial" w:hAnsi="Arial" w:eastAsia="Times New Roman" w:cs="Arial"/>
          <w:sz w:val="20"/>
          <w:szCs w:val="20"/>
          <w:lang w:val="nl-NL" w:eastAsia="nl-NL"/>
        </w:rPr>
        <w:t>Ten slotte bepaalt genoemd vierde lid tevens dat d</w:t>
      </w:r>
      <w:r w:rsidRPr="00D74A45" w:rsidR="00C70601">
        <w:rPr>
          <w:rFonts w:ascii="Arial" w:hAnsi="Arial" w:eastAsia="Times New Roman" w:cs="Arial"/>
          <w:sz w:val="20"/>
          <w:szCs w:val="20"/>
          <w:lang w:val="nl-NL" w:eastAsia="nl-NL"/>
        </w:rPr>
        <w:t>e bevoegde autoriteiten van de verdragsluitende staten zijn gehouden om elkaar te informeren over alle wezenlijke wijzigingen in hun nationale belastingwetgeving.</w:t>
      </w:r>
    </w:p>
    <w:p w:rsidRPr="00EA4696" w:rsidR="00EA4696" w:rsidP="009B6749" w:rsidRDefault="00EA4696" w14:paraId="248ABC59" w14:textId="7659526C">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Algemene begripsbe</w:t>
      </w:r>
      <w:r w:rsidR="004736E2">
        <w:rPr>
          <w:rFonts w:ascii="Arial" w:hAnsi="Arial" w:eastAsia="Times New Roman" w:cs="Times New Roman"/>
          <w:bCs/>
          <w:i/>
          <w:iCs/>
          <w:sz w:val="20"/>
          <w:szCs w:val="28"/>
          <w:lang w:val="nl-NL" w:eastAsia="nl-NL"/>
        </w:rPr>
        <w:t>palingen (artikel 3</w:t>
      </w:r>
      <w:r w:rsidR="00D63B02">
        <w:rPr>
          <w:rFonts w:ascii="Arial" w:hAnsi="Arial" w:eastAsia="Times New Roman" w:cs="Times New Roman"/>
          <w:bCs/>
          <w:i/>
          <w:iCs/>
          <w:sz w:val="20"/>
          <w:szCs w:val="28"/>
          <w:lang w:val="nl-NL" w:eastAsia="nl-NL"/>
        </w:rPr>
        <w:t xml:space="preserve"> van het Verdrag</w:t>
      </w:r>
      <w:r w:rsidRPr="00EA4696">
        <w:rPr>
          <w:rFonts w:ascii="Arial" w:hAnsi="Arial" w:eastAsia="Times New Roman" w:cs="Times New Roman"/>
          <w:bCs/>
          <w:i/>
          <w:iCs/>
          <w:sz w:val="20"/>
          <w:szCs w:val="28"/>
          <w:lang w:val="nl-NL" w:eastAsia="nl-NL"/>
        </w:rPr>
        <w:t>)</w:t>
      </w:r>
    </w:p>
    <w:p w:rsidRPr="00EA4696" w:rsidR="00EA4696" w:rsidP="009B6749" w:rsidRDefault="00EA4696" w14:paraId="79687AE5" w14:textId="77777777">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Artikel 3 bevat definities voor uitdrukkingen die in het Verdrag voorkomen.</w:t>
      </w:r>
    </w:p>
    <w:p w:rsidRPr="00EA4696" w:rsidR="00EA4696" w:rsidP="009B6749" w:rsidRDefault="00EA4696" w14:paraId="383F97DB" w14:textId="0390D61E">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Volgens het eerste lid, onderdeel a, wordt onder de uitdrukkingen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een verdragsluitende staat</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de andere verdragsluitende staat</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afhankelijk van de context, het Koninkrijk der Nederlanden, met betr</w:t>
      </w:r>
      <w:r w:rsidR="0088770A">
        <w:rPr>
          <w:rFonts w:ascii="Arial" w:hAnsi="Arial" w:eastAsia="Times New Roman" w:cs="Times New Roman"/>
          <w:sz w:val="20"/>
          <w:szCs w:val="24"/>
          <w:lang w:val="nl-NL" w:eastAsia="nl-NL"/>
        </w:rPr>
        <w:t>ekking tot Nederland, of Liechtenstein</w:t>
      </w:r>
      <w:r w:rsidRPr="00EA4696">
        <w:rPr>
          <w:rFonts w:ascii="Arial" w:hAnsi="Arial" w:eastAsia="Times New Roman" w:cs="Times New Roman"/>
          <w:sz w:val="20"/>
          <w:szCs w:val="24"/>
          <w:lang w:val="nl-NL" w:eastAsia="nl-NL"/>
        </w:rPr>
        <w:t xml:space="preserve"> verstaan. In het eerste lid, onderdelen b en c worden de begrippen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Nederland</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en </w:t>
      </w:r>
      <w:r w:rsidR="00367531">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Liechtenstein</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w:t>
      </w:r>
      <w:r w:rsidR="0042195A">
        <w:rPr>
          <w:rFonts w:ascii="Arial" w:hAnsi="Arial" w:eastAsia="Times New Roman" w:cs="Times New Roman"/>
          <w:sz w:val="20"/>
          <w:szCs w:val="24"/>
          <w:lang w:val="nl-NL" w:eastAsia="nl-NL"/>
        </w:rPr>
        <w:t xml:space="preserve">vervolgens </w:t>
      </w:r>
      <w:r w:rsidRPr="00EA4696">
        <w:rPr>
          <w:rFonts w:ascii="Arial" w:hAnsi="Arial" w:eastAsia="Times New Roman" w:cs="Times New Roman"/>
          <w:sz w:val="20"/>
          <w:szCs w:val="24"/>
          <w:lang w:val="nl-NL" w:eastAsia="nl-NL"/>
        </w:rPr>
        <w:t xml:space="preserve">gedefinieerd. Onder de uitdrukking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Nederland</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wordt het in Europa gelegen deel van het Koninkrijk verstaan. </w:t>
      </w:r>
    </w:p>
    <w:p w:rsidR="004B532A" w:rsidP="009B6749" w:rsidRDefault="00EA4696" w14:paraId="7AB17F5A" w14:textId="6FB2EAFA">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Voor de algemene uitdrukkingen van het eerste lid, onderdelen d tot en met k, met uitzondering van onderdeel </w:t>
      </w:r>
      <w:r w:rsidR="004B532A">
        <w:rPr>
          <w:rFonts w:ascii="Arial" w:hAnsi="Arial" w:eastAsia="Times New Roman" w:cs="Times New Roman"/>
          <w:sz w:val="20"/>
          <w:szCs w:val="24"/>
          <w:lang w:val="nl-NL" w:eastAsia="nl-NL"/>
        </w:rPr>
        <w:t>g</w:t>
      </w:r>
      <w:r w:rsidRPr="00EA4696">
        <w:rPr>
          <w:rFonts w:ascii="Arial" w:hAnsi="Arial" w:eastAsia="Times New Roman" w:cs="Times New Roman"/>
          <w:sz w:val="20"/>
          <w:szCs w:val="24"/>
          <w:lang w:val="nl-NL" w:eastAsia="nl-NL"/>
        </w:rPr>
        <w:t>, is aangesloten bij de overeenkomstige definities van het OESO-modelverdrag</w:t>
      </w:r>
      <w:r w:rsidR="00750CED">
        <w:rPr>
          <w:rFonts w:ascii="Arial" w:hAnsi="Arial" w:eastAsia="Times New Roman" w:cs="Times New Roman"/>
          <w:sz w:val="20"/>
          <w:szCs w:val="24"/>
          <w:lang w:val="nl-NL" w:eastAsia="nl-NL"/>
        </w:rPr>
        <w:t xml:space="preserve"> met de toevoeging in de definitie van pensioenfonds (onderdeel k) dat het pensioenfondsen betreft die over het algemeen zijn vrijgesteld van belasting</w:t>
      </w:r>
      <w:r w:rsidR="00A670EE">
        <w:rPr>
          <w:rFonts w:ascii="Arial" w:hAnsi="Arial" w:eastAsia="Times New Roman" w:cs="Times New Roman"/>
          <w:sz w:val="20"/>
          <w:szCs w:val="24"/>
          <w:lang w:val="nl-NL" w:eastAsia="nl-NL"/>
        </w:rPr>
        <w:t xml:space="preserve"> naar het inkomen</w:t>
      </w:r>
      <w:r w:rsidRPr="00EA4696">
        <w:rPr>
          <w:rFonts w:ascii="Arial" w:hAnsi="Arial" w:eastAsia="Times New Roman" w:cs="Times New Roman"/>
          <w:sz w:val="20"/>
          <w:szCs w:val="24"/>
          <w:lang w:val="nl-NL" w:eastAsia="nl-NL"/>
        </w:rPr>
        <w:t>.</w:t>
      </w:r>
      <w:r w:rsidR="00750CED">
        <w:rPr>
          <w:rFonts w:ascii="Arial" w:hAnsi="Arial" w:eastAsia="Times New Roman" w:cs="Times New Roman"/>
          <w:sz w:val="20"/>
          <w:szCs w:val="24"/>
          <w:lang w:val="nl-NL" w:eastAsia="nl-NL"/>
        </w:rPr>
        <w:t xml:space="preserve"> </w:t>
      </w:r>
      <w:r w:rsidR="00A670EE">
        <w:rPr>
          <w:rFonts w:ascii="Arial" w:hAnsi="Arial" w:eastAsia="Times New Roman" w:cs="Times New Roman"/>
          <w:sz w:val="20"/>
          <w:szCs w:val="24"/>
          <w:lang w:val="nl-NL" w:eastAsia="nl-NL"/>
        </w:rPr>
        <w:t>Dit is op verzoek van Nederland expliciet opgenomen omdat het feit dat pensioenfondsen zijn vrijgesteld van belasting voor Nederland als een belangrijke voorwaarde geldt voor de toepassing van verdragsvoordelen.</w:t>
      </w:r>
    </w:p>
    <w:p w:rsidRPr="004B532A" w:rsidR="00EA4696" w:rsidP="009B6749" w:rsidRDefault="00EA4696" w14:paraId="066F94E3" w14:textId="4A5FAE34">
      <w:pPr>
        <w:spacing w:after="0" w:line="360" w:lineRule="auto"/>
        <w:ind w:firstLine="567"/>
        <w:rPr>
          <w:rFonts w:ascii="Arial" w:hAnsi="Arial" w:eastAsia="Times New Roman" w:cs="Arial"/>
          <w:sz w:val="20"/>
          <w:szCs w:val="20"/>
          <w:lang w:val="nl-NL" w:eastAsia="nl-NL"/>
        </w:rPr>
      </w:pPr>
      <w:r w:rsidRPr="004B532A">
        <w:rPr>
          <w:rFonts w:ascii="Arial" w:hAnsi="Arial" w:cs="Arial"/>
          <w:sz w:val="20"/>
          <w:szCs w:val="20"/>
          <w:lang w:val="nl-NL"/>
        </w:rPr>
        <w:lastRenderedPageBreak/>
        <w:t>In onderdeel g wordt het begrip ‘internationaal verkeer’ omschreven als alle vervoer met een</w:t>
      </w:r>
    </w:p>
    <w:p w:rsidRPr="004B532A" w:rsidR="00EA4696" w:rsidP="004B532A" w:rsidRDefault="00EA4696" w14:paraId="01AF7F3E" w14:textId="77777777">
      <w:pPr>
        <w:autoSpaceDE w:val="0"/>
        <w:autoSpaceDN w:val="0"/>
        <w:adjustRightInd w:val="0"/>
        <w:spacing w:after="0" w:line="360" w:lineRule="auto"/>
        <w:rPr>
          <w:rFonts w:ascii="Arial" w:hAnsi="Arial" w:cs="Arial"/>
          <w:sz w:val="20"/>
          <w:szCs w:val="20"/>
          <w:lang w:val="nl-NL"/>
        </w:rPr>
      </w:pPr>
      <w:r w:rsidRPr="004B532A">
        <w:rPr>
          <w:rFonts w:ascii="Arial" w:hAnsi="Arial" w:cs="Arial"/>
          <w:sz w:val="20"/>
          <w:szCs w:val="20"/>
          <w:lang w:val="nl-NL"/>
        </w:rPr>
        <w:t>schip of luchtvaartuig geëxploiteerd door een onderneming met de feitelijke leiding in een van de</w:t>
      </w:r>
    </w:p>
    <w:p w:rsidRPr="004B532A" w:rsidR="00EA4696" w:rsidP="004B532A" w:rsidRDefault="00EA4696" w14:paraId="44B11888" w14:textId="1F475FD4">
      <w:pPr>
        <w:autoSpaceDE w:val="0"/>
        <w:autoSpaceDN w:val="0"/>
        <w:adjustRightInd w:val="0"/>
        <w:spacing w:after="0" w:line="360" w:lineRule="auto"/>
        <w:rPr>
          <w:rFonts w:ascii="Arial" w:hAnsi="Arial" w:cs="Arial"/>
          <w:sz w:val="20"/>
          <w:szCs w:val="20"/>
          <w:lang w:val="nl-NL"/>
        </w:rPr>
      </w:pPr>
      <w:r w:rsidRPr="004B532A">
        <w:rPr>
          <w:rFonts w:ascii="Arial" w:hAnsi="Arial" w:cs="Arial"/>
          <w:sz w:val="20"/>
          <w:szCs w:val="20"/>
          <w:lang w:val="nl-NL"/>
        </w:rPr>
        <w:t>verdragsluitende staten, behalve wanneer het schip of luchtvaartuig uitsluitend wordt geëxploiteerd</w:t>
      </w:r>
    </w:p>
    <w:p w:rsidRPr="004B45C9" w:rsidR="00EA4696" w:rsidP="004B45C9" w:rsidRDefault="00EA4696" w14:paraId="6AA92B95" w14:textId="4F3A72D5">
      <w:pPr>
        <w:autoSpaceDE w:val="0"/>
        <w:autoSpaceDN w:val="0"/>
        <w:adjustRightInd w:val="0"/>
        <w:spacing w:after="0" w:line="360" w:lineRule="auto"/>
        <w:rPr>
          <w:rFonts w:ascii="Arial" w:hAnsi="Arial" w:cs="Arial"/>
          <w:sz w:val="20"/>
          <w:szCs w:val="20"/>
          <w:lang w:val="nl-NL"/>
        </w:rPr>
      </w:pPr>
      <w:r w:rsidRPr="004B532A">
        <w:rPr>
          <w:rFonts w:ascii="Arial" w:hAnsi="Arial" w:cs="Arial"/>
          <w:sz w:val="20"/>
          <w:szCs w:val="20"/>
          <w:lang w:val="nl-NL"/>
        </w:rPr>
        <w:t xml:space="preserve">tussen plaatsen die in de andere verdragsluitende staat zijn gelegen. </w:t>
      </w:r>
      <w:r w:rsidR="00A1379A">
        <w:rPr>
          <w:rFonts w:ascii="Arial" w:hAnsi="Arial" w:eastAsia="Times New Roman" w:cs="Times New Roman"/>
          <w:sz w:val="20"/>
          <w:szCs w:val="24"/>
          <w:lang w:val="nl-NL" w:eastAsia="nl-NL"/>
        </w:rPr>
        <w:t>Op voorstel van Liechtenstein is m</w:t>
      </w:r>
      <w:r w:rsidR="004B45C9">
        <w:rPr>
          <w:rFonts w:ascii="Arial" w:hAnsi="Arial" w:eastAsia="Times New Roman" w:cs="Times New Roman"/>
          <w:sz w:val="20"/>
          <w:szCs w:val="24"/>
          <w:lang w:val="nl-NL" w:eastAsia="nl-NL"/>
        </w:rPr>
        <w:t xml:space="preserve">et deze definitie </w:t>
      </w:r>
      <w:r w:rsidR="00A1379A">
        <w:rPr>
          <w:rFonts w:ascii="Arial" w:hAnsi="Arial" w:eastAsia="Times New Roman" w:cs="Times New Roman"/>
          <w:sz w:val="20"/>
          <w:szCs w:val="24"/>
          <w:lang w:val="nl-NL" w:eastAsia="nl-NL"/>
        </w:rPr>
        <w:t xml:space="preserve">aangesloten </w:t>
      </w:r>
      <w:r w:rsidR="004B45C9">
        <w:rPr>
          <w:rFonts w:ascii="Arial" w:hAnsi="Arial" w:eastAsia="Times New Roman" w:cs="Times New Roman"/>
          <w:sz w:val="20"/>
          <w:szCs w:val="24"/>
          <w:lang w:val="nl-NL" w:eastAsia="nl-NL"/>
        </w:rPr>
        <w:t>bij de tekst van het OESO-modelverdrag van 15 juli 2014</w:t>
      </w:r>
      <w:r w:rsidR="004B07A9">
        <w:rPr>
          <w:rFonts w:ascii="Arial" w:hAnsi="Arial" w:eastAsia="Times New Roman" w:cs="Times New Roman"/>
          <w:sz w:val="20"/>
          <w:szCs w:val="24"/>
          <w:lang w:val="nl-NL" w:eastAsia="nl-NL"/>
        </w:rPr>
        <w:t xml:space="preserve">. </w:t>
      </w:r>
      <w:r w:rsidRPr="004B532A">
        <w:rPr>
          <w:rFonts w:ascii="Arial" w:hAnsi="Arial" w:cs="Arial"/>
          <w:sz w:val="20"/>
          <w:szCs w:val="20"/>
          <w:lang w:val="nl-NL"/>
        </w:rPr>
        <w:t>De bepaling hangt samen met</w:t>
      </w:r>
      <w:r w:rsidR="004B45C9">
        <w:rPr>
          <w:rFonts w:ascii="Arial" w:hAnsi="Arial" w:cs="Arial"/>
          <w:sz w:val="20"/>
          <w:szCs w:val="20"/>
          <w:lang w:val="nl-NL"/>
        </w:rPr>
        <w:t xml:space="preserve"> </w:t>
      </w:r>
      <w:r w:rsidRPr="004B532A">
        <w:rPr>
          <w:rFonts w:ascii="Arial" w:hAnsi="Arial" w:cs="Arial"/>
          <w:sz w:val="20"/>
          <w:szCs w:val="20"/>
          <w:lang w:val="nl-NL"/>
        </w:rPr>
        <w:t>artikel 8 (</w:t>
      </w:r>
      <w:r w:rsidR="0066527A">
        <w:rPr>
          <w:rFonts w:ascii="Arial" w:hAnsi="Arial" w:cs="Arial"/>
          <w:sz w:val="20"/>
          <w:szCs w:val="20"/>
          <w:lang w:val="nl-NL"/>
        </w:rPr>
        <w:t>Z</w:t>
      </w:r>
      <w:r w:rsidRPr="004B532A">
        <w:rPr>
          <w:rFonts w:ascii="Arial" w:hAnsi="Arial" w:cs="Arial"/>
          <w:sz w:val="20"/>
          <w:szCs w:val="20"/>
          <w:lang w:val="nl-NL"/>
        </w:rPr>
        <w:t>ee- en luchtvaart)</w:t>
      </w:r>
      <w:r w:rsidR="002373F9">
        <w:rPr>
          <w:rFonts w:ascii="Arial" w:hAnsi="Arial" w:cs="Arial"/>
          <w:sz w:val="20"/>
          <w:szCs w:val="20"/>
          <w:lang w:val="nl-NL"/>
        </w:rPr>
        <w:t xml:space="preserve"> en </w:t>
      </w:r>
      <w:r w:rsidR="004B07A9">
        <w:rPr>
          <w:rFonts w:ascii="Arial" w:hAnsi="Arial" w:cs="Arial"/>
          <w:sz w:val="20"/>
          <w:szCs w:val="20"/>
          <w:lang w:val="nl-NL"/>
        </w:rPr>
        <w:t>artikel 14 (Inkomsten uit dienstbetrekking)</w:t>
      </w:r>
      <w:r w:rsidR="00FD1BAF">
        <w:rPr>
          <w:rFonts w:ascii="Arial" w:hAnsi="Arial" w:cs="Arial"/>
          <w:sz w:val="20"/>
          <w:szCs w:val="20"/>
          <w:lang w:val="nl-NL"/>
        </w:rPr>
        <w:t xml:space="preserve"> van het Verdrag (zie paragraaf II.8 en II.14 van deze toelichting)</w:t>
      </w:r>
      <w:r w:rsidRPr="004B532A">
        <w:rPr>
          <w:rFonts w:ascii="Arial" w:hAnsi="Arial" w:cs="Arial"/>
          <w:sz w:val="20"/>
          <w:szCs w:val="20"/>
          <w:lang w:val="nl-NL"/>
        </w:rPr>
        <w:t>.</w:t>
      </w:r>
      <w:r w:rsidRPr="004B532A" w:rsidDel="00FD1BAF" w:rsidR="00FD1BAF">
        <w:rPr>
          <w:rFonts w:ascii="Arial" w:hAnsi="Arial" w:cs="Arial"/>
          <w:sz w:val="20"/>
          <w:szCs w:val="20"/>
          <w:lang w:val="nl-NL"/>
        </w:rPr>
        <w:t xml:space="preserve"> </w:t>
      </w:r>
    </w:p>
    <w:p w:rsidRPr="00EA4696" w:rsidR="00EA4696" w:rsidP="00971628" w:rsidRDefault="00EA4696" w14:paraId="76F9E790" w14:textId="656B8C4B">
      <w:pPr>
        <w:spacing w:after="0" w:line="360" w:lineRule="auto"/>
        <w:ind w:firstLine="709"/>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Het tweede lid bevat een algemene regel voor de uitleg van uitdrukkingen die niet in het Verdrag zijn omschreven. Aan die uitdrukkingen wordt de betekenis toegekend die zij hebben volgens de wetgeving van de verdragsluitende staat die het Verdrag toepast, tenzij de context van het Verdrag anders vereist, waarbij de betekenis in de belastingwetgeving voorgaat op de betekenis in eventuele andere wetgeving. Deze bepaling stemt overeen met artikel 3, tweede lid, van het OESO-modelverdrag</w:t>
      </w:r>
      <w:r w:rsidR="006F35F0">
        <w:rPr>
          <w:rFonts w:ascii="Arial" w:hAnsi="Arial" w:eastAsia="Times New Roman" w:cs="Times New Roman"/>
          <w:sz w:val="20"/>
          <w:szCs w:val="24"/>
          <w:lang w:val="nl-NL" w:eastAsia="nl-NL"/>
        </w:rPr>
        <w:t xml:space="preserve"> </w:t>
      </w:r>
      <w:r w:rsidR="007E73BA">
        <w:rPr>
          <w:rFonts w:ascii="Arial" w:hAnsi="Arial" w:eastAsia="Times New Roman" w:cs="Times New Roman"/>
          <w:sz w:val="20"/>
          <w:szCs w:val="24"/>
          <w:lang w:val="nl-NL" w:eastAsia="nl-NL"/>
        </w:rPr>
        <w:t xml:space="preserve">behoudens dat niet expliciet is opgenomen dat </w:t>
      </w:r>
      <w:r w:rsidR="006F35F0">
        <w:rPr>
          <w:rFonts w:ascii="Arial" w:hAnsi="Arial" w:eastAsia="Times New Roman" w:cs="Times New Roman"/>
          <w:sz w:val="20"/>
          <w:szCs w:val="24"/>
          <w:lang w:val="nl-NL" w:eastAsia="nl-NL"/>
        </w:rPr>
        <w:t xml:space="preserve">de bevoegde autoriteiten </w:t>
      </w:r>
      <w:r w:rsidR="00F24263">
        <w:rPr>
          <w:rFonts w:ascii="Arial" w:hAnsi="Arial" w:eastAsia="Times New Roman" w:cs="Times New Roman"/>
          <w:sz w:val="20"/>
          <w:szCs w:val="24"/>
          <w:lang w:val="nl-NL" w:eastAsia="nl-NL"/>
        </w:rPr>
        <w:t>een andere betekenis overeen kunnen komen</w:t>
      </w:r>
      <w:r w:rsidRPr="00EA4696">
        <w:rPr>
          <w:rFonts w:ascii="Arial" w:hAnsi="Arial" w:eastAsia="Times New Roman" w:cs="Times New Roman"/>
          <w:sz w:val="20"/>
          <w:szCs w:val="24"/>
          <w:lang w:val="nl-NL" w:eastAsia="nl-NL"/>
        </w:rPr>
        <w:t>.</w:t>
      </w:r>
      <w:r w:rsidR="00F24263">
        <w:rPr>
          <w:rFonts w:ascii="Arial" w:hAnsi="Arial" w:eastAsia="Times New Roman" w:cs="Times New Roman"/>
          <w:sz w:val="20"/>
          <w:szCs w:val="24"/>
          <w:lang w:val="nl-NL" w:eastAsia="nl-NL"/>
        </w:rPr>
        <w:t xml:space="preserve"> Deze </w:t>
      </w:r>
      <w:r w:rsidR="00E130D8">
        <w:rPr>
          <w:rFonts w:ascii="Arial" w:hAnsi="Arial" w:eastAsia="Times New Roman" w:cs="Times New Roman"/>
          <w:sz w:val="20"/>
          <w:szCs w:val="24"/>
          <w:lang w:val="nl-NL" w:eastAsia="nl-NL"/>
        </w:rPr>
        <w:t>zinssnede</w:t>
      </w:r>
      <w:r w:rsidR="00F24263">
        <w:rPr>
          <w:rFonts w:ascii="Arial" w:hAnsi="Arial" w:eastAsia="Times New Roman" w:cs="Times New Roman"/>
          <w:sz w:val="20"/>
          <w:szCs w:val="24"/>
          <w:lang w:val="nl-NL" w:eastAsia="nl-NL"/>
        </w:rPr>
        <w:t xml:space="preserve"> is </w:t>
      </w:r>
      <w:r w:rsidR="007E73BA">
        <w:rPr>
          <w:rFonts w:ascii="Arial" w:hAnsi="Arial" w:eastAsia="Times New Roman" w:cs="Times New Roman"/>
          <w:sz w:val="20"/>
          <w:szCs w:val="24"/>
          <w:lang w:val="nl-NL" w:eastAsia="nl-NL"/>
        </w:rPr>
        <w:t>weggelaten</w:t>
      </w:r>
      <w:r w:rsidR="00F24263">
        <w:rPr>
          <w:rFonts w:ascii="Arial" w:hAnsi="Arial" w:eastAsia="Times New Roman" w:cs="Times New Roman"/>
          <w:sz w:val="20"/>
          <w:szCs w:val="24"/>
          <w:lang w:val="nl-NL" w:eastAsia="nl-NL"/>
        </w:rPr>
        <w:t xml:space="preserve"> omdat de mogelijkheid tot een dergelijke overeenstemming voldoende blijkt uit de regeling voor onderling overleg</w:t>
      </w:r>
      <w:r w:rsidR="0042290D">
        <w:rPr>
          <w:rFonts w:ascii="Arial" w:hAnsi="Arial" w:eastAsia="Times New Roman" w:cs="Times New Roman"/>
          <w:sz w:val="20"/>
          <w:szCs w:val="24"/>
          <w:lang w:val="nl-NL" w:eastAsia="nl-NL"/>
        </w:rPr>
        <w:t>,</w:t>
      </w:r>
      <w:r w:rsidR="00F24263">
        <w:rPr>
          <w:rFonts w:ascii="Arial" w:hAnsi="Arial" w:eastAsia="Times New Roman" w:cs="Times New Roman"/>
          <w:sz w:val="20"/>
          <w:szCs w:val="24"/>
          <w:lang w:val="nl-NL" w:eastAsia="nl-NL"/>
        </w:rPr>
        <w:t xml:space="preserve"> </w:t>
      </w:r>
      <w:r w:rsidR="002F37B3">
        <w:rPr>
          <w:rFonts w:ascii="Arial" w:hAnsi="Arial" w:eastAsia="Times New Roman" w:cs="Times New Roman"/>
          <w:sz w:val="20"/>
          <w:szCs w:val="24"/>
          <w:lang w:val="nl-NL" w:eastAsia="nl-NL"/>
        </w:rPr>
        <w:t xml:space="preserve">opgenomen </w:t>
      </w:r>
      <w:r w:rsidR="007E73BA">
        <w:rPr>
          <w:rFonts w:ascii="Arial" w:hAnsi="Arial" w:eastAsia="Times New Roman" w:cs="Times New Roman"/>
          <w:sz w:val="20"/>
          <w:szCs w:val="24"/>
          <w:lang w:val="nl-NL" w:eastAsia="nl-NL"/>
        </w:rPr>
        <w:t xml:space="preserve">in </w:t>
      </w:r>
      <w:r w:rsidR="00F24263">
        <w:rPr>
          <w:rFonts w:ascii="Arial" w:hAnsi="Arial" w:eastAsia="Times New Roman" w:cs="Times New Roman"/>
          <w:sz w:val="20"/>
          <w:szCs w:val="24"/>
          <w:lang w:val="nl-NL" w:eastAsia="nl-NL"/>
        </w:rPr>
        <w:t>artikel 24 van het Verdrag.</w:t>
      </w:r>
    </w:p>
    <w:p w:rsidRPr="00EA4696" w:rsidR="00EA4696" w:rsidP="000708C0" w:rsidRDefault="00EA4696" w14:paraId="6C3589DA" w14:textId="4EE03860">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 xml:space="preserve">Inwoner (artikel 4 </w:t>
      </w:r>
      <w:r w:rsidR="00D63B02">
        <w:rPr>
          <w:rFonts w:ascii="Arial" w:hAnsi="Arial" w:eastAsia="Times New Roman" w:cs="Times New Roman"/>
          <w:bCs/>
          <w:i/>
          <w:iCs/>
          <w:sz w:val="20"/>
          <w:szCs w:val="28"/>
          <w:lang w:val="nl-NL" w:eastAsia="nl-NL"/>
        </w:rPr>
        <w:t>van het Verdrag</w:t>
      </w:r>
      <w:r w:rsidRPr="00EA4696" w:rsidR="00D63B02">
        <w:rPr>
          <w:rFonts w:ascii="Arial" w:hAnsi="Arial" w:eastAsia="Times New Roman" w:cs="Times New Roman"/>
          <w:bCs/>
          <w:i/>
          <w:iCs/>
          <w:sz w:val="20"/>
          <w:szCs w:val="28"/>
          <w:lang w:val="nl-NL" w:eastAsia="nl-NL"/>
        </w:rPr>
        <w:t xml:space="preserve"> </w:t>
      </w:r>
      <w:r w:rsidRPr="00EA469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artikel</w:t>
      </w:r>
      <w:r w:rsidRPr="009E043A" w:rsidR="009461E5">
        <w:rPr>
          <w:rFonts w:ascii="Arial" w:hAnsi="Arial" w:eastAsia="Times New Roman" w:cs="Times New Roman"/>
          <w:bCs/>
          <w:i/>
          <w:iCs/>
          <w:sz w:val="20"/>
          <w:szCs w:val="28"/>
          <w:lang w:val="nl-NL" w:eastAsia="nl-NL"/>
        </w:rPr>
        <w:t xml:space="preserve"> </w:t>
      </w:r>
      <w:r w:rsidRPr="009E043A" w:rsidR="009E043A">
        <w:rPr>
          <w:rFonts w:ascii="Arial" w:hAnsi="Arial" w:eastAsia="Times New Roman" w:cs="Times New Roman"/>
          <w:bCs/>
          <w:i/>
          <w:iCs/>
          <w:sz w:val="20"/>
          <w:szCs w:val="28"/>
          <w:lang w:val="nl-NL" w:eastAsia="nl-NL"/>
        </w:rPr>
        <w:t>III</w:t>
      </w:r>
      <w:r w:rsidR="009461E5">
        <w:rPr>
          <w:rFonts w:ascii="Arial" w:hAnsi="Arial" w:eastAsia="Times New Roman" w:cs="Times New Roman"/>
          <w:bCs/>
          <w:i/>
          <w:iCs/>
          <w:sz w:val="20"/>
          <w:szCs w:val="28"/>
          <w:lang w:val="nl-NL" w:eastAsia="nl-NL"/>
        </w:rPr>
        <w:t xml:space="preserve"> van het Protocol</w:t>
      </w:r>
      <w:r w:rsidRPr="009E043A">
        <w:rPr>
          <w:rFonts w:ascii="Arial" w:hAnsi="Arial" w:eastAsia="Times New Roman" w:cs="Times New Roman"/>
          <w:bCs/>
          <w:i/>
          <w:iCs/>
          <w:sz w:val="20"/>
          <w:szCs w:val="28"/>
          <w:lang w:val="nl-NL" w:eastAsia="nl-NL"/>
        </w:rPr>
        <w:t>)</w:t>
      </w:r>
    </w:p>
    <w:p w:rsidRPr="00EA4696" w:rsidR="00EA4696" w:rsidP="000708C0" w:rsidRDefault="00EA4696" w14:paraId="5CF66ADA" w14:textId="15B564C2">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Artikel 4 bevat bepalingen ter invulling van het begrip inwoner. Hiervoor is aangesloten bij artikel 4 van het OESO-modelverdrag.</w:t>
      </w:r>
    </w:p>
    <w:p w:rsidRPr="00EA4696" w:rsidR="00EA4696" w:rsidP="000708C0" w:rsidRDefault="00EA4696" w14:paraId="746E145E" w14:textId="6DB2BE8F">
      <w:pPr>
        <w:spacing w:after="0" w:line="360" w:lineRule="auto"/>
        <w:ind w:firstLine="567"/>
        <w:rPr>
          <w:rFonts w:ascii="Arial" w:hAnsi="Arial" w:eastAsia="Times New Roman" w:cs="Arial"/>
          <w:sz w:val="20"/>
          <w:szCs w:val="20"/>
          <w:lang w:val="nl-NL" w:eastAsia="nl-NL"/>
        </w:rPr>
      </w:pPr>
      <w:r w:rsidRPr="00EA4696">
        <w:rPr>
          <w:rFonts w:ascii="Arial" w:hAnsi="Arial" w:eastAsia="Times New Roman" w:cs="Arial"/>
          <w:sz w:val="20"/>
          <w:szCs w:val="20"/>
          <w:lang w:val="nl-NL" w:eastAsia="nl-NL"/>
        </w:rPr>
        <w:t>In het eerste lid 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enige andere soortgelijke omstandi</w:t>
      </w:r>
      <w:r w:rsidR="00143536">
        <w:rPr>
          <w:rFonts w:ascii="Arial" w:hAnsi="Arial" w:eastAsia="Times New Roman" w:cs="Arial"/>
          <w:sz w:val="20"/>
          <w:szCs w:val="20"/>
          <w:lang w:val="nl-NL" w:eastAsia="nl-NL"/>
        </w:rPr>
        <w:t>gheid. Teneinde te bewerkstelligen</w:t>
      </w:r>
      <w:r w:rsidRPr="00EA4696">
        <w:rPr>
          <w:rFonts w:ascii="Arial" w:hAnsi="Arial" w:eastAsia="Times New Roman" w:cs="Arial"/>
          <w:sz w:val="20"/>
          <w:szCs w:val="20"/>
          <w:lang w:val="nl-NL" w:eastAsia="nl-NL"/>
        </w:rPr>
        <w:t xml:space="preserve"> dat de staat en onderdelen daarvan aanspraak kunnen maken o</w:t>
      </w:r>
      <w:r w:rsidR="00143536">
        <w:rPr>
          <w:rFonts w:ascii="Arial" w:hAnsi="Arial" w:eastAsia="Times New Roman" w:cs="Arial"/>
          <w:sz w:val="20"/>
          <w:szCs w:val="20"/>
          <w:lang w:val="nl-NL" w:eastAsia="nl-NL"/>
        </w:rPr>
        <w:t xml:space="preserve">p de voordelen van het Verdrag </w:t>
      </w:r>
      <w:r w:rsidRPr="00EA4696">
        <w:rPr>
          <w:rFonts w:ascii="Arial" w:hAnsi="Arial" w:eastAsia="Times New Roman" w:cs="Arial"/>
          <w:sz w:val="20"/>
          <w:szCs w:val="20"/>
          <w:lang w:val="nl-NL" w:eastAsia="nl-NL"/>
        </w:rPr>
        <w:t>ondanks dat zij in beginsel niet zijn onde</w:t>
      </w:r>
      <w:r w:rsidR="00143536">
        <w:rPr>
          <w:rFonts w:ascii="Arial" w:hAnsi="Arial" w:eastAsia="Times New Roman" w:cs="Arial"/>
          <w:sz w:val="20"/>
          <w:szCs w:val="20"/>
          <w:lang w:val="nl-NL" w:eastAsia="nl-NL"/>
        </w:rPr>
        <w:t>rworpen aan de belastingheffing</w:t>
      </w:r>
      <w:r w:rsidRPr="00EA4696">
        <w:rPr>
          <w:rFonts w:ascii="Arial" w:hAnsi="Arial" w:eastAsia="Times New Roman" w:cs="Arial"/>
          <w:sz w:val="20"/>
          <w:szCs w:val="20"/>
          <w:lang w:val="nl-NL" w:eastAsia="nl-NL"/>
        </w:rPr>
        <w:t xml:space="preserve"> zijn zij uitdrukkelijk aangemerkt als inwoner voor de toepassing van het Verdrag.</w:t>
      </w:r>
      <w:r w:rsidR="004736E2">
        <w:rPr>
          <w:rFonts w:ascii="Arial" w:hAnsi="Arial" w:eastAsia="Times New Roman" w:cs="Arial"/>
          <w:sz w:val="20"/>
          <w:szCs w:val="20"/>
          <w:lang w:val="nl-NL" w:eastAsia="nl-NL"/>
        </w:rPr>
        <w:t xml:space="preserve"> Ook </w:t>
      </w:r>
      <w:r w:rsidR="00FF3FB8">
        <w:rPr>
          <w:rFonts w:ascii="Arial" w:hAnsi="Arial" w:eastAsia="Times New Roman" w:cs="Arial"/>
          <w:sz w:val="20"/>
          <w:szCs w:val="20"/>
          <w:lang w:val="nl-NL" w:eastAsia="nl-NL"/>
        </w:rPr>
        <w:t xml:space="preserve">erkende </w:t>
      </w:r>
      <w:r w:rsidR="004736E2">
        <w:rPr>
          <w:rFonts w:ascii="Arial" w:hAnsi="Arial" w:eastAsia="Times New Roman" w:cs="Arial"/>
          <w:sz w:val="20"/>
          <w:szCs w:val="20"/>
          <w:lang w:val="nl-NL" w:eastAsia="nl-NL"/>
        </w:rPr>
        <w:t xml:space="preserve">pensioenfondsen </w:t>
      </w:r>
      <w:r w:rsidR="00FF3FB8">
        <w:rPr>
          <w:rFonts w:ascii="Arial" w:hAnsi="Arial" w:eastAsia="Times New Roman" w:cs="Arial"/>
          <w:sz w:val="20"/>
          <w:szCs w:val="20"/>
          <w:lang w:val="nl-NL" w:eastAsia="nl-NL"/>
        </w:rPr>
        <w:t>(in de zin van artikel 3, eerste lid, onderdeel k</w:t>
      </w:r>
      <w:r w:rsidR="005761D8">
        <w:rPr>
          <w:rFonts w:ascii="Arial" w:hAnsi="Arial" w:eastAsia="Times New Roman" w:cs="Arial"/>
          <w:sz w:val="20"/>
          <w:szCs w:val="20"/>
          <w:lang w:val="nl-NL" w:eastAsia="nl-NL"/>
        </w:rPr>
        <w:t>, van het Verdrag</w:t>
      </w:r>
      <w:r w:rsidR="00FF3FB8">
        <w:rPr>
          <w:rFonts w:ascii="Arial" w:hAnsi="Arial" w:eastAsia="Times New Roman" w:cs="Arial"/>
          <w:sz w:val="20"/>
          <w:szCs w:val="20"/>
          <w:lang w:val="nl-NL" w:eastAsia="nl-NL"/>
        </w:rPr>
        <w:t xml:space="preserve">) </w:t>
      </w:r>
      <w:r w:rsidR="004736E2">
        <w:rPr>
          <w:rFonts w:ascii="Arial" w:hAnsi="Arial" w:eastAsia="Times New Roman" w:cs="Arial"/>
          <w:sz w:val="20"/>
          <w:szCs w:val="20"/>
          <w:lang w:val="nl-NL" w:eastAsia="nl-NL"/>
        </w:rPr>
        <w:t>zijn uitdrukkelijk aangemerkt als inwoner voor de toepassing van het Verdrag</w:t>
      </w:r>
      <w:r w:rsidR="00FF3FB8">
        <w:rPr>
          <w:rFonts w:ascii="Arial" w:hAnsi="Arial" w:eastAsia="Times New Roman" w:cs="Arial"/>
          <w:sz w:val="20"/>
          <w:szCs w:val="20"/>
          <w:lang w:val="nl-NL" w:eastAsia="nl-NL"/>
        </w:rPr>
        <w:t>, niettegenstaande het feit dat deze pensioenfondsen zijn vrijgesteld van belastingheffing over het inkomen. Gelet op het arrest van de Hoge Raad van 4 december 2009 (</w:t>
      </w:r>
      <w:r w:rsidRPr="00202644" w:rsidR="00202644">
        <w:rPr>
          <w:rFonts w:ascii="Arial" w:hAnsi="Arial" w:eastAsia="Times New Roman" w:cs="Arial"/>
          <w:sz w:val="20"/>
          <w:szCs w:val="20"/>
          <w:lang w:val="nl-NL" w:eastAsia="nl-NL"/>
        </w:rPr>
        <w:t>ECLI:NL:HR:2009:BI7301</w:t>
      </w:r>
      <w:r w:rsidR="00202644">
        <w:rPr>
          <w:rFonts w:ascii="Arial" w:hAnsi="Arial" w:eastAsia="Times New Roman" w:cs="Arial"/>
          <w:sz w:val="20"/>
          <w:szCs w:val="20"/>
          <w:lang w:val="nl-NL" w:eastAsia="nl-NL"/>
        </w:rPr>
        <w:t xml:space="preserve">) </w:t>
      </w:r>
      <w:r w:rsidR="00C77F35">
        <w:rPr>
          <w:rFonts w:ascii="Arial" w:hAnsi="Arial" w:eastAsia="Times New Roman" w:cs="Arial"/>
          <w:sz w:val="20"/>
          <w:szCs w:val="20"/>
          <w:lang w:val="nl-NL" w:eastAsia="nl-NL"/>
        </w:rPr>
        <w:t xml:space="preserve">vloeit hieruit voort </w:t>
      </w:r>
      <w:r w:rsidR="00202644">
        <w:rPr>
          <w:rFonts w:ascii="Arial" w:hAnsi="Arial" w:eastAsia="Times New Roman" w:cs="Arial"/>
          <w:sz w:val="20"/>
          <w:szCs w:val="20"/>
          <w:lang w:val="nl-NL" w:eastAsia="nl-NL"/>
        </w:rPr>
        <w:t>dat andere van belastingheffing naar het inkomen vrijgestelde personen</w:t>
      </w:r>
      <w:r w:rsidR="00C77F35">
        <w:rPr>
          <w:rFonts w:ascii="Arial" w:hAnsi="Arial" w:eastAsia="Times New Roman" w:cs="Arial"/>
          <w:sz w:val="20"/>
          <w:szCs w:val="20"/>
          <w:lang w:val="nl-NL" w:eastAsia="nl-NL"/>
        </w:rPr>
        <w:t xml:space="preserve"> niet als ve</w:t>
      </w:r>
      <w:r w:rsidR="00F23C51">
        <w:rPr>
          <w:rFonts w:ascii="Arial" w:hAnsi="Arial" w:eastAsia="Times New Roman" w:cs="Arial"/>
          <w:sz w:val="20"/>
          <w:szCs w:val="20"/>
          <w:lang w:val="nl-NL" w:eastAsia="nl-NL"/>
        </w:rPr>
        <w:t>rdragsinwoner worden aangemerkt.</w:t>
      </w:r>
      <w:r w:rsidR="00C77F35">
        <w:rPr>
          <w:rFonts w:ascii="Arial" w:hAnsi="Arial" w:eastAsia="Times New Roman" w:cs="Arial"/>
          <w:sz w:val="20"/>
          <w:szCs w:val="20"/>
          <w:lang w:val="nl-NL" w:eastAsia="nl-NL"/>
        </w:rPr>
        <w:t xml:space="preserve"> Dit betekent ook dat, onder andere, de vrijgestelde beleggingsinstelling in de zin van artikel 6a van de </w:t>
      </w:r>
      <w:r w:rsidRPr="00414388" w:rsidR="00414388">
        <w:rPr>
          <w:rFonts w:ascii="Arial" w:hAnsi="Arial" w:eastAsia="Times New Roman" w:cs="Arial"/>
          <w:sz w:val="20"/>
          <w:szCs w:val="20"/>
          <w:lang w:val="nl-NL" w:eastAsia="nl-NL"/>
        </w:rPr>
        <w:t>Wet op de vennootschapsbelasting 1969</w:t>
      </w:r>
      <w:r w:rsidRPr="00414388" w:rsidDel="00414388" w:rsidR="00414388">
        <w:rPr>
          <w:rFonts w:ascii="Arial" w:hAnsi="Arial" w:eastAsia="Times New Roman" w:cs="Arial"/>
          <w:sz w:val="20"/>
          <w:szCs w:val="20"/>
          <w:lang w:val="nl-NL" w:eastAsia="nl-NL"/>
        </w:rPr>
        <w:t xml:space="preserve"> </w:t>
      </w:r>
      <w:r w:rsidR="00414388">
        <w:rPr>
          <w:rFonts w:ascii="Arial" w:hAnsi="Arial" w:eastAsia="Times New Roman" w:cs="Arial"/>
          <w:sz w:val="20"/>
          <w:szCs w:val="20"/>
          <w:lang w:val="nl-NL" w:eastAsia="nl-NL"/>
        </w:rPr>
        <w:t xml:space="preserve">(hierna: Wet </w:t>
      </w:r>
      <w:proofErr w:type="spellStart"/>
      <w:r w:rsidR="00414388">
        <w:rPr>
          <w:rFonts w:ascii="Arial" w:hAnsi="Arial" w:eastAsia="Times New Roman" w:cs="Arial"/>
          <w:sz w:val="20"/>
          <w:szCs w:val="20"/>
          <w:lang w:val="nl-NL" w:eastAsia="nl-NL"/>
        </w:rPr>
        <w:t>Vpb</w:t>
      </w:r>
      <w:proofErr w:type="spellEnd"/>
      <w:r w:rsidR="00414388">
        <w:rPr>
          <w:rFonts w:ascii="Arial" w:hAnsi="Arial" w:eastAsia="Times New Roman" w:cs="Arial"/>
          <w:sz w:val="20"/>
          <w:szCs w:val="20"/>
          <w:lang w:val="nl-NL" w:eastAsia="nl-NL"/>
        </w:rPr>
        <w:t xml:space="preserve"> 1969)</w:t>
      </w:r>
      <w:r w:rsidR="00C77F35">
        <w:rPr>
          <w:rFonts w:ascii="Arial" w:hAnsi="Arial" w:eastAsia="Times New Roman" w:cs="Arial"/>
          <w:sz w:val="20"/>
          <w:szCs w:val="20"/>
          <w:lang w:val="nl-NL" w:eastAsia="nl-NL"/>
        </w:rPr>
        <w:t xml:space="preserve">, </w:t>
      </w:r>
      <w:r w:rsidR="00202644">
        <w:rPr>
          <w:rFonts w:ascii="Arial" w:hAnsi="Arial" w:eastAsia="Times New Roman" w:cs="Arial"/>
          <w:sz w:val="20"/>
          <w:szCs w:val="20"/>
          <w:lang w:val="nl-NL" w:eastAsia="nl-NL"/>
        </w:rPr>
        <w:t xml:space="preserve">niet </w:t>
      </w:r>
      <w:r w:rsidR="00C77F35">
        <w:rPr>
          <w:rFonts w:ascii="Arial" w:hAnsi="Arial" w:eastAsia="Times New Roman" w:cs="Arial"/>
          <w:sz w:val="20"/>
          <w:szCs w:val="20"/>
          <w:lang w:val="nl-NL" w:eastAsia="nl-NL"/>
        </w:rPr>
        <w:t xml:space="preserve">in aanmerking komt voor </w:t>
      </w:r>
      <w:r w:rsidRPr="00143536" w:rsidR="00251D53">
        <w:rPr>
          <w:rFonts w:ascii="Arial" w:hAnsi="Arial" w:eastAsia="Times New Roman" w:cs="Arial"/>
          <w:sz w:val="20"/>
          <w:szCs w:val="20"/>
          <w:lang w:val="nl-NL" w:eastAsia="nl-NL"/>
        </w:rPr>
        <w:t>de verdragsvoordelen</w:t>
      </w:r>
      <w:r w:rsidR="00C77F35">
        <w:rPr>
          <w:rFonts w:ascii="Arial" w:hAnsi="Arial" w:eastAsia="Times New Roman" w:cs="Arial"/>
          <w:sz w:val="20"/>
          <w:szCs w:val="20"/>
          <w:lang w:val="nl-NL" w:eastAsia="nl-NL"/>
        </w:rPr>
        <w:t xml:space="preserve">, hetgeen </w:t>
      </w:r>
      <w:r w:rsidRPr="00B70E83" w:rsidR="00B70E83">
        <w:rPr>
          <w:rFonts w:ascii="Arial" w:hAnsi="Arial" w:eastAsia="Times New Roman" w:cs="Arial"/>
          <w:sz w:val="20"/>
          <w:szCs w:val="20"/>
          <w:lang w:val="nl-NL" w:eastAsia="nl-NL"/>
        </w:rPr>
        <w:t xml:space="preserve">in lijn </w:t>
      </w:r>
      <w:r w:rsidR="00C77F35">
        <w:rPr>
          <w:rFonts w:ascii="Arial" w:hAnsi="Arial" w:eastAsia="Times New Roman" w:cs="Arial"/>
          <w:sz w:val="20"/>
          <w:szCs w:val="20"/>
          <w:lang w:val="nl-NL" w:eastAsia="nl-NL"/>
        </w:rPr>
        <w:t xml:space="preserve">is </w:t>
      </w:r>
      <w:r w:rsidRPr="00B70E83" w:rsidR="00B70E83">
        <w:rPr>
          <w:rFonts w:ascii="Arial" w:hAnsi="Arial" w:eastAsia="Times New Roman" w:cs="Arial"/>
          <w:sz w:val="20"/>
          <w:szCs w:val="20"/>
          <w:lang w:val="nl-NL" w:eastAsia="nl-NL"/>
        </w:rPr>
        <w:t xml:space="preserve">met het </w:t>
      </w:r>
      <w:r w:rsidR="00C77F35">
        <w:rPr>
          <w:rFonts w:ascii="Arial" w:hAnsi="Arial" w:eastAsia="Times New Roman" w:cs="Arial"/>
          <w:sz w:val="20"/>
          <w:szCs w:val="20"/>
          <w:lang w:val="nl-NL" w:eastAsia="nl-NL"/>
        </w:rPr>
        <w:t>verdrags</w:t>
      </w:r>
      <w:r w:rsidRPr="00B70E83" w:rsidR="00B70E83">
        <w:rPr>
          <w:rFonts w:ascii="Arial" w:hAnsi="Arial" w:eastAsia="Times New Roman" w:cs="Arial"/>
          <w:sz w:val="20"/>
          <w:szCs w:val="20"/>
          <w:lang w:val="nl-NL" w:eastAsia="nl-NL"/>
        </w:rPr>
        <w:t xml:space="preserve">beleid zoals </w:t>
      </w:r>
      <w:r w:rsidR="00C77F35">
        <w:rPr>
          <w:rFonts w:ascii="Arial" w:hAnsi="Arial" w:eastAsia="Times New Roman" w:cs="Arial"/>
          <w:sz w:val="20"/>
          <w:szCs w:val="20"/>
          <w:lang w:val="nl-NL" w:eastAsia="nl-NL"/>
        </w:rPr>
        <w:t xml:space="preserve">verwoord </w:t>
      </w:r>
      <w:r w:rsidRPr="00B70E83" w:rsidR="00B70E83">
        <w:rPr>
          <w:rFonts w:ascii="Arial" w:hAnsi="Arial" w:eastAsia="Times New Roman" w:cs="Arial"/>
          <w:sz w:val="20"/>
          <w:szCs w:val="20"/>
          <w:lang w:val="nl-NL" w:eastAsia="nl-NL"/>
        </w:rPr>
        <w:t xml:space="preserve">in onderdeel 2.2.1 van de NFV 2011 en </w:t>
      </w:r>
      <w:r w:rsidR="00C77F35">
        <w:rPr>
          <w:rFonts w:ascii="Arial" w:hAnsi="Arial" w:eastAsia="Times New Roman" w:cs="Arial"/>
          <w:sz w:val="20"/>
          <w:szCs w:val="20"/>
          <w:lang w:val="nl-NL" w:eastAsia="nl-NL"/>
        </w:rPr>
        <w:t xml:space="preserve">met </w:t>
      </w:r>
      <w:r w:rsidRPr="00B70E83" w:rsidR="00B70E83">
        <w:rPr>
          <w:rFonts w:ascii="Arial" w:hAnsi="Arial" w:eastAsia="Times New Roman" w:cs="Arial"/>
          <w:sz w:val="20"/>
          <w:szCs w:val="20"/>
          <w:lang w:val="nl-NL" w:eastAsia="nl-NL"/>
        </w:rPr>
        <w:t>de motie-Omtzigt/Van Vliet.</w:t>
      </w:r>
      <w:r w:rsidR="00B471CB">
        <w:rPr>
          <w:rStyle w:val="FootnoteReference"/>
          <w:rFonts w:ascii="Arial" w:hAnsi="Arial" w:eastAsia="Times New Roman" w:cs="Arial"/>
          <w:sz w:val="20"/>
          <w:szCs w:val="20"/>
          <w:lang w:val="nl-NL" w:eastAsia="nl-NL"/>
        </w:rPr>
        <w:footnoteReference w:id="14"/>
      </w:r>
      <w:r w:rsidR="00C77F35">
        <w:rPr>
          <w:rFonts w:ascii="Arial" w:hAnsi="Arial" w:eastAsia="Times New Roman" w:cs="Arial"/>
          <w:sz w:val="20"/>
          <w:szCs w:val="20"/>
          <w:lang w:val="nl-NL" w:eastAsia="nl-NL"/>
        </w:rPr>
        <w:t xml:space="preserve"> Voor de goede orde </w:t>
      </w:r>
      <w:r w:rsidR="0042290D">
        <w:rPr>
          <w:rFonts w:ascii="Arial" w:hAnsi="Arial" w:eastAsia="Times New Roman" w:cs="Arial"/>
          <w:sz w:val="20"/>
          <w:szCs w:val="20"/>
          <w:lang w:val="nl-NL" w:eastAsia="nl-NL"/>
        </w:rPr>
        <w:t xml:space="preserve">wordt </w:t>
      </w:r>
      <w:r w:rsidR="00C77F35">
        <w:rPr>
          <w:rFonts w:ascii="Arial" w:hAnsi="Arial" w:eastAsia="Times New Roman" w:cs="Arial"/>
          <w:sz w:val="20"/>
          <w:szCs w:val="20"/>
          <w:lang w:val="nl-NL" w:eastAsia="nl-NL"/>
        </w:rPr>
        <w:t xml:space="preserve">nog opgemerkt dat de fiscale beleggingsinstelling in de zin van artikel 28 Wet </w:t>
      </w:r>
      <w:proofErr w:type="spellStart"/>
      <w:r w:rsidR="00C77F35">
        <w:rPr>
          <w:rFonts w:ascii="Arial" w:hAnsi="Arial" w:eastAsia="Times New Roman" w:cs="Arial"/>
          <w:sz w:val="20"/>
          <w:szCs w:val="20"/>
          <w:lang w:val="nl-NL" w:eastAsia="nl-NL"/>
        </w:rPr>
        <w:t>Vpb</w:t>
      </w:r>
      <w:proofErr w:type="spellEnd"/>
      <w:r w:rsidR="00C77F35">
        <w:rPr>
          <w:rFonts w:ascii="Arial" w:hAnsi="Arial" w:eastAsia="Times New Roman" w:cs="Arial"/>
          <w:sz w:val="20"/>
          <w:szCs w:val="20"/>
          <w:lang w:val="nl-NL" w:eastAsia="nl-NL"/>
        </w:rPr>
        <w:t xml:space="preserve"> </w:t>
      </w:r>
      <w:r w:rsidR="00414388">
        <w:rPr>
          <w:rFonts w:ascii="Arial" w:hAnsi="Arial" w:eastAsia="Times New Roman" w:cs="Arial"/>
          <w:sz w:val="20"/>
          <w:szCs w:val="20"/>
          <w:lang w:val="nl-NL" w:eastAsia="nl-NL"/>
        </w:rPr>
        <w:t xml:space="preserve">1969 </w:t>
      </w:r>
      <w:r w:rsidR="00C77F35">
        <w:rPr>
          <w:rFonts w:ascii="Arial" w:hAnsi="Arial" w:eastAsia="Times New Roman" w:cs="Arial"/>
          <w:sz w:val="20"/>
          <w:szCs w:val="20"/>
          <w:lang w:val="nl-NL" w:eastAsia="nl-NL"/>
        </w:rPr>
        <w:t xml:space="preserve">wél als inwoner voor de toepassing van het </w:t>
      </w:r>
      <w:r w:rsidR="00C77F35">
        <w:rPr>
          <w:rFonts w:ascii="Arial" w:hAnsi="Arial" w:eastAsia="Times New Roman" w:cs="Arial"/>
          <w:sz w:val="20"/>
          <w:szCs w:val="20"/>
          <w:lang w:val="nl-NL" w:eastAsia="nl-NL"/>
        </w:rPr>
        <w:lastRenderedPageBreak/>
        <w:t>Verdrag wordt aangemerkt (deze is immers niet van belastingheffing naar het inkomen vrijgesteld), hetgeen ook in artikel V van het Protocol wordt bevestigd.</w:t>
      </w:r>
    </w:p>
    <w:p w:rsidRPr="00EA4696" w:rsidR="00025482" w:rsidP="000708C0" w:rsidRDefault="00025482" w14:paraId="65991220" w14:textId="7D4574D3">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De tweede </w:t>
      </w:r>
      <w:r w:rsidR="008137CB">
        <w:rPr>
          <w:rFonts w:ascii="Arial" w:hAnsi="Arial" w:eastAsia="Times New Roman" w:cs="Times New Roman"/>
          <w:sz w:val="20"/>
          <w:szCs w:val="24"/>
          <w:lang w:val="nl-NL" w:eastAsia="nl-NL"/>
        </w:rPr>
        <w:t>zin</w:t>
      </w:r>
      <w:r w:rsidRPr="00EA4696">
        <w:rPr>
          <w:rFonts w:ascii="Arial" w:hAnsi="Arial" w:eastAsia="Times New Roman" w:cs="Times New Roman"/>
          <w:sz w:val="20"/>
          <w:szCs w:val="24"/>
          <w:lang w:val="nl-NL" w:eastAsia="nl-NL"/>
        </w:rPr>
        <w:t xml:space="preserve"> van het eerste lid maakt duidelijk dat een persoon geen inwoner van een verdragsluitende staat is, wanneer hij in die staat slechts belastingplichtig is voor inkomen verkregen uit bronnen </w:t>
      </w:r>
      <w:r w:rsidR="00414388">
        <w:rPr>
          <w:rFonts w:ascii="Arial" w:hAnsi="Arial" w:eastAsia="Times New Roman" w:cs="Times New Roman"/>
          <w:sz w:val="20"/>
          <w:szCs w:val="24"/>
          <w:lang w:val="nl-NL" w:eastAsia="nl-NL"/>
        </w:rPr>
        <w:t xml:space="preserve">of vermogen </w:t>
      </w:r>
      <w:r w:rsidRPr="00EA4696">
        <w:rPr>
          <w:rFonts w:ascii="Arial" w:hAnsi="Arial" w:eastAsia="Times New Roman" w:cs="Times New Roman"/>
          <w:sz w:val="20"/>
          <w:szCs w:val="24"/>
          <w:lang w:val="nl-NL" w:eastAsia="nl-NL"/>
        </w:rPr>
        <w:t>in die staat.</w:t>
      </w:r>
    </w:p>
    <w:p w:rsidR="00C11003" w:rsidP="000708C0" w:rsidRDefault="00C11003" w14:paraId="2423DC39" w14:textId="207EECA6">
      <w:pPr>
        <w:autoSpaceDE w:val="0"/>
        <w:autoSpaceDN w:val="0"/>
        <w:adjustRightInd w:val="0"/>
        <w:spacing w:after="0" w:line="360" w:lineRule="auto"/>
        <w:ind w:firstLine="567"/>
        <w:rPr>
          <w:rFonts w:ascii="Arial" w:hAnsi="Arial" w:eastAsia="Times New Roman" w:cs="Arial"/>
          <w:sz w:val="20"/>
          <w:szCs w:val="20"/>
          <w:lang w:val="nl-NL" w:eastAsia="nl-NL"/>
        </w:rPr>
      </w:pPr>
      <w:r w:rsidRPr="00C11003">
        <w:rPr>
          <w:rFonts w:ascii="Arial" w:hAnsi="Arial" w:eastAsia="Times New Roman" w:cs="Arial"/>
          <w:sz w:val="20"/>
          <w:szCs w:val="20"/>
          <w:lang w:val="nl-NL" w:eastAsia="nl-NL"/>
        </w:rPr>
        <w:t xml:space="preserve">Met betrekking tot het eerste lid is, ten slotte, in </w:t>
      </w:r>
      <w:r w:rsidR="00B14853">
        <w:rPr>
          <w:rFonts w:ascii="Arial" w:hAnsi="Arial" w:eastAsia="Times New Roman" w:cs="Arial"/>
          <w:sz w:val="20"/>
          <w:szCs w:val="20"/>
          <w:lang w:val="nl-NL" w:eastAsia="nl-NL"/>
        </w:rPr>
        <w:t>a</w:t>
      </w:r>
      <w:r w:rsidRPr="00C11003">
        <w:rPr>
          <w:rFonts w:ascii="Arial" w:hAnsi="Arial" w:eastAsia="Times New Roman" w:cs="Arial"/>
          <w:sz w:val="20"/>
          <w:szCs w:val="20"/>
          <w:lang w:val="nl-NL" w:eastAsia="nl-NL"/>
        </w:rPr>
        <w:t>rtikel III van het Protocol de waarborg opgenomen dat een natuurlijke persoon</w:t>
      </w:r>
      <w:r w:rsidR="00201CF4">
        <w:rPr>
          <w:rFonts w:ascii="Arial" w:hAnsi="Arial" w:eastAsia="Times New Roman" w:cs="Arial"/>
          <w:sz w:val="20"/>
          <w:szCs w:val="20"/>
          <w:lang w:val="nl-NL" w:eastAsia="nl-NL"/>
        </w:rPr>
        <w:t>,</w:t>
      </w:r>
      <w:r w:rsidRPr="00C11003">
        <w:rPr>
          <w:rFonts w:ascii="Arial" w:hAnsi="Arial" w:eastAsia="Times New Roman" w:cs="Arial"/>
          <w:sz w:val="20"/>
          <w:szCs w:val="20"/>
          <w:lang w:val="nl-NL" w:eastAsia="nl-NL"/>
        </w:rPr>
        <w:t xml:space="preserve"> die naar de feiten en omstandigheden beoordeeld aan boord van een schip woont dat </w:t>
      </w:r>
      <w:r>
        <w:rPr>
          <w:rFonts w:ascii="Arial" w:hAnsi="Arial" w:eastAsia="Times New Roman" w:cs="Arial"/>
          <w:sz w:val="20"/>
          <w:szCs w:val="20"/>
          <w:lang w:val="nl-NL" w:eastAsia="nl-NL"/>
        </w:rPr>
        <w:t xml:space="preserve">de </w:t>
      </w:r>
      <w:r w:rsidRPr="00C11003">
        <w:rPr>
          <w:rFonts w:ascii="Arial" w:hAnsi="Arial" w:eastAsia="Times New Roman" w:cs="Arial"/>
          <w:sz w:val="20"/>
          <w:szCs w:val="20"/>
          <w:lang w:val="nl-NL" w:eastAsia="nl-NL"/>
        </w:rPr>
        <w:t>thuishaven in een verdragsluitende staat heeft</w:t>
      </w:r>
      <w:r w:rsidR="00201CF4">
        <w:rPr>
          <w:rFonts w:ascii="Arial" w:hAnsi="Arial" w:eastAsia="Times New Roman" w:cs="Arial"/>
          <w:sz w:val="20"/>
          <w:szCs w:val="20"/>
          <w:lang w:val="nl-NL" w:eastAsia="nl-NL"/>
        </w:rPr>
        <w:t>,</w:t>
      </w:r>
      <w:r w:rsidRPr="00C11003">
        <w:rPr>
          <w:rFonts w:ascii="Arial" w:hAnsi="Arial" w:eastAsia="Times New Roman" w:cs="Arial"/>
          <w:sz w:val="20"/>
          <w:szCs w:val="20"/>
          <w:lang w:val="nl-NL" w:eastAsia="nl-NL"/>
        </w:rPr>
        <w:t xml:space="preserve"> onder de werkingssfeer van het Verdrag valt. Dit moet worden gezien tegen de achtergrond van artikel 4, eerste en tweede lid, van de Algemene wet inzake rijksbelastingen, waarin – kort gezegd – is bepaald dat een persoon die aan boord van een schip woont</w:t>
      </w:r>
      <w:r>
        <w:rPr>
          <w:rFonts w:ascii="Arial" w:hAnsi="Arial" w:eastAsia="Times New Roman" w:cs="Arial"/>
          <w:sz w:val="20"/>
          <w:szCs w:val="20"/>
          <w:lang w:val="nl-NL" w:eastAsia="nl-NL"/>
        </w:rPr>
        <w:t xml:space="preserve"> met een Nederlandse thuishaven</w:t>
      </w:r>
      <w:r w:rsidRPr="00C11003">
        <w:rPr>
          <w:rFonts w:ascii="Arial" w:hAnsi="Arial" w:eastAsia="Times New Roman" w:cs="Arial"/>
          <w:sz w:val="20"/>
          <w:szCs w:val="20"/>
          <w:lang w:val="nl-NL" w:eastAsia="nl-NL"/>
        </w:rPr>
        <w:t>, geacht wordt zijn woo</w:t>
      </w:r>
      <w:r>
        <w:rPr>
          <w:rFonts w:ascii="Arial" w:hAnsi="Arial" w:eastAsia="Times New Roman" w:cs="Arial"/>
          <w:sz w:val="20"/>
          <w:szCs w:val="20"/>
          <w:lang w:val="nl-NL" w:eastAsia="nl-NL"/>
        </w:rPr>
        <w:t>nplaats in Nederland te hebben.</w:t>
      </w:r>
    </w:p>
    <w:p w:rsidRPr="00EA4696" w:rsidR="00EA4696" w:rsidP="000708C0" w:rsidRDefault="00EA4696" w14:paraId="4C726BBA" w14:textId="55BFC0E4">
      <w:pPr>
        <w:autoSpaceDE w:val="0"/>
        <w:autoSpaceDN w:val="0"/>
        <w:adjustRightInd w:val="0"/>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Het tweede lid bevat regels om de woonstaat van een natuurlijke persoon voor de toepassing van het Verdrag vast te stellen in het geval deze persoon volgens de nationale wetgevingen van beide verdragsluitende staten wordt aangemerkt als inwoner. </w:t>
      </w:r>
      <w:r w:rsidR="008A0E50">
        <w:rPr>
          <w:rFonts w:ascii="Arial" w:hAnsi="Arial" w:eastAsia="Times New Roman" w:cs="Times New Roman"/>
          <w:sz w:val="20"/>
          <w:szCs w:val="24"/>
          <w:lang w:val="nl-NL" w:eastAsia="nl-NL"/>
        </w:rPr>
        <w:t>Indien op grond van de genoemde</w:t>
      </w:r>
      <w:r w:rsidRPr="00EA4696">
        <w:rPr>
          <w:rFonts w:ascii="Arial" w:hAnsi="Arial" w:eastAsia="Times New Roman" w:cs="Times New Roman"/>
          <w:sz w:val="20"/>
          <w:szCs w:val="24"/>
          <w:lang w:val="nl-NL" w:eastAsia="nl-NL"/>
        </w:rPr>
        <w:t xml:space="preserve"> factoren de woonplaats niet kan worden vastgesteld, zullen de bevoegde autoriteiten in onderling overleg bepalen van welke verdragsluitende staat deze persoon </w:t>
      </w:r>
      <w:r w:rsidRPr="00EA4696">
        <w:rPr>
          <w:rFonts w:ascii="Arial" w:hAnsi="Arial" w:eastAsia="Times New Roman" w:cs="Arial"/>
          <w:sz w:val="20"/>
          <w:szCs w:val="20"/>
          <w:lang w:val="nl-NL" w:eastAsia="nl-NL"/>
        </w:rPr>
        <w:t>geacht zal worden inwoner te zijn</w:t>
      </w:r>
      <w:r w:rsidR="008A0E50">
        <w:rPr>
          <w:rFonts w:ascii="Arial" w:hAnsi="Arial" w:eastAsia="Times New Roman" w:cs="Arial"/>
          <w:sz w:val="20"/>
          <w:szCs w:val="20"/>
          <w:lang w:val="nl-NL" w:eastAsia="nl-NL"/>
        </w:rPr>
        <w:t xml:space="preserve"> onder het Verdrag</w:t>
      </w:r>
      <w:r w:rsidRPr="00EA4696">
        <w:rPr>
          <w:rFonts w:ascii="Arial" w:hAnsi="Arial" w:eastAsia="Times New Roman" w:cs="Arial"/>
          <w:sz w:val="20"/>
          <w:szCs w:val="20"/>
          <w:lang w:val="nl-NL" w:eastAsia="nl-NL"/>
        </w:rPr>
        <w:t>.</w:t>
      </w:r>
    </w:p>
    <w:p w:rsidRPr="00025482" w:rsidR="00F53E38" w:rsidP="000708C0" w:rsidRDefault="00EA4696" w14:paraId="6E3E1F5E" w14:textId="06FDAB22">
      <w:pPr>
        <w:spacing w:after="0" w:line="360" w:lineRule="auto"/>
        <w:ind w:firstLine="567"/>
        <w:rPr>
          <w:rFonts w:ascii="Arial" w:hAnsi="Arial" w:eastAsia="Times New Roman" w:cs="Arial"/>
          <w:sz w:val="20"/>
          <w:szCs w:val="20"/>
          <w:lang w:val="nl-NL" w:eastAsia="nl-NL"/>
        </w:rPr>
      </w:pPr>
      <w:r w:rsidRPr="00EA4696">
        <w:rPr>
          <w:rFonts w:ascii="Arial" w:hAnsi="Arial" w:eastAsia="Times New Roman" w:cs="Arial"/>
          <w:sz w:val="20"/>
          <w:szCs w:val="20"/>
          <w:lang w:val="nl-NL" w:eastAsia="nl-NL"/>
        </w:rPr>
        <w:t xml:space="preserve">Het derde lid bevat de zogenoemde </w:t>
      </w:r>
      <w:r w:rsidRPr="00EA4696">
        <w:rPr>
          <w:rFonts w:ascii="Arial" w:hAnsi="Arial" w:eastAsia="Times New Roman" w:cs="Arial"/>
          <w:i/>
          <w:sz w:val="20"/>
          <w:szCs w:val="20"/>
          <w:lang w:val="nl-NL" w:eastAsia="nl-NL"/>
        </w:rPr>
        <w:t xml:space="preserve">’corporate </w:t>
      </w:r>
      <w:proofErr w:type="spellStart"/>
      <w:r w:rsidRPr="00EA4696">
        <w:rPr>
          <w:rFonts w:ascii="Arial" w:hAnsi="Arial" w:eastAsia="Times New Roman" w:cs="Arial"/>
          <w:i/>
          <w:sz w:val="20"/>
          <w:szCs w:val="20"/>
          <w:lang w:val="nl-NL" w:eastAsia="nl-NL"/>
        </w:rPr>
        <w:t>tiebreaker</w:t>
      </w:r>
      <w:proofErr w:type="spellEnd"/>
      <w:r w:rsidRPr="00EA4696">
        <w:rPr>
          <w:rFonts w:ascii="Arial" w:hAnsi="Arial" w:eastAsia="Times New Roman" w:cs="Arial"/>
          <w:i/>
          <w:sz w:val="20"/>
          <w:szCs w:val="20"/>
          <w:lang w:val="nl-NL" w:eastAsia="nl-NL"/>
        </w:rPr>
        <w:t>’</w:t>
      </w:r>
      <w:r w:rsidRPr="00EA4696">
        <w:rPr>
          <w:rFonts w:ascii="Arial" w:hAnsi="Arial" w:eastAsia="Times New Roman" w:cs="Arial"/>
          <w:sz w:val="20"/>
          <w:szCs w:val="20"/>
          <w:lang w:val="nl-NL" w:eastAsia="nl-NL"/>
        </w:rPr>
        <w:t xml:space="preserve"> voor situaties waarin een lichaam op grond van de bepalingen van het eerste lid als inwoner van beide verdragsluitende staten wordt beschouwd. </w:t>
      </w:r>
      <w:r w:rsidR="00C11003">
        <w:rPr>
          <w:rFonts w:ascii="Arial" w:hAnsi="Arial" w:eastAsia="Times New Roman" w:cs="Arial"/>
          <w:sz w:val="20"/>
          <w:szCs w:val="20"/>
          <w:lang w:val="nl-NL" w:eastAsia="nl-NL"/>
        </w:rPr>
        <w:t xml:space="preserve">In aansluiting bij het </w:t>
      </w:r>
      <w:r w:rsidR="002F1D2A">
        <w:rPr>
          <w:rFonts w:ascii="Arial" w:hAnsi="Arial" w:eastAsia="Times New Roman" w:cs="Arial"/>
          <w:sz w:val="20"/>
          <w:szCs w:val="20"/>
          <w:lang w:val="nl-NL" w:eastAsia="nl-NL"/>
        </w:rPr>
        <w:t>OESO</w:t>
      </w:r>
      <w:r w:rsidR="00C11003">
        <w:rPr>
          <w:rFonts w:ascii="Arial" w:hAnsi="Arial" w:eastAsia="Times New Roman" w:cs="Arial"/>
          <w:sz w:val="20"/>
          <w:szCs w:val="20"/>
          <w:lang w:val="nl-NL" w:eastAsia="nl-NL"/>
        </w:rPr>
        <w:t xml:space="preserve">-modelverdrag </w:t>
      </w:r>
      <w:r w:rsidR="00FA579A">
        <w:rPr>
          <w:rFonts w:ascii="Arial" w:hAnsi="Arial" w:eastAsia="Times New Roman" w:cs="Arial"/>
          <w:sz w:val="20"/>
          <w:szCs w:val="20"/>
          <w:lang w:val="nl-NL" w:eastAsia="nl-NL"/>
        </w:rPr>
        <w:t>is overeengekomen dat d</w:t>
      </w:r>
      <w:r w:rsidRPr="00EA4696">
        <w:rPr>
          <w:rFonts w:ascii="Arial" w:hAnsi="Arial" w:eastAsia="Times New Roman" w:cs="Arial"/>
          <w:sz w:val="20"/>
          <w:szCs w:val="20"/>
          <w:lang w:val="nl-NL" w:eastAsia="nl-NL"/>
        </w:rPr>
        <w:t xml:space="preserve">e bevoegde autoriteiten in dergelijke situaties met elkaar in overleg </w:t>
      </w:r>
      <w:r w:rsidR="00FA579A">
        <w:rPr>
          <w:rFonts w:ascii="Arial" w:hAnsi="Arial" w:eastAsia="Times New Roman" w:cs="Arial"/>
          <w:sz w:val="20"/>
          <w:szCs w:val="20"/>
          <w:lang w:val="nl-NL" w:eastAsia="nl-NL"/>
        </w:rPr>
        <w:t xml:space="preserve">zullen </w:t>
      </w:r>
      <w:r w:rsidRPr="00EA4696">
        <w:rPr>
          <w:rFonts w:ascii="Arial" w:hAnsi="Arial" w:eastAsia="Times New Roman" w:cs="Arial"/>
          <w:sz w:val="20"/>
          <w:szCs w:val="20"/>
          <w:lang w:val="nl-NL" w:eastAsia="nl-NL"/>
        </w:rPr>
        <w:t xml:space="preserve">treden om het </w:t>
      </w:r>
      <w:proofErr w:type="spellStart"/>
      <w:r w:rsidRPr="00EA4696">
        <w:rPr>
          <w:rFonts w:ascii="Arial" w:hAnsi="Arial" w:eastAsia="Times New Roman" w:cs="Arial"/>
          <w:sz w:val="20"/>
          <w:szCs w:val="20"/>
          <w:lang w:val="nl-NL" w:eastAsia="nl-NL"/>
        </w:rPr>
        <w:t>inwonerschap</w:t>
      </w:r>
      <w:proofErr w:type="spellEnd"/>
      <w:r w:rsidRPr="00EA4696">
        <w:rPr>
          <w:rFonts w:ascii="Arial" w:hAnsi="Arial" w:eastAsia="Times New Roman" w:cs="Arial"/>
          <w:sz w:val="20"/>
          <w:szCs w:val="20"/>
          <w:lang w:val="nl-NL" w:eastAsia="nl-NL"/>
        </w:rPr>
        <w:t xml:space="preserve"> van het lichaam voor de toepassing van het Verdrag te bepalen. Daarbij zal rekening worden gehouden met de plaats van feitelijke 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 geen overeenstemming over wordt bereikt, heeft het lichaam geen recht op een </w:t>
      </w:r>
      <w:r w:rsidR="00143536">
        <w:rPr>
          <w:rFonts w:ascii="Arial" w:hAnsi="Arial" w:eastAsia="Times New Roman" w:cs="Arial"/>
          <w:sz w:val="20"/>
          <w:szCs w:val="20"/>
          <w:lang w:val="nl-NL" w:eastAsia="nl-NL"/>
        </w:rPr>
        <w:t>belasting</w:t>
      </w:r>
      <w:r w:rsidRPr="00EA4696">
        <w:rPr>
          <w:rFonts w:ascii="Arial" w:hAnsi="Arial" w:eastAsia="Times New Roman" w:cs="Arial"/>
          <w:sz w:val="20"/>
          <w:szCs w:val="20"/>
          <w:lang w:val="nl-NL" w:eastAsia="nl-NL"/>
        </w:rPr>
        <w:t xml:space="preserve">vermindering of </w:t>
      </w:r>
      <w:r w:rsidR="0042290D">
        <w:rPr>
          <w:rFonts w:ascii="Arial" w:hAnsi="Arial" w:eastAsia="Times New Roman" w:cs="Arial"/>
          <w:sz w:val="20"/>
          <w:szCs w:val="20"/>
          <w:lang w:val="nl-NL" w:eastAsia="nl-NL"/>
        </w:rPr>
        <w:t>-</w:t>
      </w:r>
      <w:r w:rsidRPr="00EA4696">
        <w:rPr>
          <w:rFonts w:ascii="Arial" w:hAnsi="Arial" w:eastAsia="Times New Roman" w:cs="Arial"/>
          <w:sz w:val="20"/>
          <w:szCs w:val="20"/>
          <w:lang w:val="nl-NL" w:eastAsia="nl-NL"/>
        </w:rPr>
        <w:t>vrijstelling op grond van het Verdrag</w:t>
      </w:r>
      <w:r w:rsidR="00FA579A">
        <w:rPr>
          <w:rFonts w:ascii="Arial" w:hAnsi="Arial" w:eastAsia="Times New Roman" w:cs="Arial"/>
          <w:sz w:val="20"/>
          <w:szCs w:val="20"/>
          <w:lang w:val="nl-NL" w:eastAsia="nl-NL"/>
        </w:rPr>
        <w:t xml:space="preserve">, behoudens voor zover </w:t>
      </w:r>
      <w:r w:rsidRPr="00EA4696">
        <w:rPr>
          <w:rFonts w:ascii="Arial" w:hAnsi="Arial" w:eastAsia="Times New Roman" w:cs="Arial"/>
          <w:sz w:val="20"/>
          <w:szCs w:val="20"/>
          <w:lang w:val="nl-NL" w:eastAsia="nl-NL"/>
        </w:rPr>
        <w:t xml:space="preserve">de bevoegde autoriteiten </w:t>
      </w:r>
      <w:r w:rsidR="00FA579A">
        <w:rPr>
          <w:rFonts w:ascii="Arial" w:hAnsi="Arial" w:eastAsia="Times New Roman" w:cs="Arial"/>
          <w:sz w:val="20"/>
          <w:szCs w:val="20"/>
          <w:lang w:val="nl-NL" w:eastAsia="nl-NL"/>
        </w:rPr>
        <w:t>anders overeenkomen</w:t>
      </w:r>
      <w:r w:rsidR="00025482">
        <w:rPr>
          <w:rFonts w:ascii="Arial" w:hAnsi="Arial" w:eastAsia="Times New Roman" w:cs="Arial"/>
          <w:sz w:val="20"/>
          <w:szCs w:val="20"/>
          <w:lang w:val="nl-NL" w:eastAsia="nl-NL"/>
        </w:rPr>
        <w:t xml:space="preserve">. </w:t>
      </w:r>
    </w:p>
    <w:p w:rsidRPr="00F53E38" w:rsidR="00A72FAF" w:rsidP="000708C0" w:rsidRDefault="00A72FAF" w14:paraId="76E59118" w14:textId="32F62C9C">
      <w:pPr>
        <w:pStyle w:val="Heading2"/>
        <w:ind w:hanging="284"/>
        <w:rPr>
          <w:b w:val="0"/>
          <w:i/>
          <w:lang w:val="nl-NL"/>
        </w:rPr>
      </w:pPr>
      <w:r w:rsidRPr="00F53E38">
        <w:rPr>
          <w:b w:val="0"/>
          <w:i/>
          <w:lang w:val="nl-NL"/>
        </w:rPr>
        <w:t>Vaste inrichting (artikel 5</w:t>
      </w:r>
      <w:r w:rsidRPr="00D63B02" w:rsidR="00D63B02">
        <w:rPr>
          <w:b w:val="0"/>
          <w:i/>
          <w:lang w:val="nl-NL"/>
        </w:rPr>
        <w:t xml:space="preserve"> van het Verdrag</w:t>
      </w:r>
      <w:r w:rsidR="009E043A">
        <w:rPr>
          <w:b w:val="0"/>
          <w:i/>
          <w:lang w:val="nl-NL"/>
        </w:rPr>
        <w:t xml:space="preserve"> en </w:t>
      </w:r>
      <w:r w:rsidR="009461E5">
        <w:rPr>
          <w:b w:val="0"/>
          <w:i/>
          <w:lang w:val="nl-NL"/>
        </w:rPr>
        <w:t xml:space="preserve">artikel </w:t>
      </w:r>
      <w:r w:rsidR="009E043A">
        <w:rPr>
          <w:b w:val="0"/>
          <w:i/>
          <w:lang w:val="nl-NL"/>
        </w:rPr>
        <w:t>IV</w:t>
      </w:r>
      <w:r w:rsidR="009461E5">
        <w:rPr>
          <w:b w:val="0"/>
          <w:i/>
          <w:lang w:val="nl-NL"/>
        </w:rPr>
        <w:t xml:space="preserve"> van het Protocol</w:t>
      </w:r>
      <w:r w:rsidRPr="00F53E38">
        <w:rPr>
          <w:b w:val="0"/>
          <w:i/>
          <w:lang w:val="nl-NL"/>
        </w:rPr>
        <w:t>)</w:t>
      </w:r>
      <w:r w:rsidRPr="00F53E38" w:rsidR="00F53E38">
        <w:rPr>
          <w:b w:val="0"/>
          <w:i/>
          <w:lang w:val="nl-NL"/>
        </w:rPr>
        <w:t xml:space="preserve"> </w:t>
      </w:r>
    </w:p>
    <w:p w:rsidRPr="00A72FAF" w:rsidR="00A72FAF" w:rsidP="000708C0" w:rsidRDefault="00A72FAF" w14:paraId="6C7DA728" w14:textId="548EEC30">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5 definieert het begrip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Dit begrip is vooral van belang voor de verdeling van heffingsrechten over ondernemingswinsten volgens artikel 7 van het Verdrag.</w:t>
      </w:r>
      <w:r w:rsidRPr="006971A8" w:rsidR="006971A8">
        <w:rPr>
          <w:rFonts w:ascii="Arial" w:hAnsi="Arial" w:eastAsia="Times New Roman" w:cs="Times New Roman"/>
          <w:sz w:val="20"/>
          <w:szCs w:val="24"/>
          <w:lang w:val="nl-NL" w:eastAsia="nl-NL"/>
        </w:rPr>
        <w:t xml:space="preserve"> </w:t>
      </w:r>
      <w:r w:rsidR="00C35A8F">
        <w:rPr>
          <w:rFonts w:ascii="Arial" w:hAnsi="Arial" w:eastAsia="Times New Roman" w:cs="Times New Roman"/>
          <w:sz w:val="20"/>
          <w:szCs w:val="24"/>
          <w:lang w:val="nl-NL" w:eastAsia="nl-NL"/>
        </w:rPr>
        <w:t xml:space="preserve">Het artikel </w:t>
      </w:r>
      <w:r w:rsidR="00B5652F">
        <w:rPr>
          <w:rFonts w:ascii="Arial" w:hAnsi="Arial" w:eastAsia="Times New Roman" w:cs="Times New Roman"/>
          <w:sz w:val="20"/>
          <w:szCs w:val="24"/>
          <w:lang w:val="nl-NL" w:eastAsia="nl-NL"/>
        </w:rPr>
        <w:t>is</w:t>
      </w:r>
      <w:r w:rsidR="00C35A8F">
        <w:rPr>
          <w:rFonts w:ascii="Arial" w:hAnsi="Arial" w:eastAsia="Times New Roman" w:cs="Times New Roman"/>
          <w:sz w:val="20"/>
          <w:szCs w:val="24"/>
          <w:lang w:val="nl-NL" w:eastAsia="nl-NL"/>
        </w:rPr>
        <w:t>,</w:t>
      </w:r>
      <w:r w:rsidR="006971A8">
        <w:rPr>
          <w:rFonts w:ascii="Arial" w:hAnsi="Arial" w:eastAsia="Times New Roman" w:cs="Times New Roman"/>
          <w:sz w:val="20"/>
          <w:szCs w:val="24"/>
          <w:lang w:val="nl-NL" w:eastAsia="nl-NL"/>
        </w:rPr>
        <w:t xml:space="preserve"> met uitzondering van de </w:t>
      </w:r>
      <w:r w:rsidR="0069415D">
        <w:rPr>
          <w:rFonts w:ascii="Arial" w:hAnsi="Arial" w:eastAsia="Times New Roman" w:cs="Times New Roman"/>
          <w:sz w:val="20"/>
          <w:szCs w:val="24"/>
          <w:lang w:val="nl-NL" w:eastAsia="nl-NL"/>
        </w:rPr>
        <w:t>in</w:t>
      </w:r>
      <w:r w:rsidR="00C35A8F">
        <w:rPr>
          <w:rFonts w:ascii="Arial" w:hAnsi="Arial" w:eastAsia="Times New Roman" w:cs="Times New Roman"/>
          <w:sz w:val="20"/>
          <w:szCs w:val="24"/>
          <w:lang w:val="nl-NL" w:eastAsia="nl-NL"/>
        </w:rPr>
        <w:t xml:space="preserve"> het vierde, vijfde en zesde</w:t>
      </w:r>
      <w:r w:rsidR="0069415D">
        <w:rPr>
          <w:rFonts w:ascii="Arial" w:hAnsi="Arial" w:eastAsia="Times New Roman" w:cs="Times New Roman"/>
          <w:sz w:val="20"/>
          <w:szCs w:val="24"/>
          <w:lang w:val="nl-NL" w:eastAsia="nl-NL"/>
        </w:rPr>
        <w:t xml:space="preserve"> lid opgenomen </w:t>
      </w:r>
      <w:r w:rsidR="006971A8">
        <w:rPr>
          <w:rFonts w:ascii="Arial" w:hAnsi="Arial" w:eastAsia="Times New Roman" w:cs="Times New Roman"/>
          <w:sz w:val="20"/>
          <w:szCs w:val="24"/>
          <w:lang w:val="nl-NL" w:eastAsia="nl-NL"/>
        </w:rPr>
        <w:t>bepalingen over werkzaamheden buitengaats</w:t>
      </w:r>
      <w:r w:rsidR="0069415D">
        <w:rPr>
          <w:rFonts w:ascii="Arial" w:hAnsi="Arial" w:eastAsia="Times New Roman" w:cs="Times New Roman"/>
          <w:sz w:val="20"/>
          <w:szCs w:val="24"/>
          <w:lang w:val="nl-NL" w:eastAsia="nl-NL"/>
        </w:rPr>
        <w:t>,</w:t>
      </w:r>
      <w:r w:rsidR="006971A8">
        <w:rPr>
          <w:rFonts w:ascii="Arial" w:hAnsi="Arial" w:eastAsia="Times New Roman" w:cs="Times New Roman"/>
          <w:sz w:val="20"/>
          <w:szCs w:val="24"/>
          <w:lang w:val="nl-NL" w:eastAsia="nl-NL"/>
        </w:rPr>
        <w:t xml:space="preserve"> </w:t>
      </w:r>
      <w:r w:rsidR="00B5652F">
        <w:rPr>
          <w:rFonts w:ascii="Arial" w:hAnsi="Arial" w:eastAsia="Times New Roman" w:cs="Times New Roman"/>
          <w:sz w:val="20"/>
          <w:szCs w:val="24"/>
          <w:lang w:val="nl-NL" w:eastAsia="nl-NL"/>
        </w:rPr>
        <w:t>gebaseerd op</w:t>
      </w:r>
      <w:r w:rsidR="006971A8">
        <w:rPr>
          <w:rFonts w:ascii="Arial" w:hAnsi="Arial" w:eastAsia="Times New Roman" w:cs="Times New Roman"/>
          <w:sz w:val="20"/>
          <w:szCs w:val="24"/>
          <w:lang w:val="nl-NL" w:eastAsia="nl-NL"/>
        </w:rPr>
        <w:t xml:space="preserve"> artikel 5</w:t>
      </w:r>
      <w:r w:rsidR="009E043A">
        <w:rPr>
          <w:rFonts w:ascii="Arial" w:hAnsi="Arial" w:eastAsia="Times New Roman" w:cs="Times New Roman"/>
          <w:sz w:val="20"/>
          <w:szCs w:val="24"/>
          <w:lang w:val="nl-NL" w:eastAsia="nl-NL"/>
        </w:rPr>
        <w:t xml:space="preserve"> van het OESO-modelverdrag. </w:t>
      </w:r>
    </w:p>
    <w:p w:rsidRPr="00A72FAF" w:rsidR="00A72FAF" w:rsidP="000708C0" w:rsidRDefault="00A72FAF" w14:paraId="4EA243E0" w14:textId="16DF8413">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het eerste lid betekent de uitdrukking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voor de toepassing van het Verdrag een vaste bedrijfsinrichting met behulp waarvan de werkzaamheden van een onderneming geheel of gedeeltelijk worden uitgeoefend. </w:t>
      </w:r>
    </w:p>
    <w:p w:rsidRPr="00A72FAF" w:rsidR="00A72FAF" w:rsidP="000708C0" w:rsidRDefault="00A72FAF" w14:paraId="4212B840" w14:textId="3808320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lastRenderedPageBreak/>
        <w:t xml:space="preserve">Het tweede lid bepaalt vervolgens dat de uitdrukking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in het bijzonder omvat een plaats waar leiding wordt gegeven, een filiaal, een kantoor, een fabriek, een werkplaats, een mijn,</w:t>
      </w:r>
      <w:r w:rsidR="00C35A8F">
        <w:rPr>
          <w:rFonts w:ascii="Arial" w:hAnsi="Arial" w:eastAsia="Times New Roman" w:cs="Times New Roman"/>
          <w:sz w:val="20"/>
          <w:szCs w:val="24"/>
          <w:lang w:val="nl-NL" w:eastAsia="nl-NL"/>
        </w:rPr>
        <w:t xml:space="preserve"> een</w:t>
      </w:r>
      <w:r w:rsidRPr="00A72FAF">
        <w:rPr>
          <w:rFonts w:ascii="Arial" w:hAnsi="Arial" w:eastAsia="Times New Roman" w:cs="Times New Roman"/>
          <w:sz w:val="20"/>
          <w:szCs w:val="24"/>
          <w:lang w:val="nl-NL" w:eastAsia="nl-NL"/>
        </w:rPr>
        <w:t xml:space="preserve"> olie- of gasbron, </w:t>
      </w:r>
      <w:r w:rsidR="00C35A8F">
        <w:rPr>
          <w:rFonts w:ascii="Arial" w:hAnsi="Arial" w:eastAsia="Times New Roman" w:cs="Times New Roman"/>
          <w:sz w:val="20"/>
          <w:szCs w:val="24"/>
          <w:lang w:val="nl-NL" w:eastAsia="nl-NL"/>
        </w:rPr>
        <w:t xml:space="preserve">een </w:t>
      </w:r>
      <w:r w:rsidRPr="00A72FAF">
        <w:rPr>
          <w:rFonts w:ascii="Arial" w:hAnsi="Arial" w:eastAsia="Times New Roman" w:cs="Times New Roman"/>
          <w:sz w:val="20"/>
          <w:szCs w:val="24"/>
          <w:lang w:val="nl-NL" w:eastAsia="nl-NL"/>
        </w:rPr>
        <w:t>groeve of enige andere plaats waar natuurlijke rijkdommen worden gewonnen.</w:t>
      </w:r>
    </w:p>
    <w:p w:rsidRPr="00A72FAF" w:rsidR="00A72FAF" w:rsidP="000708C0" w:rsidRDefault="00A72FAF" w14:paraId="63333ADA" w14:textId="2D74AB7C">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Ingevolge het derde lid vormt</w:t>
      </w:r>
      <w:r w:rsidRPr="00A72FAF">
        <w:rPr>
          <w:rFonts w:ascii="Arial" w:hAnsi="Arial" w:eastAsia="Times New Roman" w:cs="Arial"/>
          <w:sz w:val="20"/>
          <w:szCs w:val="20"/>
          <w:lang w:val="nl-NL" w:eastAsia="nl-NL"/>
        </w:rPr>
        <w:t xml:space="preserve"> een plaats van uitvoering van een bouwwerk of van constructie-, montage- of installatiewerkzaamheden </w:t>
      </w:r>
      <w:r w:rsidRPr="00A72FAF">
        <w:rPr>
          <w:rFonts w:ascii="Arial" w:hAnsi="Arial" w:eastAsia="Times New Roman" w:cs="Times New Roman"/>
          <w:sz w:val="20"/>
          <w:szCs w:val="24"/>
          <w:lang w:val="nl-NL" w:eastAsia="nl-NL"/>
        </w:rPr>
        <w:t xml:space="preserve">alleen dan een vaste inrichting als deze werkzaamheden langer duren dan </w:t>
      </w:r>
      <w:r w:rsidR="00D52F6A">
        <w:rPr>
          <w:rFonts w:ascii="Arial" w:hAnsi="Arial" w:eastAsia="Times New Roman" w:cs="Times New Roman"/>
          <w:sz w:val="20"/>
          <w:szCs w:val="24"/>
          <w:lang w:val="nl-NL" w:eastAsia="nl-NL"/>
        </w:rPr>
        <w:t>twaalf</w:t>
      </w:r>
      <w:r w:rsidRPr="00A72FAF">
        <w:rPr>
          <w:rFonts w:ascii="Arial" w:hAnsi="Arial" w:eastAsia="Times New Roman" w:cs="Times New Roman"/>
          <w:sz w:val="20"/>
          <w:szCs w:val="24"/>
          <w:lang w:val="nl-NL" w:eastAsia="nl-NL"/>
        </w:rPr>
        <w:t xml:space="preserve"> maanden.</w:t>
      </w:r>
    </w:p>
    <w:p w:rsidR="0069415D" w:rsidP="000708C0" w:rsidRDefault="00A72FAF" w14:paraId="5E1A7374" w14:textId="6FE38591">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In het vierde lid is een bepaling opgenomen die betrekking heeft op </w:t>
      </w:r>
      <w:r w:rsidRPr="00A72FAF">
        <w:rPr>
          <w:rFonts w:ascii="Arial" w:hAnsi="Arial" w:eastAsia="Times New Roman" w:cs="Times New Roman"/>
          <w:sz w:val="20"/>
          <w:szCs w:val="24"/>
          <w:lang w:val="nl-NL" w:eastAsia="nl-NL"/>
        </w:rPr>
        <w:t>werkzaamheden die verband houden met de opsporing en winning van natuurlijke rijkdommen binnen de territoriale wateren en de exclusieve economische zone (werkzaamheden buitengaats)</w:t>
      </w:r>
      <w:r w:rsidRPr="00A72FAF">
        <w:rPr>
          <w:rFonts w:ascii="Arial" w:hAnsi="Arial" w:eastAsia="Times New Roman" w:cs="Arial"/>
          <w:sz w:val="20"/>
          <w:szCs w:val="20"/>
          <w:lang w:val="nl-NL" w:eastAsia="nl-NL"/>
        </w:rPr>
        <w:t xml:space="preserve">. Ter zake van die activiteiten wordt een vaste inrichting aanwezig geacht als deze activiteiten </w:t>
      </w:r>
      <w:r w:rsidR="0069415D">
        <w:rPr>
          <w:rFonts w:ascii="Arial" w:hAnsi="Arial" w:eastAsia="Times New Roman" w:cs="Arial"/>
          <w:sz w:val="20"/>
          <w:szCs w:val="20"/>
          <w:lang w:val="nl-NL" w:eastAsia="nl-NL"/>
        </w:rPr>
        <w:t xml:space="preserve">gedurende </w:t>
      </w:r>
      <w:r w:rsidRPr="00A72FAF">
        <w:rPr>
          <w:rFonts w:ascii="Arial" w:hAnsi="Arial" w:eastAsia="Times New Roman" w:cs="Arial"/>
          <w:sz w:val="20"/>
          <w:szCs w:val="20"/>
          <w:lang w:val="nl-NL" w:eastAsia="nl-NL"/>
        </w:rPr>
        <w:t xml:space="preserve">in totaal dertig dagen of meer worden verricht (in een periode van twaalf maanden). Niet vereist is dat die activiteiten worden verricht in een aaneengesloten periode van </w:t>
      </w:r>
      <w:r w:rsidR="00870CDD">
        <w:rPr>
          <w:rFonts w:ascii="Arial" w:hAnsi="Arial" w:eastAsia="Times New Roman" w:cs="Arial"/>
          <w:sz w:val="20"/>
          <w:szCs w:val="20"/>
          <w:lang w:val="nl-NL" w:eastAsia="nl-NL"/>
        </w:rPr>
        <w:t xml:space="preserve">dertig </w:t>
      </w:r>
      <w:r w:rsidRPr="00A72FAF">
        <w:rPr>
          <w:rFonts w:ascii="Arial" w:hAnsi="Arial" w:eastAsia="Times New Roman" w:cs="Arial"/>
          <w:sz w:val="20"/>
          <w:szCs w:val="20"/>
          <w:lang w:val="nl-NL" w:eastAsia="nl-NL"/>
        </w:rPr>
        <w:t>dagen.</w:t>
      </w:r>
    </w:p>
    <w:p w:rsidRPr="00A72FAF" w:rsidR="00A72FAF" w:rsidP="000708C0" w:rsidRDefault="00A72FAF" w14:paraId="3F65A199" w14:textId="1986A68F">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Volgens het vijfde lid worden werkzaamheden met </w:t>
      </w:r>
      <w:r w:rsidRPr="00A72FAF">
        <w:rPr>
          <w:rFonts w:ascii="Arial" w:hAnsi="Arial" w:eastAsia="Times New Roman" w:cs="Times New Roman"/>
          <w:sz w:val="20"/>
          <w:szCs w:val="24"/>
          <w:lang w:val="nl-NL" w:eastAsia="zh-CN" w:bidi="hi-IN"/>
        </w:rPr>
        <w:t xml:space="preserve">een voorbereidend of ondersteunend karakter </w:t>
      </w:r>
      <w:r w:rsidRPr="00A72FAF">
        <w:rPr>
          <w:rFonts w:ascii="Arial" w:hAnsi="Arial" w:eastAsia="Times New Roman" w:cs="Arial"/>
          <w:sz w:val="20"/>
          <w:szCs w:val="20"/>
          <w:lang w:val="nl-NL" w:eastAsia="nl-NL"/>
        </w:rPr>
        <w:t xml:space="preserve">(als bedoeld in </w:t>
      </w:r>
      <w:r w:rsidRPr="00D7098F">
        <w:rPr>
          <w:rFonts w:ascii="Arial" w:hAnsi="Arial" w:eastAsia="Times New Roman" w:cs="Arial"/>
          <w:sz w:val="20"/>
          <w:szCs w:val="20"/>
          <w:lang w:val="nl-NL" w:eastAsia="nl-NL"/>
        </w:rPr>
        <w:t>het zevende lid), sleep- of ankerwerkzaamheden door daartoe ontworpen schepen en het vervoer van</w:t>
      </w:r>
      <w:r w:rsidRPr="00A72FAF">
        <w:rPr>
          <w:rFonts w:ascii="Arial" w:hAnsi="Arial" w:eastAsia="Times New Roman" w:cs="Arial"/>
          <w:sz w:val="20"/>
          <w:szCs w:val="20"/>
          <w:lang w:val="nl-NL" w:eastAsia="nl-NL"/>
        </w:rPr>
        <w:t xml:space="preserve"> voorraden en personeel door schepen of luchtvaartuigen in internationaal verkeer uitgezonderd van het begrip werkzaamheden buitengaats in de zin van het vierde lid. </w:t>
      </w:r>
    </w:p>
    <w:p w:rsidRPr="00A72FAF" w:rsidR="00A72FAF" w:rsidP="000708C0" w:rsidRDefault="00A72FAF" w14:paraId="38F553B5" w14:textId="077B7E82">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t xml:space="preserve">In het zesde lid is opgenomen dat voor de vaststelling of is voldaan aan de </w:t>
      </w:r>
      <w:r w:rsidRPr="00A72FAF">
        <w:rPr>
          <w:rFonts w:ascii="Arial" w:hAnsi="Arial" w:eastAsia="Times New Roman" w:cs="Arial"/>
          <w:sz w:val="20"/>
          <w:szCs w:val="20"/>
          <w:lang w:val="nl-NL" w:eastAsia="nl-NL"/>
        </w:rPr>
        <w:t>termijn voor het constateren van een vaste inrichting ingevolge het vierde lid</w:t>
      </w:r>
      <w:r w:rsidRPr="00A72FAF">
        <w:rPr>
          <w:rFonts w:ascii="Arial" w:hAnsi="Arial" w:eastAsia="Times New Roman" w:cs="Times New Roman"/>
          <w:sz w:val="20"/>
          <w:szCs w:val="24"/>
          <w:lang w:val="nl-NL" w:eastAsia="nl-NL"/>
        </w:rPr>
        <w:t xml:space="preserve"> de samenhangende activiteiten van nauw verbonden ondernemingen bij elkaar worden geteld. Met deze bepaling wordt voorkomen dat de aanwezigheid van een vaste inrichting kan worden ontgaan door activiteiten te verdelen over verschillende verbonden ondernemingen</w:t>
      </w:r>
      <w:r w:rsidR="0069415D">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w:t>
      </w:r>
    </w:p>
    <w:p w:rsidRPr="00A72FAF" w:rsidR="00A72FAF" w:rsidP="000708C0" w:rsidRDefault="00A72FAF" w14:paraId="36991A86" w14:textId="2B007176">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Het zevende lid omschrijft een aantal situaties waarin geen vaste inrichting aanwezig wordt geacht. Het gemeenschappelijke kenmerk van deze situaties is dat het gaat om het aanhouden of gebruiken van een vaste bedrijfsinrichting voor uitsluitend activiteiten van voorbereidende aard of met een ondersteunend karakter</w:t>
      </w:r>
      <w:r w:rsidR="00947EB4">
        <w:rPr>
          <w:rFonts w:ascii="Arial" w:hAnsi="Arial" w:eastAsia="Times New Roman" w:cs="Arial"/>
          <w:sz w:val="20"/>
          <w:szCs w:val="20"/>
          <w:lang w:val="nl-NL" w:eastAsia="nl-NL"/>
        </w:rPr>
        <w:t xml:space="preserve">. </w:t>
      </w:r>
      <w:r w:rsidR="00535E5F">
        <w:rPr>
          <w:rFonts w:ascii="Arial" w:hAnsi="Arial" w:eastAsia="Times New Roman" w:cs="Arial"/>
          <w:sz w:val="20"/>
          <w:szCs w:val="20"/>
          <w:lang w:val="nl-NL" w:eastAsia="nl-NL"/>
        </w:rPr>
        <w:t>H</w:t>
      </w:r>
      <w:r w:rsidRPr="00A72FAF">
        <w:rPr>
          <w:rFonts w:ascii="Arial" w:hAnsi="Arial" w:eastAsia="Times New Roman" w:cs="Arial"/>
          <w:sz w:val="20"/>
          <w:szCs w:val="20"/>
          <w:lang w:val="nl-NL" w:eastAsia="nl-NL"/>
        </w:rPr>
        <w:t xml:space="preserve">et voorbereidende en ondersteunende karakter voor al deze activiteiten </w:t>
      </w:r>
      <w:r w:rsidR="00535E5F">
        <w:rPr>
          <w:rFonts w:ascii="Arial" w:hAnsi="Arial" w:eastAsia="Times New Roman" w:cs="Arial"/>
          <w:sz w:val="20"/>
          <w:szCs w:val="20"/>
          <w:lang w:val="nl-NL" w:eastAsia="nl-NL"/>
        </w:rPr>
        <w:t xml:space="preserve">is </w:t>
      </w:r>
      <w:r w:rsidRPr="00A72FAF">
        <w:rPr>
          <w:rFonts w:ascii="Arial" w:hAnsi="Arial" w:eastAsia="Times New Roman" w:cs="Arial"/>
          <w:sz w:val="20"/>
          <w:szCs w:val="20"/>
          <w:lang w:val="nl-NL" w:eastAsia="nl-NL"/>
        </w:rPr>
        <w:t xml:space="preserve">als expliciete </w:t>
      </w:r>
      <w:r w:rsidR="00947EB4">
        <w:rPr>
          <w:rFonts w:ascii="Arial" w:hAnsi="Arial" w:eastAsia="Times New Roman" w:cs="Arial"/>
          <w:sz w:val="20"/>
          <w:szCs w:val="20"/>
          <w:lang w:val="nl-NL" w:eastAsia="nl-NL"/>
        </w:rPr>
        <w:t>eis vastgelegd</w:t>
      </w:r>
      <w:r w:rsidRPr="00A72FAF">
        <w:rPr>
          <w:rFonts w:ascii="Arial" w:hAnsi="Arial" w:eastAsia="Times New Roman" w:cs="Arial"/>
          <w:sz w:val="20"/>
          <w:szCs w:val="20"/>
          <w:lang w:val="nl-NL" w:eastAsia="nl-NL"/>
        </w:rPr>
        <w:t xml:space="preserve">. </w:t>
      </w:r>
    </w:p>
    <w:p w:rsidR="0056659A" w:rsidP="000708C0" w:rsidRDefault="00934C0A" w14:paraId="2362B052" w14:textId="325AA0CA">
      <w:pPr>
        <w:tabs>
          <w:tab w:val="left" w:pos="709"/>
        </w:tabs>
        <w:spacing w:after="0" w:line="360" w:lineRule="auto"/>
        <w:ind w:firstLine="567"/>
        <w:rPr>
          <w:color w:val="211D1F"/>
          <w:szCs w:val="18"/>
          <w:lang w:val="nl-NL"/>
        </w:rPr>
      </w:pPr>
      <w:r w:rsidRPr="00934C0A">
        <w:rPr>
          <w:rFonts w:ascii="Arial" w:hAnsi="Arial" w:eastAsia="SimSun" w:cs="Arial"/>
          <w:kern w:val="3"/>
          <w:sz w:val="20"/>
          <w:szCs w:val="20"/>
          <w:lang w:val="nl-NL" w:eastAsia="zh-CN" w:bidi="hi-IN"/>
        </w:rPr>
        <w:t xml:space="preserve">Het </w:t>
      </w:r>
      <w:r>
        <w:rPr>
          <w:rFonts w:ascii="Arial" w:hAnsi="Arial" w:eastAsia="SimSun" w:cs="Arial"/>
          <w:kern w:val="3"/>
          <w:sz w:val="20"/>
          <w:szCs w:val="20"/>
          <w:lang w:val="nl-NL" w:eastAsia="zh-CN" w:bidi="hi-IN"/>
        </w:rPr>
        <w:t>achtste lid</w:t>
      </w:r>
      <w:r w:rsidR="00E62662">
        <w:rPr>
          <w:rFonts w:ascii="Arial" w:hAnsi="Arial" w:eastAsia="SimSun" w:cs="Arial"/>
          <w:kern w:val="3"/>
          <w:sz w:val="20"/>
          <w:szCs w:val="20"/>
          <w:lang w:val="nl-NL" w:eastAsia="zh-CN" w:bidi="hi-IN"/>
        </w:rPr>
        <w:t xml:space="preserve"> gaat</w:t>
      </w:r>
      <w:r w:rsidRPr="00934C0A">
        <w:rPr>
          <w:rFonts w:ascii="Arial" w:hAnsi="Arial" w:eastAsia="SimSun" w:cs="Arial"/>
          <w:kern w:val="3"/>
          <w:sz w:val="20"/>
          <w:szCs w:val="20"/>
          <w:lang w:val="nl-NL" w:eastAsia="zh-CN" w:bidi="hi-IN"/>
        </w:rPr>
        <w:t xml:space="preserve"> om situaties waarin een persoon – die geen onafhankelijke vertegenwoordi</w:t>
      </w:r>
      <w:r>
        <w:rPr>
          <w:rFonts w:ascii="Arial" w:hAnsi="Arial" w:eastAsia="SimSun" w:cs="Arial"/>
          <w:kern w:val="3"/>
          <w:sz w:val="20"/>
          <w:szCs w:val="20"/>
          <w:lang w:val="nl-NL" w:eastAsia="zh-CN" w:bidi="hi-IN"/>
        </w:rPr>
        <w:t>ger is als bedoeld in het negende</w:t>
      </w:r>
      <w:r w:rsidRPr="00934C0A">
        <w:rPr>
          <w:rFonts w:ascii="Arial" w:hAnsi="Arial" w:eastAsia="SimSun" w:cs="Arial"/>
          <w:kern w:val="3"/>
          <w:sz w:val="20"/>
          <w:szCs w:val="20"/>
          <w:lang w:val="nl-NL" w:eastAsia="zh-CN" w:bidi="hi-IN"/>
        </w:rPr>
        <w:t xml:space="preserve"> lid – uit de aard van zijn werkzaamheden de onderneming (principaal) in een bepaalde mate betrekt bij economische activiteiten in </w:t>
      </w:r>
      <w:r w:rsidR="00E14707">
        <w:rPr>
          <w:rFonts w:ascii="Arial" w:hAnsi="Arial" w:eastAsia="SimSun" w:cs="Arial"/>
          <w:kern w:val="3"/>
          <w:sz w:val="20"/>
          <w:szCs w:val="20"/>
          <w:lang w:val="nl-NL" w:eastAsia="zh-CN" w:bidi="hi-IN"/>
        </w:rPr>
        <w:t>de</w:t>
      </w:r>
      <w:r w:rsidRPr="00934C0A" w:rsidR="00E14707">
        <w:rPr>
          <w:rFonts w:ascii="Arial" w:hAnsi="Arial" w:eastAsia="SimSun" w:cs="Arial"/>
          <w:kern w:val="3"/>
          <w:sz w:val="20"/>
          <w:szCs w:val="20"/>
          <w:lang w:val="nl-NL" w:eastAsia="zh-CN" w:bidi="hi-IN"/>
        </w:rPr>
        <w:t xml:space="preserve"> </w:t>
      </w:r>
      <w:r w:rsidRPr="00934C0A">
        <w:rPr>
          <w:rFonts w:ascii="Arial" w:hAnsi="Arial" w:eastAsia="SimSun" w:cs="Arial"/>
          <w:kern w:val="3"/>
          <w:sz w:val="20"/>
          <w:szCs w:val="20"/>
          <w:lang w:val="nl-NL" w:eastAsia="zh-CN" w:bidi="hi-IN"/>
        </w:rPr>
        <w:t xml:space="preserve">betreffende </w:t>
      </w:r>
      <w:r w:rsidR="00E14707">
        <w:rPr>
          <w:rFonts w:ascii="Arial" w:hAnsi="Arial" w:eastAsia="SimSun" w:cs="Arial"/>
          <w:kern w:val="3"/>
          <w:sz w:val="20"/>
          <w:szCs w:val="20"/>
          <w:lang w:val="nl-NL" w:eastAsia="zh-CN" w:bidi="hi-IN"/>
        </w:rPr>
        <w:t>verdragsluitende staat</w:t>
      </w:r>
      <w:r w:rsidRPr="00934C0A">
        <w:rPr>
          <w:rFonts w:ascii="Arial" w:hAnsi="Arial" w:eastAsia="SimSun" w:cs="Arial"/>
          <w:kern w:val="3"/>
          <w:sz w:val="20"/>
          <w:szCs w:val="20"/>
          <w:lang w:val="nl-NL" w:eastAsia="zh-CN" w:bidi="hi-IN"/>
        </w:rPr>
        <w:t xml:space="preserve">.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onderneming het gebruiksrecht heeft (onderdeel b) of op het verstrekken van diensten aan een klant door de principaal (onderdeel c). Een vaste inrichting wordt echter niet aanwezig geacht als de activiteiten niet zouden leiden tot een vaste inrichting onder het </w:t>
      </w:r>
      <w:r w:rsidR="006C5DFE">
        <w:rPr>
          <w:rFonts w:ascii="Arial" w:hAnsi="Arial" w:eastAsia="SimSun" w:cs="Arial"/>
          <w:kern w:val="3"/>
          <w:sz w:val="20"/>
          <w:szCs w:val="20"/>
          <w:lang w:val="nl-NL" w:eastAsia="zh-CN" w:bidi="hi-IN"/>
        </w:rPr>
        <w:t>Verdrag</w:t>
      </w:r>
      <w:r w:rsidRPr="00934C0A">
        <w:rPr>
          <w:rFonts w:ascii="Arial" w:hAnsi="Arial" w:eastAsia="SimSun" w:cs="Arial"/>
          <w:kern w:val="3"/>
          <w:sz w:val="20"/>
          <w:szCs w:val="20"/>
          <w:lang w:val="nl-NL" w:eastAsia="zh-CN" w:bidi="hi-IN"/>
        </w:rPr>
        <w:t xml:space="preserve"> als deze activiteiten door de </w:t>
      </w:r>
      <w:r w:rsidRPr="00934C0A">
        <w:rPr>
          <w:rFonts w:ascii="Arial" w:hAnsi="Arial" w:eastAsia="SimSun" w:cs="Arial"/>
          <w:kern w:val="3"/>
          <w:sz w:val="20"/>
          <w:szCs w:val="20"/>
          <w:lang w:val="nl-NL" w:eastAsia="zh-CN" w:bidi="hi-IN"/>
        </w:rPr>
        <w:lastRenderedPageBreak/>
        <w:t xml:space="preserve">onderneming (principaal) zelf zouden worden uitgeoefend vanuit een vaste bedrijfsinrichting in </w:t>
      </w:r>
      <w:r w:rsidR="006C5DFE">
        <w:rPr>
          <w:rFonts w:ascii="Arial" w:hAnsi="Arial" w:eastAsia="SimSun" w:cs="Arial"/>
          <w:kern w:val="3"/>
          <w:sz w:val="20"/>
          <w:szCs w:val="20"/>
          <w:lang w:val="nl-NL" w:eastAsia="zh-CN" w:bidi="hi-IN"/>
        </w:rPr>
        <w:t>de</w:t>
      </w:r>
      <w:r w:rsidRPr="00934C0A" w:rsidR="006C5DFE">
        <w:rPr>
          <w:rFonts w:ascii="Arial" w:hAnsi="Arial" w:eastAsia="SimSun" w:cs="Arial"/>
          <w:kern w:val="3"/>
          <w:sz w:val="20"/>
          <w:szCs w:val="20"/>
          <w:lang w:val="nl-NL" w:eastAsia="zh-CN" w:bidi="hi-IN"/>
        </w:rPr>
        <w:t xml:space="preserve"> </w:t>
      </w:r>
      <w:r w:rsidRPr="00934C0A">
        <w:rPr>
          <w:rFonts w:ascii="Arial" w:hAnsi="Arial" w:eastAsia="SimSun" w:cs="Arial"/>
          <w:kern w:val="3"/>
          <w:sz w:val="20"/>
          <w:szCs w:val="20"/>
          <w:lang w:val="nl-NL" w:eastAsia="zh-CN" w:bidi="hi-IN"/>
        </w:rPr>
        <w:t xml:space="preserve">betreffende </w:t>
      </w:r>
      <w:r w:rsidR="006C5DFE">
        <w:rPr>
          <w:rFonts w:ascii="Arial" w:hAnsi="Arial" w:eastAsia="SimSun" w:cs="Arial"/>
          <w:kern w:val="3"/>
          <w:sz w:val="20"/>
          <w:szCs w:val="20"/>
          <w:lang w:val="nl-NL" w:eastAsia="zh-CN" w:bidi="hi-IN"/>
        </w:rPr>
        <w:t>verdragsluitende staat</w:t>
      </w:r>
      <w:r w:rsidRPr="00934C0A">
        <w:rPr>
          <w:rFonts w:ascii="Arial" w:hAnsi="Arial" w:eastAsia="SimSun" w:cs="Arial"/>
          <w:kern w:val="3"/>
          <w:sz w:val="20"/>
          <w:szCs w:val="20"/>
          <w:lang w:val="nl-NL" w:eastAsia="zh-CN" w:bidi="hi-IN"/>
        </w:rPr>
        <w:t>.</w:t>
      </w:r>
      <w:r w:rsidRPr="00934C0A">
        <w:rPr>
          <w:color w:val="211D1F"/>
          <w:szCs w:val="18"/>
          <w:lang w:val="nl-NL"/>
        </w:rPr>
        <w:t xml:space="preserve"> </w:t>
      </w:r>
    </w:p>
    <w:p w:rsidR="00934C0A" w:rsidP="000708C0" w:rsidRDefault="00934C0A" w14:paraId="4EC210AE" w14:textId="1C632A83">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Het negende</w:t>
      </w:r>
      <w:r w:rsidRPr="00934C0A">
        <w:rPr>
          <w:rFonts w:ascii="Arial" w:hAnsi="Arial" w:eastAsia="SimSun" w:cs="Arial"/>
          <w:kern w:val="3"/>
          <w:sz w:val="20"/>
          <w:szCs w:val="20"/>
          <w:lang w:val="nl-NL" w:eastAsia="zh-CN" w:bidi="hi-IN"/>
        </w:rPr>
        <w:t xml:space="preserve"> lid geeft aan wanneer een persoon die handelt voor een onderneming niet als vaste inrichting moet worden aangemerkt. Daarbij wo</w:t>
      </w:r>
      <w:r w:rsidR="00EB77CC">
        <w:rPr>
          <w:rFonts w:ascii="Arial" w:hAnsi="Arial" w:eastAsia="SimSun" w:cs="Arial"/>
          <w:kern w:val="3"/>
          <w:sz w:val="20"/>
          <w:szCs w:val="20"/>
          <w:lang w:val="nl-NL" w:eastAsia="zh-CN" w:bidi="hi-IN"/>
        </w:rPr>
        <w:t>rdt</w:t>
      </w:r>
      <w:r w:rsidRPr="00934C0A">
        <w:rPr>
          <w:rFonts w:ascii="Arial" w:hAnsi="Arial" w:eastAsia="SimSun" w:cs="Arial"/>
          <w:kern w:val="3"/>
          <w:sz w:val="20"/>
          <w:szCs w:val="20"/>
          <w:lang w:val="nl-NL" w:eastAsia="zh-CN" w:bidi="hi-IN"/>
        </w:rPr>
        <w:t xml:space="preserve"> meer duiding gegeven aan het onafhankelijke karakter van de vertegenwoordiger die voor de onderneming handelt in de normale uitoefening van zijn bedrijf.</w:t>
      </w:r>
    </w:p>
    <w:p w:rsidR="00EB77CC" w:rsidP="000708C0" w:rsidRDefault="00EB77CC" w14:paraId="17BD981F" w14:textId="59D72765">
      <w:pPr>
        <w:spacing w:after="0" w:line="360" w:lineRule="auto"/>
        <w:ind w:firstLine="567"/>
        <w:rPr>
          <w:rFonts w:ascii="Arial" w:hAnsi="Arial" w:eastAsia="Times New Roman" w:cs="Arial"/>
          <w:sz w:val="20"/>
          <w:szCs w:val="20"/>
          <w:lang w:val="nl-NL" w:eastAsia="nl-NL"/>
        </w:rPr>
      </w:pPr>
      <w:r>
        <w:rPr>
          <w:rFonts w:ascii="Arial" w:hAnsi="Arial" w:eastAsia="SimSun" w:cs="Arial"/>
          <w:kern w:val="3"/>
          <w:sz w:val="20"/>
          <w:szCs w:val="20"/>
          <w:lang w:val="nl-NL" w:eastAsia="zh-CN" w:bidi="hi-IN"/>
        </w:rPr>
        <w:t>Het tiende</w:t>
      </w:r>
      <w:r w:rsidRPr="00EB77CC">
        <w:rPr>
          <w:rFonts w:ascii="Arial" w:hAnsi="Arial" w:eastAsia="SimSun" w:cs="Arial"/>
          <w:kern w:val="3"/>
          <w:sz w:val="20"/>
          <w:szCs w:val="20"/>
          <w:lang w:val="nl-NL" w:eastAsia="zh-CN" w:bidi="hi-IN"/>
        </w:rPr>
        <w:t xml:space="preserve"> lid bepaalt dat de enkele omstandigheid dat een lichaam </w:t>
      </w:r>
      <w:r w:rsidR="0056659A">
        <w:rPr>
          <w:rFonts w:ascii="Arial" w:hAnsi="Arial" w:eastAsia="SimSun" w:cs="Arial"/>
          <w:kern w:val="3"/>
          <w:sz w:val="20"/>
          <w:szCs w:val="20"/>
          <w:lang w:val="nl-NL" w:eastAsia="zh-CN" w:bidi="hi-IN"/>
        </w:rPr>
        <w:t>dat</w:t>
      </w:r>
      <w:r w:rsidRPr="00EB77CC" w:rsidR="0056659A">
        <w:rPr>
          <w:rFonts w:ascii="Arial" w:hAnsi="Arial" w:eastAsia="SimSun" w:cs="Arial"/>
          <w:kern w:val="3"/>
          <w:sz w:val="20"/>
          <w:szCs w:val="20"/>
          <w:lang w:val="nl-NL" w:eastAsia="zh-CN" w:bidi="hi-IN"/>
        </w:rPr>
        <w:t xml:space="preserve"> </w:t>
      </w:r>
      <w:r w:rsidRPr="00EB77CC">
        <w:rPr>
          <w:rFonts w:ascii="Arial" w:hAnsi="Arial" w:eastAsia="SimSun" w:cs="Arial"/>
          <w:kern w:val="3"/>
          <w:sz w:val="20"/>
          <w:szCs w:val="20"/>
          <w:lang w:val="nl-NL" w:eastAsia="zh-CN" w:bidi="hi-IN"/>
        </w:rPr>
        <w:t>inwoner is van een verdragsluitende staat, een lichaam beheerst dat in de andere verdragsluitende staat is gevestigd, dan wel in die andere staat door middel van een vaste inrichting of anderszins zaken doet, niet meebrengt dat een van deze lichamen een vaste inrichting vormt van het andere lichaam.</w:t>
      </w:r>
    </w:p>
    <w:p w:rsidRPr="00EB77CC" w:rsidR="00A72FAF" w:rsidP="000708C0" w:rsidRDefault="004F2CD3" w14:paraId="7AC43E24" w14:textId="22CF4972">
      <w:pPr>
        <w:spacing w:after="0" w:line="360" w:lineRule="auto"/>
        <w:ind w:firstLine="567"/>
        <w:rPr>
          <w:rFonts w:ascii="Arial" w:hAnsi="Arial" w:eastAsia="Times New Roman" w:cs="Arial"/>
          <w:sz w:val="20"/>
          <w:szCs w:val="20"/>
          <w:highlight w:val="yellow"/>
          <w:lang w:val="nl-NL" w:eastAsia="nl-NL"/>
        </w:rPr>
      </w:pPr>
      <w:r>
        <w:rPr>
          <w:rFonts w:ascii="Arial" w:hAnsi="Arial" w:eastAsia="SimSun" w:cs="Arial"/>
          <w:kern w:val="3"/>
          <w:sz w:val="20"/>
          <w:szCs w:val="20"/>
          <w:lang w:val="nl-NL" w:eastAsia="zh-CN" w:bidi="hi-IN"/>
        </w:rPr>
        <w:t>In het elfde</w:t>
      </w:r>
      <w:r w:rsidRPr="00A72FAF" w:rsidR="00A72FAF">
        <w:rPr>
          <w:rFonts w:ascii="Arial" w:hAnsi="Arial" w:eastAsia="SimSun" w:cs="Arial"/>
          <w:kern w:val="3"/>
          <w:sz w:val="20"/>
          <w:szCs w:val="20"/>
          <w:lang w:val="nl-NL" w:eastAsia="zh-CN" w:bidi="hi-IN"/>
        </w:rPr>
        <w:t xml:space="preserve"> lid wordt omschreven wanneer een persoon voor de toepassing van artikel 5 nauw verbonden is met een onderneming. Dit is van belang voor de bepalingen in het </w:t>
      </w:r>
      <w:r w:rsidRPr="00C85ED6" w:rsidR="00C85ED6">
        <w:rPr>
          <w:rFonts w:ascii="Arial" w:hAnsi="Arial" w:eastAsia="SimSun" w:cs="Arial"/>
          <w:kern w:val="3"/>
          <w:sz w:val="20"/>
          <w:szCs w:val="20"/>
          <w:lang w:val="nl-NL" w:eastAsia="zh-CN" w:bidi="hi-IN"/>
        </w:rPr>
        <w:t>zesde en in het negende</w:t>
      </w:r>
      <w:r w:rsidRPr="00A72FAF" w:rsidR="00A72FAF">
        <w:rPr>
          <w:rFonts w:ascii="Arial" w:hAnsi="Arial" w:eastAsia="SimSun" w:cs="Arial"/>
          <w:kern w:val="3"/>
          <w:sz w:val="20"/>
          <w:szCs w:val="20"/>
          <w:lang w:val="nl-NL" w:eastAsia="zh-CN" w:bidi="hi-IN"/>
        </w:rPr>
        <w:t xml:space="preserve"> lid. </w:t>
      </w:r>
      <w:r w:rsidRPr="00A72FAF" w:rsidR="00A72FAF">
        <w:rPr>
          <w:rFonts w:ascii="Arial" w:hAnsi="Arial" w:eastAsia="Times New Roman" w:cs="Times New Roman"/>
          <w:sz w:val="20"/>
          <w:szCs w:val="24"/>
          <w:lang w:val="nl-NL" w:eastAsia="nl-NL"/>
        </w:rPr>
        <w:t xml:space="preserve">Daarvan is sprake indien de persoon, gebaseerd op alle feiten en omstandigheden, </w:t>
      </w:r>
      <w:r w:rsidRPr="00A72FAF" w:rsidR="00A72FAF">
        <w:rPr>
          <w:rFonts w:ascii="Arial" w:hAnsi="Arial" w:eastAsia="Times New Roman" w:cs="Arial"/>
          <w:sz w:val="20"/>
          <w:szCs w:val="20"/>
          <w:lang w:val="nl-NL" w:eastAsia="nl-NL"/>
        </w:rPr>
        <w:t>controle heeft over de onderneming of andersom, of dat beiden onder controle staan van dezelfde personen of ondernemingen. Een persoon wordt in ieder geval aangemerkt als nauw verbonden met een onderneming als:</w:t>
      </w:r>
      <w:r w:rsidRPr="00A72FAF" w:rsidR="00A72FAF">
        <w:rPr>
          <w:rFonts w:ascii="Arial" w:hAnsi="Arial" w:eastAsia="Times New Roman" w:cs="Arial"/>
          <w:i/>
          <w:iCs/>
          <w:sz w:val="20"/>
          <w:szCs w:val="20"/>
          <w:lang w:val="nl-NL" w:eastAsia="nl-NL"/>
        </w:rPr>
        <w:t xml:space="preserve"> </w:t>
      </w:r>
      <w:r w:rsidRPr="00A72FAF" w:rsidR="00A72FAF">
        <w:rPr>
          <w:rFonts w:ascii="Arial" w:hAnsi="Arial" w:eastAsia="Times New Roman" w:cs="Arial"/>
          <w:i/>
          <w:iCs/>
          <w:sz w:val="20"/>
          <w:szCs w:val="20"/>
          <w:lang w:val="nl-NL" w:eastAsia="nl-NL"/>
        </w:rPr>
        <w:br/>
        <w:t xml:space="preserve">- </w:t>
      </w:r>
      <w:r w:rsidRPr="00A72FAF" w:rsidR="00A72FAF">
        <w:rPr>
          <w:rFonts w:ascii="Arial" w:hAnsi="Arial" w:eastAsia="Times New Roman" w:cs="Arial"/>
          <w:sz w:val="20"/>
          <w:szCs w:val="20"/>
          <w:lang w:val="nl-NL" w:eastAsia="nl-NL"/>
        </w:rPr>
        <w:t xml:space="preserve">de een direct of indirect meer dan 50% belang heeft in de ander (in het geval van een lichaam, meer dan 50% van het totale aantal stemmen en de waarde van de aandelen van het lichaam of meer dan 50% van het belang als uiteindelijk gerechtigde in het vermogen van het lichaam); of </w:t>
      </w:r>
    </w:p>
    <w:p w:rsidR="00A24F7E" w:rsidP="00367531" w:rsidRDefault="00A72FAF" w14:paraId="5590EDE7" w14:textId="50DBE861">
      <w:pPr>
        <w:tabs>
          <w:tab w:val="left" w:pos="709"/>
        </w:tabs>
        <w:spacing w:after="0" w:line="360" w:lineRule="auto"/>
        <w:rPr>
          <w:rFonts w:ascii="Arial" w:hAnsi="Arial" w:eastAsia="SimSun" w:cs="Arial"/>
          <w:kern w:val="3"/>
          <w:sz w:val="20"/>
          <w:szCs w:val="20"/>
          <w:lang w:val="nl-NL" w:eastAsia="zh-CN" w:bidi="hi-IN"/>
        </w:rPr>
      </w:pPr>
      <w:r w:rsidRPr="00A72FAF">
        <w:rPr>
          <w:rFonts w:ascii="Arial" w:hAnsi="Arial" w:eastAsia="Times New Roman" w:cs="Arial"/>
          <w:sz w:val="20"/>
          <w:szCs w:val="20"/>
          <w:lang w:val="nl-NL" w:eastAsia="nl-NL"/>
        </w:rPr>
        <w:t>- een andere persoon direct of indirect meer dan 50% belang heeft in de persoon en in de onderneming.</w:t>
      </w:r>
      <w:r w:rsidRPr="00A24F7E" w:rsidR="00A24F7E">
        <w:rPr>
          <w:rFonts w:ascii="Arial" w:hAnsi="Arial" w:eastAsia="SimSun" w:cs="Arial"/>
          <w:kern w:val="3"/>
          <w:sz w:val="20"/>
          <w:szCs w:val="20"/>
          <w:lang w:val="nl-NL" w:eastAsia="zh-CN" w:bidi="hi-IN"/>
        </w:rPr>
        <w:t xml:space="preserve"> </w:t>
      </w:r>
    </w:p>
    <w:p w:rsidRPr="00314DCA" w:rsidR="009B4259" w:rsidP="004D6CEB" w:rsidRDefault="005D25A4" w14:paraId="4899BB42" w14:textId="1691BC66">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Artikel IV van het Protocol wo</w:t>
      </w:r>
      <w:r w:rsidR="00314DCA">
        <w:rPr>
          <w:rFonts w:ascii="Arial" w:hAnsi="Arial" w:eastAsia="SimSun" w:cs="Arial"/>
          <w:kern w:val="3"/>
          <w:sz w:val="20"/>
          <w:szCs w:val="20"/>
          <w:lang w:val="nl-NL" w:eastAsia="zh-CN" w:bidi="hi-IN"/>
        </w:rPr>
        <w:t xml:space="preserve">rdt </w:t>
      </w:r>
      <w:r w:rsidR="00F77F73">
        <w:rPr>
          <w:rFonts w:ascii="Arial" w:hAnsi="Arial" w:eastAsia="SimSun" w:cs="Arial"/>
          <w:kern w:val="3"/>
          <w:sz w:val="20"/>
          <w:szCs w:val="20"/>
          <w:lang w:val="nl-NL" w:eastAsia="zh-CN" w:bidi="hi-IN"/>
        </w:rPr>
        <w:t xml:space="preserve">hieronder </w:t>
      </w:r>
      <w:r w:rsidR="00314DCA">
        <w:rPr>
          <w:rFonts w:ascii="Arial" w:hAnsi="Arial" w:eastAsia="SimSun" w:cs="Arial"/>
          <w:kern w:val="3"/>
          <w:sz w:val="20"/>
          <w:szCs w:val="20"/>
          <w:lang w:val="nl-NL" w:eastAsia="zh-CN" w:bidi="hi-IN"/>
        </w:rPr>
        <w:t xml:space="preserve">toegelicht </w:t>
      </w:r>
      <w:r w:rsidR="00F77F73">
        <w:rPr>
          <w:rFonts w:ascii="Arial" w:hAnsi="Arial" w:eastAsia="SimSun" w:cs="Arial"/>
          <w:kern w:val="3"/>
          <w:sz w:val="20"/>
          <w:szCs w:val="20"/>
          <w:lang w:val="nl-NL" w:eastAsia="zh-CN" w:bidi="hi-IN"/>
        </w:rPr>
        <w:t xml:space="preserve">in de toelichting op </w:t>
      </w:r>
      <w:r w:rsidR="00314DCA">
        <w:rPr>
          <w:rFonts w:ascii="Arial" w:hAnsi="Arial" w:eastAsia="SimSun" w:cs="Arial"/>
          <w:kern w:val="3"/>
          <w:sz w:val="20"/>
          <w:szCs w:val="20"/>
          <w:lang w:val="nl-NL" w:eastAsia="zh-CN" w:bidi="hi-IN"/>
        </w:rPr>
        <w:t>artikel 6.</w:t>
      </w:r>
    </w:p>
    <w:p w:rsidRPr="00A72FAF" w:rsidR="00A72FAF" w:rsidP="004D6CEB" w:rsidRDefault="00A72FAF" w14:paraId="5625DEE2" w14:textId="6FF55F3B">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 xml:space="preserve">Inkomsten uit onroerende </w:t>
      </w:r>
      <w:r w:rsidR="00C85ED6">
        <w:rPr>
          <w:rFonts w:ascii="Arial" w:hAnsi="Arial" w:eastAsia="Times New Roman" w:cs="Times New Roman"/>
          <w:bCs/>
          <w:i/>
          <w:iCs/>
          <w:sz w:val="20"/>
          <w:szCs w:val="28"/>
          <w:lang w:val="nl-NL" w:eastAsia="nl-NL"/>
        </w:rPr>
        <w:t xml:space="preserve">zaken (artikel 6 </w:t>
      </w:r>
      <w:r w:rsidR="00D63B02">
        <w:rPr>
          <w:rFonts w:ascii="Arial" w:hAnsi="Arial" w:eastAsia="Times New Roman" w:cs="Times New Roman"/>
          <w:bCs/>
          <w:i/>
          <w:iCs/>
          <w:sz w:val="20"/>
          <w:szCs w:val="28"/>
          <w:lang w:val="nl-NL" w:eastAsia="nl-NL"/>
        </w:rPr>
        <w:t xml:space="preserve">van het Verdrag </w:t>
      </w:r>
      <w:r w:rsidR="00C85ED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C85ED6">
        <w:rPr>
          <w:rFonts w:ascii="Arial" w:hAnsi="Arial" w:eastAsia="Times New Roman" w:cs="Times New Roman"/>
          <w:bCs/>
          <w:i/>
          <w:iCs/>
          <w:sz w:val="20"/>
          <w:szCs w:val="28"/>
          <w:lang w:val="nl-NL" w:eastAsia="nl-NL"/>
        </w:rPr>
        <w:t>IV</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4D6CEB" w:rsidRDefault="00A72FAF" w14:paraId="05E46ECE" w14:textId="415622A8">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6 ziet op inkomsten uit onroerende zaken. Deze bepaling stemt geheel overeen met artikel 6 van het OESO-modelverdrag. </w:t>
      </w:r>
    </w:p>
    <w:p w:rsidRPr="00A72FAF" w:rsidR="00A72FAF" w:rsidP="004D6CEB" w:rsidRDefault="00A72FAF" w14:paraId="277B7B20" w14:textId="335353E5">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het eerste lid is bepaald dat inkomsten die een inwoner van een verdragsluitende staat krijgt uit onroerende zaken (inkomsten uit landbouw- of bosbedrijven daaronder begrepen) gelegen in de andere verdragsluitende staat, in die andere staat mogen worden belast. </w:t>
      </w:r>
    </w:p>
    <w:p w:rsidRPr="00A72FAF" w:rsidR="00A72FAF" w:rsidP="004D6CEB" w:rsidRDefault="00A72FAF" w14:paraId="472F4D7F" w14:textId="360FB391">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het tweede lid heeft de uitdrukking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onroerende zaken</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de betekenis welke die uitdrukking heeft ingevolge het recht van de verdragsluitende staat waar de onroerende zaken zijn gelegen. Het tweede lid bepaalt verder dat de uitdrukking in elk geval omvat zaken die bij de onroerende zaken behoren, levende en dode have van landbouw- en bosbedrijven, rechten waarop de bepalingen van het privaatrecht betreffende de grondeigendom van toepassing zijn, vruchtgebruik van onroerende zaken en rechten op variabele of vaste vergoedingen ter zake van de exploitatie of het recht tot de exploitatie van minerale aardlagen, bronnen en andere natuurlijke rijkdommen. Schepen en luchtvaartuigen worden daarentegen uitdrukkelijk niet beschouwd als onroerende zaken. </w:t>
      </w:r>
    </w:p>
    <w:p w:rsidRPr="00A72FAF" w:rsidR="00A72FAF" w:rsidP="004D6CEB" w:rsidRDefault="00A72FAF" w14:paraId="7CBCD6ED" w14:textId="1CDB46D6">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grond van het derde lid zijn de bepalingen van het eerste lid van toepassing op inkomsten verkregen uit de rechtstreekse exploitatie, het verhuren of </w:t>
      </w:r>
      <w:r w:rsidR="0045364C">
        <w:rPr>
          <w:rFonts w:ascii="Arial" w:hAnsi="Arial" w:eastAsia="Times New Roman" w:cs="Times New Roman"/>
          <w:sz w:val="20"/>
          <w:szCs w:val="24"/>
          <w:lang w:val="nl-NL" w:eastAsia="nl-NL"/>
        </w:rPr>
        <w:t xml:space="preserve">de </w:t>
      </w:r>
      <w:r w:rsidRPr="00A72FAF">
        <w:rPr>
          <w:rFonts w:ascii="Arial" w:hAnsi="Arial" w:eastAsia="Times New Roman" w:cs="Times New Roman"/>
          <w:sz w:val="20"/>
          <w:szCs w:val="24"/>
          <w:lang w:val="nl-NL" w:eastAsia="nl-NL"/>
        </w:rPr>
        <w:t>exploitatie in elke andere vorm van onroerende zaken.</w:t>
      </w:r>
    </w:p>
    <w:p w:rsidRPr="00A72FAF" w:rsidR="00A72FAF" w:rsidP="004D6CEB" w:rsidRDefault="00A72FAF" w14:paraId="738E4179"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lastRenderedPageBreak/>
        <w:t xml:space="preserve">Ingevolge het vierde lid zijn de bepalingen van het eerste en derde lid ook van toepassing op inkomsten uit onroerende zaken van een onderneming. </w:t>
      </w:r>
    </w:p>
    <w:p w:rsidRPr="00A72FAF" w:rsidR="00A72FAF" w:rsidP="004D6CEB" w:rsidRDefault="00A72FAF" w14:paraId="3372B711" w14:textId="335A6DF5">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aanvulling op </w:t>
      </w:r>
      <w:r w:rsidR="0042290D">
        <w:rPr>
          <w:rFonts w:ascii="Arial" w:hAnsi="Arial" w:eastAsia="Times New Roman" w:cs="Times New Roman"/>
          <w:sz w:val="20"/>
          <w:szCs w:val="24"/>
          <w:lang w:val="nl-NL" w:eastAsia="nl-NL"/>
        </w:rPr>
        <w:t xml:space="preserve">de </w:t>
      </w:r>
      <w:r w:rsidRPr="00A72FAF">
        <w:rPr>
          <w:rFonts w:ascii="Arial" w:hAnsi="Arial" w:eastAsia="Times New Roman" w:cs="Times New Roman"/>
          <w:sz w:val="20"/>
          <w:szCs w:val="24"/>
          <w:lang w:val="nl-NL" w:eastAsia="nl-NL"/>
        </w:rPr>
        <w:t>artikel</w:t>
      </w:r>
      <w:r w:rsidR="0042290D">
        <w:rPr>
          <w:rFonts w:ascii="Arial" w:hAnsi="Arial" w:eastAsia="Times New Roman" w:cs="Times New Roman"/>
          <w:sz w:val="20"/>
          <w:szCs w:val="24"/>
          <w:lang w:val="nl-NL" w:eastAsia="nl-NL"/>
        </w:rPr>
        <w:t>en</w:t>
      </w:r>
      <w:r w:rsidRPr="00A72FAF">
        <w:rPr>
          <w:rFonts w:ascii="Arial" w:hAnsi="Arial" w:eastAsia="Times New Roman" w:cs="Times New Roman"/>
          <w:sz w:val="20"/>
          <w:szCs w:val="24"/>
          <w:lang w:val="nl-NL" w:eastAsia="nl-NL"/>
        </w:rPr>
        <w:t xml:space="preserve"> </w:t>
      </w:r>
      <w:r w:rsidR="00F77F73">
        <w:rPr>
          <w:rFonts w:ascii="Arial" w:hAnsi="Arial" w:eastAsia="Times New Roman" w:cs="Times New Roman"/>
          <w:sz w:val="20"/>
          <w:szCs w:val="24"/>
          <w:lang w:val="nl-NL" w:eastAsia="nl-NL"/>
        </w:rPr>
        <w:t xml:space="preserve">5, </w:t>
      </w:r>
      <w:r w:rsidRPr="00A72FAF">
        <w:rPr>
          <w:rFonts w:ascii="Arial" w:hAnsi="Arial" w:eastAsia="Times New Roman" w:cs="Times New Roman"/>
          <w:sz w:val="20"/>
          <w:szCs w:val="24"/>
          <w:lang w:val="nl-NL" w:eastAsia="nl-NL"/>
        </w:rPr>
        <w:t>6</w:t>
      </w:r>
      <w:r w:rsidR="00D77954">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00F77F73">
        <w:rPr>
          <w:rFonts w:ascii="Arial" w:hAnsi="Arial" w:eastAsia="Times New Roman" w:cs="Times New Roman"/>
          <w:sz w:val="20"/>
          <w:szCs w:val="24"/>
          <w:lang w:val="nl-NL" w:eastAsia="nl-NL"/>
        </w:rPr>
        <w:t xml:space="preserve">7 en 13 </w:t>
      </w:r>
      <w:r w:rsidRPr="00A72FAF">
        <w:rPr>
          <w:rFonts w:ascii="Arial" w:hAnsi="Arial" w:eastAsia="Times New Roman" w:cs="Times New Roman"/>
          <w:sz w:val="20"/>
          <w:szCs w:val="24"/>
          <w:lang w:val="nl-NL" w:eastAsia="nl-NL"/>
        </w:rPr>
        <w:t>v</w:t>
      </w:r>
      <w:r w:rsidR="004F2CD3">
        <w:rPr>
          <w:rFonts w:ascii="Arial" w:hAnsi="Arial" w:eastAsia="Times New Roman" w:cs="Times New Roman"/>
          <w:sz w:val="20"/>
          <w:szCs w:val="24"/>
          <w:lang w:val="nl-NL" w:eastAsia="nl-NL"/>
        </w:rPr>
        <w:t>an het Verdrag is in artikel IV</w:t>
      </w:r>
      <w:r w:rsidRPr="00A72FAF">
        <w:rPr>
          <w:rFonts w:ascii="Arial" w:hAnsi="Arial" w:eastAsia="Times New Roman" w:cs="Times New Roman"/>
          <w:sz w:val="20"/>
          <w:szCs w:val="24"/>
          <w:lang w:val="nl-NL" w:eastAsia="nl-NL"/>
        </w:rPr>
        <w:t xml:space="preserve"> van het Protocol vastgelegd dat exploratie- en exploitatierechten ter zake van natuurlijke rijkdommen binnen de territoriale wateren en de exclusieve economische zone van een verdragsluitende staat, </w:t>
      </w:r>
      <w:r w:rsidRPr="00A72FAF">
        <w:rPr>
          <w:rFonts w:ascii="Arial" w:hAnsi="Arial" w:eastAsia="Times New Roman" w:cs="Arial"/>
          <w:sz w:val="20"/>
          <w:szCs w:val="20"/>
          <w:lang w:val="nl-NL" w:eastAsia="nl-NL"/>
        </w:rPr>
        <w:t xml:space="preserve">met inbegrip van rechten op belangen in activa, of op inkomsten daaruit, die voortvloeien uit een dergelijke exploratie of exploitatie, eveneens </w:t>
      </w:r>
      <w:r w:rsidRPr="00A72FAF">
        <w:rPr>
          <w:rFonts w:ascii="Arial" w:hAnsi="Arial" w:eastAsia="Times New Roman" w:cs="Times New Roman"/>
          <w:sz w:val="20"/>
          <w:szCs w:val="24"/>
          <w:lang w:val="nl-NL" w:eastAsia="nl-NL"/>
        </w:rPr>
        <w:t xml:space="preserve">worden aangemerkt als onroerende zaken in die staat en worden geacht te behoren tot de activa van een vaste inrichting in die staat. </w:t>
      </w:r>
      <w:r w:rsidR="0010493C">
        <w:rPr>
          <w:rFonts w:ascii="Arial" w:hAnsi="Arial" w:eastAsia="Times New Roman" w:cs="Times New Roman"/>
          <w:sz w:val="20"/>
          <w:szCs w:val="24"/>
          <w:lang w:val="nl-NL" w:eastAsia="nl-NL"/>
        </w:rPr>
        <w:t xml:space="preserve">Aangezien Liechtenstein </w:t>
      </w:r>
      <w:r w:rsidR="002D3F60">
        <w:rPr>
          <w:rFonts w:ascii="Arial" w:hAnsi="Arial" w:eastAsia="Times New Roman" w:cs="Times New Roman"/>
          <w:sz w:val="20"/>
          <w:szCs w:val="24"/>
          <w:lang w:val="nl-NL" w:eastAsia="nl-NL"/>
        </w:rPr>
        <w:t xml:space="preserve">een </w:t>
      </w:r>
      <w:proofErr w:type="spellStart"/>
      <w:r w:rsidR="002D3F60">
        <w:rPr>
          <w:rFonts w:ascii="Arial" w:hAnsi="Arial" w:eastAsia="Times New Roman" w:cs="Times New Roman"/>
          <w:sz w:val="20"/>
          <w:szCs w:val="24"/>
          <w:lang w:val="nl-NL" w:eastAsia="nl-NL"/>
        </w:rPr>
        <w:t>binnenstaat</w:t>
      </w:r>
      <w:proofErr w:type="spellEnd"/>
      <w:r w:rsidR="002D3F60">
        <w:rPr>
          <w:rFonts w:ascii="Arial" w:hAnsi="Arial" w:eastAsia="Times New Roman" w:cs="Times New Roman"/>
          <w:sz w:val="20"/>
          <w:szCs w:val="24"/>
          <w:lang w:val="nl-NL" w:eastAsia="nl-NL"/>
        </w:rPr>
        <w:t xml:space="preserve"> is en dus </w:t>
      </w:r>
      <w:r w:rsidR="0010493C">
        <w:rPr>
          <w:rFonts w:ascii="Arial" w:hAnsi="Arial" w:eastAsia="Times New Roman" w:cs="Times New Roman"/>
          <w:sz w:val="20"/>
          <w:szCs w:val="24"/>
          <w:lang w:val="nl-NL" w:eastAsia="nl-NL"/>
        </w:rPr>
        <w:t>geheel is omsloten door</w:t>
      </w:r>
      <w:r w:rsidR="0045364C">
        <w:rPr>
          <w:rFonts w:ascii="Arial" w:hAnsi="Arial" w:eastAsia="Times New Roman" w:cs="Times New Roman"/>
          <w:sz w:val="20"/>
          <w:szCs w:val="24"/>
          <w:lang w:val="nl-NL" w:eastAsia="nl-NL"/>
        </w:rPr>
        <w:t xml:space="preserve"> het vasteland van andere</w:t>
      </w:r>
      <w:r w:rsidR="0010493C">
        <w:rPr>
          <w:rFonts w:ascii="Arial" w:hAnsi="Arial" w:eastAsia="Times New Roman" w:cs="Times New Roman"/>
          <w:sz w:val="20"/>
          <w:szCs w:val="24"/>
          <w:lang w:val="nl-NL" w:eastAsia="nl-NL"/>
        </w:rPr>
        <w:t xml:space="preserve"> land</w:t>
      </w:r>
      <w:r w:rsidR="0045364C">
        <w:rPr>
          <w:rFonts w:ascii="Arial" w:hAnsi="Arial" w:eastAsia="Times New Roman" w:cs="Times New Roman"/>
          <w:sz w:val="20"/>
          <w:szCs w:val="24"/>
          <w:lang w:val="nl-NL" w:eastAsia="nl-NL"/>
        </w:rPr>
        <w:t>en</w:t>
      </w:r>
      <w:r w:rsidR="0010493C">
        <w:rPr>
          <w:rFonts w:ascii="Arial" w:hAnsi="Arial" w:eastAsia="Times New Roman" w:cs="Times New Roman"/>
          <w:sz w:val="20"/>
          <w:szCs w:val="24"/>
          <w:lang w:val="nl-NL" w:eastAsia="nl-NL"/>
        </w:rPr>
        <w:t xml:space="preserve">, ziet de bepaling dus praktisch gezien alleen op de </w:t>
      </w:r>
      <w:r w:rsidR="0017571A">
        <w:rPr>
          <w:rFonts w:ascii="Arial" w:hAnsi="Arial" w:eastAsia="Times New Roman" w:cs="Times New Roman"/>
          <w:sz w:val="20"/>
          <w:szCs w:val="24"/>
          <w:lang w:val="nl-NL" w:eastAsia="nl-NL"/>
        </w:rPr>
        <w:t>buitengaatse natuurlijke rijkdommen van Nederland.</w:t>
      </w:r>
    </w:p>
    <w:p w:rsidRPr="00A72FAF" w:rsidR="00A72FAF" w:rsidP="004D6CEB" w:rsidRDefault="00A72FAF" w14:paraId="52E5E79C" w14:textId="1368906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Winst uit onderneming (artikel 7</w:t>
      </w:r>
      <w:r w:rsidR="003B0CA0">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9E043A">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9E043A">
        <w:rPr>
          <w:rFonts w:ascii="Arial" w:hAnsi="Arial" w:eastAsia="Times New Roman" w:cs="Times New Roman"/>
          <w:bCs/>
          <w:i/>
          <w:iCs/>
          <w:sz w:val="20"/>
          <w:szCs w:val="28"/>
          <w:lang w:val="nl-NL" w:eastAsia="nl-NL"/>
        </w:rPr>
        <w:t>IV</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 xml:space="preserve">) </w:t>
      </w:r>
    </w:p>
    <w:p w:rsidRPr="00A72FAF" w:rsidR="00A72FAF" w:rsidP="004D6CEB" w:rsidRDefault="00A72FAF" w14:paraId="58F31CBE" w14:textId="2D797BC4">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Artikel 7 betreft de verdeling van heffingsrechten over ondernemingswinst</w:t>
      </w:r>
      <w:r w:rsidR="004F2CD3">
        <w:rPr>
          <w:rFonts w:ascii="Arial" w:hAnsi="Arial" w:eastAsia="Times New Roman" w:cs="Arial"/>
          <w:sz w:val="20"/>
          <w:szCs w:val="20"/>
          <w:lang w:val="nl-NL" w:eastAsia="nl-NL"/>
        </w:rPr>
        <w:t>en. Deze bepaling stemt, met uitzondering van het derde lid,</w:t>
      </w:r>
      <w:r w:rsidRPr="00A72FAF">
        <w:rPr>
          <w:rFonts w:ascii="Arial" w:hAnsi="Arial" w:eastAsia="Times New Roman" w:cs="Arial"/>
          <w:sz w:val="20"/>
          <w:szCs w:val="20"/>
          <w:lang w:val="nl-NL" w:eastAsia="nl-NL"/>
        </w:rPr>
        <w:t xml:space="preserve"> geheel overeen met artikel 7 van het OESO-modelverdrag.</w:t>
      </w:r>
    </w:p>
    <w:p w:rsidRPr="00A72FAF" w:rsidR="00A72FAF" w:rsidP="004D6CEB" w:rsidRDefault="00A72FAF" w14:paraId="01A29366"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Arial"/>
          <w:sz w:val="20"/>
          <w:szCs w:val="20"/>
          <w:lang w:val="nl-NL" w:eastAsia="nl-NL"/>
        </w:rPr>
        <w:t>Volgens het eerste lid zijn</w:t>
      </w:r>
      <w:r w:rsidRPr="00A72FAF">
        <w:rPr>
          <w:rFonts w:ascii="Arial" w:hAnsi="Arial" w:eastAsia="Times New Roman" w:cs="Times New Roman"/>
          <w:sz w:val="20"/>
          <w:szCs w:val="24"/>
          <w:lang w:val="nl-NL" w:eastAsia="nl-NL"/>
        </w:rPr>
        <w:t xml:space="preserve"> winsten van een onderneming van een verdragsluitende staat slechts in die staat belastbaar, maar mag de andere staat de winsten van die onderneming ook belasten voor zover de winsten zijn toe te rekenen aan een vaste inrichting in die staat.</w:t>
      </w:r>
    </w:p>
    <w:p w:rsidRPr="00A72FAF" w:rsidR="00A72FAF" w:rsidP="004D6CEB" w:rsidRDefault="00A72FAF" w14:paraId="54FD5285"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In het tweede lid is bepaald dat de winst die aan de vaste inrichting wordt toegerekend de winst is die een zelfstandig lichaam geacht zou worden te maken als het onder vergelijkbare omstandigheden vergelijkbare activiteiten zou ontwikkelen (de zogenoemde ‘</w:t>
      </w:r>
      <w:proofErr w:type="spellStart"/>
      <w:r w:rsidRPr="00A72FAF">
        <w:rPr>
          <w:rFonts w:ascii="Arial" w:hAnsi="Arial" w:eastAsia="Times New Roman" w:cs="Times New Roman"/>
          <w:i/>
          <w:sz w:val="20"/>
          <w:szCs w:val="24"/>
          <w:lang w:val="nl-NL" w:eastAsia="nl-NL"/>
        </w:rPr>
        <w:t>functionally</w:t>
      </w:r>
      <w:proofErr w:type="spellEnd"/>
      <w:r w:rsidRPr="00A72FAF">
        <w:rPr>
          <w:rFonts w:ascii="Arial" w:hAnsi="Arial" w:eastAsia="Times New Roman" w:cs="Times New Roman"/>
          <w:i/>
          <w:sz w:val="20"/>
          <w:szCs w:val="24"/>
          <w:lang w:val="nl-NL" w:eastAsia="nl-NL"/>
        </w:rPr>
        <w:t xml:space="preserve"> separate </w:t>
      </w:r>
      <w:proofErr w:type="spellStart"/>
      <w:r w:rsidRPr="00A72FAF">
        <w:rPr>
          <w:rFonts w:ascii="Arial" w:hAnsi="Arial" w:eastAsia="Times New Roman" w:cs="Times New Roman"/>
          <w:i/>
          <w:sz w:val="20"/>
          <w:szCs w:val="24"/>
          <w:lang w:val="nl-NL" w:eastAsia="nl-NL"/>
        </w:rPr>
        <w:t>entity</w:t>
      </w:r>
      <w:proofErr w:type="spellEnd"/>
      <w:r w:rsidRPr="00A72FAF">
        <w:rPr>
          <w:rFonts w:ascii="Arial" w:hAnsi="Arial" w:eastAsia="Times New Roman" w:cs="Times New Roman"/>
          <w:i/>
          <w:sz w:val="20"/>
          <w:szCs w:val="24"/>
          <w:lang w:val="nl-NL" w:eastAsia="nl-NL"/>
        </w:rPr>
        <w:t xml:space="preserve"> approach</w:t>
      </w:r>
      <w:r w:rsidRPr="00A72FAF">
        <w:rPr>
          <w:rFonts w:ascii="Arial" w:hAnsi="Arial" w:eastAsia="Times New Roman" w:cs="Times New Roman"/>
          <w:sz w:val="20"/>
          <w:szCs w:val="24"/>
          <w:lang w:val="nl-NL" w:eastAsia="nl-NL"/>
        </w:rPr>
        <w:t xml:space="preserve">’). </w:t>
      </w:r>
    </w:p>
    <w:p w:rsidRPr="00A72FAF" w:rsidR="00A72FAF" w:rsidP="004D6CEB" w:rsidRDefault="00A72FAF" w14:paraId="1553A770" w14:textId="288DE3B3">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het derde lid is vastgelegd dat ingeval een van de verdragsluitende staten – in overeenstemming met het tweede lid – een winstcorrectie aanbrengt ter zake van een aan een vaste inrichting toe te rekenen winst, de andere staat, ter vermijding van dubbele belasting, een passende correctie aanbrengt indien het met de correctie van </w:t>
      </w:r>
      <w:r w:rsidR="002E6830">
        <w:rPr>
          <w:rFonts w:ascii="Arial" w:hAnsi="Arial" w:eastAsia="Times New Roman" w:cs="Times New Roman"/>
          <w:sz w:val="20"/>
          <w:szCs w:val="24"/>
          <w:lang w:val="nl-NL" w:eastAsia="nl-NL"/>
        </w:rPr>
        <w:t>de</w:t>
      </w:r>
      <w:r w:rsidRPr="00A72FAF" w:rsidR="002E6830">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eerstbedoelde staat instemt. Op dit punt is aangesloten bij de in paragraaf 68 van het commentaar op artikel 7 van het OESO-modelverdrag voorgestelde redactie. Bij het ontbreken van overeenstemming over een correctie, zullen de verdragsluitende staten in onderling overleg daaruit voortvloeiende dubbele belasting vermijden. </w:t>
      </w:r>
    </w:p>
    <w:p w:rsidR="00A72FAF" w:rsidP="004D6CEB" w:rsidRDefault="00A72FAF" w14:paraId="454B40F0" w14:textId="6665072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In het vierde lid is bepaald dat als winsten van een vaste inrichting ook onder een andere bepaling van het Verdrag vallen, die andere bepaling voorgaat. Te denken valt aan de toepassing van artikel 10 ter zake van dividenden die een onderneming van een verdragsluitende staat verkrijgt uit de andere staat.</w:t>
      </w:r>
    </w:p>
    <w:p w:rsidRPr="00A72FAF" w:rsidR="009E043A" w:rsidP="004D6CEB" w:rsidRDefault="009E043A" w14:paraId="3318B7FA" w14:textId="4CD0DEDA">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IV van het Protocol</w:t>
      </w:r>
      <w:r w:rsidR="0017571A">
        <w:rPr>
          <w:rFonts w:ascii="Arial" w:hAnsi="Arial" w:eastAsia="Times New Roman" w:cs="Times New Roman"/>
          <w:sz w:val="20"/>
          <w:szCs w:val="24"/>
          <w:lang w:val="nl-NL" w:eastAsia="nl-NL"/>
        </w:rPr>
        <w:t>, dat mede betrekking heeft op artikel 7,</w:t>
      </w:r>
      <w:r>
        <w:rPr>
          <w:rFonts w:ascii="Arial" w:hAnsi="Arial" w:eastAsia="Times New Roman" w:cs="Times New Roman"/>
          <w:sz w:val="20"/>
          <w:szCs w:val="24"/>
          <w:lang w:val="nl-NL" w:eastAsia="nl-NL"/>
        </w:rPr>
        <w:t xml:space="preserve"> is</w:t>
      </w:r>
      <w:r w:rsidR="00F77F73">
        <w:rPr>
          <w:rFonts w:ascii="Arial" w:hAnsi="Arial" w:eastAsia="Times New Roman" w:cs="Times New Roman"/>
          <w:sz w:val="20"/>
          <w:szCs w:val="24"/>
          <w:lang w:val="nl-NL" w:eastAsia="nl-NL"/>
        </w:rPr>
        <w:t xml:space="preserve"> hierboven</w:t>
      </w:r>
      <w:r>
        <w:rPr>
          <w:rFonts w:ascii="Arial" w:hAnsi="Arial" w:eastAsia="Times New Roman" w:cs="Times New Roman"/>
          <w:sz w:val="20"/>
          <w:szCs w:val="24"/>
          <w:lang w:val="nl-NL" w:eastAsia="nl-NL"/>
        </w:rPr>
        <w:t xml:space="preserve"> toegelicht </w:t>
      </w:r>
      <w:r w:rsidR="00F77F73">
        <w:rPr>
          <w:rFonts w:ascii="Arial" w:hAnsi="Arial" w:eastAsia="SimSun" w:cs="Arial"/>
          <w:kern w:val="3"/>
          <w:sz w:val="20"/>
          <w:szCs w:val="20"/>
          <w:lang w:val="nl-NL" w:eastAsia="zh-CN" w:bidi="hi-IN"/>
        </w:rPr>
        <w:t xml:space="preserve">in de toelichting op </w:t>
      </w:r>
      <w:r w:rsidR="005D25A4">
        <w:rPr>
          <w:rFonts w:ascii="Arial" w:hAnsi="Arial" w:eastAsia="Times New Roman" w:cs="Times New Roman"/>
          <w:sz w:val="20"/>
          <w:szCs w:val="24"/>
          <w:lang w:val="nl-NL" w:eastAsia="nl-NL"/>
        </w:rPr>
        <w:t>artikel 6.</w:t>
      </w:r>
    </w:p>
    <w:p w:rsidRPr="00980B55" w:rsidR="007B4E9C" w:rsidP="004D6CEB" w:rsidRDefault="009E043A" w14:paraId="226D623C" w14:textId="46C15AD5">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980B55">
        <w:rPr>
          <w:rFonts w:ascii="Arial" w:hAnsi="Arial" w:eastAsia="Times New Roman" w:cs="Times New Roman"/>
          <w:bCs/>
          <w:i/>
          <w:iCs/>
          <w:sz w:val="20"/>
          <w:szCs w:val="28"/>
          <w:lang w:val="nl-NL" w:eastAsia="nl-NL"/>
        </w:rPr>
        <w:t xml:space="preserve"> </w:t>
      </w:r>
      <w:r w:rsidR="00AA1BF2">
        <w:rPr>
          <w:rFonts w:ascii="Arial" w:hAnsi="Arial" w:eastAsia="Times New Roman" w:cs="Times New Roman"/>
          <w:bCs/>
          <w:i/>
          <w:iCs/>
          <w:sz w:val="20"/>
          <w:szCs w:val="28"/>
          <w:lang w:val="nl-NL" w:eastAsia="nl-NL"/>
        </w:rPr>
        <w:t>Zee- en luchtvaart</w:t>
      </w:r>
      <w:r w:rsidRPr="00980B55" w:rsidR="00A72FAF">
        <w:rPr>
          <w:rFonts w:ascii="Arial" w:hAnsi="Arial" w:eastAsia="Times New Roman" w:cs="Times New Roman"/>
          <w:bCs/>
          <w:i/>
          <w:iCs/>
          <w:sz w:val="20"/>
          <w:szCs w:val="28"/>
          <w:lang w:val="nl-NL" w:eastAsia="nl-NL"/>
        </w:rPr>
        <w:t xml:space="preserve"> (artikel 8</w:t>
      </w:r>
      <w:r w:rsidR="00D63B02">
        <w:rPr>
          <w:rFonts w:ascii="Arial" w:hAnsi="Arial" w:eastAsia="Times New Roman" w:cs="Times New Roman"/>
          <w:bCs/>
          <w:i/>
          <w:iCs/>
          <w:sz w:val="20"/>
          <w:szCs w:val="28"/>
          <w:lang w:val="nl-NL" w:eastAsia="nl-NL"/>
        </w:rPr>
        <w:t xml:space="preserve"> van het Verdrag</w:t>
      </w:r>
      <w:r w:rsidRPr="00980B55" w:rsidR="00A72FAF">
        <w:rPr>
          <w:rFonts w:ascii="Arial" w:hAnsi="Arial" w:eastAsia="Times New Roman" w:cs="Times New Roman"/>
          <w:bCs/>
          <w:i/>
          <w:iCs/>
          <w:sz w:val="20"/>
          <w:szCs w:val="28"/>
          <w:lang w:val="nl-NL" w:eastAsia="nl-NL"/>
        </w:rPr>
        <w:t>)</w:t>
      </w:r>
    </w:p>
    <w:p w:rsidRPr="007B4E9C" w:rsidR="007B4E9C" w:rsidP="004D6CEB" w:rsidRDefault="0062043C" w14:paraId="6586B3CB" w14:textId="27680E11">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 xml:space="preserve">Artikel 8 bevat </w:t>
      </w:r>
      <w:r w:rsidRPr="007B4E9C" w:rsidR="007B4E9C">
        <w:rPr>
          <w:rFonts w:ascii="Arial" w:hAnsi="Arial" w:eastAsia="Times New Roman" w:cs="Times New Roman"/>
          <w:sz w:val="20"/>
          <w:szCs w:val="28"/>
          <w:lang w:val="nl-NL" w:eastAsia="nl-NL"/>
        </w:rPr>
        <w:t>bepalingen voor de verdeling van heffingsrechten over winsten uit internationale lucht- en scheepvaartactiviteiten.</w:t>
      </w:r>
    </w:p>
    <w:p w:rsidRPr="007B4E9C" w:rsidR="007B4E9C" w:rsidP="004D6CEB" w:rsidRDefault="005A4305" w14:paraId="7BAC5D97" w14:textId="3A72B29E">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H</w:t>
      </w:r>
      <w:r w:rsidRPr="007B4E9C" w:rsidR="007B4E9C">
        <w:rPr>
          <w:rFonts w:ascii="Arial" w:hAnsi="Arial" w:eastAsia="Times New Roman" w:cs="Times New Roman"/>
          <w:sz w:val="20"/>
          <w:szCs w:val="28"/>
          <w:lang w:val="nl-NL" w:eastAsia="nl-NL"/>
        </w:rPr>
        <w:t>et eerste lid</w:t>
      </w:r>
      <w:r>
        <w:rPr>
          <w:rFonts w:ascii="Arial" w:hAnsi="Arial" w:eastAsia="Times New Roman" w:cs="Times New Roman"/>
          <w:sz w:val="20"/>
          <w:szCs w:val="28"/>
          <w:lang w:val="nl-NL" w:eastAsia="nl-NL"/>
        </w:rPr>
        <w:t xml:space="preserve"> bepaalt</w:t>
      </w:r>
      <w:r w:rsidRPr="007B4E9C" w:rsidR="007B4E9C">
        <w:rPr>
          <w:rFonts w:ascii="Arial" w:hAnsi="Arial" w:eastAsia="Times New Roman" w:cs="Times New Roman"/>
          <w:sz w:val="20"/>
          <w:szCs w:val="28"/>
          <w:lang w:val="nl-NL" w:eastAsia="nl-NL"/>
        </w:rPr>
        <w:t xml:space="preserve"> dat de winst behaald met de exploitatie van schepen en luchtvaartuigen in internationaal verkeer ter belastingheffing is toegewezen aan de verdragsluitende staat waar de </w:t>
      </w:r>
      <w:r w:rsidRPr="007B4E9C" w:rsidR="007B4E9C">
        <w:rPr>
          <w:rFonts w:ascii="Arial" w:hAnsi="Arial" w:eastAsia="Times New Roman" w:cs="Times New Roman"/>
          <w:sz w:val="20"/>
          <w:szCs w:val="28"/>
          <w:lang w:val="nl-NL" w:eastAsia="nl-NL"/>
        </w:rPr>
        <w:lastRenderedPageBreak/>
        <w:t>werkelijke leiding van de (</w:t>
      </w:r>
      <w:proofErr w:type="spellStart"/>
      <w:r w:rsidRPr="007B4E9C" w:rsidR="007B4E9C">
        <w:rPr>
          <w:rFonts w:ascii="Arial" w:hAnsi="Arial" w:eastAsia="Times New Roman" w:cs="Times New Roman"/>
          <w:sz w:val="20"/>
          <w:szCs w:val="28"/>
          <w:lang w:val="nl-NL" w:eastAsia="nl-NL"/>
        </w:rPr>
        <w:t>vervoers</w:t>
      </w:r>
      <w:proofErr w:type="spellEnd"/>
      <w:r w:rsidRPr="007B4E9C" w:rsidR="007B4E9C">
        <w:rPr>
          <w:rFonts w:ascii="Arial" w:hAnsi="Arial" w:eastAsia="Times New Roman" w:cs="Times New Roman"/>
          <w:sz w:val="20"/>
          <w:szCs w:val="28"/>
          <w:lang w:val="nl-NL" w:eastAsia="nl-NL"/>
        </w:rPr>
        <w:t>)onderneming zich bevindt.</w:t>
      </w:r>
      <w:r>
        <w:rPr>
          <w:rFonts w:ascii="Arial" w:hAnsi="Arial" w:eastAsia="Times New Roman" w:cs="Times New Roman"/>
          <w:sz w:val="20"/>
          <w:szCs w:val="28"/>
          <w:lang w:val="nl-NL" w:eastAsia="nl-NL"/>
        </w:rPr>
        <w:t xml:space="preserve"> Dit sluit nog aan bij het</w:t>
      </w:r>
      <w:r w:rsidR="00A03C95">
        <w:rPr>
          <w:rFonts w:ascii="Arial" w:hAnsi="Arial" w:eastAsia="Times New Roman" w:cs="Times New Roman"/>
          <w:sz w:val="20"/>
          <w:szCs w:val="28"/>
          <w:lang w:val="nl-NL" w:eastAsia="nl-NL"/>
        </w:rPr>
        <w:t xml:space="preserve"> vorige</w:t>
      </w:r>
      <w:r>
        <w:rPr>
          <w:rFonts w:ascii="Arial" w:hAnsi="Arial" w:eastAsia="Times New Roman" w:cs="Times New Roman"/>
          <w:sz w:val="20"/>
          <w:szCs w:val="28"/>
          <w:lang w:val="nl-NL" w:eastAsia="nl-NL"/>
        </w:rPr>
        <w:t xml:space="preserve"> OESO-modelverdrag van 15 juli 2014.</w:t>
      </w:r>
      <w:r w:rsidRPr="007B4E9C" w:rsidR="007B4E9C">
        <w:rPr>
          <w:rFonts w:ascii="Arial" w:hAnsi="Arial" w:eastAsia="Times New Roman" w:cs="Times New Roman"/>
          <w:sz w:val="20"/>
          <w:szCs w:val="28"/>
          <w:lang w:val="nl-NL" w:eastAsia="nl-NL"/>
        </w:rPr>
        <w:t xml:space="preserve"> </w:t>
      </w:r>
      <w:r>
        <w:rPr>
          <w:rFonts w:ascii="Arial" w:hAnsi="Arial" w:eastAsia="Times New Roman" w:cs="Times New Roman"/>
          <w:sz w:val="20"/>
          <w:szCs w:val="28"/>
          <w:lang w:val="nl-NL" w:eastAsia="nl-NL"/>
        </w:rPr>
        <w:t xml:space="preserve">Sinds de update </w:t>
      </w:r>
      <w:r w:rsidR="00B72980">
        <w:rPr>
          <w:rFonts w:ascii="Arial" w:hAnsi="Arial" w:eastAsia="Times New Roman" w:cs="Times New Roman"/>
          <w:sz w:val="20"/>
          <w:szCs w:val="28"/>
          <w:lang w:val="nl-NL" w:eastAsia="nl-NL"/>
        </w:rPr>
        <w:t xml:space="preserve">van </w:t>
      </w:r>
      <w:r>
        <w:rPr>
          <w:rFonts w:ascii="Arial" w:hAnsi="Arial" w:eastAsia="Times New Roman" w:cs="Times New Roman"/>
          <w:sz w:val="20"/>
          <w:szCs w:val="28"/>
          <w:lang w:val="nl-NL" w:eastAsia="nl-NL"/>
        </w:rPr>
        <w:t xml:space="preserve">2017 is in het OESO-modelverdrag bepaald </w:t>
      </w:r>
      <w:r w:rsidRPr="005A4305">
        <w:rPr>
          <w:rFonts w:ascii="Arial" w:hAnsi="Arial" w:eastAsia="Times New Roman" w:cs="Times New Roman"/>
          <w:sz w:val="20"/>
          <w:szCs w:val="28"/>
          <w:lang w:val="nl-NL" w:eastAsia="nl-NL"/>
        </w:rPr>
        <w:t xml:space="preserve">dat het heffingsrecht over winsten uit internationale scheep- en luchtvaartactiviteiten </w:t>
      </w:r>
      <w:r w:rsidR="00491285">
        <w:rPr>
          <w:rFonts w:ascii="Arial" w:hAnsi="Arial" w:eastAsia="Times New Roman" w:cs="Times New Roman"/>
          <w:sz w:val="20"/>
          <w:szCs w:val="28"/>
          <w:lang w:val="nl-NL" w:eastAsia="nl-NL"/>
        </w:rPr>
        <w:t>is</w:t>
      </w:r>
      <w:r w:rsidRPr="005A4305" w:rsidR="00491285">
        <w:rPr>
          <w:rFonts w:ascii="Arial" w:hAnsi="Arial" w:eastAsia="Times New Roman" w:cs="Times New Roman"/>
          <w:sz w:val="20"/>
          <w:szCs w:val="28"/>
          <w:lang w:val="nl-NL" w:eastAsia="nl-NL"/>
        </w:rPr>
        <w:t xml:space="preserve"> </w:t>
      </w:r>
      <w:r w:rsidRPr="005A4305">
        <w:rPr>
          <w:rFonts w:ascii="Arial" w:hAnsi="Arial" w:eastAsia="Times New Roman" w:cs="Times New Roman"/>
          <w:sz w:val="20"/>
          <w:szCs w:val="28"/>
          <w:lang w:val="nl-NL" w:eastAsia="nl-NL"/>
        </w:rPr>
        <w:t xml:space="preserve">toegekend aan het </w:t>
      </w:r>
      <w:r w:rsidRPr="00A62709">
        <w:rPr>
          <w:rFonts w:ascii="Arial" w:hAnsi="Arial" w:eastAsia="Times New Roman" w:cs="Times New Roman"/>
          <w:sz w:val="20"/>
          <w:szCs w:val="28"/>
          <w:lang w:val="nl-NL" w:eastAsia="nl-NL"/>
        </w:rPr>
        <w:t xml:space="preserve">land waarvan de onderneming die deze activiteiten ontplooit inwoner is. </w:t>
      </w:r>
      <w:r w:rsidRPr="00A62709" w:rsidR="004C276B">
        <w:rPr>
          <w:rFonts w:ascii="Arial" w:hAnsi="Arial" w:eastAsia="Times New Roman" w:cs="Times New Roman"/>
          <w:sz w:val="20"/>
          <w:szCs w:val="28"/>
          <w:lang w:val="nl-NL" w:eastAsia="nl-NL"/>
        </w:rPr>
        <w:t xml:space="preserve">Op voorstel van </w:t>
      </w:r>
      <w:r w:rsidRPr="00A62709" w:rsidR="00A03C95">
        <w:rPr>
          <w:rFonts w:ascii="Arial" w:hAnsi="Arial" w:eastAsia="Times New Roman" w:cs="Times New Roman"/>
          <w:sz w:val="20"/>
          <w:szCs w:val="28"/>
          <w:lang w:val="nl-NL" w:eastAsia="nl-NL"/>
        </w:rPr>
        <w:t xml:space="preserve">Liechtenstein </w:t>
      </w:r>
      <w:r w:rsidRPr="00A62709" w:rsidR="004C276B">
        <w:rPr>
          <w:rFonts w:ascii="Arial" w:hAnsi="Arial" w:eastAsia="Times New Roman" w:cs="Times New Roman"/>
          <w:sz w:val="20"/>
          <w:szCs w:val="28"/>
          <w:lang w:val="nl-NL" w:eastAsia="nl-NL"/>
        </w:rPr>
        <w:t xml:space="preserve">en </w:t>
      </w:r>
      <w:r w:rsidRPr="00A62709" w:rsidR="00A62709">
        <w:rPr>
          <w:rFonts w:ascii="Arial" w:hAnsi="Arial" w:eastAsia="Times New Roman" w:cs="Times New Roman"/>
          <w:sz w:val="20"/>
          <w:szCs w:val="28"/>
          <w:lang w:val="nl-NL" w:eastAsia="nl-NL"/>
        </w:rPr>
        <w:t>overwegende dat de</w:t>
      </w:r>
      <w:r w:rsidRPr="00A62709" w:rsidR="00BA0873">
        <w:rPr>
          <w:rFonts w:ascii="Arial" w:hAnsi="Arial" w:eastAsia="Times New Roman" w:cs="Times New Roman"/>
          <w:sz w:val="20"/>
          <w:szCs w:val="28"/>
          <w:lang w:val="nl-NL" w:eastAsia="nl-NL"/>
        </w:rPr>
        <w:t xml:space="preserve"> feitelijke leiding van</w:t>
      </w:r>
      <w:r w:rsidRPr="00A62709" w:rsidR="004C276B">
        <w:rPr>
          <w:rFonts w:ascii="Arial" w:hAnsi="Arial" w:eastAsia="Times New Roman" w:cs="Times New Roman"/>
          <w:sz w:val="20"/>
          <w:szCs w:val="28"/>
          <w:lang w:val="nl-NL" w:eastAsia="nl-NL"/>
        </w:rPr>
        <w:t xml:space="preserve"> (</w:t>
      </w:r>
      <w:proofErr w:type="spellStart"/>
      <w:r w:rsidRPr="00A62709" w:rsidR="004C276B">
        <w:rPr>
          <w:rFonts w:ascii="Arial" w:hAnsi="Arial" w:eastAsia="Times New Roman" w:cs="Times New Roman"/>
          <w:sz w:val="20"/>
          <w:szCs w:val="28"/>
          <w:lang w:val="nl-NL" w:eastAsia="nl-NL"/>
        </w:rPr>
        <w:t>verv</w:t>
      </w:r>
      <w:r w:rsidRPr="00A62709" w:rsidR="002055F6">
        <w:rPr>
          <w:rFonts w:ascii="Arial" w:hAnsi="Arial" w:eastAsia="Times New Roman" w:cs="Times New Roman"/>
          <w:sz w:val="20"/>
          <w:szCs w:val="28"/>
          <w:lang w:val="nl-NL" w:eastAsia="nl-NL"/>
        </w:rPr>
        <w:t>oers</w:t>
      </w:r>
      <w:proofErr w:type="spellEnd"/>
      <w:r w:rsidRPr="00A62709" w:rsidR="002055F6">
        <w:rPr>
          <w:rFonts w:ascii="Arial" w:hAnsi="Arial" w:eastAsia="Times New Roman" w:cs="Times New Roman"/>
          <w:sz w:val="20"/>
          <w:szCs w:val="28"/>
          <w:lang w:val="nl-NL" w:eastAsia="nl-NL"/>
        </w:rPr>
        <w:t xml:space="preserve">)ondernemingen </w:t>
      </w:r>
      <w:r w:rsidRPr="00A62709" w:rsidR="00A62709">
        <w:rPr>
          <w:rFonts w:ascii="Arial" w:hAnsi="Arial" w:eastAsia="Times New Roman" w:cs="Times New Roman"/>
          <w:sz w:val="20"/>
          <w:szCs w:val="28"/>
          <w:lang w:val="nl-NL" w:eastAsia="nl-NL"/>
        </w:rPr>
        <w:t xml:space="preserve">minder vaak </w:t>
      </w:r>
      <w:r w:rsidRPr="00A62709" w:rsidR="004C276B">
        <w:rPr>
          <w:rFonts w:ascii="Arial" w:hAnsi="Arial" w:eastAsia="Times New Roman" w:cs="Times New Roman"/>
          <w:sz w:val="20"/>
          <w:szCs w:val="28"/>
          <w:lang w:val="nl-NL" w:eastAsia="nl-NL"/>
        </w:rPr>
        <w:t>in Liechtenstein ligt</w:t>
      </w:r>
      <w:r w:rsidRPr="00A62709" w:rsidR="00A03C95">
        <w:rPr>
          <w:rFonts w:ascii="Arial" w:hAnsi="Arial" w:eastAsia="Times New Roman" w:cs="Times New Roman"/>
          <w:sz w:val="20"/>
          <w:szCs w:val="28"/>
          <w:lang w:val="nl-NL" w:eastAsia="nl-NL"/>
        </w:rPr>
        <w:t xml:space="preserve">, </w:t>
      </w:r>
      <w:r w:rsidRPr="00A62709" w:rsidR="004C276B">
        <w:rPr>
          <w:rFonts w:ascii="Arial" w:hAnsi="Arial" w:eastAsia="Times New Roman" w:cs="Times New Roman"/>
          <w:sz w:val="20"/>
          <w:szCs w:val="28"/>
          <w:lang w:val="nl-NL" w:eastAsia="nl-NL"/>
        </w:rPr>
        <w:t>is aangesloten</w:t>
      </w:r>
      <w:r w:rsidRPr="00A62709" w:rsidR="00A03C95">
        <w:rPr>
          <w:rFonts w:ascii="Arial" w:hAnsi="Arial" w:eastAsia="Times New Roman" w:cs="Times New Roman"/>
          <w:sz w:val="20"/>
          <w:szCs w:val="28"/>
          <w:lang w:val="nl-NL" w:eastAsia="nl-NL"/>
        </w:rPr>
        <w:t xml:space="preserve"> bij de tekst van</w:t>
      </w:r>
      <w:r w:rsidRPr="00A62709" w:rsidR="001165B6">
        <w:rPr>
          <w:rFonts w:ascii="Arial" w:hAnsi="Arial" w:eastAsia="Times New Roman" w:cs="Times New Roman"/>
          <w:sz w:val="20"/>
          <w:szCs w:val="28"/>
          <w:lang w:val="nl-NL" w:eastAsia="nl-NL"/>
        </w:rPr>
        <w:t xml:space="preserve"> het “oude” OESO-modelverdrag.</w:t>
      </w:r>
    </w:p>
    <w:p w:rsidRPr="007B4E9C" w:rsidR="007B4E9C" w:rsidP="004D6CEB" w:rsidRDefault="007B4E9C" w14:paraId="1E8F6ACF" w14:textId="5BD2F2C3">
      <w:pPr>
        <w:spacing w:after="0" w:line="360" w:lineRule="auto"/>
        <w:ind w:firstLine="567"/>
        <w:rPr>
          <w:rFonts w:ascii="Arial" w:hAnsi="Arial" w:eastAsia="Times New Roman" w:cs="Times New Roman"/>
          <w:sz w:val="20"/>
          <w:szCs w:val="28"/>
          <w:lang w:val="nl-NL" w:eastAsia="nl-NL"/>
        </w:rPr>
      </w:pPr>
      <w:r w:rsidRPr="007B4E9C">
        <w:rPr>
          <w:rFonts w:ascii="Arial" w:hAnsi="Arial" w:eastAsia="Times New Roman" w:cs="Times New Roman"/>
          <w:sz w:val="20"/>
          <w:szCs w:val="28"/>
          <w:lang w:val="nl-NL" w:eastAsia="nl-NL"/>
        </w:rPr>
        <w:t xml:space="preserve">Het tweede lid bepaalt in welke staat een scheepvaartonderneming is gevestigd als de plaats van de werkelijke leiding zich aan boord van een schip bevindt. Dan </w:t>
      </w:r>
      <w:r w:rsidRPr="007B4E9C" w:rsidR="0062043C">
        <w:rPr>
          <w:rFonts w:ascii="Arial" w:hAnsi="Arial" w:eastAsia="Times New Roman" w:cs="Times New Roman"/>
          <w:sz w:val="20"/>
          <w:szCs w:val="28"/>
          <w:lang w:val="nl-NL" w:eastAsia="nl-NL"/>
        </w:rPr>
        <w:t>wordt aangesloten</w:t>
      </w:r>
      <w:r w:rsidRPr="007B4E9C">
        <w:rPr>
          <w:rFonts w:ascii="Arial" w:hAnsi="Arial" w:eastAsia="Times New Roman" w:cs="Times New Roman"/>
          <w:sz w:val="20"/>
          <w:szCs w:val="28"/>
          <w:lang w:val="nl-NL" w:eastAsia="nl-NL"/>
        </w:rPr>
        <w:t xml:space="preserve"> bij de plaats van de thuishaven van dat schip.</w:t>
      </w:r>
    </w:p>
    <w:p w:rsidRPr="00A72FAF" w:rsidR="007B4E9C" w:rsidP="004D6CEB" w:rsidRDefault="007B4E9C" w14:paraId="16B331F8" w14:textId="7F0151E6">
      <w:pPr>
        <w:spacing w:after="0" w:line="360" w:lineRule="auto"/>
        <w:ind w:firstLine="567"/>
        <w:rPr>
          <w:rFonts w:ascii="Arial" w:hAnsi="Arial" w:eastAsia="Times New Roman" w:cs="Arial"/>
          <w:sz w:val="20"/>
          <w:szCs w:val="20"/>
          <w:lang w:val="nl-NL" w:eastAsia="nl-NL"/>
        </w:rPr>
      </w:pPr>
      <w:r w:rsidRPr="007B4E9C">
        <w:rPr>
          <w:rFonts w:ascii="Arial" w:hAnsi="Arial" w:eastAsia="Times New Roman" w:cs="Times New Roman"/>
          <w:sz w:val="20"/>
          <w:szCs w:val="24"/>
          <w:lang w:val="nl-NL" w:eastAsia="nl-NL"/>
        </w:rPr>
        <w:t xml:space="preserve">Ingevolge het derde lid geldt het bepaalde in het eerste lid tevens voor winst verkregen uit de exploitatie van schepen en vliegtuigen in internationaal verkeer door middel van participatie in een </w:t>
      </w:r>
      <w:r w:rsidRPr="004D6CEB">
        <w:rPr>
          <w:rFonts w:ascii="Arial" w:hAnsi="Arial" w:eastAsia="Times New Roman" w:cs="Times New Roman"/>
          <w:sz w:val="20"/>
          <w:szCs w:val="24"/>
          <w:lang w:val="nl-NL" w:eastAsia="nl-NL"/>
        </w:rPr>
        <w:t>pool</w:t>
      </w:r>
      <w:r w:rsidRPr="00491285">
        <w:rPr>
          <w:rFonts w:ascii="Arial" w:hAnsi="Arial" w:eastAsia="Times New Roman" w:cs="Times New Roman"/>
          <w:sz w:val="20"/>
          <w:szCs w:val="24"/>
          <w:lang w:val="nl-NL" w:eastAsia="nl-NL"/>
        </w:rPr>
        <w:t>overeenkomst</w:t>
      </w:r>
      <w:r w:rsidRPr="007B4E9C">
        <w:rPr>
          <w:rFonts w:ascii="Arial" w:hAnsi="Arial" w:eastAsia="Times New Roman" w:cs="Times New Roman"/>
          <w:sz w:val="20"/>
          <w:szCs w:val="24"/>
          <w:lang w:val="nl-NL" w:eastAsia="nl-NL"/>
        </w:rPr>
        <w:t xml:space="preserve"> en deelname in een gemeenschappelijk bedrijf of internationaal opererend agentschap.</w:t>
      </w:r>
    </w:p>
    <w:p w:rsidRPr="00A72FAF" w:rsidR="00A72FAF" w:rsidP="004D6CEB" w:rsidRDefault="00A72FAF" w14:paraId="41D574DE" w14:textId="4DBA692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Geliee</w:t>
      </w:r>
      <w:r w:rsidR="002F7A6E">
        <w:rPr>
          <w:rFonts w:ascii="Arial" w:hAnsi="Arial" w:eastAsia="Times New Roman" w:cs="Times New Roman"/>
          <w:bCs/>
          <w:i/>
          <w:iCs/>
          <w:sz w:val="20"/>
          <w:szCs w:val="28"/>
          <w:lang w:val="nl-NL" w:eastAsia="nl-NL"/>
        </w:rPr>
        <w:t>rde ondernemingen (artikel 9</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4D6CEB" w:rsidRDefault="00A72FAF" w14:paraId="34F14077" w14:textId="4F2E87AE">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bCs/>
          <w:iCs/>
          <w:sz w:val="20"/>
          <w:szCs w:val="20"/>
          <w:lang w:val="nl-NL" w:eastAsia="nl-NL"/>
        </w:rPr>
        <w:t xml:space="preserve">Artikel 9 bevat het zogenoemde </w:t>
      </w:r>
      <w:proofErr w:type="spellStart"/>
      <w:r w:rsidRPr="00F2751F" w:rsidR="00F2751F">
        <w:rPr>
          <w:rFonts w:ascii="Arial" w:hAnsi="Arial" w:eastAsia="Times New Roman" w:cs="Arial"/>
          <w:bCs/>
          <w:iCs/>
          <w:sz w:val="20"/>
          <w:szCs w:val="20"/>
          <w:lang w:val="nl-NL" w:eastAsia="nl-NL"/>
        </w:rPr>
        <w:t>arm’s</w:t>
      </w:r>
      <w:proofErr w:type="spellEnd"/>
      <w:r w:rsidRPr="00F2751F" w:rsidR="00F2751F">
        <w:rPr>
          <w:rFonts w:ascii="Arial" w:hAnsi="Arial" w:eastAsia="Times New Roman" w:cs="Arial"/>
          <w:bCs/>
          <w:iCs/>
          <w:sz w:val="20"/>
          <w:szCs w:val="20"/>
          <w:lang w:val="nl-NL" w:eastAsia="nl-NL"/>
        </w:rPr>
        <w:t>-</w:t>
      </w:r>
      <w:proofErr w:type="spellStart"/>
      <w:r w:rsidRPr="00F2751F" w:rsidR="00F2751F">
        <w:rPr>
          <w:rFonts w:ascii="Arial" w:hAnsi="Arial" w:eastAsia="Times New Roman" w:cs="Arial"/>
          <w:bCs/>
          <w:iCs/>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Pr="00A72FAF">
        <w:rPr>
          <w:rFonts w:ascii="Arial" w:hAnsi="Arial" w:eastAsia="Times New Roman" w:cs="Arial"/>
          <w:bCs/>
          <w:iCs/>
          <w:sz w:val="20"/>
          <w:szCs w:val="20"/>
          <w:lang w:val="nl-NL" w:eastAsia="nl-NL"/>
        </w:rPr>
        <w:t xml:space="preserve"> voor grensoverschrijdende transacties tussen gelieerde ondernemingen en stemt</w:t>
      </w:r>
      <w:r w:rsidR="002F7A6E">
        <w:rPr>
          <w:rFonts w:ascii="Arial" w:hAnsi="Arial" w:eastAsia="Times New Roman" w:cs="Arial"/>
          <w:bCs/>
          <w:iCs/>
          <w:sz w:val="20"/>
          <w:szCs w:val="20"/>
          <w:lang w:val="nl-NL" w:eastAsia="nl-NL"/>
        </w:rPr>
        <w:t xml:space="preserve"> vrijwel geheel </w:t>
      </w:r>
      <w:r w:rsidRPr="00A72FAF">
        <w:rPr>
          <w:rFonts w:ascii="Arial" w:hAnsi="Arial" w:eastAsia="Times New Roman" w:cs="Arial"/>
          <w:bCs/>
          <w:iCs/>
          <w:sz w:val="20"/>
          <w:szCs w:val="20"/>
          <w:lang w:val="nl-NL" w:eastAsia="nl-NL"/>
        </w:rPr>
        <w:t xml:space="preserve">overeen met </w:t>
      </w:r>
      <w:r w:rsidR="00491285">
        <w:rPr>
          <w:rFonts w:ascii="Arial" w:hAnsi="Arial" w:eastAsia="Times New Roman" w:cs="Arial"/>
          <w:bCs/>
          <w:iCs/>
          <w:sz w:val="20"/>
          <w:szCs w:val="20"/>
          <w:lang w:val="nl-NL" w:eastAsia="nl-NL"/>
        </w:rPr>
        <w:t xml:space="preserve">artikel 9 van </w:t>
      </w:r>
      <w:r w:rsidRPr="00A72FAF">
        <w:rPr>
          <w:rFonts w:ascii="Arial" w:hAnsi="Arial" w:eastAsia="Times New Roman" w:cs="Arial"/>
          <w:bCs/>
          <w:iCs/>
          <w:sz w:val="20"/>
          <w:szCs w:val="20"/>
          <w:lang w:val="nl-NL" w:eastAsia="nl-NL"/>
        </w:rPr>
        <w:t xml:space="preserve">het OESO-modelverdrag. </w:t>
      </w:r>
      <w:r w:rsidRPr="00A72FAF">
        <w:rPr>
          <w:rFonts w:ascii="Arial" w:hAnsi="Arial" w:eastAsia="Times New Roman" w:cs="Arial"/>
          <w:sz w:val="20"/>
          <w:szCs w:val="20"/>
          <w:lang w:val="nl-NL" w:eastAsia="nl-NL"/>
        </w:rPr>
        <w:t xml:space="preserve">Het </w:t>
      </w:r>
      <w:proofErr w:type="spellStart"/>
      <w:r w:rsidRPr="00F2751F" w:rsidR="00F2751F">
        <w:rPr>
          <w:rFonts w:ascii="Arial" w:hAnsi="Arial" w:eastAsia="Times New Roman" w:cs="Arial"/>
          <w:bCs/>
          <w:iCs/>
          <w:sz w:val="20"/>
          <w:szCs w:val="20"/>
          <w:lang w:val="nl-NL" w:eastAsia="nl-NL"/>
        </w:rPr>
        <w:t>arm’s</w:t>
      </w:r>
      <w:proofErr w:type="spellEnd"/>
      <w:r w:rsidRPr="00F2751F" w:rsidR="00F2751F">
        <w:rPr>
          <w:rFonts w:ascii="Arial" w:hAnsi="Arial" w:eastAsia="Times New Roman" w:cs="Arial"/>
          <w:bCs/>
          <w:iCs/>
          <w:sz w:val="20"/>
          <w:szCs w:val="20"/>
          <w:lang w:val="nl-NL" w:eastAsia="nl-NL"/>
        </w:rPr>
        <w:t>-</w:t>
      </w:r>
      <w:proofErr w:type="spellStart"/>
      <w:r w:rsidRPr="00F2751F" w:rsidR="00F2751F">
        <w:rPr>
          <w:rFonts w:ascii="Arial" w:hAnsi="Arial" w:eastAsia="Times New Roman" w:cs="Arial"/>
          <w:bCs/>
          <w:iCs/>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Pr="00A72FAF" w:rsidR="00F2751F">
        <w:rPr>
          <w:rFonts w:ascii="Arial" w:hAnsi="Arial" w:eastAsia="Times New Roman" w:cs="Arial"/>
          <w:bCs/>
          <w:iCs/>
          <w:sz w:val="20"/>
          <w:szCs w:val="20"/>
          <w:lang w:val="nl-NL" w:eastAsia="nl-NL"/>
        </w:rPr>
        <w:t xml:space="preserve"> </w:t>
      </w:r>
      <w:r w:rsidRPr="00A72FAF">
        <w:rPr>
          <w:rFonts w:ascii="Arial" w:hAnsi="Arial" w:eastAsia="Times New Roman" w:cs="Arial"/>
          <w:sz w:val="20"/>
          <w:szCs w:val="20"/>
          <w:lang w:val="nl-NL" w:eastAsia="nl-NL"/>
        </w:rPr>
        <w:t>houdt in dat transacties tussen gelieerde ondernemingen dienen te geschieden tegen dezelfde voorwaarden als transacties die onder dezelfde omstandigheden zouden zijn aangegaan tussen niet</w:t>
      </w:r>
      <w:r w:rsidR="00491285">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gelieerde ondernemingen. Als er wel afwijkingen zijn, kan een correctie plaatsvinden. Bij de vaststelling of sprake is van zakelijk correcte voorwaarden die ook zouden gelden tussen niet-gelieerde partijen, gelden als leidraad de door de OESO opgestelde ‘</w:t>
      </w:r>
      <w:r w:rsidRPr="00A72FAF">
        <w:rPr>
          <w:rFonts w:ascii="Arial" w:hAnsi="Arial" w:eastAsia="Times New Roman" w:cs="Arial"/>
          <w:i/>
          <w:sz w:val="20"/>
          <w:szCs w:val="20"/>
          <w:lang w:val="nl-NL" w:eastAsia="nl-NL"/>
        </w:rPr>
        <w:t xml:space="preserve">Transfer pricing </w:t>
      </w:r>
      <w:proofErr w:type="spellStart"/>
      <w:r w:rsidRPr="00A72FAF">
        <w:rPr>
          <w:rFonts w:ascii="Arial" w:hAnsi="Arial" w:eastAsia="Times New Roman" w:cs="Arial"/>
          <w:i/>
          <w:sz w:val="20"/>
          <w:szCs w:val="20"/>
          <w:lang w:val="nl-NL" w:eastAsia="nl-NL"/>
        </w:rPr>
        <w:t>guidelines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for</w:t>
      </w:r>
      <w:proofErr w:type="spellEnd"/>
      <w:r w:rsidRPr="00A72FAF">
        <w:rPr>
          <w:rFonts w:ascii="Arial" w:hAnsi="Arial" w:eastAsia="Times New Roman" w:cs="Arial"/>
          <w:i/>
          <w:sz w:val="20"/>
          <w:szCs w:val="20"/>
          <w:lang w:val="nl-NL" w:eastAsia="nl-NL"/>
        </w:rPr>
        <w:t xml:space="preserve"> multinational </w:t>
      </w:r>
      <w:proofErr w:type="spellStart"/>
      <w:r w:rsidRPr="00A72FAF">
        <w:rPr>
          <w:rFonts w:ascii="Arial" w:hAnsi="Arial" w:eastAsia="Times New Roman" w:cs="Arial"/>
          <w:i/>
          <w:sz w:val="20"/>
          <w:szCs w:val="20"/>
          <w:lang w:val="nl-NL" w:eastAsia="nl-NL"/>
        </w:rPr>
        <w:t>enterprises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and</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tax</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administrations</w:t>
      </w:r>
      <w:proofErr w:type="spellEnd"/>
      <w:r w:rsidRPr="00A72FAF">
        <w:rPr>
          <w:rFonts w:ascii="Arial" w:hAnsi="Arial" w:eastAsia="Times New Roman" w:cs="Arial"/>
          <w:sz w:val="20"/>
          <w:szCs w:val="20"/>
          <w:lang w:val="nl-NL" w:eastAsia="nl-NL"/>
        </w:rPr>
        <w:t>’, alsmede de administratieve praktijken van de verdragsluitende staten. Deze ‘</w:t>
      </w:r>
      <w:proofErr w:type="spellStart"/>
      <w:r w:rsidRPr="00A72FAF">
        <w:rPr>
          <w:rFonts w:ascii="Arial" w:hAnsi="Arial" w:eastAsia="Times New Roman" w:cs="Arial"/>
          <w:i/>
          <w:sz w:val="20"/>
          <w:szCs w:val="20"/>
          <w:lang w:val="nl-NL" w:eastAsia="nl-NL"/>
        </w:rPr>
        <w:t>guidelines</w:t>
      </w:r>
      <w:proofErr w:type="spellEnd"/>
      <w:r w:rsidRPr="00A72FAF">
        <w:rPr>
          <w:rFonts w:ascii="Arial" w:hAnsi="Arial" w:eastAsia="Times New Roman" w:cs="Arial"/>
          <w:sz w:val="20"/>
          <w:szCs w:val="20"/>
          <w:lang w:val="nl-NL" w:eastAsia="nl-NL"/>
        </w:rPr>
        <w:t xml:space="preserve">‘ vormen een uitwerking van het </w:t>
      </w:r>
      <w:proofErr w:type="spellStart"/>
      <w:r w:rsidRPr="00F2751F" w:rsidR="00F2751F">
        <w:rPr>
          <w:rFonts w:ascii="Arial" w:hAnsi="Arial" w:eastAsia="Times New Roman" w:cs="Arial"/>
          <w:bCs/>
          <w:iCs/>
          <w:sz w:val="20"/>
          <w:szCs w:val="20"/>
          <w:lang w:val="nl-NL" w:eastAsia="nl-NL"/>
        </w:rPr>
        <w:t>arm’s</w:t>
      </w:r>
      <w:proofErr w:type="spellEnd"/>
      <w:r w:rsidRPr="00F2751F" w:rsidR="00F2751F">
        <w:rPr>
          <w:rFonts w:ascii="Arial" w:hAnsi="Arial" w:eastAsia="Times New Roman" w:cs="Arial"/>
          <w:bCs/>
          <w:iCs/>
          <w:sz w:val="20"/>
          <w:szCs w:val="20"/>
          <w:lang w:val="nl-NL" w:eastAsia="nl-NL"/>
        </w:rPr>
        <w:t>-</w:t>
      </w:r>
      <w:proofErr w:type="spellStart"/>
      <w:r w:rsidRPr="00F2751F" w:rsidR="00F2751F">
        <w:rPr>
          <w:rFonts w:ascii="Arial" w:hAnsi="Arial" w:eastAsia="Times New Roman" w:cs="Arial"/>
          <w:bCs/>
          <w:iCs/>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Pr="00A72FAF" w:rsidR="00F2751F">
        <w:rPr>
          <w:rFonts w:ascii="Arial" w:hAnsi="Arial" w:eastAsia="Times New Roman" w:cs="Arial"/>
          <w:bCs/>
          <w:iCs/>
          <w:sz w:val="20"/>
          <w:szCs w:val="20"/>
          <w:lang w:val="nl-NL" w:eastAsia="nl-NL"/>
        </w:rPr>
        <w:t xml:space="preserve"> </w:t>
      </w:r>
      <w:r w:rsidRPr="00A72FAF">
        <w:rPr>
          <w:rFonts w:ascii="Arial" w:hAnsi="Arial" w:eastAsia="Times New Roman" w:cs="Arial"/>
          <w:sz w:val="20"/>
          <w:szCs w:val="20"/>
          <w:lang w:val="nl-NL" w:eastAsia="nl-NL"/>
        </w:rPr>
        <w:t xml:space="preserve">dat is neergelegd in artikel 9 van het OESO-modelverdrag en wordt toegelicht in het commentaar op dat artikel. </w:t>
      </w:r>
    </w:p>
    <w:p w:rsidRPr="00A72FAF" w:rsidR="00A72FAF" w:rsidP="004D6CEB" w:rsidRDefault="00A72FAF" w14:paraId="2642EA93" w14:textId="0A07D032">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Het eerste lid bevat de hoofdregel dat als tussen gelieerde ondernemingen in hun handelsbetrekkingen of financiële betrekkingen voorwaarden worden overeengekomen die afwijken van die welke tussen niet</w:t>
      </w:r>
      <w:r w:rsidR="00491285">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gelieerde ondernemingen zouden worden overeengekomen de winst die één van de gelieerde ondernemingen als gevolg van die afwijkende voorwaarden niet heeft behaald, in de winst van die onderneming mag worden begrepen en dienovereenkomstig mag worden belast.</w:t>
      </w:r>
      <w:r w:rsidR="002F7A6E">
        <w:rPr>
          <w:rFonts w:ascii="Arial" w:hAnsi="Arial" w:eastAsia="Times New Roman" w:cs="Arial"/>
          <w:sz w:val="20"/>
          <w:szCs w:val="20"/>
          <w:lang w:val="nl-NL" w:eastAsia="nl-NL"/>
        </w:rPr>
        <w:t xml:space="preserve"> Op verzoek van Nederland is in de tweede </w:t>
      </w:r>
      <w:r w:rsidR="008137CB">
        <w:rPr>
          <w:rFonts w:ascii="Arial" w:hAnsi="Arial" w:eastAsia="Times New Roman" w:cs="Arial"/>
          <w:sz w:val="20"/>
          <w:szCs w:val="20"/>
          <w:lang w:val="nl-NL" w:eastAsia="nl-NL"/>
        </w:rPr>
        <w:t>zin</w:t>
      </w:r>
      <w:r w:rsidR="002F7A6E">
        <w:rPr>
          <w:rFonts w:ascii="Arial" w:hAnsi="Arial" w:eastAsia="Times New Roman" w:cs="Arial"/>
          <w:sz w:val="20"/>
          <w:szCs w:val="20"/>
          <w:lang w:val="nl-NL" w:eastAsia="nl-NL"/>
        </w:rPr>
        <w:t xml:space="preserve"> </w:t>
      </w:r>
      <w:r w:rsidRPr="00A72FAF" w:rsidR="002F7A6E">
        <w:rPr>
          <w:rFonts w:ascii="Arial" w:hAnsi="Arial" w:eastAsia="Times New Roman" w:cs="Arial"/>
          <w:sz w:val="20"/>
          <w:szCs w:val="20"/>
          <w:lang w:val="nl-NL" w:eastAsia="nl-NL"/>
        </w:rPr>
        <w:t xml:space="preserve">een bepaling opgenomen die verduidelijkt dat de enkele omstandigheid dat gelieerde ondernemingen </w:t>
      </w:r>
      <w:proofErr w:type="spellStart"/>
      <w:r w:rsidRPr="00F2751F" w:rsidR="00F2751F">
        <w:rPr>
          <w:rFonts w:ascii="Arial" w:hAnsi="Arial" w:eastAsia="Times New Roman" w:cs="Arial"/>
          <w:sz w:val="20"/>
          <w:szCs w:val="20"/>
          <w:lang w:val="nl-NL" w:eastAsia="nl-NL"/>
        </w:rPr>
        <w:t>cost</w:t>
      </w:r>
      <w:proofErr w:type="spellEnd"/>
      <w:r w:rsidRPr="00F2751F" w:rsidR="00F2751F">
        <w:rPr>
          <w:rFonts w:ascii="Arial" w:hAnsi="Arial" w:eastAsia="Times New Roman" w:cs="Arial"/>
          <w:sz w:val="20"/>
          <w:szCs w:val="20"/>
          <w:lang w:val="nl-NL" w:eastAsia="nl-NL"/>
        </w:rPr>
        <w:t>-</w:t>
      </w:r>
      <w:proofErr w:type="spellStart"/>
      <w:r w:rsidRPr="00F2751F" w:rsidR="00F2751F">
        <w:rPr>
          <w:rFonts w:ascii="Arial" w:hAnsi="Arial" w:eastAsia="Times New Roman" w:cs="Arial"/>
          <w:sz w:val="20"/>
          <w:szCs w:val="20"/>
          <w:lang w:val="nl-NL" w:eastAsia="nl-NL"/>
        </w:rPr>
        <w:t>sharing</w:t>
      </w:r>
      <w:proofErr w:type="spellEnd"/>
      <w:r w:rsidRPr="00F2751F" w:rsidR="00F2751F">
        <w:rPr>
          <w:rFonts w:ascii="Arial" w:hAnsi="Arial" w:eastAsia="Times New Roman" w:cs="Arial"/>
          <w:sz w:val="20"/>
          <w:szCs w:val="20"/>
          <w:lang w:val="nl-NL" w:eastAsia="nl-NL"/>
        </w:rPr>
        <w:t xml:space="preserve">-overeenkomsten </w:t>
      </w:r>
      <w:r w:rsidRPr="00A72FAF" w:rsidR="002F7A6E">
        <w:rPr>
          <w:rFonts w:ascii="Arial" w:hAnsi="Arial" w:eastAsia="Times New Roman" w:cs="Arial"/>
          <w:sz w:val="20"/>
          <w:szCs w:val="20"/>
          <w:lang w:val="nl-NL" w:eastAsia="nl-NL"/>
        </w:rPr>
        <w:t xml:space="preserve">(overeenkomsten over de verdeling van kosten) of algemene dienstverleningsovereenkomsten sluiten voor (de toerekening van) kosten van de algemene leiding, algemene beheerskosten, technische en zakelijke kosten, kosten voor onderzoek en ontwikkeling en andere soortgelijke kosten, op zichzelf geen aanleiding vormt om te veronderstellen dat zij in strijd met het </w:t>
      </w:r>
      <w:proofErr w:type="spellStart"/>
      <w:r w:rsidRPr="00F2751F" w:rsidR="00F2751F">
        <w:rPr>
          <w:rFonts w:ascii="Arial" w:hAnsi="Arial" w:eastAsia="Times New Roman" w:cs="Arial"/>
          <w:bCs/>
          <w:iCs/>
          <w:sz w:val="20"/>
          <w:szCs w:val="20"/>
          <w:lang w:val="nl-NL" w:eastAsia="nl-NL"/>
        </w:rPr>
        <w:t>arm’s</w:t>
      </w:r>
      <w:proofErr w:type="spellEnd"/>
      <w:r w:rsidRPr="00F2751F" w:rsidR="00F2751F">
        <w:rPr>
          <w:rFonts w:ascii="Arial" w:hAnsi="Arial" w:eastAsia="Times New Roman" w:cs="Arial"/>
          <w:bCs/>
          <w:iCs/>
          <w:sz w:val="20"/>
          <w:szCs w:val="20"/>
          <w:lang w:val="nl-NL" w:eastAsia="nl-NL"/>
        </w:rPr>
        <w:t>-</w:t>
      </w:r>
      <w:proofErr w:type="spellStart"/>
      <w:r w:rsidRPr="00F2751F" w:rsidR="00F2751F">
        <w:rPr>
          <w:rFonts w:ascii="Arial" w:hAnsi="Arial" w:eastAsia="Times New Roman" w:cs="Arial"/>
          <w:bCs/>
          <w:iCs/>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Pr="00A72FAF" w:rsidR="002F7A6E">
        <w:rPr>
          <w:rFonts w:ascii="Arial" w:hAnsi="Arial" w:eastAsia="Times New Roman" w:cs="Arial"/>
          <w:sz w:val="20"/>
          <w:szCs w:val="20"/>
          <w:lang w:val="nl-NL" w:eastAsia="nl-NL"/>
        </w:rPr>
        <w:t xml:space="preserve">, en dus onzakelijk, zouden handelen. Deze bepaling laat uiteraard de mogelijkheid onverlet om de, in het kader van de </w:t>
      </w:r>
      <w:proofErr w:type="spellStart"/>
      <w:r w:rsidRPr="00F2751F" w:rsidR="00F2751F">
        <w:rPr>
          <w:rFonts w:ascii="Arial" w:hAnsi="Arial" w:eastAsia="Times New Roman" w:cs="Arial"/>
          <w:sz w:val="20"/>
          <w:szCs w:val="20"/>
          <w:lang w:val="nl-NL" w:eastAsia="nl-NL"/>
        </w:rPr>
        <w:t>cost</w:t>
      </w:r>
      <w:proofErr w:type="spellEnd"/>
      <w:r w:rsidRPr="00F2751F" w:rsidR="00F2751F">
        <w:rPr>
          <w:rFonts w:ascii="Arial" w:hAnsi="Arial" w:eastAsia="Times New Roman" w:cs="Arial"/>
          <w:sz w:val="20"/>
          <w:szCs w:val="20"/>
          <w:lang w:val="nl-NL" w:eastAsia="nl-NL"/>
        </w:rPr>
        <w:t>-</w:t>
      </w:r>
      <w:proofErr w:type="spellStart"/>
      <w:r w:rsidRPr="00F2751F" w:rsidR="00F2751F">
        <w:rPr>
          <w:rFonts w:ascii="Arial" w:hAnsi="Arial" w:eastAsia="Times New Roman" w:cs="Arial"/>
          <w:sz w:val="20"/>
          <w:szCs w:val="20"/>
          <w:lang w:val="nl-NL" w:eastAsia="nl-NL"/>
        </w:rPr>
        <w:t>sharing</w:t>
      </w:r>
      <w:proofErr w:type="spellEnd"/>
      <w:r w:rsidRPr="00F2751F" w:rsidR="00F2751F">
        <w:rPr>
          <w:rFonts w:ascii="Arial" w:hAnsi="Arial" w:eastAsia="Times New Roman" w:cs="Arial"/>
          <w:sz w:val="20"/>
          <w:szCs w:val="20"/>
          <w:lang w:val="nl-NL" w:eastAsia="nl-NL"/>
        </w:rPr>
        <w:t xml:space="preserve">-overeenkomsten </w:t>
      </w:r>
      <w:r w:rsidRPr="00A72FAF" w:rsidR="002F7A6E">
        <w:rPr>
          <w:rFonts w:ascii="Arial" w:hAnsi="Arial" w:eastAsia="Times New Roman" w:cs="Arial"/>
          <w:sz w:val="20"/>
          <w:szCs w:val="20"/>
          <w:lang w:val="nl-NL" w:eastAsia="nl-NL"/>
        </w:rPr>
        <w:t xml:space="preserve">en algemene </w:t>
      </w:r>
      <w:r w:rsidRPr="00A72FAF" w:rsidR="002F7A6E">
        <w:rPr>
          <w:rFonts w:ascii="Arial" w:hAnsi="Arial" w:eastAsia="Times New Roman" w:cs="Arial"/>
          <w:sz w:val="20"/>
          <w:szCs w:val="20"/>
          <w:lang w:val="nl-NL" w:eastAsia="nl-NL"/>
        </w:rPr>
        <w:lastRenderedPageBreak/>
        <w:t xml:space="preserve">dienstverleningsovereenkomsten, overeengekomen kostenverdeling te toetsen aan het </w:t>
      </w:r>
      <w:proofErr w:type="spellStart"/>
      <w:r w:rsidRPr="00F2751F" w:rsidR="00F2751F">
        <w:rPr>
          <w:rFonts w:ascii="Arial" w:hAnsi="Arial" w:eastAsia="Times New Roman" w:cs="Arial"/>
          <w:bCs/>
          <w:iCs/>
          <w:sz w:val="20"/>
          <w:szCs w:val="20"/>
          <w:lang w:val="nl-NL" w:eastAsia="nl-NL"/>
        </w:rPr>
        <w:t>arm’s</w:t>
      </w:r>
      <w:proofErr w:type="spellEnd"/>
      <w:r w:rsidRPr="00F2751F" w:rsidR="00F2751F">
        <w:rPr>
          <w:rFonts w:ascii="Arial" w:hAnsi="Arial" w:eastAsia="Times New Roman" w:cs="Arial"/>
          <w:bCs/>
          <w:iCs/>
          <w:sz w:val="20"/>
          <w:szCs w:val="20"/>
          <w:lang w:val="nl-NL" w:eastAsia="nl-NL"/>
        </w:rPr>
        <w:t>-</w:t>
      </w:r>
      <w:proofErr w:type="spellStart"/>
      <w:r w:rsidRPr="00F2751F" w:rsidR="00F2751F">
        <w:rPr>
          <w:rFonts w:ascii="Arial" w:hAnsi="Arial" w:eastAsia="Times New Roman" w:cs="Arial"/>
          <w:bCs/>
          <w:iCs/>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Pr="00A72FAF" w:rsidR="002F7A6E">
        <w:rPr>
          <w:rFonts w:ascii="Arial" w:hAnsi="Arial" w:eastAsia="Times New Roman" w:cs="Arial"/>
          <w:sz w:val="20"/>
          <w:szCs w:val="20"/>
          <w:lang w:val="nl-NL" w:eastAsia="nl-NL"/>
        </w:rPr>
        <w:t>.</w:t>
      </w:r>
    </w:p>
    <w:p w:rsidRPr="00A72FAF" w:rsidR="00A72FAF" w:rsidP="004D6CEB" w:rsidRDefault="00A72FAF" w14:paraId="702DDEF8" w14:textId="3489FBBC">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In het geval een winstcorrectie door de ene verdragsluitende staat, in de zin van het eerste lid, met betrekking tot een transactie tussen gelieerde ondernemingen, leidt tot belastingheffing, regelt het tweede lid dat de andere verdragsluitende staat in beginsel op passende wijze het bedrag aan belasting dat aldaar over in die winstcorrectie begrepen voordelen is geheven, zal herzien. </w:t>
      </w:r>
      <w:r w:rsidR="005E1157">
        <w:rPr>
          <w:rFonts w:ascii="Arial" w:hAnsi="Arial" w:eastAsia="Times New Roman" w:cs="Arial"/>
          <w:sz w:val="20"/>
          <w:szCs w:val="20"/>
          <w:lang w:val="nl-NL" w:eastAsia="nl-NL"/>
        </w:rPr>
        <w:t xml:space="preserve">In afwijking van de tekst van artikel 9 van </w:t>
      </w:r>
      <w:r w:rsidR="00BC6727">
        <w:rPr>
          <w:rFonts w:ascii="Arial" w:hAnsi="Arial" w:eastAsia="Times New Roman" w:cs="Arial"/>
          <w:sz w:val="20"/>
          <w:szCs w:val="20"/>
          <w:lang w:val="nl-NL" w:eastAsia="nl-NL"/>
        </w:rPr>
        <w:t xml:space="preserve">het OESO-modelverdrag is verduidelijkt dat een dergelijke herziening slechts </w:t>
      </w:r>
      <w:r w:rsidR="00395949">
        <w:rPr>
          <w:rFonts w:ascii="Arial" w:hAnsi="Arial" w:eastAsia="Times New Roman" w:cs="Arial"/>
          <w:sz w:val="20"/>
          <w:szCs w:val="20"/>
          <w:lang w:val="nl-NL" w:eastAsia="nl-NL"/>
        </w:rPr>
        <w:t>dient te volgen</w:t>
      </w:r>
      <w:r w:rsidR="00BC6727">
        <w:rPr>
          <w:rFonts w:ascii="Arial" w:hAnsi="Arial" w:eastAsia="Times New Roman" w:cs="Arial"/>
          <w:sz w:val="20"/>
          <w:szCs w:val="20"/>
          <w:lang w:val="nl-NL" w:eastAsia="nl-NL"/>
        </w:rPr>
        <w:t xml:space="preserve"> indien d</w:t>
      </w:r>
      <w:r w:rsidR="00B47FC3">
        <w:rPr>
          <w:rFonts w:ascii="Arial" w:hAnsi="Arial" w:eastAsia="Times New Roman" w:cs="Arial"/>
          <w:sz w:val="20"/>
          <w:szCs w:val="20"/>
          <w:lang w:val="nl-NL" w:eastAsia="nl-NL"/>
        </w:rPr>
        <w:t>i</w:t>
      </w:r>
      <w:r w:rsidR="00BC6727">
        <w:rPr>
          <w:rFonts w:ascii="Arial" w:hAnsi="Arial" w:eastAsia="Times New Roman" w:cs="Arial"/>
          <w:sz w:val="20"/>
          <w:szCs w:val="20"/>
          <w:lang w:val="nl-NL" w:eastAsia="nl-NL"/>
        </w:rPr>
        <w:t xml:space="preserve">e </w:t>
      </w:r>
      <w:r w:rsidR="00B47FC3">
        <w:rPr>
          <w:rFonts w:ascii="Arial" w:hAnsi="Arial" w:eastAsia="Times New Roman" w:cs="Arial"/>
          <w:sz w:val="20"/>
          <w:szCs w:val="20"/>
          <w:lang w:val="nl-NL" w:eastAsia="nl-NL"/>
        </w:rPr>
        <w:t>andere</w:t>
      </w:r>
      <w:r w:rsidR="0042290D">
        <w:rPr>
          <w:rFonts w:ascii="Arial" w:hAnsi="Arial" w:eastAsia="Times New Roman" w:cs="Arial"/>
          <w:sz w:val="20"/>
          <w:szCs w:val="20"/>
          <w:lang w:val="nl-NL" w:eastAsia="nl-NL"/>
        </w:rPr>
        <w:t xml:space="preserve"> </w:t>
      </w:r>
      <w:r w:rsidR="00BC6727">
        <w:rPr>
          <w:rFonts w:ascii="Arial" w:hAnsi="Arial" w:eastAsia="Times New Roman" w:cs="Arial"/>
          <w:sz w:val="20"/>
          <w:szCs w:val="20"/>
          <w:lang w:val="nl-NL" w:eastAsia="nl-NL"/>
        </w:rPr>
        <w:t>verdragsluitende staat de initiële winstcorrectie gerechtvaardigd acht.</w:t>
      </w:r>
    </w:p>
    <w:p w:rsidRPr="00A72FAF" w:rsidR="00A72FAF" w:rsidP="004D6CEB" w:rsidRDefault="00A72FAF" w14:paraId="7E352ADB" w14:textId="29954265">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Dividenden (art</w:t>
      </w:r>
      <w:r w:rsidR="008F1A26">
        <w:rPr>
          <w:rFonts w:ascii="Arial" w:hAnsi="Arial" w:eastAsia="Times New Roman" w:cs="Times New Roman"/>
          <w:bCs/>
          <w:i/>
          <w:iCs/>
          <w:sz w:val="20"/>
          <w:szCs w:val="28"/>
          <w:lang w:val="nl-NL" w:eastAsia="nl-NL"/>
        </w:rPr>
        <w:t xml:space="preserve">ikel 10 </w:t>
      </w:r>
      <w:r w:rsidR="00D63B02">
        <w:rPr>
          <w:rFonts w:ascii="Arial" w:hAnsi="Arial" w:eastAsia="Times New Roman" w:cs="Times New Roman"/>
          <w:bCs/>
          <w:i/>
          <w:iCs/>
          <w:sz w:val="20"/>
          <w:szCs w:val="28"/>
          <w:lang w:val="nl-NL" w:eastAsia="nl-NL"/>
        </w:rPr>
        <w:t xml:space="preserve">van het Verdrag </w:t>
      </w:r>
      <w:r w:rsidR="008F1A2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artikelen </w:t>
      </w:r>
      <w:r w:rsidR="008F1A26">
        <w:rPr>
          <w:rFonts w:ascii="Arial" w:hAnsi="Arial" w:eastAsia="Times New Roman" w:cs="Times New Roman"/>
          <w:bCs/>
          <w:i/>
          <w:iCs/>
          <w:sz w:val="20"/>
          <w:szCs w:val="28"/>
          <w:lang w:val="nl-NL" w:eastAsia="nl-NL"/>
        </w:rPr>
        <w:t>V, VI en VII</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4D6CEB" w:rsidRDefault="00A72FAF" w14:paraId="58BA201F" w14:textId="77777777">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Artikel 10 betreft de verdeling van heffingsrechten over dividenden en is in hoofdzaak gebaseerd op artikel 10 van het OESO-modelverdrag. Op een aantal onderdelen wijkt de onderhavige bepaling daarvan af. Dit betreft in het bijzonder het derde lid, dat ziet op een uitsluitende woonstaatheffing voor dividenden ontvangen in deelnemingssituaties of door pensioenfondsen, en de bepaling over emigratie en het aanmerkelijk belang in het negende lid. </w:t>
      </w:r>
    </w:p>
    <w:p w:rsidRPr="00A72FAF" w:rsidR="00A72FAF" w:rsidP="004D6CEB" w:rsidRDefault="00A72FAF" w14:paraId="776F3C2B" w14:textId="30961CFA">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t xml:space="preserve">Ingevolge het eerste lid mogen dividenden die worden betaald door een lichaam dat inwoner is van één van beide verdragsluitende staten aan een inwoner van de andere staat, in die andere staat worden </w:t>
      </w:r>
      <w:r w:rsidRPr="00A72FAF">
        <w:rPr>
          <w:rFonts w:ascii="Arial" w:hAnsi="Arial" w:eastAsia="Times New Roman" w:cs="Arial"/>
          <w:sz w:val="20"/>
          <w:szCs w:val="20"/>
          <w:lang w:val="nl-NL" w:eastAsia="nl-NL"/>
        </w:rPr>
        <w:t xml:space="preserve">belast (de </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woonstaat</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t>
      </w:r>
    </w:p>
    <w:p w:rsidRPr="00A72FAF" w:rsidR="00A72FAF" w:rsidP="004D6CEB" w:rsidRDefault="00A72FAF" w14:paraId="016447F1" w14:textId="09E277B8">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Het tweede lid wijst echter ook een heffingsrecht toe aan de vestigingsstaat (de ‘bronstaat’) van het </w:t>
      </w:r>
      <w:proofErr w:type="spellStart"/>
      <w:r w:rsidRPr="00A72FAF">
        <w:rPr>
          <w:rFonts w:ascii="Arial" w:hAnsi="Arial" w:eastAsia="Times New Roman" w:cs="Arial"/>
          <w:sz w:val="20"/>
          <w:szCs w:val="20"/>
          <w:lang w:val="nl-NL" w:eastAsia="nl-NL"/>
        </w:rPr>
        <w:t>dividenduitkerende</w:t>
      </w:r>
      <w:proofErr w:type="spellEnd"/>
      <w:r w:rsidRPr="00A72FAF">
        <w:rPr>
          <w:rFonts w:ascii="Arial" w:hAnsi="Arial" w:eastAsia="Times New Roman" w:cs="Arial"/>
          <w:sz w:val="20"/>
          <w:szCs w:val="20"/>
          <w:lang w:val="nl-NL" w:eastAsia="nl-NL"/>
        </w:rPr>
        <w:t xml:space="preserve"> lichaam. Het heffingsrecht voor de bronstaat is beperkt tot 15% van het </w:t>
      </w:r>
      <w:proofErr w:type="spellStart"/>
      <w:r w:rsidRPr="00A72FAF">
        <w:rPr>
          <w:rFonts w:ascii="Arial" w:hAnsi="Arial" w:eastAsia="Times New Roman" w:cs="Arial"/>
          <w:sz w:val="20"/>
          <w:szCs w:val="20"/>
          <w:lang w:val="nl-NL" w:eastAsia="nl-NL"/>
        </w:rPr>
        <w:t>brutodividend</w:t>
      </w:r>
      <w:proofErr w:type="spellEnd"/>
      <w:r w:rsidRPr="00A72FAF">
        <w:rPr>
          <w:rFonts w:ascii="Arial" w:hAnsi="Arial" w:eastAsia="Times New Roman" w:cs="Arial"/>
          <w:sz w:val="20"/>
          <w:szCs w:val="20"/>
          <w:lang w:val="nl-NL" w:eastAsia="nl-NL"/>
        </w:rPr>
        <w:t xml:space="preserve"> mits de inwoner van de andere verdragsluitende staat die het dividend ontvangt de uiteindelijk gerechtigde tot het dividend is. Dit sluit aan bij het Nederlandse verdragsbeleid zoals beschreven in onderdeel 2.7.2 van de NFV 2011.</w:t>
      </w:r>
    </w:p>
    <w:p w:rsidR="00623CAA" w:rsidP="004D6CEB" w:rsidRDefault="00A72FAF" w14:paraId="086F570E" w14:textId="09F499E3">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Op grond van het d</w:t>
      </w:r>
      <w:r w:rsidR="00B21FC1">
        <w:rPr>
          <w:rFonts w:ascii="Arial" w:hAnsi="Arial" w:eastAsia="Times New Roman" w:cs="Arial"/>
          <w:sz w:val="20"/>
          <w:szCs w:val="20"/>
          <w:lang w:val="nl-NL" w:eastAsia="nl-NL"/>
        </w:rPr>
        <w:t>erde lid heeft de bronstaat geen</w:t>
      </w:r>
      <w:r w:rsidRPr="00A72FAF">
        <w:rPr>
          <w:rFonts w:ascii="Arial" w:hAnsi="Arial" w:eastAsia="Times New Roman" w:cs="Arial"/>
          <w:sz w:val="20"/>
          <w:szCs w:val="20"/>
          <w:lang w:val="nl-NL" w:eastAsia="nl-NL"/>
        </w:rPr>
        <w:t xml:space="preserve"> heffingsrecht als het lichaam dat de uiteindelijk gerechtigde tot de dividenden is, inwoner is van de andere staat</w:t>
      </w:r>
      <w:r w:rsidR="00B21FC1">
        <w:rPr>
          <w:rFonts w:ascii="Arial" w:hAnsi="Arial" w:eastAsia="Times New Roman" w:cs="Arial"/>
          <w:sz w:val="20"/>
          <w:szCs w:val="20"/>
          <w:lang w:val="nl-NL" w:eastAsia="nl-NL"/>
        </w:rPr>
        <w:t xml:space="preserve"> (de woonstaat)</w:t>
      </w:r>
      <w:r w:rsidRPr="00A72FAF">
        <w:rPr>
          <w:rFonts w:ascii="Arial" w:hAnsi="Arial" w:eastAsia="Times New Roman" w:cs="Arial"/>
          <w:sz w:val="20"/>
          <w:szCs w:val="20"/>
          <w:lang w:val="nl-NL" w:eastAsia="nl-NL"/>
        </w:rPr>
        <w:t xml:space="preserve">, en minimaal 10% van het (aandelen)kapitaal in het </w:t>
      </w:r>
      <w:proofErr w:type="spellStart"/>
      <w:r w:rsidRPr="00A72FAF">
        <w:rPr>
          <w:rFonts w:ascii="Arial" w:hAnsi="Arial" w:eastAsia="Times New Roman" w:cs="Arial"/>
          <w:sz w:val="20"/>
          <w:szCs w:val="20"/>
          <w:lang w:val="nl-NL" w:eastAsia="nl-NL"/>
        </w:rPr>
        <w:t>dividenduitkerende</w:t>
      </w:r>
      <w:proofErr w:type="spellEnd"/>
      <w:r w:rsidRPr="00A72FAF">
        <w:rPr>
          <w:rFonts w:ascii="Arial" w:hAnsi="Arial" w:eastAsia="Times New Roman" w:cs="Arial"/>
          <w:sz w:val="20"/>
          <w:szCs w:val="20"/>
          <w:lang w:val="nl-NL" w:eastAsia="nl-NL"/>
        </w:rPr>
        <w:t xml:space="preserve"> lichaam bezit (onderdeel a) of een pensioenfonds is (onderdeel b). Beide onderdelen sluiten aan bij het Nederlandse verdragsbeleid, zoals beschreven in onderdeel 2.7.1 van de NFV 2011. In onderdeel a is een aanvullende voorwaarde opgenomen</w:t>
      </w:r>
      <w:r w:rsidR="007D1FE3">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w:t>
      </w:r>
      <w:r w:rsidR="00541FBE">
        <w:rPr>
          <w:rFonts w:ascii="Arial" w:hAnsi="Arial" w:eastAsia="Times New Roman" w:cs="Arial"/>
          <w:sz w:val="20"/>
          <w:szCs w:val="20"/>
          <w:lang w:val="nl-NL" w:eastAsia="nl-NL"/>
        </w:rPr>
        <w:t xml:space="preserve">die </w:t>
      </w:r>
      <w:r w:rsidR="007D1FE3">
        <w:rPr>
          <w:rFonts w:ascii="Arial" w:hAnsi="Arial" w:eastAsia="Times New Roman" w:cs="Arial"/>
          <w:sz w:val="20"/>
          <w:szCs w:val="20"/>
          <w:lang w:val="nl-NL" w:eastAsia="nl-NL"/>
        </w:rPr>
        <w:t>ook in het OESO-modelverdrag is opgenomen</w:t>
      </w:r>
      <w:r w:rsidRPr="00A72FAF">
        <w:rPr>
          <w:rFonts w:ascii="Arial" w:hAnsi="Arial" w:eastAsia="Times New Roman" w:cs="Arial"/>
          <w:sz w:val="20"/>
          <w:szCs w:val="20"/>
          <w:lang w:val="nl-NL" w:eastAsia="nl-NL"/>
        </w:rPr>
        <w:t xml:space="preserve">. </w:t>
      </w:r>
      <w:r w:rsidR="007D1FE3">
        <w:rPr>
          <w:rFonts w:ascii="Arial" w:hAnsi="Arial" w:eastAsia="Times New Roman" w:cs="Arial"/>
          <w:sz w:val="20"/>
          <w:szCs w:val="20"/>
          <w:lang w:val="nl-NL" w:eastAsia="nl-NL"/>
        </w:rPr>
        <w:t>Deze vooraarde houdt in dat v</w:t>
      </w:r>
      <w:r w:rsidRPr="00A72FAF">
        <w:rPr>
          <w:rFonts w:ascii="Arial" w:hAnsi="Arial" w:eastAsia="Times New Roman" w:cs="Arial"/>
          <w:sz w:val="20"/>
          <w:szCs w:val="20"/>
          <w:lang w:val="nl-NL" w:eastAsia="nl-NL"/>
        </w:rPr>
        <w:t xml:space="preserve">oor de vrijstelling van bronheffing ten minste 365 dagen aan het vereiste bezitspercentage van 10% </w:t>
      </w:r>
      <w:r w:rsidR="007D1FE3">
        <w:rPr>
          <w:rFonts w:ascii="Arial" w:hAnsi="Arial" w:eastAsia="Times New Roman" w:cs="Arial"/>
          <w:sz w:val="20"/>
          <w:szCs w:val="20"/>
          <w:lang w:val="nl-NL" w:eastAsia="nl-NL"/>
        </w:rPr>
        <w:t xml:space="preserve">moet worden </w:t>
      </w:r>
      <w:r w:rsidRPr="00A72FAF">
        <w:rPr>
          <w:rFonts w:ascii="Arial" w:hAnsi="Arial" w:eastAsia="Times New Roman" w:cs="Arial"/>
          <w:sz w:val="20"/>
          <w:szCs w:val="20"/>
          <w:lang w:val="nl-NL" w:eastAsia="nl-NL"/>
        </w:rPr>
        <w:t>voldaan (‘minimumbezitsperiode’). Daarbij is van belang dat ook dagen na een dividendbetaling meetellen. Hierdoor kunnen de verdragsvoordelen ook achteraf beschikbaar komen als na de dividendbetaling wordt voldaan aan de minimumbezitsperiode.</w:t>
      </w:r>
      <w:r w:rsidRPr="00A72FAF">
        <w:rPr>
          <w:rFonts w:ascii="Arial" w:hAnsi="Arial" w:eastAsia="Times New Roman" w:cs="Arial"/>
          <w:sz w:val="20"/>
          <w:szCs w:val="20"/>
          <w:lang w:val="nl-NL" w:eastAsia="nl-NL"/>
        </w:rPr>
        <w:br/>
      </w:r>
      <w:r w:rsidRPr="00A72FAF">
        <w:rPr>
          <w:rFonts w:ascii="Arial" w:hAnsi="Arial" w:eastAsia="Times New Roman" w:cs="Arial"/>
          <w:sz w:val="20"/>
          <w:szCs w:val="20"/>
          <w:lang w:val="nl-NL" w:eastAsia="nl-NL"/>
        </w:rPr>
        <w:tab/>
        <w:t>Op verzo</w:t>
      </w:r>
      <w:r w:rsidR="00B21FC1">
        <w:rPr>
          <w:rFonts w:ascii="Arial" w:hAnsi="Arial" w:eastAsia="Times New Roman" w:cs="Arial"/>
          <w:sz w:val="20"/>
          <w:szCs w:val="20"/>
          <w:lang w:val="nl-NL" w:eastAsia="nl-NL"/>
        </w:rPr>
        <w:t>ek van Nederland is in artikel V</w:t>
      </w:r>
      <w:r w:rsidRPr="00A72FAF">
        <w:rPr>
          <w:rFonts w:ascii="Arial" w:hAnsi="Arial" w:eastAsia="Times New Roman" w:cs="Arial"/>
          <w:sz w:val="20"/>
          <w:szCs w:val="20"/>
          <w:lang w:val="nl-NL" w:eastAsia="nl-NL"/>
        </w:rPr>
        <w:t xml:space="preserve"> van het Protocol bepaald dat de in het derde lid neergelegde uitsluitende woonstaatheffing geen toepassing vindt ten aanzien van </w:t>
      </w:r>
      <w:r w:rsidR="00B21FC1">
        <w:rPr>
          <w:rFonts w:ascii="Arial" w:hAnsi="Arial" w:eastAsia="Times New Roman" w:cs="Arial"/>
          <w:sz w:val="20"/>
          <w:szCs w:val="20"/>
          <w:lang w:val="nl-NL" w:eastAsia="nl-NL"/>
        </w:rPr>
        <w:t xml:space="preserve">collectieve beleggingsinstellingen. </w:t>
      </w:r>
      <w:r w:rsidRPr="00A72FAF">
        <w:rPr>
          <w:rFonts w:ascii="Arial" w:hAnsi="Arial" w:eastAsia="Times New Roman" w:cs="Arial"/>
          <w:sz w:val="20"/>
          <w:szCs w:val="20"/>
          <w:lang w:val="nl-NL" w:eastAsia="nl-NL"/>
        </w:rPr>
        <w:t>Dit geldt zowe</w:t>
      </w:r>
      <w:r w:rsidR="00B21FC1">
        <w:rPr>
          <w:rFonts w:ascii="Arial" w:hAnsi="Arial" w:eastAsia="Times New Roman" w:cs="Arial"/>
          <w:sz w:val="20"/>
          <w:szCs w:val="20"/>
          <w:lang w:val="nl-NL" w:eastAsia="nl-NL"/>
        </w:rPr>
        <w:t>l voor de dividenden die een collectieve beleggingsinstelling</w:t>
      </w:r>
      <w:r w:rsidRPr="00A72FAF">
        <w:rPr>
          <w:rFonts w:ascii="Arial" w:hAnsi="Arial" w:eastAsia="Times New Roman" w:cs="Arial"/>
          <w:sz w:val="20"/>
          <w:szCs w:val="20"/>
          <w:lang w:val="nl-NL" w:eastAsia="nl-NL"/>
        </w:rPr>
        <w:t xml:space="preserve"> ontvangt al</w:t>
      </w:r>
      <w:r w:rsidR="00B21FC1">
        <w:rPr>
          <w:rFonts w:ascii="Arial" w:hAnsi="Arial" w:eastAsia="Times New Roman" w:cs="Arial"/>
          <w:sz w:val="20"/>
          <w:szCs w:val="20"/>
          <w:lang w:val="nl-NL" w:eastAsia="nl-NL"/>
        </w:rPr>
        <w:t xml:space="preserve">s voor </w:t>
      </w:r>
      <w:r w:rsidRPr="0027227E" w:rsidR="00B21FC1">
        <w:rPr>
          <w:rFonts w:ascii="Arial" w:hAnsi="Arial" w:eastAsia="Times New Roman" w:cs="Arial"/>
          <w:sz w:val="20"/>
          <w:szCs w:val="20"/>
          <w:lang w:val="nl-NL" w:eastAsia="nl-NL"/>
        </w:rPr>
        <w:t>de dividenden die een collectieve beleggingsinstelling</w:t>
      </w:r>
      <w:r w:rsidRPr="0027227E">
        <w:rPr>
          <w:rFonts w:ascii="Arial" w:hAnsi="Arial" w:eastAsia="Times New Roman" w:cs="Arial"/>
          <w:sz w:val="20"/>
          <w:szCs w:val="20"/>
          <w:lang w:val="nl-NL" w:eastAsia="nl-NL"/>
        </w:rPr>
        <w:t xml:space="preserve"> uitkeert. </w:t>
      </w:r>
      <w:r w:rsidR="000D3087">
        <w:rPr>
          <w:rFonts w:ascii="Arial" w:hAnsi="Arial" w:eastAsia="Times New Roman" w:cs="Arial"/>
          <w:sz w:val="20"/>
          <w:szCs w:val="20"/>
          <w:lang w:val="nl-NL" w:eastAsia="nl-NL"/>
        </w:rPr>
        <w:t xml:space="preserve">Voor </w:t>
      </w:r>
      <w:r w:rsidRPr="0027227E" w:rsidR="000D3087">
        <w:rPr>
          <w:rFonts w:ascii="Arial" w:hAnsi="Arial" w:eastAsia="Times New Roman" w:cs="Arial"/>
          <w:sz w:val="20"/>
          <w:szCs w:val="20"/>
          <w:lang w:val="nl-NL" w:eastAsia="nl-NL"/>
        </w:rPr>
        <w:t>Nederland heeft deze bepaling betrekking op de</w:t>
      </w:r>
      <w:r w:rsidR="000D3087">
        <w:rPr>
          <w:rFonts w:ascii="Arial" w:hAnsi="Arial" w:eastAsia="Times New Roman" w:cs="Arial"/>
          <w:sz w:val="20"/>
          <w:szCs w:val="20"/>
          <w:lang w:val="nl-NL" w:eastAsia="nl-NL"/>
        </w:rPr>
        <w:t xml:space="preserve"> fiscale beleggingsinstelling in de zin van artikel 28 van de Wet </w:t>
      </w:r>
      <w:proofErr w:type="spellStart"/>
      <w:r w:rsidR="00007174">
        <w:rPr>
          <w:rFonts w:ascii="Arial" w:hAnsi="Arial" w:eastAsia="Times New Roman" w:cs="Arial"/>
          <w:sz w:val="20"/>
          <w:szCs w:val="20"/>
          <w:lang w:val="nl-NL" w:eastAsia="nl-NL"/>
        </w:rPr>
        <w:t>Vpb</w:t>
      </w:r>
      <w:proofErr w:type="spellEnd"/>
      <w:r w:rsidR="00007174">
        <w:rPr>
          <w:rFonts w:ascii="Arial" w:hAnsi="Arial" w:eastAsia="Times New Roman" w:cs="Arial"/>
          <w:sz w:val="20"/>
          <w:szCs w:val="20"/>
          <w:lang w:val="nl-NL" w:eastAsia="nl-NL"/>
        </w:rPr>
        <w:t xml:space="preserve"> 1969 </w:t>
      </w:r>
      <w:r w:rsidR="00007174">
        <w:rPr>
          <w:rFonts w:ascii="Arial" w:hAnsi="Arial" w:eastAsia="Times New Roman" w:cs="Arial"/>
          <w:sz w:val="20"/>
          <w:szCs w:val="20"/>
          <w:lang w:val="nl-NL" w:eastAsia="nl-NL"/>
        </w:rPr>
        <w:lastRenderedPageBreak/>
        <w:t xml:space="preserve">(FBI). </w:t>
      </w:r>
      <w:r w:rsidRPr="00EB3B38" w:rsidR="00EB3B38">
        <w:rPr>
          <w:rFonts w:ascii="Arial" w:hAnsi="Arial" w:eastAsia="Times New Roman" w:cs="Arial"/>
          <w:sz w:val="20"/>
          <w:szCs w:val="20"/>
          <w:lang w:val="nl-NL" w:eastAsia="nl-NL"/>
        </w:rPr>
        <w:t xml:space="preserve">Gezien het karakter van de door </w:t>
      </w:r>
      <w:r w:rsidR="00007174">
        <w:rPr>
          <w:rFonts w:ascii="Arial" w:hAnsi="Arial" w:eastAsia="Times New Roman" w:cs="Arial"/>
          <w:sz w:val="20"/>
          <w:szCs w:val="20"/>
          <w:lang w:val="nl-NL" w:eastAsia="nl-NL"/>
        </w:rPr>
        <w:t xml:space="preserve">een FBI </w:t>
      </w:r>
      <w:r w:rsidRPr="00EB3B38" w:rsidR="00EB3B38">
        <w:rPr>
          <w:rFonts w:ascii="Arial" w:hAnsi="Arial" w:eastAsia="Times New Roman" w:cs="Arial"/>
          <w:sz w:val="20"/>
          <w:szCs w:val="20"/>
          <w:lang w:val="nl-NL" w:eastAsia="nl-NL"/>
        </w:rPr>
        <w:t xml:space="preserve">ontvangen en betaalde dividenden </w:t>
      </w:r>
      <w:r w:rsidR="00007174">
        <w:rPr>
          <w:rFonts w:ascii="Arial" w:hAnsi="Arial" w:eastAsia="Times New Roman" w:cs="Arial"/>
          <w:sz w:val="20"/>
          <w:szCs w:val="20"/>
          <w:lang w:val="nl-NL" w:eastAsia="nl-NL"/>
        </w:rPr>
        <w:t>(e</w:t>
      </w:r>
      <w:r w:rsidRPr="00007174" w:rsidR="00007174">
        <w:rPr>
          <w:rFonts w:ascii="Arial" w:hAnsi="Arial" w:eastAsia="Times New Roman" w:cs="Arial"/>
          <w:sz w:val="20"/>
          <w:szCs w:val="20"/>
          <w:lang w:val="nl-NL" w:eastAsia="nl-NL"/>
        </w:rPr>
        <w:t>en FBI brengt collectief beleggingsvermogen bijeen</w:t>
      </w:r>
      <w:r w:rsidR="00007174">
        <w:rPr>
          <w:rFonts w:ascii="Arial" w:hAnsi="Arial" w:eastAsia="Times New Roman" w:cs="Arial"/>
          <w:sz w:val="20"/>
          <w:szCs w:val="20"/>
          <w:lang w:val="nl-NL" w:eastAsia="nl-NL"/>
        </w:rPr>
        <w:t>)</w:t>
      </w:r>
      <w:r w:rsidRPr="00007174" w:rsidR="00007174">
        <w:rPr>
          <w:rFonts w:ascii="Arial" w:hAnsi="Arial" w:eastAsia="Times New Roman" w:cs="Arial"/>
          <w:sz w:val="20"/>
          <w:szCs w:val="20"/>
          <w:lang w:val="nl-NL" w:eastAsia="nl-NL"/>
        </w:rPr>
        <w:t xml:space="preserve"> </w:t>
      </w:r>
      <w:r w:rsidRPr="00EB3B38" w:rsidR="00EB3B38">
        <w:rPr>
          <w:rFonts w:ascii="Arial" w:hAnsi="Arial" w:eastAsia="Times New Roman" w:cs="Arial"/>
          <w:sz w:val="20"/>
          <w:szCs w:val="20"/>
          <w:lang w:val="nl-NL" w:eastAsia="nl-NL"/>
        </w:rPr>
        <w:t xml:space="preserve">ligt een aansluiting in de rede bij de bepalingen van het tweede lid over portfoliodividenden en niet bij de bepalingen van het derde lid </w:t>
      </w:r>
      <w:r w:rsidR="000D3087">
        <w:rPr>
          <w:rFonts w:ascii="Arial" w:hAnsi="Arial" w:eastAsia="Times New Roman" w:cs="Arial"/>
          <w:sz w:val="20"/>
          <w:szCs w:val="20"/>
          <w:lang w:val="nl-NL" w:eastAsia="nl-NL"/>
        </w:rPr>
        <w:t>(onderdee</w:t>
      </w:r>
      <w:r w:rsidR="00007174">
        <w:rPr>
          <w:rFonts w:ascii="Arial" w:hAnsi="Arial" w:eastAsia="Times New Roman" w:cs="Arial"/>
          <w:sz w:val="20"/>
          <w:szCs w:val="20"/>
          <w:lang w:val="nl-NL" w:eastAsia="nl-NL"/>
        </w:rPr>
        <w:t>l</w:t>
      </w:r>
      <w:r w:rsidR="000D3087">
        <w:rPr>
          <w:rFonts w:ascii="Arial" w:hAnsi="Arial" w:eastAsia="Times New Roman" w:cs="Arial"/>
          <w:sz w:val="20"/>
          <w:szCs w:val="20"/>
          <w:lang w:val="nl-NL" w:eastAsia="nl-NL"/>
        </w:rPr>
        <w:t xml:space="preserve"> a) </w:t>
      </w:r>
      <w:r w:rsidRPr="00EB3B38" w:rsidR="00EB3B38">
        <w:rPr>
          <w:rFonts w:ascii="Arial" w:hAnsi="Arial" w:eastAsia="Times New Roman" w:cs="Arial"/>
          <w:sz w:val="20"/>
          <w:szCs w:val="20"/>
          <w:lang w:val="nl-NL" w:eastAsia="nl-NL"/>
        </w:rPr>
        <w:t xml:space="preserve">over deelnemingsdividenden. </w:t>
      </w:r>
    </w:p>
    <w:p w:rsidRPr="00A72FAF" w:rsidR="00A72FAF" w:rsidP="004D6CEB" w:rsidRDefault="007C6A63" w14:paraId="55C27586" w14:textId="6AC98EB2">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b/>
      </w:r>
      <w:r w:rsidRPr="00A72FAF" w:rsidR="00A72FAF">
        <w:rPr>
          <w:rFonts w:ascii="Arial" w:hAnsi="Arial" w:eastAsia="Times New Roman" w:cs="Arial"/>
          <w:sz w:val="20"/>
          <w:szCs w:val="20"/>
          <w:lang w:val="nl-NL" w:eastAsia="nl-NL"/>
        </w:rPr>
        <w:t xml:space="preserve">Het vierde lid bepaalt dat de bevoegde autoriteiten van de verdragsluitende staten in onderlinge overeenstemming voorschriften kunnen vaststellen voor de uitvoering van de in het tweede en derde lid opgenomen beperkingen van de bronheffing. </w:t>
      </w:r>
      <w:r w:rsidRPr="000C35E6" w:rsidR="00957CA7">
        <w:rPr>
          <w:rFonts w:ascii="Arial" w:hAnsi="Arial" w:eastAsia="Times New Roman" w:cs="Arial"/>
          <w:sz w:val="20"/>
          <w:szCs w:val="20"/>
          <w:lang w:val="nl-NL" w:eastAsia="nl-NL"/>
        </w:rPr>
        <w:t>Indien die uitvoeringsvoorschriften worden vastgelegd in een verdrag kan dit beschouwd worden als een uitvoeringsverdrag dat op grond van artikel 7, onderdeel b, van de Rijkswet goedkeuring en bekendmaking verdragen geen parlementaire goedkeuring behoeft, behoudens het bepaalde in artikel 8 van die Rijkswet.</w:t>
      </w:r>
      <w:r w:rsidR="00957CA7">
        <w:rPr>
          <w:rFonts w:ascii="Arial" w:hAnsi="Arial" w:eastAsia="Times New Roman" w:cs="Arial"/>
          <w:sz w:val="20"/>
          <w:szCs w:val="20"/>
          <w:lang w:val="nl-NL" w:eastAsia="nl-NL"/>
        </w:rPr>
        <w:t xml:space="preserve"> </w:t>
      </w:r>
      <w:r w:rsidRPr="00A72FAF" w:rsidR="00A72FAF">
        <w:rPr>
          <w:rFonts w:ascii="Arial" w:hAnsi="Arial" w:eastAsia="Times New Roman" w:cs="Arial"/>
          <w:sz w:val="20"/>
          <w:szCs w:val="20"/>
          <w:lang w:val="nl-NL" w:eastAsia="nl-NL"/>
        </w:rPr>
        <w:t>In a</w:t>
      </w:r>
      <w:r w:rsidR="00053A5C">
        <w:rPr>
          <w:rFonts w:ascii="Arial" w:hAnsi="Arial" w:eastAsia="Times New Roman" w:cs="Arial"/>
          <w:sz w:val="20"/>
          <w:szCs w:val="20"/>
          <w:lang w:val="nl-NL" w:eastAsia="nl-NL"/>
        </w:rPr>
        <w:t xml:space="preserve">anvulling </w:t>
      </w:r>
      <w:r w:rsidR="00541FBE">
        <w:rPr>
          <w:rFonts w:ascii="Arial" w:hAnsi="Arial" w:eastAsia="Times New Roman" w:cs="Arial"/>
          <w:sz w:val="20"/>
          <w:szCs w:val="20"/>
          <w:lang w:val="nl-NL" w:eastAsia="nl-NL"/>
        </w:rPr>
        <w:t xml:space="preserve">op het vierde lid </w:t>
      </w:r>
      <w:r w:rsidR="00053A5C">
        <w:rPr>
          <w:rFonts w:ascii="Arial" w:hAnsi="Arial" w:eastAsia="Times New Roman" w:cs="Arial"/>
          <w:sz w:val="20"/>
          <w:szCs w:val="20"/>
          <w:lang w:val="nl-NL" w:eastAsia="nl-NL"/>
        </w:rPr>
        <w:t xml:space="preserve">is in </w:t>
      </w:r>
      <w:r w:rsidR="00B14853">
        <w:rPr>
          <w:rFonts w:ascii="Arial" w:hAnsi="Arial" w:eastAsia="Times New Roman" w:cs="Arial"/>
          <w:sz w:val="20"/>
          <w:szCs w:val="20"/>
          <w:lang w:val="nl-NL" w:eastAsia="nl-NL"/>
        </w:rPr>
        <w:t>a</w:t>
      </w:r>
      <w:r w:rsidR="00053A5C">
        <w:rPr>
          <w:rFonts w:ascii="Arial" w:hAnsi="Arial" w:eastAsia="Times New Roman" w:cs="Arial"/>
          <w:sz w:val="20"/>
          <w:szCs w:val="20"/>
          <w:lang w:val="nl-NL" w:eastAsia="nl-NL"/>
        </w:rPr>
        <w:t>rtikel V</w:t>
      </w:r>
      <w:r w:rsidRPr="00A72FAF" w:rsidR="00A72FAF">
        <w:rPr>
          <w:rFonts w:ascii="Arial" w:hAnsi="Arial" w:eastAsia="Times New Roman" w:cs="Arial"/>
          <w:sz w:val="20"/>
          <w:szCs w:val="20"/>
          <w:lang w:val="nl-NL" w:eastAsia="nl-NL"/>
        </w:rPr>
        <w:t>I van het Protocol bepaald dat verzoeken</w:t>
      </w:r>
      <w:r w:rsidR="0027227E">
        <w:rPr>
          <w:rFonts w:ascii="Arial" w:hAnsi="Arial" w:eastAsia="Times New Roman" w:cs="Arial"/>
          <w:sz w:val="20"/>
          <w:szCs w:val="20"/>
          <w:lang w:val="nl-NL" w:eastAsia="nl-NL"/>
        </w:rPr>
        <w:t xml:space="preserve"> om</w:t>
      </w:r>
      <w:r w:rsidRPr="00A72FAF" w:rsidR="00A72FAF">
        <w:rPr>
          <w:rFonts w:ascii="Arial" w:hAnsi="Arial" w:eastAsia="Times New Roman" w:cs="Arial"/>
          <w:sz w:val="20"/>
          <w:szCs w:val="20"/>
          <w:lang w:val="nl-NL" w:eastAsia="nl-NL"/>
        </w:rPr>
        <w:t xml:space="preserve"> teruggaaf van te veel geheven bronbelasting</w:t>
      </w:r>
      <w:r w:rsidR="0027227E">
        <w:rPr>
          <w:rFonts w:ascii="Arial" w:hAnsi="Arial" w:eastAsia="Times New Roman" w:cs="Arial"/>
          <w:sz w:val="20"/>
          <w:szCs w:val="20"/>
          <w:lang w:val="nl-NL" w:eastAsia="nl-NL"/>
        </w:rPr>
        <w:t xml:space="preserve"> binnen vijf jaar </w:t>
      </w:r>
      <w:r w:rsidR="00D77954">
        <w:rPr>
          <w:rFonts w:ascii="Arial" w:hAnsi="Arial" w:eastAsia="Times New Roman" w:cs="Arial"/>
          <w:sz w:val="20"/>
          <w:szCs w:val="20"/>
          <w:lang w:val="nl-NL" w:eastAsia="nl-NL"/>
        </w:rPr>
        <w:t xml:space="preserve">na afloop van het kalenderjaar </w:t>
      </w:r>
      <w:r w:rsidRPr="00A72FAF" w:rsidR="00A72FAF">
        <w:rPr>
          <w:rFonts w:ascii="Arial" w:hAnsi="Arial" w:eastAsia="Times New Roman" w:cs="Arial"/>
          <w:sz w:val="20"/>
          <w:szCs w:val="20"/>
          <w:lang w:val="nl-NL" w:eastAsia="nl-NL"/>
        </w:rPr>
        <w:t>moeten worden ingediend</w:t>
      </w:r>
      <w:r w:rsidR="0027227E">
        <w:rPr>
          <w:rFonts w:ascii="Arial" w:hAnsi="Arial" w:eastAsia="Times New Roman" w:cs="Arial"/>
          <w:sz w:val="20"/>
          <w:szCs w:val="20"/>
          <w:lang w:val="nl-NL" w:eastAsia="nl-NL"/>
        </w:rPr>
        <w:t>.</w:t>
      </w:r>
      <w:r w:rsidR="00E843DC">
        <w:rPr>
          <w:rFonts w:ascii="Arial" w:hAnsi="Arial" w:eastAsia="Times New Roman" w:cs="Arial"/>
          <w:sz w:val="20"/>
          <w:szCs w:val="20"/>
          <w:lang w:val="nl-NL" w:eastAsia="nl-NL"/>
        </w:rPr>
        <w:t xml:space="preserve"> </w:t>
      </w:r>
    </w:p>
    <w:p w:rsidRPr="00A72FAF" w:rsidR="00A72FAF" w:rsidP="004D6CEB" w:rsidRDefault="00A72FAF" w14:paraId="2023736B" w14:textId="77777777">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Ingevolge het vijfde lid laten de in het tweede en derde lid opgenomen bepalingen de belastingheffing over de winst waaruit de dividenden worden betaald, onverlet.</w:t>
      </w:r>
    </w:p>
    <w:p w:rsidRPr="00A72FAF" w:rsidR="00A72FAF" w:rsidP="004D6CEB" w:rsidRDefault="00A72FAF" w14:paraId="0B0F8C44" w14:textId="54956DC5">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De in het zesde lid opgenomen definitie van de term </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dividenden</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komt overeen met de definitie in het O</w:t>
      </w:r>
      <w:r w:rsidR="008F1A26">
        <w:rPr>
          <w:rFonts w:ascii="Arial" w:hAnsi="Arial" w:eastAsia="Times New Roman" w:cs="Arial"/>
          <w:sz w:val="20"/>
          <w:szCs w:val="20"/>
          <w:lang w:val="nl-NL" w:eastAsia="nl-NL"/>
        </w:rPr>
        <w:t xml:space="preserve">ESO-modelverdrag. </w:t>
      </w:r>
      <w:r w:rsidR="009F4E21">
        <w:rPr>
          <w:rFonts w:ascii="Arial" w:hAnsi="Arial" w:eastAsia="Times New Roman" w:cs="Arial"/>
          <w:sz w:val="20"/>
          <w:szCs w:val="20"/>
          <w:lang w:val="nl-NL" w:eastAsia="nl-NL"/>
        </w:rPr>
        <w:t>In aanvulling hierop is i</w:t>
      </w:r>
      <w:r w:rsidR="008F1A26">
        <w:rPr>
          <w:rFonts w:ascii="Arial" w:hAnsi="Arial" w:eastAsia="Times New Roman" w:cs="Arial"/>
          <w:sz w:val="20"/>
          <w:szCs w:val="20"/>
          <w:lang w:val="nl-NL" w:eastAsia="nl-NL"/>
        </w:rPr>
        <w:t>n artikel VII</w:t>
      </w:r>
      <w:r w:rsidRPr="00A72FAF">
        <w:rPr>
          <w:rFonts w:ascii="Arial" w:hAnsi="Arial" w:eastAsia="Times New Roman" w:cs="Arial"/>
          <w:sz w:val="20"/>
          <w:szCs w:val="20"/>
          <w:lang w:val="nl-NL" w:eastAsia="nl-NL"/>
        </w:rPr>
        <w:t xml:space="preserve"> van het Protocol bepaald dat inkomsten die worden genoten uit de inkoop van aandelen of de (gedeeltelijke) liquidatie van een vennootschap, voor de toepassing van het Verdrag worden aangemerkt als dividend (en derhalve niet als vermogenswinst). Dit sluit aan bij het in onderdeel 2.9.5 van de NFV 2011 uiteengezette verdragsbeleid.</w:t>
      </w:r>
    </w:p>
    <w:p w:rsidRPr="00A72FAF" w:rsidR="00A72FAF" w:rsidP="004D6CEB" w:rsidRDefault="00A72FAF" w14:paraId="6E84CF9D" w14:textId="68CAD113">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Op grond van het zevende lid zijn het eerste, tweede, derde en </w:t>
      </w:r>
      <w:r w:rsidR="008417DE">
        <w:rPr>
          <w:rFonts w:ascii="Arial" w:hAnsi="Arial" w:eastAsia="Times New Roman" w:cs="Arial"/>
          <w:sz w:val="20"/>
          <w:szCs w:val="20"/>
          <w:lang w:val="nl-NL" w:eastAsia="nl-NL"/>
        </w:rPr>
        <w:t>negende</w:t>
      </w:r>
      <w:r w:rsidRPr="00A72FAF" w:rsidR="008417DE">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lid niet van toepassing op dividenden betaald op rechten die behoren tot het vermogen van een vaste inrichting van de uiteindelijk gerechtigde tot de dividenden, wanneer die vaste inrichting is gelegen in de verdragsluitende staat waarvan het lichaam dat de dividenden betaalt inwoner is.</w:t>
      </w:r>
      <w:r w:rsidRPr="00A72FAF">
        <w:rPr>
          <w:rFonts w:ascii="Arial" w:hAnsi="Arial" w:eastAsia="Times New Roman" w:cs="Arial"/>
          <w:color w:val="0000FF"/>
          <w:sz w:val="20"/>
          <w:szCs w:val="24"/>
          <w:lang w:val="nl-NL" w:eastAsia="nl-NL"/>
        </w:rPr>
        <w:t xml:space="preserve"> </w:t>
      </w:r>
      <w:r w:rsidRPr="00A72FAF">
        <w:rPr>
          <w:rFonts w:ascii="Arial" w:hAnsi="Arial" w:eastAsia="Times New Roman" w:cs="Arial"/>
          <w:sz w:val="20"/>
          <w:szCs w:val="20"/>
          <w:lang w:val="nl-NL" w:eastAsia="nl-NL"/>
        </w:rPr>
        <w:t>In dat geval zijn de bepalingen van artikel 7 van toepassing.</w:t>
      </w:r>
    </w:p>
    <w:p w:rsidRPr="00A72FAF" w:rsidR="00A72FAF" w:rsidP="004D6CEB" w:rsidRDefault="00A72FAF" w14:paraId="781D9BBD" w14:textId="77777777">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Het achtste lid bevat het zogenoemde verbod op extraterritoriale belastingheffing. Dit verbod houdt in dat een verdragsluitende staat geen belasting mag heffen over winsten uitgekeerd door een lichaam dat inwoner is van de andere verdragsluitende staat, ook al bestaan deze winsten uit voordelen of inkomsten die uit de eerstbedoelde staat afkomstig zijn, behoudens wanneer die dividenden zijn toe te rekenen aan een vaste inrichting in die staat of worden ontvangen door inwoners van die staat. </w:t>
      </w:r>
    </w:p>
    <w:p w:rsidRPr="0027227E" w:rsidR="00A72FAF" w:rsidP="004D6CEB" w:rsidRDefault="00B52994" w14:paraId="22EC9C78" w14:textId="54E4773B">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H</w:t>
      </w:r>
      <w:r w:rsidRPr="00A72FAF" w:rsidR="00A72FAF">
        <w:rPr>
          <w:rFonts w:ascii="Arial" w:hAnsi="Arial" w:eastAsia="Times New Roman" w:cs="Times New Roman"/>
          <w:sz w:val="20"/>
          <w:szCs w:val="24"/>
          <w:lang w:val="nl-NL" w:eastAsia="nl-NL"/>
        </w:rPr>
        <w:t xml:space="preserve">et negende lid </w:t>
      </w:r>
      <w:r>
        <w:rPr>
          <w:rFonts w:ascii="Arial" w:hAnsi="Arial" w:eastAsia="Times New Roman" w:cs="Times New Roman"/>
          <w:sz w:val="20"/>
          <w:szCs w:val="24"/>
          <w:lang w:val="nl-NL" w:eastAsia="nl-NL"/>
        </w:rPr>
        <w:t xml:space="preserve">ziet </w:t>
      </w:r>
      <w:r w:rsidRPr="00B52994">
        <w:rPr>
          <w:rFonts w:ascii="Arial" w:hAnsi="Arial" w:eastAsia="Times New Roman" w:cs="Times New Roman"/>
          <w:sz w:val="20"/>
          <w:szCs w:val="24"/>
          <w:lang w:val="nl-NL" w:eastAsia="nl-NL"/>
        </w:rPr>
        <w:t xml:space="preserve">op de bescherming van het Nederlandse heffingsrecht </w:t>
      </w:r>
      <w:r w:rsidR="007515F0">
        <w:rPr>
          <w:rFonts w:ascii="Arial" w:hAnsi="Arial" w:eastAsia="Times New Roman" w:cs="Times New Roman"/>
          <w:sz w:val="20"/>
          <w:szCs w:val="24"/>
          <w:lang w:val="nl-NL" w:eastAsia="nl-NL"/>
        </w:rPr>
        <w:t xml:space="preserve">in de inkomstenbelasting </w:t>
      </w:r>
      <w:r w:rsidRPr="00B52994">
        <w:rPr>
          <w:rFonts w:ascii="Arial" w:hAnsi="Arial" w:eastAsia="Times New Roman" w:cs="Times New Roman"/>
          <w:sz w:val="20"/>
          <w:szCs w:val="24"/>
          <w:lang w:val="nl-NL" w:eastAsia="nl-NL"/>
        </w:rPr>
        <w:t xml:space="preserve">over </w:t>
      </w:r>
      <w:proofErr w:type="spellStart"/>
      <w:r w:rsidRPr="00B52994">
        <w:rPr>
          <w:rFonts w:ascii="Arial" w:hAnsi="Arial" w:eastAsia="Times New Roman" w:cs="Times New Roman"/>
          <w:sz w:val="20"/>
          <w:szCs w:val="24"/>
          <w:lang w:val="nl-NL" w:eastAsia="nl-NL"/>
        </w:rPr>
        <w:t>aanmerkelijkbelangvoordelen</w:t>
      </w:r>
      <w:proofErr w:type="spellEnd"/>
      <w:r w:rsidR="007515F0">
        <w:rPr>
          <w:rFonts w:ascii="Arial" w:hAnsi="Arial" w:eastAsia="Times New Roman" w:cs="Times New Roman"/>
          <w:sz w:val="20"/>
          <w:szCs w:val="24"/>
          <w:lang w:val="nl-NL" w:eastAsia="nl-NL"/>
        </w:rPr>
        <w:t xml:space="preserve"> na emigratie van de aanmerkelijkbelanghouder</w:t>
      </w:r>
      <w:r w:rsidRPr="00B52994">
        <w:rPr>
          <w:rFonts w:ascii="Arial" w:hAnsi="Arial" w:eastAsia="Times New Roman" w:cs="Times New Roman"/>
          <w:sz w:val="20"/>
          <w:szCs w:val="24"/>
          <w:lang w:val="nl-NL" w:eastAsia="nl-NL"/>
        </w:rPr>
        <w:t>.</w:t>
      </w:r>
      <w:r w:rsidR="007515F0">
        <w:rPr>
          <w:rFonts w:ascii="Arial" w:hAnsi="Arial" w:eastAsia="Times New Roman" w:cs="Times New Roman"/>
          <w:sz w:val="20"/>
          <w:szCs w:val="24"/>
          <w:lang w:val="nl-NL" w:eastAsia="nl-NL"/>
        </w:rPr>
        <w:t xml:space="preserve"> Gezien de samenhang met </w:t>
      </w:r>
      <w:r w:rsidR="00C046F6">
        <w:rPr>
          <w:rFonts w:ascii="Arial" w:hAnsi="Arial" w:eastAsia="Times New Roman" w:cs="Times New Roman"/>
          <w:sz w:val="20"/>
          <w:szCs w:val="24"/>
          <w:lang w:val="nl-NL" w:eastAsia="nl-NL"/>
        </w:rPr>
        <w:t>artikel 13, vijfde lid, wordt dit negende lid bij artikel 13 nader toegelicht.</w:t>
      </w:r>
    </w:p>
    <w:p w:rsidRPr="00A72FAF" w:rsidR="00A72FAF" w:rsidP="00BD6CA7" w:rsidRDefault="00A72FAF" w14:paraId="6A3B7657" w14:textId="5BBF0286">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Interest (artikel 11</w:t>
      </w:r>
      <w:r w:rsidR="0027227E">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27227E">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27227E">
        <w:rPr>
          <w:rFonts w:ascii="Arial" w:hAnsi="Arial" w:eastAsia="Times New Roman" w:cs="Times New Roman"/>
          <w:bCs/>
          <w:i/>
          <w:iCs/>
          <w:sz w:val="20"/>
          <w:szCs w:val="28"/>
          <w:lang w:val="nl-NL" w:eastAsia="nl-NL"/>
        </w:rPr>
        <w:t>VI</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BD6CA7" w:rsidRDefault="00A72FAF" w14:paraId="0637E424" w14:textId="0AB08E48">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11 betreft de verdeling van heffingsrechten over interest. Het artikel sluit tekstueel aan bij artikel 11 van het OESO-modelverdrag, maar kent inhoudelijk een verschil omdat de verdragsluitende staten uitsluitende woonstaatheffing zijn overeengekomen. Nederland heft </w:t>
      </w:r>
      <w:r w:rsidR="00DB1A38">
        <w:rPr>
          <w:rFonts w:ascii="Arial" w:hAnsi="Arial" w:eastAsia="Times New Roman" w:cs="Times New Roman"/>
          <w:sz w:val="20"/>
          <w:szCs w:val="24"/>
          <w:lang w:val="nl-NL" w:eastAsia="nl-NL"/>
        </w:rPr>
        <w:t xml:space="preserve">in de basis </w:t>
      </w:r>
      <w:r w:rsidRPr="00A72FAF">
        <w:rPr>
          <w:rFonts w:ascii="Arial" w:hAnsi="Arial" w:eastAsia="Times New Roman" w:cs="Times New Roman"/>
          <w:sz w:val="20"/>
          <w:szCs w:val="24"/>
          <w:lang w:val="nl-NL" w:eastAsia="nl-NL"/>
        </w:rPr>
        <w:t xml:space="preserve">geen bronbelasting over interest en streeft in de hoofdregel naar uitsluitende woonstaatheffing voor interest, zoals </w:t>
      </w:r>
      <w:r w:rsidRPr="00A72FAF">
        <w:rPr>
          <w:rFonts w:ascii="Arial" w:hAnsi="Arial" w:eastAsia="Times New Roman" w:cs="Times New Roman"/>
          <w:sz w:val="20"/>
          <w:szCs w:val="24"/>
          <w:lang w:val="nl-NL" w:eastAsia="nl-NL"/>
        </w:rPr>
        <w:lastRenderedPageBreak/>
        <w:t>beschreven in onderdeel 2.8.1 van de NFV 2011</w:t>
      </w:r>
      <w:r w:rsidR="00B52994">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006A5E05">
        <w:rPr>
          <w:rFonts w:ascii="Arial" w:hAnsi="Arial" w:eastAsia="Times New Roman" w:cs="Times New Roman"/>
          <w:sz w:val="20"/>
          <w:szCs w:val="24"/>
          <w:lang w:val="nl-NL" w:eastAsia="nl-NL"/>
        </w:rPr>
        <w:t xml:space="preserve">Voor de goede orde wordt opgemerkt dat vanaf 1 januari 2021 </w:t>
      </w:r>
      <w:r w:rsidR="003D6434">
        <w:rPr>
          <w:rFonts w:ascii="Arial" w:hAnsi="Arial" w:eastAsia="Times New Roman" w:cs="Times New Roman"/>
          <w:sz w:val="20"/>
          <w:szCs w:val="24"/>
          <w:lang w:val="nl-NL" w:eastAsia="nl-NL"/>
        </w:rPr>
        <w:t xml:space="preserve">Nederland in bepaalde situaties </w:t>
      </w:r>
      <w:r w:rsidR="008C1998">
        <w:rPr>
          <w:rFonts w:ascii="Arial" w:hAnsi="Arial" w:eastAsia="Times New Roman" w:cs="Times New Roman"/>
          <w:sz w:val="20"/>
          <w:szCs w:val="24"/>
          <w:lang w:val="nl-NL" w:eastAsia="nl-NL"/>
        </w:rPr>
        <w:t xml:space="preserve">op basis van de Wet bronbelasting 2021 </w:t>
      </w:r>
      <w:r w:rsidR="003D6434">
        <w:rPr>
          <w:rFonts w:ascii="Arial" w:hAnsi="Arial" w:eastAsia="Times New Roman" w:cs="Times New Roman"/>
          <w:sz w:val="20"/>
          <w:szCs w:val="24"/>
          <w:lang w:val="nl-NL" w:eastAsia="nl-NL"/>
        </w:rPr>
        <w:t xml:space="preserve">wel bronbelasting over interest </w:t>
      </w:r>
      <w:r w:rsidR="006A5E05">
        <w:rPr>
          <w:rFonts w:ascii="Arial" w:hAnsi="Arial" w:eastAsia="Times New Roman" w:cs="Times New Roman"/>
          <w:sz w:val="20"/>
          <w:szCs w:val="24"/>
          <w:lang w:val="nl-NL" w:eastAsia="nl-NL"/>
        </w:rPr>
        <w:t xml:space="preserve">zal </w:t>
      </w:r>
      <w:r w:rsidR="003D6434">
        <w:rPr>
          <w:rFonts w:ascii="Arial" w:hAnsi="Arial" w:eastAsia="Times New Roman" w:cs="Times New Roman"/>
          <w:sz w:val="20"/>
          <w:szCs w:val="24"/>
          <w:lang w:val="nl-NL" w:eastAsia="nl-NL"/>
        </w:rPr>
        <w:t xml:space="preserve">heffen. </w:t>
      </w:r>
      <w:r w:rsidR="006A5E05">
        <w:rPr>
          <w:rFonts w:ascii="Arial" w:hAnsi="Arial" w:eastAsia="Times New Roman" w:cs="Times New Roman"/>
          <w:sz w:val="20"/>
          <w:szCs w:val="24"/>
          <w:lang w:val="nl-NL" w:eastAsia="nl-NL"/>
        </w:rPr>
        <w:t>In dit kader is</w:t>
      </w:r>
      <w:r w:rsidR="00EB6D1D">
        <w:rPr>
          <w:rFonts w:ascii="Arial" w:hAnsi="Arial" w:eastAsia="Times New Roman" w:cs="Times New Roman"/>
          <w:sz w:val="20"/>
          <w:szCs w:val="24"/>
          <w:lang w:val="nl-NL" w:eastAsia="nl-NL"/>
        </w:rPr>
        <w:t xml:space="preserve"> artikel I van het Protocol (toegelicht bij artikel 1) </w:t>
      </w:r>
      <w:r w:rsidR="006A5E05">
        <w:rPr>
          <w:rFonts w:ascii="Arial" w:hAnsi="Arial" w:eastAsia="Times New Roman" w:cs="Times New Roman"/>
          <w:sz w:val="20"/>
          <w:szCs w:val="24"/>
          <w:lang w:val="nl-NL" w:eastAsia="nl-NL"/>
        </w:rPr>
        <w:t>van belang</w:t>
      </w:r>
      <w:r w:rsidR="00EB6D1D">
        <w:rPr>
          <w:rFonts w:ascii="Arial" w:hAnsi="Arial" w:eastAsia="Times New Roman" w:cs="Times New Roman"/>
          <w:sz w:val="20"/>
          <w:szCs w:val="24"/>
          <w:lang w:val="nl-NL" w:eastAsia="nl-NL"/>
        </w:rPr>
        <w:t>.</w:t>
      </w:r>
    </w:p>
    <w:p w:rsidR="00A72FAF" w:rsidP="00BD6CA7" w:rsidRDefault="00A72FAF" w14:paraId="2937E836" w14:textId="1AA49E14">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Uit het eerste lid volgt de uitsluitende woonstaatheffing.</w:t>
      </w:r>
    </w:p>
    <w:p w:rsidRPr="00A72FAF" w:rsidR="00B52994" w:rsidP="00BD6CA7" w:rsidRDefault="00B52994" w14:paraId="38512854" w14:textId="67B1F552">
      <w:pPr>
        <w:spacing w:after="0" w:line="360" w:lineRule="auto"/>
        <w:ind w:firstLine="567"/>
        <w:rPr>
          <w:rFonts w:ascii="Arial" w:hAnsi="Arial" w:eastAsia="Times New Roman" w:cs="Times New Roman"/>
          <w:sz w:val="20"/>
          <w:szCs w:val="24"/>
          <w:lang w:val="nl-NL" w:eastAsia="nl-NL"/>
        </w:rPr>
      </w:pPr>
      <w:r w:rsidRPr="00DB1A38">
        <w:rPr>
          <w:rFonts w:ascii="Arial" w:hAnsi="Arial" w:eastAsia="Times New Roman" w:cs="Times New Roman"/>
          <w:sz w:val="20"/>
          <w:szCs w:val="24"/>
          <w:lang w:val="nl-NL" w:eastAsia="nl-NL"/>
        </w:rPr>
        <w:t>Net als bij artikel 10 kunnen de bevoegde autoriteiten van de verdragsluitende staten in onderling overleg de toepassing regelen van de beperking van de heffing van bronheffing. Dit is opgenomen in het tweede lid.</w:t>
      </w:r>
      <w:r w:rsidR="00E85352">
        <w:rPr>
          <w:rFonts w:ascii="Arial" w:hAnsi="Arial" w:eastAsia="Times New Roman" w:cs="Times New Roman"/>
          <w:sz w:val="20"/>
          <w:szCs w:val="24"/>
          <w:lang w:val="nl-NL" w:eastAsia="nl-NL"/>
        </w:rPr>
        <w:t xml:space="preserve"> </w:t>
      </w:r>
      <w:r w:rsidRPr="000C35E6" w:rsidR="00E85352">
        <w:rPr>
          <w:rFonts w:ascii="Arial" w:hAnsi="Arial" w:eastAsia="Times New Roman" w:cs="Arial"/>
          <w:sz w:val="20"/>
          <w:szCs w:val="20"/>
          <w:lang w:val="nl-NL" w:eastAsia="nl-NL"/>
        </w:rPr>
        <w:t xml:space="preserve">Indien </w:t>
      </w:r>
      <w:r w:rsidR="00E85352">
        <w:rPr>
          <w:rFonts w:ascii="Arial" w:hAnsi="Arial" w:eastAsia="Times New Roman" w:cs="Arial"/>
          <w:sz w:val="20"/>
          <w:szCs w:val="20"/>
          <w:lang w:val="nl-NL" w:eastAsia="nl-NL"/>
        </w:rPr>
        <w:t>die toepassing wordt</w:t>
      </w:r>
      <w:r w:rsidRPr="000C35E6" w:rsidR="00E85352">
        <w:rPr>
          <w:rFonts w:ascii="Arial" w:hAnsi="Arial" w:eastAsia="Times New Roman" w:cs="Arial"/>
          <w:sz w:val="20"/>
          <w:szCs w:val="20"/>
          <w:lang w:val="nl-NL" w:eastAsia="nl-NL"/>
        </w:rPr>
        <w:t xml:space="preserve">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A72FAF" w:rsidR="00A72FAF" w:rsidP="00BD6CA7" w:rsidRDefault="00B52994" w14:paraId="60D41CC2" w14:textId="6916975C">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Het derde</w:t>
      </w:r>
      <w:r w:rsidRPr="00A72FAF" w:rsidR="00A72FAF">
        <w:rPr>
          <w:rFonts w:ascii="Arial" w:hAnsi="Arial" w:eastAsia="Times New Roman" w:cs="Times New Roman"/>
          <w:sz w:val="20"/>
          <w:szCs w:val="24"/>
          <w:lang w:val="nl-NL" w:eastAsia="nl-NL"/>
        </w:rPr>
        <w:t xml:space="preserve"> lid bevat de definitie van de uitdrukking </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interest</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Deze definitie komt overeen met de definitie in het OESO-modelverdrag. </w:t>
      </w:r>
    </w:p>
    <w:p w:rsidRPr="00A72FAF" w:rsidR="00A72FAF" w:rsidP="00BD6CA7" w:rsidRDefault="00B52994" w14:paraId="446020B5" w14:textId="50F59FF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 het vierde</w:t>
      </w:r>
      <w:r w:rsidRPr="00A72FAF" w:rsidR="00A72FAF">
        <w:rPr>
          <w:rFonts w:ascii="Arial" w:hAnsi="Arial" w:eastAsia="Times New Roman" w:cs="Times New Roman"/>
          <w:sz w:val="20"/>
          <w:szCs w:val="24"/>
          <w:lang w:val="nl-NL" w:eastAsia="nl-NL"/>
        </w:rPr>
        <w:t xml:space="preserve"> lid is bepaald dat niet de bepalingen van het eerste lid van dit artikel, maar de bepalingen van artikel 7 van toepassing zijn met betrekking tot interest die wordt betaald op schuldvorderingen die zijn toe te rekenen aan een vaste inrichting waarover de uiteindelijke gerechtigde tot die interest beschikt in de verdragsluitende staat van waaruit de interest afkomstig is.</w:t>
      </w:r>
    </w:p>
    <w:p w:rsidR="001C4BF6" w:rsidP="00BD6CA7" w:rsidRDefault="001C4BF6" w14:paraId="2CBDDD93" w14:textId="79BE8F6A">
      <w:pPr>
        <w:spacing w:after="0" w:line="360" w:lineRule="auto"/>
        <w:ind w:firstLine="567"/>
        <w:rPr>
          <w:rFonts w:ascii="Arial" w:hAnsi="Arial" w:eastAsia="Times New Roman" w:cs="Arial"/>
          <w:sz w:val="20"/>
          <w:szCs w:val="20"/>
          <w:lang w:val="nl-NL" w:eastAsia="nl-NL"/>
        </w:rPr>
      </w:pPr>
      <w:r>
        <w:rPr>
          <w:rFonts w:ascii="Arial" w:hAnsi="Arial" w:eastAsia="Times New Roman" w:cs="Times New Roman"/>
          <w:sz w:val="20"/>
          <w:szCs w:val="24"/>
          <w:lang w:val="nl-NL" w:eastAsia="nl-NL"/>
        </w:rPr>
        <w:t>Vervolgens bepaalt het vijfde</w:t>
      </w:r>
      <w:r w:rsidRPr="00A72FAF">
        <w:rPr>
          <w:rFonts w:ascii="Arial" w:hAnsi="Arial" w:eastAsia="Times New Roman" w:cs="Times New Roman"/>
          <w:sz w:val="20"/>
          <w:szCs w:val="24"/>
          <w:lang w:val="nl-NL" w:eastAsia="nl-NL"/>
        </w:rPr>
        <w:t xml:space="preserve"> lid dat de bepalingen van artikel 1</w:t>
      </w:r>
      <w:r>
        <w:rPr>
          <w:rFonts w:ascii="Arial" w:hAnsi="Arial" w:eastAsia="Times New Roman" w:cs="Times New Roman"/>
          <w:sz w:val="20"/>
          <w:szCs w:val="24"/>
          <w:lang w:val="nl-NL" w:eastAsia="nl-NL"/>
        </w:rPr>
        <w:t>1</w:t>
      </w:r>
      <w:r w:rsidRPr="00A72FAF">
        <w:rPr>
          <w:rFonts w:ascii="Arial" w:hAnsi="Arial" w:eastAsia="Times New Roman" w:cs="Times New Roman"/>
          <w:sz w:val="20"/>
          <w:szCs w:val="24"/>
          <w:lang w:val="nl-NL" w:eastAsia="nl-NL"/>
        </w:rPr>
        <w:t xml:space="preserve"> slechts van toepassing zijn voor zover de </w:t>
      </w:r>
      <w:r w:rsidR="001B4FE8">
        <w:rPr>
          <w:rFonts w:ascii="Arial" w:hAnsi="Arial" w:eastAsia="Times New Roman" w:cs="Times New Roman"/>
          <w:sz w:val="20"/>
          <w:szCs w:val="24"/>
          <w:lang w:val="nl-NL" w:eastAsia="nl-NL"/>
        </w:rPr>
        <w:t xml:space="preserve">op een schuldvordering </w:t>
      </w:r>
      <w:r w:rsidRPr="00A72FAF">
        <w:rPr>
          <w:rFonts w:ascii="Arial" w:hAnsi="Arial" w:eastAsia="Times New Roman" w:cs="Times New Roman"/>
          <w:sz w:val="20"/>
          <w:szCs w:val="24"/>
          <w:lang w:val="nl-NL" w:eastAsia="nl-NL"/>
        </w:rPr>
        <w:t xml:space="preserve">betaalde </w:t>
      </w:r>
      <w:r>
        <w:rPr>
          <w:rFonts w:ascii="Arial" w:hAnsi="Arial" w:eastAsia="Times New Roman" w:cs="Times New Roman"/>
          <w:sz w:val="20"/>
          <w:szCs w:val="24"/>
          <w:lang w:val="nl-NL" w:eastAsia="nl-NL"/>
        </w:rPr>
        <w:t>interest overeenkomt</w:t>
      </w:r>
      <w:r w:rsidRPr="00A72FAF">
        <w:rPr>
          <w:rFonts w:ascii="Arial" w:hAnsi="Arial" w:eastAsia="Times New Roman" w:cs="Times New Roman"/>
          <w:sz w:val="20"/>
          <w:szCs w:val="24"/>
          <w:lang w:val="nl-NL" w:eastAsia="nl-NL"/>
        </w:rPr>
        <w:t xml:space="preserve"> met de </w:t>
      </w:r>
      <w:r>
        <w:rPr>
          <w:rFonts w:ascii="Arial" w:hAnsi="Arial" w:eastAsia="Times New Roman" w:cs="Times New Roman"/>
          <w:sz w:val="20"/>
          <w:szCs w:val="24"/>
          <w:lang w:val="nl-NL" w:eastAsia="nl-NL"/>
        </w:rPr>
        <w:t xml:space="preserve">interest </w:t>
      </w:r>
      <w:r w:rsidRPr="00A72FAF">
        <w:rPr>
          <w:rFonts w:ascii="Arial" w:hAnsi="Arial" w:eastAsia="Times New Roman" w:cs="Times New Roman"/>
          <w:sz w:val="20"/>
          <w:szCs w:val="24"/>
          <w:lang w:val="nl-NL" w:eastAsia="nl-NL"/>
        </w:rPr>
        <w:t xml:space="preserve">die tussen onafhankelijke partijen overeengekomen zou zijn. </w:t>
      </w:r>
      <w:r w:rsidRPr="00A72FAF">
        <w:rPr>
          <w:rFonts w:ascii="Arial" w:hAnsi="Arial" w:eastAsia="Times New Roman" w:cs="Arial"/>
          <w:sz w:val="20"/>
          <w:szCs w:val="20"/>
          <w:lang w:val="nl-NL" w:eastAsia="nl-NL"/>
        </w:rPr>
        <w:t>Het eventueel bovenmatige gedeelte van d</w:t>
      </w:r>
      <w:r w:rsidR="001B4FE8">
        <w:rPr>
          <w:rFonts w:ascii="Arial" w:hAnsi="Arial" w:eastAsia="Times New Roman" w:cs="Arial"/>
          <w:sz w:val="20"/>
          <w:szCs w:val="20"/>
          <w:lang w:val="nl-NL" w:eastAsia="nl-NL"/>
        </w:rPr>
        <w:t>i</w:t>
      </w:r>
      <w:r w:rsidRPr="00A72FAF">
        <w:rPr>
          <w:rFonts w:ascii="Arial" w:hAnsi="Arial" w:eastAsia="Times New Roman" w:cs="Arial"/>
          <w:sz w:val="20"/>
          <w:szCs w:val="20"/>
          <w:lang w:val="nl-NL" w:eastAsia="nl-NL"/>
        </w:rPr>
        <w:t xml:space="preserve">e </w:t>
      </w:r>
      <w:r>
        <w:rPr>
          <w:rFonts w:ascii="Arial" w:hAnsi="Arial" w:eastAsia="Times New Roman" w:cs="Arial"/>
          <w:sz w:val="20"/>
          <w:szCs w:val="20"/>
          <w:lang w:val="nl-NL" w:eastAsia="nl-NL"/>
        </w:rPr>
        <w:t xml:space="preserve">interest </w:t>
      </w:r>
      <w:r w:rsidRPr="00A72FAF">
        <w:rPr>
          <w:rFonts w:ascii="Arial" w:hAnsi="Arial" w:eastAsia="Times New Roman" w:cs="Arial"/>
          <w:sz w:val="20"/>
          <w:szCs w:val="20"/>
          <w:lang w:val="nl-NL" w:eastAsia="nl-NL"/>
        </w:rPr>
        <w:t>is belastbaar overeenkomstig de nationale wetgeving van elk van de verdragsluitende staten, rekening houdend met de overige bepalingen van het Verdrag.</w:t>
      </w:r>
    </w:p>
    <w:p w:rsidRPr="00A72FAF" w:rsidR="0027227E" w:rsidP="00BD6CA7" w:rsidRDefault="0027227E" w14:paraId="483995A7" w14:textId="3AF3D3B7">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Protocol VI is </w:t>
      </w:r>
      <w:r w:rsidR="001D1156">
        <w:rPr>
          <w:rFonts w:ascii="Arial" w:hAnsi="Arial" w:eastAsia="Times New Roman" w:cs="Times New Roman"/>
          <w:sz w:val="20"/>
          <w:szCs w:val="24"/>
          <w:lang w:val="nl-NL" w:eastAsia="nl-NL"/>
        </w:rPr>
        <w:t xml:space="preserve">hierboven </w:t>
      </w:r>
      <w:r>
        <w:rPr>
          <w:rFonts w:ascii="Arial" w:hAnsi="Arial" w:eastAsia="Times New Roman" w:cs="Times New Roman"/>
          <w:sz w:val="20"/>
          <w:szCs w:val="24"/>
          <w:lang w:val="nl-NL" w:eastAsia="nl-NL"/>
        </w:rPr>
        <w:t xml:space="preserve">reeds toegelicht </w:t>
      </w:r>
      <w:r w:rsidR="001C4BF6">
        <w:rPr>
          <w:rFonts w:ascii="Arial" w:hAnsi="Arial" w:eastAsia="Times New Roman" w:cs="Times New Roman"/>
          <w:sz w:val="20"/>
          <w:szCs w:val="24"/>
          <w:lang w:val="nl-NL" w:eastAsia="nl-NL"/>
        </w:rPr>
        <w:t xml:space="preserve">in de toelichting op </w:t>
      </w:r>
      <w:r>
        <w:rPr>
          <w:rFonts w:ascii="Arial" w:hAnsi="Arial" w:eastAsia="Times New Roman" w:cs="Times New Roman"/>
          <w:sz w:val="20"/>
          <w:szCs w:val="24"/>
          <w:lang w:val="nl-NL" w:eastAsia="nl-NL"/>
        </w:rPr>
        <w:t xml:space="preserve">artikel 10. </w:t>
      </w:r>
    </w:p>
    <w:p w:rsidRPr="00A72FAF" w:rsidR="00A72FAF" w:rsidP="00384EE8" w:rsidRDefault="00A72FAF" w14:paraId="6F78C539" w14:textId="370DE767">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Royalty’s (artikel 12</w:t>
      </w:r>
      <w:r w:rsidR="0027227E">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27227E">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27227E">
        <w:rPr>
          <w:rFonts w:ascii="Arial" w:hAnsi="Arial" w:eastAsia="Times New Roman" w:cs="Times New Roman"/>
          <w:bCs/>
          <w:i/>
          <w:iCs/>
          <w:sz w:val="20"/>
          <w:szCs w:val="28"/>
          <w:lang w:val="nl-NL" w:eastAsia="nl-NL"/>
        </w:rPr>
        <w:t>VI</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00A72FAF" w:rsidP="00384EE8" w:rsidRDefault="00A72FAF" w14:paraId="073313E5" w14:textId="2B731EAE">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Artikel 12 betreft de verdeling van heffingsrechten over royalty’s</w:t>
      </w:r>
      <w:r w:rsidRPr="00F23CA5" w:rsidR="00F23CA5">
        <w:rPr>
          <w:rFonts w:ascii="Arial" w:hAnsi="Arial" w:eastAsia="Times New Roman" w:cs="Times New Roman"/>
          <w:sz w:val="20"/>
          <w:szCs w:val="24"/>
          <w:lang w:val="nl-NL" w:eastAsia="nl-NL"/>
        </w:rPr>
        <w:t xml:space="preserve"> en is gebaseerd op artikel 12 van het OESO-modelverdrag.</w:t>
      </w:r>
      <w:r w:rsidR="00F23CA5">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Evenals voor interest zijn de verdragsluitende staten over royalty’s een uitsluitende woonstaatheffing overeengekomen. </w:t>
      </w:r>
      <w:r w:rsidR="00356F9A">
        <w:rPr>
          <w:rFonts w:ascii="Arial" w:hAnsi="Arial" w:eastAsia="Times New Roman" w:cs="Times New Roman"/>
          <w:sz w:val="20"/>
          <w:szCs w:val="24"/>
          <w:lang w:val="nl-NL" w:eastAsia="nl-NL"/>
        </w:rPr>
        <w:t xml:space="preserve">Voor royalty’s geldt ook dat vanaf 1 januari 2021 Nederland in bepaalde situaties bronbelasting zal heffen op basis van de Wet bronbelasting 2021. Ook ten aanzien van royalty’s is </w:t>
      </w:r>
      <w:r w:rsidR="006A5E05">
        <w:rPr>
          <w:rFonts w:ascii="Arial" w:hAnsi="Arial" w:eastAsia="Times New Roman" w:cs="Times New Roman"/>
          <w:sz w:val="20"/>
          <w:szCs w:val="24"/>
          <w:lang w:val="nl-NL" w:eastAsia="nl-NL"/>
        </w:rPr>
        <w:t>in dit kader</w:t>
      </w:r>
      <w:r w:rsidR="00356F9A">
        <w:rPr>
          <w:rFonts w:ascii="Arial" w:hAnsi="Arial" w:eastAsia="Times New Roman" w:cs="Times New Roman"/>
          <w:sz w:val="20"/>
          <w:szCs w:val="24"/>
          <w:lang w:val="nl-NL" w:eastAsia="nl-NL"/>
        </w:rPr>
        <w:t xml:space="preserve"> artikel I van het Protocol (toegelicht bij artikel 1) </w:t>
      </w:r>
      <w:r w:rsidR="006A5E05">
        <w:rPr>
          <w:rFonts w:ascii="Arial" w:hAnsi="Arial" w:eastAsia="Times New Roman" w:cs="Times New Roman"/>
          <w:sz w:val="20"/>
          <w:szCs w:val="24"/>
          <w:lang w:val="nl-NL" w:eastAsia="nl-NL"/>
        </w:rPr>
        <w:t>van belang</w:t>
      </w:r>
      <w:r w:rsidR="00356F9A">
        <w:rPr>
          <w:rFonts w:ascii="Arial" w:hAnsi="Arial" w:eastAsia="Times New Roman" w:cs="Times New Roman"/>
          <w:sz w:val="20"/>
          <w:szCs w:val="24"/>
          <w:lang w:val="nl-NL" w:eastAsia="nl-NL"/>
        </w:rPr>
        <w:t>.</w:t>
      </w:r>
    </w:p>
    <w:p w:rsidRPr="00F23CA5" w:rsidR="0027227E" w:rsidP="00384EE8" w:rsidRDefault="00F23CA5" w14:paraId="4929935F" w14:textId="77925BE9">
      <w:pPr>
        <w:spacing w:after="0" w:line="360" w:lineRule="auto"/>
        <w:ind w:firstLine="567"/>
        <w:rPr>
          <w:rFonts w:ascii="Arial" w:hAnsi="Arial" w:eastAsia="Times New Roman" w:cs="Times New Roman"/>
          <w:sz w:val="20"/>
          <w:szCs w:val="24"/>
          <w:lang w:val="nl-NL" w:eastAsia="nl-NL"/>
        </w:rPr>
      </w:pPr>
      <w:r w:rsidRPr="00F23CA5">
        <w:rPr>
          <w:rFonts w:ascii="Arial" w:hAnsi="Arial" w:eastAsia="Times New Roman" w:cs="Times New Roman"/>
          <w:sz w:val="20"/>
          <w:szCs w:val="24"/>
          <w:lang w:val="nl-NL" w:eastAsia="nl-NL"/>
        </w:rPr>
        <w:t xml:space="preserve">Ingevolge het eerste lid mogen royalty’s die afkomstig zijn uit één van beide verdragsluitende staten en die worden betaald aan een inwoner van de andere verdragsluitende staat, uitsluitend in die andere verdragsluitende staat worden belast. </w:t>
      </w:r>
    </w:p>
    <w:p w:rsidR="00F23CA5" w:rsidP="00384EE8" w:rsidRDefault="00D26ECB" w14:paraId="10CC7F8F" w14:textId="5E8D45D9">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Ingevolge het tweede lid kunnen </w:t>
      </w:r>
      <w:r w:rsidRPr="00F23CA5" w:rsidR="00F23CA5">
        <w:rPr>
          <w:rFonts w:ascii="Arial" w:hAnsi="Arial" w:eastAsia="Times New Roman" w:cs="Times New Roman"/>
          <w:sz w:val="20"/>
          <w:szCs w:val="24"/>
          <w:lang w:val="nl-NL" w:eastAsia="nl-NL"/>
        </w:rPr>
        <w:t>de bevoegde autoriteiten van de verdragsluitende staten in onderling overleg de toepassing regelen van de beperking van de h</w:t>
      </w:r>
      <w:r w:rsidR="00F23CA5">
        <w:rPr>
          <w:rFonts w:ascii="Arial" w:hAnsi="Arial" w:eastAsia="Times New Roman" w:cs="Times New Roman"/>
          <w:sz w:val="20"/>
          <w:szCs w:val="24"/>
          <w:lang w:val="nl-NL" w:eastAsia="nl-NL"/>
        </w:rPr>
        <w:t>effing van bronheffing.</w:t>
      </w:r>
      <w:r w:rsidRPr="00F23CA5" w:rsidR="00F23CA5">
        <w:rPr>
          <w:rFonts w:ascii="Arial" w:hAnsi="Arial" w:eastAsia="Times New Roman" w:cs="Times New Roman"/>
          <w:sz w:val="20"/>
          <w:szCs w:val="24"/>
          <w:lang w:val="nl-NL" w:eastAsia="nl-NL"/>
        </w:rPr>
        <w:t xml:space="preserve"> </w:t>
      </w:r>
      <w:r w:rsidRPr="000C35E6" w:rsidR="00E85352">
        <w:rPr>
          <w:rFonts w:ascii="Arial" w:hAnsi="Arial" w:eastAsia="Times New Roman" w:cs="Arial"/>
          <w:sz w:val="20"/>
          <w:szCs w:val="20"/>
          <w:lang w:val="nl-NL" w:eastAsia="nl-NL"/>
        </w:rPr>
        <w:t xml:space="preserve">Indien die </w:t>
      </w:r>
      <w:r w:rsidR="00E85352">
        <w:rPr>
          <w:rFonts w:ascii="Arial" w:hAnsi="Arial" w:eastAsia="Times New Roman" w:cs="Arial"/>
          <w:sz w:val="20"/>
          <w:szCs w:val="20"/>
          <w:lang w:val="nl-NL" w:eastAsia="nl-NL"/>
        </w:rPr>
        <w:t>toepassing wordt</w:t>
      </w:r>
      <w:r w:rsidRPr="000C35E6" w:rsidR="00E85352">
        <w:rPr>
          <w:rFonts w:ascii="Arial" w:hAnsi="Arial" w:eastAsia="Times New Roman" w:cs="Arial"/>
          <w:sz w:val="20"/>
          <w:szCs w:val="20"/>
          <w:lang w:val="nl-NL" w:eastAsia="nl-NL"/>
        </w:rPr>
        <w:t xml:space="preserve">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A72FAF" w:rsidR="00A72FAF" w:rsidP="00384EE8" w:rsidRDefault="00A72FAF" w14:paraId="00F93985" w14:textId="57B91C2E">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lastRenderedPageBreak/>
        <w:t xml:space="preserve">Het </w:t>
      </w:r>
      <w:r w:rsidR="00F23CA5">
        <w:rPr>
          <w:rFonts w:ascii="Arial" w:hAnsi="Arial" w:eastAsia="Times New Roman" w:cs="Times New Roman"/>
          <w:sz w:val="20"/>
          <w:szCs w:val="24"/>
          <w:lang w:val="nl-NL" w:eastAsia="nl-NL"/>
        </w:rPr>
        <w:t>derde</w:t>
      </w:r>
      <w:r w:rsidRPr="00A72FAF">
        <w:rPr>
          <w:rFonts w:ascii="Arial" w:hAnsi="Arial" w:eastAsia="Times New Roman" w:cs="Times New Roman"/>
          <w:sz w:val="20"/>
          <w:szCs w:val="24"/>
          <w:lang w:val="nl-NL" w:eastAsia="nl-NL"/>
        </w:rPr>
        <w:t xml:space="preserve"> lid bevat een definitie van het begrip </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Deze definitie komt overeen met de definitie van het begrip </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in het OESO-modelverdrag. </w:t>
      </w:r>
    </w:p>
    <w:p w:rsidRPr="00A72FAF" w:rsidR="00A72FAF" w:rsidP="00384EE8" w:rsidRDefault="00F23CA5" w14:paraId="74204974" w14:textId="29996F93">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Ingevolge het vierde</w:t>
      </w:r>
      <w:r w:rsidRPr="00A72FAF" w:rsidR="00A72FAF">
        <w:rPr>
          <w:rFonts w:ascii="Arial" w:hAnsi="Arial" w:eastAsia="Times New Roman" w:cs="Times New Roman"/>
          <w:sz w:val="20"/>
          <w:szCs w:val="24"/>
          <w:lang w:val="nl-NL" w:eastAsia="nl-NL"/>
        </w:rPr>
        <w:t xml:space="preserve"> lid zijn niet de bepalingen van het eerste lid, maar de bepalingen van artikel 7 van toepassing op royalty’s die worden betaald voor rechten of zaken die behoren tot het vermogen van een vaste inrichting van de uiteindelijke gerechtigde gelegen in de verdragsluitende staat waaruit de royalty’s afkomstig zijn.</w:t>
      </w:r>
    </w:p>
    <w:p w:rsidR="00E72C58" w:rsidP="00384EE8" w:rsidRDefault="00F23CA5" w14:paraId="35F61524" w14:textId="77777777">
      <w:pPr>
        <w:spacing w:after="0" w:line="360" w:lineRule="auto"/>
        <w:ind w:firstLine="567"/>
        <w:rPr>
          <w:rFonts w:ascii="Arial" w:hAnsi="Arial" w:eastAsia="Times New Roman" w:cs="Arial"/>
          <w:sz w:val="20"/>
          <w:szCs w:val="20"/>
          <w:lang w:val="nl-NL" w:eastAsia="nl-NL"/>
        </w:rPr>
      </w:pPr>
      <w:r>
        <w:rPr>
          <w:rFonts w:ascii="Arial" w:hAnsi="Arial" w:eastAsia="Times New Roman" w:cs="Times New Roman"/>
          <w:sz w:val="20"/>
          <w:szCs w:val="24"/>
          <w:lang w:val="nl-NL" w:eastAsia="nl-NL"/>
        </w:rPr>
        <w:t>Vervolgens bepaalt het vijfde</w:t>
      </w:r>
      <w:r w:rsidRPr="00A72FAF" w:rsidR="00A72FAF">
        <w:rPr>
          <w:rFonts w:ascii="Arial" w:hAnsi="Arial" w:eastAsia="Times New Roman" w:cs="Times New Roman"/>
          <w:sz w:val="20"/>
          <w:szCs w:val="24"/>
          <w:lang w:val="nl-NL" w:eastAsia="nl-NL"/>
        </w:rPr>
        <w:t xml:space="preserve"> lid dat de bepalingen van artikel 12 slechts van toepassing zijn voor zover de betaalde royalty's overeenkomen met de royalty’s die tussen onafhankelijke partijen overeengekomen zouden zijn. </w:t>
      </w:r>
      <w:r w:rsidRPr="00A72FAF" w:rsidR="00A72FAF">
        <w:rPr>
          <w:rFonts w:ascii="Arial" w:hAnsi="Arial" w:eastAsia="Times New Roman" w:cs="Arial"/>
          <w:sz w:val="20"/>
          <w:szCs w:val="20"/>
          <w:lang w:val="nl-NL" w:eastAsia="nl-NL"/>
        </w:rPr>
        <w:t>Het eventueel bovenmatige gedeelte van de royalty’s is belastbaar overeenkomstig de nationale wetgeving van elk van de verdragsluitende staten, rekening houdend met de overige bepalingen van het Verdrag.</w:t>
      </w:r>
    </w:p>
    <w:p w:rsidRPr="00E72C58" w:rsidR="00A72FAF" w:rsidP="00384EE8" w:rsidRDefault="00A72FAF" w14:paraId="15AED271" w14:textId="737AF2F0">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 </w:t>
      </w:r>
      <w:r w:rsidRPr="00E72C58" w:rsidR="00E72C58">
        <w:rPr>
          <w:rFonts w:ascii="Arial" w:hAnsi="Arial" w:eastAsia="Times New Roman" w:cs="Arial"/>
          <w:sz w:val="20"/>
          <w:szCs w:val="20"/>
          <w:lang w:val="nl-NL" w:eastAsia="nl-NL"/>
        </w:rPr>
        <w:t xml:space="preserve">Protocol VI is </w:t>
      </w:r>
      <w:r w:rsidR="001D1156">
        <w:rPr>
          <w:rFonts w:ascii="Arial" w:hAnsi="Arial" w:eastAsia="Times New Roman" w:cs="Arial"/>
          <w:sz w:val="20"/>
          <w:szCs w:val="20"/>
          <w:lang w:val="nl-NL" w:eastAsia="nl-NL"/>
        </w:rPr>
        <w:t xml:space="preserve">hierboven </w:t>
      </w:r>
      <w:r w:rsidRPr="00E72C58" w:rsidR="00E72C58">
        <w:rPr>
          <w:rFonts w:ascii="Arial" w:hAnsi="Arial" w:eastAsia="Times New Roman" w:cs="Arial"/>
          <w:sz w:val="20"/>
          <w:szCs w:val="20"/>
          <w:lang w:val="nl-NL" w:eastAsia="nl-NL"/>
        </w:rPr>
        <w:t xml:space="preserve">reeds toegelicht </w:t>
      </w:r>
      <w:r w:rsidR="001D1156">
        <w:rPr>
          <w:rFonts w:ascii="Arial" w:hAnsi="Arial" w:eastAsia="Times New Roman" w:cs="Arial"/>
          <w:sz w:val="20"/>
          <w:szCs w:val="20"/>
          <w:lang w:val="nl-NL" w:eastAsia="nl-NL"/>
        </w:rPr>
        <w:t xml:space="preserve">in de toelichting op </w:t>
      </w:r>
      <w:r w:rsidRPr="00E72C58" w:rsidR="00E72C58">
        <w:rPr>
          <w:rFonts w:ascii="Arial" w:hAnsi="Arial" w:eastAsia="Times New Roman" w:cs="Arial"/>
          <w:sz w:val="20"/>
          <w:szCs w:val="20"/>
          <w:lang w:val="nl-NL" w:eastAsia="nl-NL"/>
        </w:rPr>
        <w:t xml:space="preserve">artikel 10. </w:t>
      </w:r>
    </w:p>
    <w:p w:rsidRPr="00A72FAF" w:rsidR="00A72FAF" w:rsidP="00384EE8" w:rsidRDefault="00A72FAF" w14:paraId="6ECBFC42" w14:textId="4EC6E669">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Vermogenswinsten (artikel 13</w:t>
      </w:r>
      <w:r w:rsidR="005D25A4">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5D25A4">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artikelen </w:t>
      </w:r>
      <w:r w:rsidR="005D25A4">
        <w:rPr>
          <w:rFonts w:ascii="Arial" w:hAnsi="Arial" w:eastAsia="Times New Roman" w:cs="Times New Roman"/>
          <w:bCs/>
          <w:i/>
          <w:iCs/>
          <w:sz w:val="20"/>
          <w:szCs w:val="28"/>
          <w:lang w:val="nl-NL" w:eastAsia="nl-NL"/>
        </w:rPr>
        <w:t>IV en VII</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A72FAF" w:rsidRDefault="00A72FAF" w14:paraId="22996D8F" w14:textId="77777777">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Artikel 13 heeft betrekking op de verdeling van heffingsrechten over vermogenswinsten. Het artikel bevat twee verschillen ten opzichte van artikel 13 van het OESO-modelverdrag. Conform het Nederlandse verdragsbeleid dat is beschreven in onderdeel 2.9.2 van de NFV 2011 zijn beperkingen opgenomen bij de bronstaatheffing over vermogenswinsten ter zake van aandelen die hun waarde aan onroerende zaken ontlenen (in het vierde lid). Voorts bevat het zesde lid in aansluiting op artikel 10, negende lid, van het Verdrag, een bepaling over vermogenswinsten behaald door geëmigreerde aanmerkelijkbelanghouders conform het Nederlandse verdragsbeleid dat is toegelicht in onderdeel 2.9.3 en 2.9.4 van de NFV 2011.</w:t>
      </w:r>
    </w:p>
    <w:p w:rsidRPr="00A72FAF" w:rsidR="00A72FAF" w:rsidP="00A72FAF" w:rsidRDefault="00A72FAF" w14:paraId="730CCAE8" w14:textId="7E71CECD">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Het eerste lid wijst het heffingsrecht over de voordelen die een inwoner van een verdragsluitende staat behaald met de vervreemding van een onroerende zaak die is gelegen in de andere verdragsluitende staat, toe aan die andere staat. Voor het begrip </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onroerende zaak</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aangesloten bij de omschrijving daarvan in artikel 6. </w:t>
      </w:r>
    </w:p>
    <w:p w:rsidRPr="00A72FAF" w:rsidR="00A72FAF" w:rsidP="00A72FAF" w:rsidRDefault="00A72FAF" w14:paraId="4CD11CD1" w14:textId="2CD42DDA">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het tweede lid is, in aansluiting bij artikel 7, bepaald dat voordelen die worden verkregen door een onderneming van een verdragsluitende staat uit de vervreemding van </w:t>
      </w:r>
      <w:r w:rsidR="000606FC">
        <w:rPr>
          <w:rFonts w:ascii="Arial" w:hAnsi="Arial" w:eastAsia="Times New Roman" w:cs="Times New Roman"/>
          <w:sz w:val="20"/>
          <w:szCs w:val="24"/>
          <w:lang w:val="nl-NL" w:eastAsia="nl-NL"/>
        </w:rPr>
        <w:t xml:space="preserve">bezittingen </w:t>
      </w:r>
      <w:r w:rsidRPr="00A72FAF">
        <w:rPr>
          <w:rFonts w:ascii="Arial" w:hAnsi="Arial" w:eastAsia="Times New Roman" w:cs="Times New Roman"/>
          <w:sz w:val="20"/>
          <w:szCs w:val="24"/>
          <w:lang w:val="nl-NL" w:eastAsia="nl-NL"/>
        </w:rPr>
        <w:t xml:space="preserve">die behoren tot het vermogen van een vaste inrichting van die onderneming in de andere verdragsluitende staat, mogen worden belast in de staat waarin de vaste inrichting is gelegen. </w:t>
      </w:r>
    </w:p>
    <w:p w:rsidRPr="00A72FAF" w:rsidR="00A72FAF" w:rsidP="00314DCA" w:rsidRDefault="00A72FAF" w14:paraId="0D4B658E" w14:textId="10C68C37">
      <w:pPr>
        <w:spacing w:after="0" w:line="360" w:lineRule="auto"/>
        <w:ind w:firstLine="720"/>
        <w:rPr>
          <w:rFonts w:ascii="Arial" w:hAnsi="Arial" w:eastAsia="Times New Roman" w:cs="Times New Roman"/>
          <w:sz w:val="20"/>
          <w:szCs w:val="24"/>
          <w:lang w:val="nl-NL" w:eastAsia="nl-NL"/>
        </w:rPr>
      </w:pPr>
      <w:r w:rsidRPr="00E72C58">
        <w:rPr>
          <w:rFonts w:ascii="Arial" w:hAnsi="Arial" w:eastAsia="Times New Roman" w:cs="Times New Roman"/>
          <w:sz w:val="20"/>
          <w:szCs w:val="24"/>
          <w:lang w:val="nl-NL" w:eastAsia="nl-NL"/>
        </w:rPr>
        <w:t>Ingevolge het derde lid zijn, in lijn met artikel 8 (</w:t>
      </w:r>
      <w:r w:rsidR="0066527A">
        <w:rPr>
          <w:rFonts w:ascii="Arial" w:hAnsi="Arial" w:eastAsia="Times New Roman" w:cs="Times New Roman"/>
          <w:sz w:val="20"/>
          <w:szCs w:val="24"/>
          <w:lang w:val="nl-NL" w:eastAsia="nl-NL"/>
        </w:rPr>
        <w:t>Z</w:t>
      </w:r>
      <w:r w:rsidR="000606FC">
        <w:rPr>
          <w:rFonts w:ascii="Arial" w:hAnsi="Arial" w:eastAsia="Times New Roman" w:cs="Times New Roman"/>
          <w:sz w:val="20"/>
          <w:szCs w:val="24"/>
          <w:lang w:val="nl-NL" w:eastAsia="nl-NL"/>
        </w:rPr>
        <w:t>ee- en luchtvaart</w:t>
      </w:r>
      <w:r w:rsidRPr="00E72C58">
        <w:rPr>
          <w:rFonts w:ascii="Arial" w:hAnsi="Arial" w:eastAsia="Times New Roman" w:cs="Times New Roman"/>
          <w:sz w:val="20"/>
          <w:szCs w:val="24"/>
          <w:lang w:val="nl-NL" w:eastAsia="nl-NL"/>
        </w:rPr>
        <w:t xml:space="preserve">), </w:t>
      </w:r>
      <w:r w:rsidRPr="00E72C58" w:rsidR="00042BF8">
        <w:rPr>
          <w:rFonts w:ascii="Arial" w:hAnsi="Arial" w:eastAsia="Times New Roman" w:cs="Times New Roman"/>
          <w:sz w:val="20"/>
          <w:szCs w:val="24"/>
          <w:lang w:val="nl-NL" w:eastAsia="nl-NL"/>
        </w:rPr>
        <w:t xml:space="preserve">de voordelen uit de vervreemding van luchtvaartuigen en schepen die in het internationale verkeer worden gebruikt, </w:t>
      </w:r>
      <w:r w:rsidRPr="00990F79" w:rsidR="00990F79">
        <w:rPr>
          <w:rFonts w:ascii="Arial" w:hAnsi="Arial" w:eastAsia="Times New Roman" w:cs="Times New Roman"/>
          <w:sz w:val="20"/>
          <w:szCs w:val="24"/>
          <w:lang w:val="nl-NL" w:eastAsia="nl-NL"/>
        </w:rPr>
        <w:t xml:space="preserve">en </w:t>
      </w:r>
      <w:r w:rsidR="00990F79">
        <w:rPr>
          <w:rFonts w:ascii="Arial" w:hAnsi="Arial" w:eastAsia="Times New Roman" w:cs="Times New Roman"/>
          <w:sz w:val="20"/>
          <w:szCs w:val="24"/>
          <w:lang w:val="nl-NL" w:eastAsia="nl-NL"/>
        </w:rPr>
        <w:t xml:space="preserve">andere bezittingen </w:t>
      </w:r>
      <w:r w:rsidRPr="00990F79" w:rsidR="00990F79">
        <w:rPr>
          <w:rFonts w:ascii="Arial" w:hAnsi="Arial" w:eastAsia="Times New Roman" w:cs="Times New Roman"/>
          <w:sz w:val="20"/>
          <w:szCs w:val="24"/>
          <w:lang w:val="nl-NL" w:eastAsia="nl-NL"/>
        </w:rPr>
        <w:t xml:space="preserve">die </w:t>
      </w:r>
      <w:r w:rsidR="00990F79">
        <w:rPr>
          <w:rFonts w:ascii="Arial" w:hAnsi="Arial" w:eastAsia="Times New Roman" w:cs="Times New Roman"/>
          <w:sz w:val="20"/>
          <w:szCs w:val="24"/>
          <w:lang w:val="nl-NL" w:eastAsia="nl-NL"/>
        </w:rPr>
        <w:t xml:space="preserve">daarbij </w:t>
      </w:r>
      <w:r w:rsidRPr="00990F79" w:rsidR="00990F79">
        <w:rPr>
          <w:rFonts w:ascii="Arial" w:hAnsi="Arial" w:eastAsia="Times New Roman" w:cs="Times New Roman"/>
          <w:sz w:val="20"/>
          <w:szCs w:val="24"/>
          <w:lang w:val="nl-NL" w:eastAsia="nl-NL"/>
        </w:rPr>
        <w:t>worden gebruik</w:t>
      </w:r>
      <w:r w:rsidR="001A792A">
        <w:rPr>
          <w:rFonts w:ascii="Arial" w:hAnsi="Arial" w:eastAsia="Times New Roman" w:cs="Times New Roman"/>
          <w:sz w:val="20"/>
          <w:szCs w:val="24"/>
          <w:lang w:val="nl-NL" w:eastAsia="nl-NL"/>
        </w:rPr>
        <w:t>t</w:t>
      </w:r>
      <w:r w:rsidR="00990F79">
        <w:rPr>
          <w:rFonts w:ascii="Arial" w:hAnsi="Arial" w:eastAsia="Times New Roman" w:cs="Times New Roman"/>
          <w:sz w:val="20"/>
          <w:szCs w:val="24"/>
          <w:lang w:val="nl-NL" w:eastAsia="nl-NL"/>
        </w:rPr>
        <w:t xml:space="preserve">, </w:t>
      </w:r>
      <w:r w:rsidR="000606FC">
        <w:rPr>
          <w:rFonts w:ascii="Arial" w:hAnsi="Arial" w:eastAsia="Times New Roman" w:cs="Times New Roman"/>
          <w:sz w:val="20"/>
          <w:szCs w:val="24"/>
          <w:lang w:val="nl-NL" w:eastAsia="nl-NL"/>
        </w:rPr>
        <w:t xml:space="preserve">slechts </w:t>
      </w:r>
      <w:r w:rsidRPr="00E72C58" w:rsidR="00042BF8">
        <w:rPr>
          <w:rFonts w:ascii="Arial" w:hAnsi="Arial" w:eastAsia="Times New Roman" w:cs="Times New Roman"/>
          <w:sz w:val="20"/>
          <w:szCs w:val="24"/>
          <w:lang w:val="nl-NL" w:eastAsia="nl-NL"/>
        </w:rPr>
        <w:t>belastbaar in de verdragsluitende staat waar de werkelijke leiding is gevestigd van de desbetreffende lucht- of scheepvaartonderneming.</w:t>
      </w:r>
      <w:r w:rsidR="00042BF8">
        <w:rPr>
          <w:rFonts w:ascii="Arial" w:hAnsi="Arial" w:eastAsia="Times New Roman" w:cs="Times New Roman"/>
          <w:sz w:val="20"/>
          <w:szCs w:val="24"/>
          <w:lang w:val="nl-NL" w:eastAsia="nl-NL"/>
        </w:rPr>
        <w:t xml:space="preserve"> </w:t>
      </w:r>
    </w:p>
    <w:p w:rsidRPr="00A72FAF" w:rsidR="00A72FAF" w:rsidP="00A72FAF" w:rsidRDefault="00A72FAF" w14:paraId="2083B415" w14:textId="7DB2AF99">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Het vierde l</w:t>
      </w:r>
      <w:r w:rsidR="00042BF8">
        <w:rPr>
          <w:rFonts w:ascii="Arial" w:hAnsi="Arial" w:eastAsia="Times New Roman" w:cs="Times New Roman"/>
          <w:sz w:val="20"/>
          <w:szCs w:val="24"/>
          <w:lang w:val="nl-NL" w:eastAsia="nl-NL"/>
        </w:rPr>
        <w:t>id bevat, op verzoek van Liechtenstein</w:t>
      </w:r>
      <w:r w:rsidRPr="00A72FAF">
        <w:rPr>
          <w:rFonts w:ascii="Arial" w:hAnsi="Arial" w:eastAsia="Times New Roman" w:cs="Times New Roman"/>
          <w:sz w:val="20"/>
          <w:szCs w:val="24"/>
          <w:lang w:val="nl-NL" w:eastAsia="nl-NL"/>
        </w:rPr>
        <w:t xml:space="preserve"> en in aansluiting bij artikel 13, vierde lid, van het OESO-modelverdrag, een bronstaatheffing over vermogenswinsten behaald met de vervreemding van aandelen of vergelijkbare belangen in zogenoemde </w:t>
      </w:r>
      <w:proofErr w:type="spellStart"/>
      <w:r w:rsidRPr="00A72FAF">
        <w:rPr>
          <w:rFonts w:ascii="Arial" w:hAnsi="Arial" w:eastAsia="Times New Roman" w:cs="Times New Roman"/>
          <w:sz w:val="20"/>
          <w:szCs w:val="24"/>
          <w:lang w:val="nl-NL" w:eastAsia="nl-NL"/>
        </w:rPr>
        <w:t>onroerendezaaklichamen</w:t>
      </w:r>
      <w:proofErr w:type="spellEnd"/>
      <w:r w:rsidRPr="00A72FAF">
        <w:rPr>
          <w:rFonts w:ascii="Arial" w:hAnsi="Arial" w:eastAsia="Times New Roman" w:cs="Times New Roman"/>
          <w:sz w:val="20"/>
          <w:szCs w:val="24"/>
          <w:lang w:val="nl-NL" w:eastAsia="nl-NL"/>
        </w:rPr>
        <w:t xml:space="preserve"> (die beschikken over in een verdragsluitende staat gelegen onroerende zaken – de </w:t>
      </w:r>
      <w:r w:rsidR="00367531">
        <w:rPr>
          <w:rFonts w:ascii="Arial" w:hAnsi="Arial" w:eastAsia="Times New Roman" w:cs="Times New Roman"/>
          <w:sz w:val="20"/>
          <w:szCs w:val="24"/>
          <w:lang w:val="nl-NL" w:eastAsia="nl-NL"/>
        </w:rPr>
        <w:t>‘</w:t>
      </w:r>
      <w:proofErr w:type="spellStart"/>
      <w:r w:rsidRPr="00A72FAF">
        <w:rPr>
          <w:rFonts w:ascii="Arial" w:hAnsi="Arial" w:eastAsia="Times New Roman" w:cs="Times New Roman"/>
          <w:sz w:val="20"/>
          <w:szCs w:val="24"/>
          <w:lang w:val="nl-NL" w:eastAsia="nl-NL"/>
        </w:rPr>
        <w:t>situsstaat</w:t>
      </w:r>
      <w:proofErr w:type="spellEnd"/>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0080183A">
        <w:rPr>
          <w:rFonts w:ascii="Arial" w:hAnsi="Arial" w:eastAsia="Times New Roman" w:cs="Arial"/>
          <w:sz w:val="20"/>
          <w:szCs w:val="20"/>
          <w:lang w:val="nl-NL" w:eastAsia="nl-NL"/>
        </w:rPr>
        <w:t>Bi</w:t>
      </w:r>
      <w:r w:rsidRPr="00A72FAF" w:rsidR="0080183A">
        <w:rPr>
          <w:rFonts w:ascii="Arial" w:hAnsi="Arial" w:eastAsia="Times New Roman" w:cs="Arial"/>
          <w:sz w:val="20"/>
          <w:szCs w:val="20"/>
          <w:lang w:val="nl-NL" w:eastAsia="nl-NL"/>
        </w:rPr>
        <w:t xml:space="preserve">j de toepassing van het vierde </w:t>
      </w:r>
      <w:r w:rsidRPr="00A72FAF" w:rsidR="0080183A">
        <w:rPr>
          <w:rFonts w:ascii="Arial" w:hAnsi="Arial" w:eastAsia="Times New Roman" w:cs="Arial"/>
          <w:sz w:val="20"/>
          <w:szCs w:val="20"/>
          <w:lang w:val="nl-NL" w:eastAsia="nl-NL"/>
        </w:rPr>
        <w:lastRenderedPageBreak/>
        <w:t xml:space="preserve">lid </w:t>
      </w:r>
      <w:r w:rsidR="0080183A">
        <w:rPr>
          <w:rFonts w:ascii="Arial" w:hAnsi="Arial" w:eastAsia="Times New Roman" w:cs="Arial"/>
          <w:sz w:val="20"/>
          <w:szCs w:val="20"/>
          <w:lang w:val="nl-NL" w:eastAsia="nl-NL"/>
        </w:rPr>
        <w:t xml:space="preserve">wordt </w:t>
      </w:r>
      <w:r w:rsidRPr="00A72FAF" w:rsidR="0080183A">
        <w:rPr>
          <w:rFonts w:ascii="Arial" w:hAnsi="Arial" w:eastAsia="Times New Roman" w:cs="Arial"/>
          <w:sz w:val="20"/>
          <w:szCs w:val="20"/>
          <w:lang w:val="nl-NL" w:eastAsia="nl-NL"/>
        </w:rPr>
        <w:t xml:space="preserve">gedurende een periode van 365 dagen voorafgaand aan een vervreemding getoetst of de </w:t>
      </w:r>
      <w:r w:rsidRPr="00777141" w:rsidR="0080183A">
        <w:rPr>
          <w:rFonts w:ascii="Arial" w:hAnsi="Arial" w:eastAsia="Times New Roman" w:cs="Arial"/>
          <w:sz w:val="20"/>
          <w:szCs w:val="20"/>
          <w:lang w:val="nl-NL" w:eastAsia="nl-NL"/>
        </w:rPr>
        <w:t xml:space="preserve">waarde van </w:t>
      </w:r>
      <w:r w:rsidRPr="00777141" w:rsidR="000C1F21">
        <w:rPr>
          <w:rFonts w:ascii="Arial" w:hAnsi="Arial" w:eastAsia="Times New Roman" w:cs="Arial"/>
          <w:sz w:val="20"/>
          <w:szCs w:val="20"/>
          <w:lang w:val="nl-NL" w:eastAsia="nl-NL"/>
        </w:rPr>
        <w:t>– kort gezegd</w:t>
      </w:r>
      <w:r w:rsidR="000C1F21">
        <w:rPr>
          <w:rFonts w:ascii="Arial" w:hAnsi="Arial" w:eastAsia="Times New Roman" w:cs="Arial"/>
          <w:sz w:val="20"/>
          <w:szCs w:val="20"/>
          <w:lang w:val="nl-NL" w:eastAsia="nl-NL"/>
        </w:rPr>
        <w:t xml:space="preserve"> </w:t>
      </w:r>
      <w:r w:rsidR="00F2751F">
        <w:rPr>
          <w:rFonts w:ascii="Arial" w:hAnsi="Arial" w:eastAsia="Times New Roman" w:cs="Arial"/>
          <w:sz w:val="20"/>
          <w:szCs w:val="20"/>
          <w:lang w:val="nl-NL" w:eastAsia="nl-NL"/>
        </w:rPr>
        <w:t>–</w:t>
      </w:r>
      <w:r w:rsidR="000C1F21">
        <w:rPr>
          <w:rFonts w:ascii="Arial" w:hAnsi="Arial" w:eastAsia="Times New Roman" w:cs="Arial"/>
          <w:sz w:val="20"/>
          <w:szCs w:val="20"/>
          <w:lang w:val="nl-NL" w:eastAsia="nl-NL"/>
        </w:rPr>
        <w:t xml:space="preserve"> </w:t>
      </w:r>
      <w:r w:rsidRPr="00A72FAF" w:rsidR="0080183A">
        <w:rPr>
          <w:rFonts w:ascii="Arial" w:hAnsi="Arial" w:eastAsia="Times New Roman" w:cs="Arial"/>
          <w:sz w:val="20"/>
          <w:szCs w:val="20"/>
          <w:lang w:val="nl-NL" w:eastAsia="nl-NL"/>
        </w:rPr>
        <w:t xml:space="preserve">de aandelen op enig moment voor meer dan 75% is ontleend aan onroerende zaken gelegen in de </w:t>
      </w:r>
      <w:proofErr w:type="spellStart"/>
      <w:r w:rsidRPr="00A72FAF" w:rsidR="0080183A">
        <w:rPr>
          <w:rFonts w:ascii="Arial" w:hAnsi="Arial" w:eastAsia="Times New Roman" w:cs="Arial"/>
          <w:sz w:val="20"/>
          <w:szCs w:val="20"/>
          <w:lang w:val="nl-NL" w:eastAsia="nl-NL"/>
        </w:rPr>
        <w:t>situsstaat</w:t>
      </w:r>
      <w:proofErr w:type="spellEnd"/>
      <w:r w:rsidRPr="00A72FAF" w:rsidR="0080183A">
        <w:rPr>
          <w:rFonts w:ascii="Arial" w:hAnsi="Arial" w:eastAsia="Times New Roman" w:cs="Arial"/>
          <w:sz w:val="20"/>
          <w:szCs w:val="20"/>
          <w:lang w:val="nl-NL" w:eastAsia="nl-NL"/>
        </w:rPr>
        <w:t>.</w:t>
      </w:r>
      <w:r w:rsidR="0080183A">
        <w:rPr>
          <w:rFonts w:ascii="Arial" w:hAnsi="Arial" w:eastAsia="Times New Roman" w:cs="Arial"/>
          <w:sz w:val="20"/>
          <w:szCs w:val="20"/>
          <w:lang w:val="nl-NL" w:eastAsia="nl-NL"/>
        </w:rPr>
        <w:t xml:space="preserve"> </w:t>
      </w:r>
      <w:r w:rsidRPr="00A72FAF">
        <w:rPr>
          <w:rFonts w:ascii="Arial" w:hAnsi="Arial" w:eastAsia="Times New Roman" w:cs="Times New Roman"/>
          <w:sz w:val="20"/>
          <w:szCs w:val="24"/>
          <w:lang w:val="nl-NL" w:eastAsia="nl-NL"/>
        </w:rPr>
        <w:t>Zoals verwoord in onderdeel 2.9.2 van de NFV 2011 is de inzet van Nederland uitsluitende woonstaatheffing</w:t>
      </w:r>
      <w:r w:rsidRPr="00A72FAF" w:rsidDel="00117F2B">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overeen te komen over vermogenswinsten behaald met de vervreemding van aandelen. Desalniettemin is Nederland in het kader van</w:t>
      </w:r>
      <w:r w:rsidR="00042BF8">
        <w:rPr>
          <w:rFonts w:ascii="Arial" w:hAnsi="Arial" w:eastAsia="Times New Roman" w:cs="Times New Roman"/>
          <w:sz w:val="20"/>
          <w:szCs w:val="24"/>
          <w:lang w:val="nl-NL" w:eastAsia="nl-NL"/>
        </w:rPr>
        <w:t xml:space="preserve"> een totaalcompromis met Liechtenstein</w:t>
      </w:r>
      <w:r w:rsidRPr="00A72FAF">
        <w:rPr>
          <w:rFonts w:ascii="Arial" w:hAnsi="Arial" w:eastAsia="Times New Roman" w:cs="Times New Roman"/>
          <w:sz w:val="20"/>
          <w:szCs w:val="24"/>
          <w:lang w:val="nl-NL" w:eastAsia="nl-NL"/>
        </w:rPr>
        <w:t xml:space="preserve"> akkoord gegaan met een bronstaatheffing over vermogenswinsten behaald met vervreemding van aandelen in een </w:t>
      </w:r>
      <w:proofErr w:type="spellStart"/>
      <w:r w:rsidRPr="00A72FAF">
        <w:rPr>
          <w:rFonts w:ascii="Arial" w:hAnsi="Arial" w:eastAsia="Times New Roman" w:cs="Times New Roman"/>
          <w:sz w:val="20"/>
          <w:szCs w:val="24"/>
          <w:lang w:val="nl-NL" w:eastAsia="nl-NL"/>
        </w:rPr>
        <w:t>onroerendezaaklichaam</w:t>
      </w:r>
      <w:proofErr w:type="spellEnd"/>
      <w:r w:rsidRPr="00A72FAF">
        <w:rPr>
          <w:rFonts w:ascii="Arial" w:hAnsi="Arial" w:eastAsia="Times New Roman" w:cs="Times New Roman"/>
          <w:sz w:val="20"/>
          <w:szCs w:val="24"/>
          <w:lang w:val="nl-NL" w:eastAsia="nl-NL"/>
        </w:rPr>
        <w:t>, maar heeft daarbij voorwaarden en uitzonderingen bedongen om de proportionaliteit van deze antimisbruikbepaling te verbeteren.</w:t>
      </w:r>
    </w:p>
    <w:p w:rsidRPr="00A72FAF" w:rsidR="0080183A" w:rsidP="00115385" w:rsidRDefault="00115385" w14:paraId="2352AB13" w14:textId="248272F4">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Allereerst</w:t>
      </w:r>
      <w:r w:rsidRPr="00A72FAF" w:rsidR="00A72FAF">
        <w:rPr>
          <w:rFonts w:ascii="Arial" w:hAnsi="Arial" w:eastAsia="Times New Roman" w:cs="Times New Roman"/>
          <w:sz w:val="20"/>
          <w:szCs w:val="24"/>
          <w:lang w:val="nl-NL" w:eastAsia="nl-NL"/>
        </w:rPr>
        <w:t xml:space="preserve"> is bepaald dat vermogenswinsten behaald met vervreemding van aandelen in onroerende zaaklichamen pas ter heffing zijn toegewezen aan de </w:t>
      </w:r>
      <w:proofErr w:type="spellStart"/>
      <w:r w:rsidRPr="00A72FAF" w:rsidR="00A72FAF">
        <w:rPr>
          <w:rFonts w:ascii="Arial" w:hAnsi="Arial" w:eastAsia="Times New Roman" w:cs="Times New Roman"/>
          <w:sz w:val="20"/>
          <w:szCs w:val="24"/>
          <w:lang w:val="nl-NL" w:eastAsia="nl-NL"/>
        </w:rPr>
        <w:t>situsstaat</w:t>
      </w:r>
      <w:proofErr w:type="spellEnd"/>
      <w:r w:rsidRPr="00A72FAF" w:rsidR="00A72FAF">
        <w:rPr>
          <w:rFonts w:ascii="Arial" w:hAnsi="Arial" w:eastAsia="Times New Roman" w:cs="Times New Roman"/>
          <w:sz w:val="20"/>
          <w:szCs w:val="24"/>
          <w:lang w:val="nl-NL" w:eastAsia="nl-NL"/>
        </w:rPr>
        <w:t xml:space="preserve"> indien</w:t>
      </w:r>
      <w:r w:rsidR="0080183A">
        <w:rPr>
          <w:rFonts w:ascii="Arial" w:hAnsi="Arial" w:eastAsia="Times New Roman" w:cs="Times New Roman"/>
          <w:sz w:val="20"/>
          <w:szCs w:val="24"/>
          <w:lang w:val="nl-NL" w:eastAsia="nl-NL"/>
        </w:rPr>
        <w:t>, zoals hierboven beschreven</w:t>
      </w:r>
      <w:r w:rsidR="0088481D">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meer dan 75% van de waarde van de aandelen in het lichaam, direct of indirect, is ontleend aan in de </w:t>
      </w:r>
      <w:proofErr w:type="spellStart"/>
      <w:r w:rsidRPr="00A72FAF" w:rsidR="00A72FAF">
        <w:rPr>
          <w:rFonts w:ascii="Arial" w:hAnsi="Arial" w:eastAsia="Times New Roman" w:cs="Times New Roman"/>
          <w:sz w:val="20"/>
          <w:szCs w:val="24"/>
          <w:lang w:val="nl-NL" w:eastAsia="nl-NL"/>
        </w:rPr>
        <w:t>situ</w:t>
      </w:r>
      <w:r w:rsidR="0080183A">
        <w:rPr>
          <w:rFonts w:ascii="Arial" w:hAnsi="Arial" w:eastAsia="Times New Roman" w:cs="Times New Roman"/>
          <w:sz w:val="20"/>
          <w:szCs w:val="24"/>
          <w:lang w:val="nl-NL" w:eastAsia="nl-NL"/>
        </w:rPr>
        <w:t>sstaat</w:t>
      </w:r>
      <w:proofErr w:type="spellEnd"/>
      <w:r w:rsidR="0080183A">
        <w:rPr>
          <w:rFonts w:ascii="Arial" w:hAnsi="Arial" w:eastAsia="Times New Roman" w:cs="Times New Roman"/>
          <w:sz w:val="20"/>
          <w:szCs w:val="24"/>
          <w:lang w:val="nl-NL" w:eastAsia="nl-NL"/>
        </w:rPr>
        <w:t xml:space="preserve"> gelegen onroerende zaken. In het OESO-modelverdrag is dat percentage op 50% gesteld. </w:t>
      </w:r>
      <w:r>
        <w:rPr>
          <w:rFonts w:ascii="Arial" w:hAnsi="Arial" w:eastAsia="Times New Roman" w:cs="Times New Roman"/>
          <w:sz w:val="20"/>
          <w:szCs w:val="24"/>
          <w:lang w:val="nl-NL" w:eastAsia="nl-NL"/>
        </w:rPr>
        <w:t xml:space="preserve">Daarnaast is bepaald dat </w:t>
      </w:r>
      <w:r w:rsidRPr="00A72FAF">
        <w:rPr>
          <w:rFonts w:ascii="Arial" w:hAnsi="Arial" w:eastAsia="Times New Roman" w:cs="Times New Roman"/>
          <w:sz w:val="20"/>
          <w:szCs w:val="24"/>
          <w:lang w:val="nl-NL" w:eastAsia="nl-NL"/>
        </w:rPr>
        <w:t>het vier</w:t>
      </w:r>
      <w:r>
        <w:rPr>
          <w:rFonts w:ascii="Arial" w:hAnsi="Arial" w:eastAsia="Times New Roman" w:cs="Times New Roman"/>
          <w:sz w:val="20"/>
          <w:szCs w:val="24"/>
          <w:lang w:val="nl-NL" w:eastAsia="nl-NL"/>
        </w:rPr>
        <w:t xml:space="preserve">de lid niet van toepassing is: </w:t>
      </w:r>
      <w:r w:rsidRPr="00A72FAF">
        <w:rPr>
          <w:rFonts w:ascii="Arial" w:hAnsi="Arial" w:eastAsia="Times New Roman" w:cs="Times New Roman"/>
          <w:sz w:val="20"/>
          <w:szCs w:val="24"/>
          <w:lang w:val="nl-NL" w:eastAsia="nl-NL"/>
        </w:rPr>
        <w:t xml:space="preserve"> </w:t>
      </w:r>
    </w:p>
    <w:p w:rsidR="0080183A" w:rsidP="00A72FAF" w:rsidRDefault="00A72FAF" w14:paraId="6C462E64" w14:textId="3AB62F6A">
      <w:pPr>
        <w:spacing w:after="0" w:line="360" w:lineRule="auto"/>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w:t>
      </w:r>
      <w:r w:rsidR="00FD3F99">
        <w:rPr>
          <w:rFonts w:ascii="Arial" w:hAnsi="Arial" w:eastAsia="Times New Roman" w:cs="Times New Roman"/>
          <w:sz w:val="20"/>
          <w:szCs w:val="24"/>
          <w:lang w:val="nl-NL" w:eastAsia="nl-NL"/>
        </w:rPr>
        <w:t xml:space="preserve"> op</w:t>
      </w:r>
      <w:r w:rsidRPr="00A72FAF">
        <w:rPr>
          <w:rFonts w:ascii="Arial" w:hAnsi="Arial" w:eastAsia="Times New Roman" w:cs="Times New Roman"/>
          <w:sz w:val="20"/>
          <w:szCs w:val="24"/>
          <w:lang w:val="nl-NL" w:eastAsia="nl-NL"/>
        </w:rPr>
        <w:t xml:space="preserve"> </w:t>
      </w:r>
      <w:r w:rsidR="00FD3F99">
        <w:rPr>
          <w:rFonts w:ascii="Arial" w:hAnsi="Arial" w:eastAsia="Times New Roman" w:cs="Times New Roman"/>
          <w:sz w:val="20"/>
          <w:szCs w:val="24"/>
          <w:lang w:val="nl-NL" w:eastAsia="nl-NL"/>
        </w:rPr>
        <w:t xml:space="preserve">vervreemdingswinsten op </w:t>
      </w:r>
      <w:r w:rsidRPr="00A72FAF" w:rsidR="00FD3F99">
        <w:rPr>
          <w:rFonts w:ascii="Arial" w:hAnsi="Arial" w:eastAsia="Times New Roman" w:cs="Times New Roman"/>
          <w:sz w:val="20"/>
          <w:szCs w:val="24"/>
          <w:lang w:val="nl-NL" w:eastAsia="nl-NL"/>
        </w:rPr>
        <w:t xml:space="preserve">aandelen die zijn genoteerd aan een </w:t>
      </w:r>
      <w:r w:rsidR="00106A85">
        <w:rPr>
          <w:rFonts w:ascii="Arial" w:hAnsi="Arial" w:eastAsia="Times New Roman" w:cs="Times New Roman"/>
          <w:sz w:val="20"/>
          <w:szCs w:val="24"/>
          <w:lang w:val="nl-NL" w:eastAsia="nl-NL"/>
        </w:rPr>
        <w:t xml:space="preserve">erkende </w:t>
      </w:r>
      <w:r w:rsidRPr="00A72FAF" w:rsidR="00FD3F99">
        <w:rPr>
          <w:rFonts w:ascii="Arial" w:hAnsi="Arial" w:eastAsia="Times New Roman" w:cs="Times New Roman"/>
          <w:sz w:val="20"/>
          <w:szCs w:val="24"/>
          <w:lang w:val="nl-NL" w:eastAsia="nl-NL"/>
        </w:rPr>
        <w:t>effectenbeurs</w:t>
      </w:r>
      <w:r w:rsidR="00FD3F99">
        <w:rPr>
          <w:rFonts w:ascii="Arial" w:hAnsi="Arial" w:eastAsia="Times New Roman" w:cs="Times New Roman"/>
          <w:sz w:val="20"/>
          <w:szCs w:val="24"/>
          <w:lang w:val="nl-NL" w:eastAsia="nl-NL"/>
        </w:rPr>
        <w:t xml:space="preserve"> (onderdeel a);</w:t>
      </w:r>
    </w:p>
    <w:p w:rsidR="00FD3F99" w:rsidP="00FD3F99" w:rsidRDefault="0080183A" w14:paraId="7AA9DD48" w14:textId="56A2348E">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 </w:t>
      </w:r>
      <w:r w:rsidR="0027136B">
        <w:rPr>
          <w:rFonts w:ascii="Arial" w:hAnsi="Arial" w:eastAsia="Times New Roman" w:cs="Times New Roman"/>
          <w:sz w:val="20"/>
          <w:szCs w:val="24"/>
          <w:lang w:val="nl-NL" w:eastAsia="nl-NL"/>
        </w:rPr>
        <w:t>op</w:t>
      </w:r>
      <w:r w:rsidRPr="00A72FAF" w:rsidR="0027136B">
        <w:rPr>
          <w:rFonts w:ascii="Arial" w:hAnsi="Arial" w:eastAsia="Times New Roman" w:cs="Times New Roman"/>
          <w:sz w:val="20"/>
          <w:szCs w:val="24"/>
          <w:lang w:val="nl-NL" w:eastAsia="nl-NL"/>
        </w:rPr>
        <w:t xml:space="preserve"> </w:t>
      </w:r>
      <w:r w:rsidR="0027136B">
        <w:rPr>
          <w:rFonts w:ascii="Arial" w:hAnsi="Arial" w:eastAsia="Times New Roman" w:cs="Times New Roman"/>
          <w:sz w:val="20"/>
          <w:szCs w:val="24"/>
          <w:lang w:val="nl-NL" w:eastAsia="nl-NL"/>
        </w:rPr>
        <w:t xml:space="preserve">vervreemdingswinsten op </w:t>
      </w:r>
      <w:r w:rsidRPr="00A72FAF" w:rsidR="0027136B">
        <w:rPr>
          <w:rFonts w:ascii="Arial" w:hAnsi="Arial" w:eastAsia="Times New Roman" w:cs="Times New Roman"/>
          <w:sz w:val="20"/>
          <w:szCs w:val="24"/>
          <w:lang w:val="nl-NL" w:eastAsia="nl-NL"/>
        </w:rPr>
        <w:t xml:space="preserve">aandelen </w:t>
      </w:r>
      <w:r w:rsidR="0027136B">
        <w:rPr>
          <w:rFonts w:ascii="Arial" w:hAnsi="Arial" w:eastAsia="Times New Roman" w:cs="Times New Roman"/>
          <w:sz w:val="20"/>
          <w:szCs w:val="24"/>
          <w:lang w:val="nl-NL" w:eastAsia="nl-NL"/>
        </w:rPr>
        <w:t xml:space="preserve">of vergelijkbare belangen </w:t>
      </w:r>
      <w:r w:rsidR="00FD3F99">
        <w:rPr>
          <w:rFonts w:ascii="Arial" w:hAnsi="Arial" w:eastAsia="Times New Roman" w:cs="Times New Roman"/>
          <w:sz w:val="20"/>
          <w:szCs w:val="24"/>
          <w:lang w:val="nl-NL" w:eastAsia="nl-NL"/>
        </w:rPr>
        <w:t xml:space="preserve">als </w:t>
      </w:r>
      <w:r w:rsidRPr="00A72FAF" w:rsidR="00FD3F99">
        <w:rPr>
          <w:rFonts w:ascii="Arial" w:hAnsi="Arial" w:eastAsia="Times New Roman" w:cs="Times New Roman"/>
          <w:sz w:val="20"/>
          <w:szCs w:val="24"/>
          <w:lang w:val="nl-NL" w:eastAsia="nl-NL"/>
        </w:rPr>
        <w:t>sprake is van een bed</w:t>
      </w:r>
      <w:r w:rsidR="00FD3F99">
        <w:rPr>
          <w:rFonts w:ascii="Arial" w:hAnsi="Arial" w:eastAsia="Times New Roman" w:cs="Times New Roman"/>
          <w:sz w:val="20"/>
          <w:szCs w:val="24"/>
          <w:lang w:val="nl-NL" w:eastAsia="nl-NL"/>
        </w:rPr>
        <w:t>rijfsreorganisatie</w:t>
      </w:r>
      <w:r w:rsidRPr="00A72FAF" w:rsidR="00FD3F99">
        <w:rPr>
          <w:rFonts w:ascii="Arial" w:hAnsi="Arial" w:eastAsia="Times New Roman" w:cs="Times New Roman"/>
          <w:sz w:val="20"/>
          <w:szCs w:val="24"/>
          <w:lang w:val="nl-NL" w:eastAsia="nl-NL"/>
        </w:rPr>
        <w:t xml:space="preserve"> (onderdeel b);</w:t>
      </w:r>
    </w:p>
    <w:p w:rsidRPr="00A72FAF" w:rsidR="00FD3F99" w:rsidP="00FD3F99" w:rsidRDefault="00FD3F99" w14:paraId="0E524A14" w14:textId="1CCEB83C">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als sprake is van</w:t>
      </w:r>
      <w:r w:rsidRPr="00A72FAF">
        <w:rPr>
          <w:rFonts w:ascii="Arial" w:hAnsi="Arial" w:eastAsia="Times New Roman" w:cs="Times New Roman"/>
          <w:sz w:val="20"/>
          <w:szCs w:val="24"/>
          <w:lang w:val="nl-NL" w:eastAsia="nl-NL"/>
        </w:rPr>
        <w:t xml:space="preserve"> onroerende zaken waarin </w:t>
      </w:r>
      <w:r>
        <w:rPr>
          <w:rFonts w:ascii="Arial" w:hAnsi="Arial" w:eastAsia="Times New Roman" w:cs="Times New Roman"/>
          <w:sz w:val="20"/>
          <w:szCs w:val="24"/>
          <w:lang w:val="nl-NL" w:eastAsia="nl-NL"/>
        </w:rPr>
        <w:t xml:space="preserve">een onderneming </w:t>
      </w:r>
      <w:r w:rsidRPr="00A72FAF">
        <w:rPr>
          <w:rFonts w:ascii="Arial" w:hAnsi="Arial" w:eastAsia="Times New Roman" w:cs="Times New Roman"/>
          <w:sz w:val="20"/>
          <w:szCs w:val="24"/>
          <w:lang w:val="nl-NL" w:eastAsia="nl-NL"/>
        </w:rPr>
        <w:t>wordt</w:t>
      </w:r>
      <w:r>
        <w:rPr>
          <w:rFonts w:ascii="Arial" w:hAnsi="Arial" w:eastAsia="Times New Roman" w:cs="Times New Roman"/>
          <w:sz w:val="20"/>
          <w:szCs w:val="24"/>
          <w:lang w:val="nl-NL" w:eastAsia="nl-NL"/>
        </w:rPr>
        <w:t xml:space="preserve"> gedreven (onderdeel c);</w:t>
      </w:r>
    </w:p>
    <w:p w:rsidRPr="00A72FAF" w:rsidR="00A72FAF" w:rsidP="00A72FAF" w:rsidRDefault="00FD3F99" w14:paraId="5A9CB7BC" w14:textId="78A4E3B8">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 als </w:t>
      </w:r>
      <w:r w:rsidRPr="00A72FAF" w:rsidR="00A72FAF">
        <w:rPr>
          <w:rFonts w:ascii="Arial" w:hAnsi="Arial" w:eastAsia="Times New Roman" w:cs="Times New Roman"/>
          <w:sz w:val="20"/>
          <w:szCs w:val="24"/>
          <w:lang w:val="nl-NL" w:eastAsia="nl-NL"/>
        </w:rPr>
        <w:t>de vervreemder, voor een eerste vervreemding, minder dan 50% van de aandelen in het onroerend</w:t>
      </w:r>
      <w:r w:rsidR="0080183A">
        <w:rPr>
          <w:rFonts w:ascii="Arial" w:hAnsi="Arial" w:eastAsia="Times New Roman" w:cs="Times New Roman"/>
          <w:sz w:val="20"/>
          <w:szCs w:val="24"/>
          <w:lang w:val="nl-NL" w:eastAsia="nl-NL"/>
        </w:rPr>
        <w:t>e zaaklichaam bezat (onderdeel d</w:t>
      </w:r>
      <w:r w:rsidRPr="00A72FAF" w:rsidR="00A72FAF">
        <w:rPr>
          <w:rFonts w:ascii="Arial" w:hAnsi="Arial" w:eastAsia="Times New Roman" w:cs="Times New Roman"/>
          <w:sz w:val="20"/>
          <w:szCs w:val="24"/>
          <w:lang w:val="nl-NL" w:eastAsia="nl-NL"/>
        </w:rPr>
        <w:t>);</w:t>
      </w:r>
      <w:r w:rsidR="0027136B">
        <w:rPr>
          <w:rFonts w:ascii="Arial" w:hAnsi="Arial" w:eastAsia="Times New Roman" w:cs="Times New Roman"/>
          <w:sz w:val="20"/>
          <w:szCs w:val="24"/>
          <w:lang w:val="nl-NL" w:eastAsia="nl-NL"/>
        </w:rPr>
        <w:t xml:space="preserve"> of</w:t>
      </w:r>
    </w:p>
    <w:p w:rsidR="00A72FAF" w:rsidP="00A72FAF" w:rsidRDefault="00A72FAF" w14:paraId="75483C3D" w14:textId="788DA6AB">
      <w:pPr>
        <w:tabs>
          <w:tab w:val="left" w:pos="709"/>
        </w:tabs>
        <w:spacing w:after="0" w:line="360" w:lineRule="auto"/>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t xml:space="preserve">- </w:t>
      </w:r>
      <w:r w:rsidR="00FD3F99">
        <w:rPr>
          <w:rFonts w:ascii="Arial" w:hAnsi="Arial" w:eastAsia="Times New Roman" w:cs="Times New Roman"/>
          <w:sz w:val="20"/>
          <w:szCs w:val="24"/>
          <w:lang w:val="nl-NL" w:eastAsia="nl-NL"/>
        </w:rPr>
        <w:t xml:space="preserve">als </w:t>
      </w:r>
      <w:r w:rsidRPr="00A72FAF">
        <w:rPr>
          <w:rFonts w:ascii="Arial" w:hAnsi="Arial" w:eastAsia="Times New Roman" w:cs="Times New Roman"/>
          <w:sz w:val="20"/>
          <w:szCs w:val="24"/>
          <w:lang w:val="nl-NL" w:eastAsia="nl-NL"/>
        </w:rPr>
        <w:t xml:space="preserve">de </w:t>
      </w:r>
      <w:r w:rsidRPr="00A72FAF">
        <w:rPr>
          <w:rFonts w:ascii="Arial" w:hAnsi="Arial" w:eastAsia="Times New Roman" w:cs="Arial"/>
          <w:sz w:val="20"/>
          <w:szCs w:val="20"/>
          <w:lang w:val="nl-NL" w:eastAsia="nl-NL"/>
        </w:rPr>
        <w:t>vervreemder een pensioenfon</w:t>
      </w:r>
      <w:r w:rsidR="0080183A">
        <w:rPr>
          <w:rFonts w:ascii="Arial" w:hAnsi="Arial" w:eastAsia="Times New Roman" w:cs="Arial"/>
          <w:sz w:val="20"/>
          <w:szCs w:val="20"/>
          <w:lang w:val="nl-NL" w:eastAsia="nl-NL"/>
        </w:rPr>
        <w:t>ds is (onderdeel e</w:t>
      </w:r>
      <w:r w:rsidRPr="00A72FAF">
        <w:rPr>
          <w:rFonts w:ascii="Arial" w:hAnsi="Arial" w:eastAsia="Times New Roman" w:cs="Arial"/>
          <w:sz w:val="20"/>
          <w:szCs w:val="20"/>
          <w:lang w:val="nl-NL" w:eastAsia="nl-NL"/>
        </w:rPr>
        <w:t>).</w:t>
      </w:r>
    </w:p>
    <w:p w:rsidRPr="00A72FAF" w:rsidR="00115385" w:rsidP="00115385" w:rsidRDefault="00115385" w14:paraId="6D3FDEBC" w14:textId="08A63EB9">
      <w:pPr>
        <w:tabs>
          <w:tab w:val="left" w:pos="709"/>
        </w:tabs>
        <w:spacing w:after="0" w:line="360" w:lineRule="auto"/>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deze gevallen </w:t>
      </w:r>
      <w:r w:rsidRPr="00A72FAF">
        <w:rPr>
          <w:rFonts w:ascii="Arial" w:hAnsi="Arial" w:eastAsia="Times New Roman" w:cs="Times New Roman"/>
          <w:sz w:val="20"/>
          <w:szCs w:val="24"/>
          <w:lang w:val="nl-NL" w:eastAsia="nl-NL"/>
        </w:rPr>
        <w:t>zijn de vermogenswinsten uitsluitend belastbaar in de woonstaat van de vervreemder</w:t>
      </w:r>
      <w:r>
        <w:rPr>
          <w:rFonts w:ascii="Arial" w:hAnsi="Arial" w:eastAsia="Times New Roman" w:cs="Times New Roman"/>
          <w:sz w:val="20"/>
          <w:szCs w:val="24"/>
          <w:lang w:val="nl-NL" w:eastAsia="nl-NL"/>
        </w:rPr>
        <w:t>.</w:t>
      </w:r>
    </w:p>
    <w:p w:rsidR="00B86DC6" w:rsidP="005D25A4" w:rsidRDefault="00A72FAF" w14:paraId="1BFFA628" w14:textId="37EB5ABB">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grond van het vijfde lid zijn alle overige vermogenswinsten, behoudens het in het zesde lid opgenomen </w:t>
      </w:r>
      <w:r w:rsidR="00367531">
        <w:rPr>
          <w:rFonts w:ascii="Arial" w:hAnsi="Arial" w:eastAsia="Times New Roman" w:cs="Times New Roman"/>
          <w:sz w:val="20"/>
          <w:szCs w:val="24"/>
          <w:lang w:val="nl-NL" w:eastAsia="nl-NL"/>
        </w:rPr>
        <w:t>‘</w:t>
      </w:r>
      <w:proofErr w:type="spellStart"/>
      <w:r w:rsidRPr="00A72FAF">
        <w:rPr>
          <w:rFonts w:ascii="Arial" w:hAnsi="Arial" w:eastAsia="Times New Roman" w:cs="Times New Roman"/>
          <w:sz w:val="20"/>
          <w:szCs w:val="24"/>
          <w:lang w:val="nl-NL" w:eastAsia="nl-NL"/>
        </w:rPr>
        <w:t>aanmerkelijkbelangvoorbehoud</w:t>
      </w:r>
      <w:proofErr w:type="spellEnd"/>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ter heffing toegewezen aan de verdragsluitende staat waarvan de vervreemder inwoner is. </w:t>
      </w:r>
    </w:p>
    <w:p w:rsidRPr="00CF67D5" w:rsidR="00B86DC6" w:rsidP="004F2BF9" w:rsidRDefault="00B86DC6" w14:paraId="4178E56D" w14:textId="573CC2EA">
      <w:pPr>
        <w:spacing w:after="0" w:line="360" w:lineRule="auto"/>
        <w:ind w:firstLine="709"/>
        <w:rPr>
          <w:rFonts w:ascii="Arial" w:hAnsi="Arial" w:eastAsia="Times New Roman" w:cs="Times New Roman"/>
          <w:sz w:val="20"/>
          <w:szCs w:val="24"/>
          <w:lang w:val="nl-NL" w:eastAsia="nl-NL"/>
        </w:rPr>
      </w:pPr>
      <w:r w:rsidRPr="00CF67D5">
        <w:rPr>
          <w:rFonts w:ascii="Arial" w:hAnsi="Arial" w:eastAsia="Times New Roman" w:cs="Times New Roman"/>
          <w:sz w:val="20"/>
          <w:szCs w:val="24"/>
          <w:lang w:val="nl-NL" w:eastAsia="nl-NL"/>
        </w:rPr>
        <w:t xml:space="preserve">In het negende lid van artikel 10 en het zesde lid van artikel 13 zijn bepalingen opgenomen die verband houden met de heffing over de aangegroeide meerwaarde van een aanmerkelijk belang in een in </w:t>
      </w:r>
      <w:r w:rsidR="00F11075">
        <w:rPr>
          <w:rFonts w:ascii="Arial" w:hAnsi="Arial" w:eastAsia="Times New Roman" w:cs="Times New Roman"/>
          <w:sz w:val="20"/>
          <w:szCs w:val="24"/>
          <w:lang w:val="nl-NL" w:eastAsia="nl-NL"/>
        </w:rPr>
        <w:t>de ene</w:t>
      </w:r>
      <w:r w:rsidRPr="00CF67D5" w:rsidR="00F11075">
        <w:rPr>
          <w:rFonts w:ascii="Arial" w:hAnsi="Arial" w:eastAsia="Times New Roman" w:cs="Times New Roman"/>
          <w:sz w:val="20"/>
          <w:szCs w:val="24"/>
          <w:lang w:val="nl-NL" w:eastAsia="nl-NL"/>
        </w:rPr>
        <w:t xml:space="preserve"> </w:t>
      </w:r>
      <w:r w:rsidRPr="00CF67D5">
        <w:rPr>
          <w:rFonts w:ascii="Arial" w:hAnsi="Arial" w:eastAsia="Times New Roman" w:cs="Times New Roman"/>
          <w:sz w:val="20"/>
          <w:szCs w:val="24"/>
          <w:lang w:val="nl-NL" w:eastAsia="nl-NL"/>
        </w:rPr>
        <w:t xml:space="preserve">verdragsluitende staat gevestigd lichaam, gehouden door een natuurlijk persoon, als de aanmerkelijk belanghouder emigreert naar de andere </w:t>
      </w:r>
      <w:r w:rsidRPr="00CF67D5" w:rsidR="00F11075">
        <w:rPr>
          <w:rFonts w:ascii="Arial" w:hAnsi="Arial" w:eastAsia="Times New Roman" w:cs="Times New Roman"/>
          <w:sz w:val="20"/>
          <w:szCs w:val="24"/>
          <w:lang w:val="nl-NL" w:eastAsia="nl-NL"/>
        </w:rPr>
        <w:t xml:space="preserve">verdragsluitende </w:t>
      </w:r>
      <w:r w:rsidRPr="00CF67D5">
        <w:rPr>
          <w:rFonts w:ascii="Arial" w:hAnsi="Arial" w:eastAsia="Times New Roman" w:cs="Times New Roman"/>
          <w:sz w:val="20"/>
          <w:szCs w:val="24"/>
          <w:lang w:val="nl-NL" w:eastAsia="nl-NL"/>
        </w:rPr>
        <w:t xml:space="preserve">staat. </w:t>
      </w:r>
      <w:r w:rsidRPr="00CF67D5">
        <w:rPr>
          <w:rFonts w:ascii="Arial" w:hAnsi="Arial" w:eastAsia="Times New Roman" w:cs="Verdana"/>
          <w:color w:val="000000"/>
          <w:sz w:val="20"/>
          <w:szCs w:val="18"/>
          <w:lang w:val="nl-NL" w:eastAsia="nl-NL"/>
        </w:rPr>
        <w:t>Bij emigratie van een aanmerkelijkbelanghouder belast Nederland de meerwaarde die is aangegroeid tijdens de periode dat de aanmerkelijkbelanghouder inwoner was van Nederland. Dat gebeurt in de vorm van een conserverende aanslag gebaseerd op een aangenomen</w:t>
      </w:r>
      <w:r w:rsidRPr="00CF67D5">
        <w:rPr>
          <w:rFonts w:ascii="Arial" w:hAnsi="Arial" w:eastAsia="Times New Roman" w:cs="Times New Roman"/>
          <w:sz w:val="20"/>
          <w:szCs w:val="24"/>
          <w:lang w:val="nl-NL" w:eastAsia="nl-NL"/>
        </w:rPr>
        <w:t xml:space="preserve"> genietingsmoment onmiddellijk voorafgaand aan </w:t>
      </w:r>
      <w:r w:rsidR="00F11075">
        <w:rPr>
          <w:rFonts w:ascii="Arial" w:hAnsi="Arial" w:eastAsia="Times New Roman" w:cs="Times New Roman"/>
          <w:sz w:val="20"/>
          <w:szCs w:val="24"/>
          <w:lang w:val="nl-NL" w:eastAsia="nl-NL"/>
        </w:rPr>
        <w:t xml:space="preserve">de </w:t>
      </w:r>
      <w:r w:rsidRPr="00CF67D5">
        <w:rPr>
          <w:rFonts w:ascii="Arial" w:hAnsi="Arial" w:eastAsia="Times New Roman" w:cs="Times New Roman"/>
          <w:sz w:val="20"/>
          <w:szCs w:val="24"/>
          <w:lang w:val="nl-NL" w:eastAsia="nl-NL"/>
        </w:rPr>
        <w:t xml:space="preserve">emigratie. </w:t>
      </w:r>
    </w:p>
    <w:p w:rsidRPr="00CF67D5" w:rsidR="00B86DC6" w:rsidP="00B86DC6" w:rsidRDefault="00B86DC6" w14:paraId="4B8C52EE" w14:textId="314DDE59">
      <w:pPr>
        <w:spacing w:after="0" w:line="360" w:lineRule="auto"/>
        <w:ind w:firstLine="709"/>
        <w:rPr>
          <w:rFonts w:ascii="Arial" w:hAnsi="Arial" w:eastAsia="Times New Roman" w:cs="Times New Roman"/>
          <w:sz w:val="20"/>
          <w:szCs w:val="28"/>
          <w:lang w:val="nl-NL" w:eastAsia="nl-NL"/>
        </w:rPr>
      </w:pPr>
      <w:r w:rsidRPr="00CF67D5">
        <w:rPr>
          <w:rFonts w:ascii="Arial" w:hAnsi="Arial" w:eastAsia="Times New Roman" w:cs="Arial"/>
          <w:sz w:val="20"/>
          <w:szCs w:val="20"/>
          <w:lang w:val="nl-NL" w:eastAsia="nl-NL"/>
        </w:rPr>
        <w:t>Conform het Nederlandse verdragsbeleid, zoals toegelicht in onderdeel 2.9.3 en 2.9.4 van de NFV 2011, heeft Nederland tijdens de onderhandel</w:t>
      </w:r>
      <w:r w:rsidRPr="00CF67D5" w:rsidR="005E51D6">
        <w:rPr>
          <w:rFonts w:ascii="Arial" w:hAnsi="Arial" w:eastAsia="Times New Roman" w:cs="Arial"/>
          <w:sz w:val="20"/>
          <w:szCs w:val="20"/>
          <w:lang w:val="nl-NL" w:eastAsia="nl-NL"/>
        </w:rPr>
        <w:t>ingen bepalingen voorgesteld</w:t>
      </w:r>
      <w:r w:rsidRPr="00CF67D5">
        <w:rPr>
          <w:rFonts w:ascii="Arial" w:hAnsi="Arial" w:eastAsia="Times New Roman" w:cs="Arial"/>
          <w:sz w:val="20"/>
          <w:szCs w:val="20"/>
          <w:lang w:val="nl-NL" w:eastAsia="nl-NL"/>
        </w:rPr>
        <w:t xml:space="preserve"> </w:t>
      </w:r>
      <w:r w:rsidR="00F11075">
        <w:rPr>
          <w:rFonts w:ascii="Arial" w:hAnsi="Arial" w:eastAsia="Times New Roman" w:cs="Arial"/>
          <w:sz w:val="20"/>
          <w:szCs w:val="20"/>
          <w:lang w:val="nl-NL" w:eastAsia="nl-NL"/>
        </w:rPr>
        <w:t xml:space="preserve">die </w:t>
      </w:r>
      <w:r w:rsidRPr="00CF67D5">
        <w:rPr>
          <w:rFonts w:ascii="Arial" w:hAnsi="Arial" w:eastAsia="Times New Roman" w:cs="Arial"/>
          <w:sz w:val="20"/>
          <w:szCs w:val="20"/>
          <w:lang w:val="nl-NL" w:eastAsia="nl-NL"/>
        </w:rPr>
        <w:t xml:space="preserve">het heffingsrecht over dividenden uit een aanmerkelijk belang en vermogenswinsten behaald met een aanmerkelijk belang toewijzen aan de voormalige woonstaat van de aanmerkelijkbelanghouder voor zover het dividend of de vervreemdingswinst ziet op de meerwaarde die is aangegroeid gedurende de tijd dat de aanmerkelijk belanghouder inwoner was van die staat. Het zesde lid </w:t>
      </w:r>
      <w:r w:rsidRPr="00CF67D5">
        <w:rPr>
          <w:rFonts w:ascii="Arial" w:hAnsi="Arial" w:eastAsia="Times New Roman" w:cs="Times New Roman"/>
          <w:sz w:val="20"/>
          <w:szCs w:val="24"/>
          <w:lang w:val="nl-NL" w:eastAsia="nl-NL"/>
        </w:rPr>
        <w:t xml:space="preserve">van artikel 13 </w:t>
      </w:r>
      <w:r w:rsidRPr="00CF67D5">
        <w:rPr>
          <w:rFonts w:ascii="Arial" w:hAnsi="Arial" w:eastAsia="Times New Roman" w:cs="Arial"/>
          <w:sz w:val="20"/>
          <w:szCs w:val="20"/>
          <w:lang w:val="nl-NL" w:eastAsia="nl-NL"/>
        </w:rPr>
        <w:t xml:space="preserve">verduidelijkt dat </w:t>
      </w:r>
      <w:r w:rsidRPr="00CF67D5">
        <w:rPr>
          <w:rFonts w:ascii="Arial" w:hAnsi="Arial" w:eastAsia="Times New Roman" w:cs="Times New Roman"/>
          <w:sz w:val="20"/>
          <w:szCs w:val="24"/>
          <w:lang w:val="nl-NL" w:eastAsia="nl-NL"/>
        </w:rPr>
        <w:t xml:space="preserve">de voormalige </w:t>
      </w:r>
      <w:r w:rsidRPr="00CF67D5">
        <w:rPr>
          <w:rFonts w:ascii="Arial" w:hAnsi="Arial" w:eastAsia="Times New Roman" w:cs="Times New Roman"/>
          <w:sz w:val="20"/>
          <w:szCs w:val="24"/>
          <w:lang w:val="nl-NL" w:eastAsia="nl-NL"/>
        </w:rPr>
        <w:lastRenderedPageBreak/>
        <w:t>woonstaat van een geëmigreerde natuurlijke persoon gerechtigd is belasting te heffen over de tot het moment van emigratie aangegroeide meerwaarde van aandelen en daarmee verwante rechten. Daarnaast is bepaald dat de nieuwe woonstaat de tot het moment van emigratie aangegroeide meerwaarde niet belast.</w:t>
      </w:r>
    </w:p>
    <w:p w:rsidRPr="00CF67D5" w:rsidR="00B86DC6" w:rsidP="00B86DC6" w:rsidRDefault="00B86DC6" w14:paraId="61565D95" w14:textId="21BC57E7">
      <w:pPr>
        <w:spacing w:after="0" w:line="360" w:lineRule="auto"/>
        <w:ind w:firstLine="709"/>
        <w:rPr>
          <w:rFonts w:ascii="Arial" w:hAnsi="Arial" w:eastAsia="Times New Roman" w:cs="Arial"/>
          <w:sz w:val="20"/>
          <w:szCs w:val="20"/>
          <w:lang w:val="nl-NL" w:eastAsia="nl-NL"/>
        </w:rPr>
      </w:pPr>
      <w:r w:rsidRPr="00CF67D5">
        <w:rPr>
          <w:rFonts w:ascii="Arial" w:hAnsi="Arial" w:eastAsia="Times New Roman" w:cs="Arial"/>
          <w:sz w:val="20"/>
          <w:szCs w:val="20"/>
          <w:lang w:val="nl-NL" w:eastAsia="nl-NL"/>
        </w:rPr>
        <w:t>Op basis van het negende lid van artikel 10</w:t>
      </w:r>
      <w:r w:rsidRPr="00CF67D5">
        <w:rPr>
          <w:rFonts w:ascii="Arial" w:hAnsi="Arial" w:eastAsia="Times New Roman" w:cs="Times New Roman"/>
          <w:sz w:val="20"/>
          <w:szCs w:val="24"/>
          <w:lang w:val="nl-NL" w:eastAsia="nl-NL"/>
        </w:rPr>
        <w:t xml:space="preserve"> </w:t>
      </w:r>
      <w:r w:rsidRPr="00CF67D5">
        <w:rPr>
          <w:rFonts w:ascii="Arial" w:hAnsi="Arial" w:eastAsia="Times New Roman" w:cs="Arial"/>
          <w:sz w:val="20"/>
          <w:szCs w:val="20"/>
          <w:lang w:val="nl-NL" w:eastAsia="nl-NL"/>
        </w:rPr>
        <w:t xml:space="preserve">heeft de voormalige woonstaat het primaire heffingsrecht over dividenden uit de in het eerste lid bedoelde aandelen en verwante rechten tot het bedrag dat openstaat op de aanslag opgelegd ter zake van de gedurende het </w:t>
      </w:r>
      <w:proofErr w:type="spellStart"/>
      <w:r w:rsidRPr="00CF67D5">
        <w:rPr>
          <w:rFonts w:ascii="Arial" w:hAnsi="Arial" w:eastAsia="Times New Roman" w:cs="Arial"/>
          <w:sz w:val="20"/>
          <w:szCs w:val="20"/>
          <w:lang w:val="nl-NL" w:eastAsia="nl-NL"/>
        </w:rPr>
        <w:t>inwonerschap</w:t>
      </w:r>
      <w:proofErr w:type="spellEnd"/>
      <w:r w:rsidRPr="00CF67D5">
        <w:rPr>
          <w:rFonts w:ascii="Arial" w:hAnsi="Arial" w:eastAsia="Times New Roman" w:cs="Arial"/>
          <w:sz w:val="20"/>
          <w:szCs w:val="20"/>
          <w:lang w:val="nl-NL" w:eastAsia="nl-NL"/>
        </w:rPr>
        <w:t xml:space="preserve"> van die staat aangegroeide meerwaarde. Van belang hierbij is dat deze bepaling uitgaat van de vestigingsplaats van het lichaam dat de dividenden uitkeert volgens de nationale wetgeving van de verdragsluitende staat waar de winstuitdeling opkomt. De bepaling is dus ook van toepassing op dividenden die worden betaald door een lichaam dat volgens artikel 4 van het Verdrag inwoner is geworden van de andere staat.</w:t>
      </w:r>
    </w:p>
    <w:p w:rsidRPr="00A72FAF" w:rsidR="00B86DC6" w:rsidP="00314DCA" w:rsidRDefault="00F77F73" w14:paraId="4E11B5CA" w14:textId="2B1F2EE6">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w:t>
      </w:r>
      <w:r w:rsidRPr="00CF67D5" w:rsidR="005D25A4">
        <w:rPr>
          <w:rFonts w:ascii="Arial" w:hAnsi="Arial" w:eastAsia="Times New Roman" w:cs="Times New Roman"/>
          <w:sz w:val="20"/>
          <w:szCs w:val="24"/>
          <w:lang w:val="nl-NL" w:eastAsia="nl-NL"/>
        </w:rPr>
        <w:t xml:space="preserve">rtikel IV en VII van het Protocol zijn </w:t>
      </w:r>
      <w:r>
        <w:rPr>
          <w:rFonts w:ascii="Arial" w:hAnsi="Arial" w:eastAsia="Times New Roman" w:cs="Times New Roman"/>
          <w:sz w:val="20"/>
          <w:szCs w:val="24"/>
          <w:lang w:val="nl-NL" w:eastAsia="nl-NL"/>
        </w:rPr>
        <w:t xml:space="preserve">hierboven </w:t>
      </w:r>
      <w:r w:rsidRPr="00CF67D5" w:rsidR="005D25A4">
        <w:rPr>
          <w:rFonts w:ascii="Arial" w:hAnsi="Arial" w:eastAsia="Times New Roman" w:cs="Times New Roman"/>
          <w:sz w:val="20"/>
          <w:szCs w:val="24"/>
          <w:lang w:val="nl-NL" w:eastAsia="nl-NL"/>
        </w:rPr>
        <w:t xml:space="preserve">toegelicht </w:t>
      </w:r>
      <w:r>
        <w:rPr>
          <w:rFonts w:ascii="Arial" w:hAnsi="Arial" w:eastAsia="SimSun" w:cs="Arial"/>
          <w:kern w:val="3"/>
          <w:sz w:val="20"/>
          <w:szCs w:val="20"/>
          <w:lang w:val="nl-NL" w:eastAsia="zh-CN" w:bidi="hi-IN"/>
        </w:rPr>
        <w:t xml:space="preserve">in de toelichtingen op </w:t>
      </w:r>
      <w:r w:rsidRPr="00CF67D5" w:rsidR="005D25A4">
        <w:rPr>
          <w:rFonts w:ascii="Arial" w:hAnsi="Arial" w:eastAsia="Times New Roman" w:cs="Times New Roman"/>
          <w:sz w:val="20"/>
          <w:szCs w:val="24"/>
          <w:lang w:val="nl-NL" w:eastAsia="nl-NL"/>
        </w:rPr>
        <w:t>artikel 6 respectievelijk artikel 10</w:t>
      </w:r>
      <w:r>
        <w:rPr>
          <w:rFonts w:ascii="Arial" w:hAnsi="Arial" w:eastAsia="Times New Roman" w:cs="Times New Roman"/>
          <w:sz w:val="20"/>
          <w:szCs w:val="24"/>
          <w:lang w:val="nl-NL" w:eastAsia="nl-NL"/>
        </w:rPr>
        <w:t xml:space="preserve"> van het Verdrag</w:t>
      </w:r>
      <w:r w:rsidRPr="00CF67D5" w:rsidR="00314DCA">
        <w:rPr>
          <w:rFonts w:ascii="Arial" w:hAnsi="Arial" w:eastAsia="Times New Roman" w:cs="Times New Roman"/>
          <w:sz w:val="20"/>
          <w:szCs w:val="24"/>
          <w:lang w:val="nl-NL" w:eastAsia="nl-NL"/>
        </w:rPr>
        <w:t>.</w:t>
      </w:r>
    </w:p>
    <w:p w:rsidRPr="006B561A" w:rsidR="00A72FAF" w:rsidP="00777141" w:rsidRDefault="00A72FAF" w14:paraId="58B4D09D" w14:textId="6657078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6B561A">
        <w:rPr>
          <w:rFonts w:ascii="Arial" w:hAnsi="Arial" w:eastAsia="Times New Roman" w:cs="Times New Roman"/>
          <w:bCs/>
          <w:i/>
          <w:iCs/>
          <w:sz w:val="20"/>
          <w:szCs w:val="28"/>
          <w:lang w:val="nl-NL" w:eastAsia="nl-NL"/>
        </w:rPr>
        <w:t>Inkomsten uit dienstbetrekking (artikel 14</w:t>
      </w:r>
      <w:r w:rsidRPr="006B561A" w:rsidR="00FE1448">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6B561A" w:rsidR="00D63B02">
        <w:rPr>
          <w:rFonts w:ascii="Arial" w:hAnsi="Arial" w:eastAsia="Times New Roman" w:cs="Times New Roman"/>
          <w:bCs/>
          <w:i/>
          <w:iCs/>
          <w:sz w:val="20"/>
          <w:szCs w:val="28"/>
          <w:lang w:val="nl-NL" w:eastAsia="nl-NL"/>
        </w:rPr>
        <w:t xml:space="preserve"> </w:t>
      </w:r>
      <w:r w:rsidRPr="006B561A" w:rsidR="00FE1448">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artikel</w:t>
      </w:r>
      <w:r w:rsidRPr="006B561A" w:rsidR="009461E5">
        <w:rPr>
          <w:rFonts w:ascii="Arial" w:hAnsi="Arial" w:eastAsia="Times New Roman" w:cs="Times New Roman"/>
          <w:bCs/>
          <w:i/>
          <w:iCs/>
          <w:sz w:val="20"/>
          <w:szCs w:val="28"/>
          <w:lang w:val="nl-NL" w:eastAsia="nl-NL"/>
        </w:rPr>
        <w:t xml:space="preserve"> </w:t>
      </w:r>
      <w:r w:rsidRPr="006B561A" w:rsidR="00FE1448">
        <w:rPr>
          <w:rFonts w:ascii="Arial" w:hAnsi="Arial" w:eastAsia="Times New Roman" w:cs="Times New Roman"/>
          <w:bCs/>
          <w:i/>
          <w:iCs/>
          <w:sz w:val="20"/>
          <w:szCs w:val="28"/>
          <w:lang w:val="nl-NL" w:eastAsia="nl-NL"/>
        </w:rPr>
        <w:t>VIII</w:t>
      </w:r>
      <w:r w:rsidR="009461E5">
        <w:rPr>
          <w:rFonts w:ascii="Arial" w:hAnsi="Arial" w:eastAsia="Times New Roman" w:cs="Times New Roman"/>
          <w:bCs/>
          <w:i/>
          <w:iCs/>
          <w:sz w:val="20"/>
          <w:szCs w:val="28"/>
          <w:lang w:val="nl-NL" w:eastAsia="nl-NL"/>
        </w:rPr>
        <w:t xml:space="preserve"> van het Protocol</w:t>
      </w:r>
      <w:r w:rsidRPr="006B561A">
        <w:rPr>
          <w:rFonts w:ascii="Arial" w:hAnsi="Arial" w:eastAsia="Times New Roman" w:cs="Times New Roman"/>
          <w:bCs/>
          <w:i/>
          <w:iCs/>
          <w:sz w:val="20"/>
          <w:szCs w:val="28"/>
          <w:lang w:val="nl-NL" w:eastAsia="nl-NL"/>
        </w:rPr>
        <w:t>)</w:t>
      </w:r>
    </w:p>
    <w:p w:rsidRPr="00A72FAF" w:rsidR="00A72FAF" w:rsidP="00777141" w:rsidRDefault="00A72FAF" w14:paraId="2BB40974"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Artikel 14 betreft de verdeling van heffingsrechten over inkomsten uit dienstbetrekking (niet-zelfstandige arbeid). Behoudens het derde lid stemt dit artikel geheel overeen met artikel 15 van het OESO-modelverdrag.</w:t>
      </w:r>
    </w:p>
    <w:p w:rsidRPr="00A72FAF" w:rsidR="00A72FAF" w:rsidP="00777141" w:rsidRDefault="00A72FAF" w14:paraId="34DB68A1"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het eerste lid mag de verdragsluitende staat waarin de niet-zelfstandige werkzaamheden worden verricht over de inkomsten belasting heffen. </w:t>
      </w:r>
    </w:p>
    <w:p w:rsidRPr="00A72FAF" w:rsidR="00A72FAF" w:rsidP="00777141" w:rsidRDefault="00A72FAF" w14:paraId="6049B8E2"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Het tweede lid voorziet daarentegen in een exclusief heffingsrecht voor de woonstaat van de werknemer als wordt voldaan aan drie (cumulatieve) voorwaarden:</w:t>
      </w:r>
    </w:p>
    <w:p w:rsidRPr="00A72FAF" w:rsidR="00A72FAF" w:rsidP="00777141" w:rsidRDefault="00A72FAF" w14:paraId="0746B27C" w14:textId="33C93F1B">
      <w:pPr>
        <w:numPr>
          <w:ilvl w:val="0"/>
          <w:numId w:val="39"/>
        </w:numPr>
        <w:spacing w:after="0" w:line="360" w:lineRule="auto"/>
        <w:ind w:firstLine="0"/>
        <w:contextualSpacing/>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het verblijf van de werknemer in de werkstaat is in totaal niet langer dan 183 dagen in een </w:t>
      </w:r>
      <w:r w:rsidR="00B46790">
        <w:rPr>
          <w:rFonts w:ascii="Arial" w:hAnsi="Arial" w:eastAsia="Times New Roman" w:cs="Times New Roman"/>
          <w:sz w:val="20"/>
          <w:szCs w:val="24"/>
          <w:lang w:val="nl-NL" w:eastAsia="nl-NL"/>
        </w:rPr>
        <w:t>twaalf</w:t>
      </w:r>
      <w:r w:rsidRPr="00A72FAF">
        <w:rPr>
          <w:rFonts w:ascii="Arial" w:hAnsi="Arial" w:eastAsia="Times New Roman" w:cs="Times New Roman"/>
          <w:sz w:val="20"/>
          <w:szCs w:val="24"/>
          <w:lang w:val="nl-NL" w:eastAsia="nl-NL"/>
        </w:rPr>
        <w:t xml:space="preserve">maandsperiode die begint of eindigt in het betrokken belastingjaar; </w:t>
      </w:r>
    </w:p>
    <w:p w:rsidRPr="00A72FAF" w:rsidR="00A72FAF" w:rsidP="00777141" w:rsidRDefault="00A72FAF" w14:paraId="3E3A069B" w14:textId="77777777">
      <w:pPr>
        <w:numPr>
          <w:ilvl w:val="0"/>
          <w:numId w:val="39"/>
        </w:numPr>
        <w:spacing w:after="0" w:line="360" w:lineRule="auto"/>
        <w:ind w:firstLine="0"/>
        <w:contextualSpacing/>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de beloning wordt betaald door of namens een werkgever die geen inwoner is van de werkstaat; en</w:t>
      </w:r>
    </w:p>
    <w:p w:rsidRPr="00A72FAF" w:rsidR="00A72FAF" w:rsidP="00777141" w:rsidRDefault="00A72FAF" w14:paraId="531C2DB1" w14:textId="77777777">
      <w:pPr>
        <w:numPr>
          <w:ilvl w:val="0"/>
          <w:numId w:val="39"/>
        </w:numPr>
        <w:spacing w:after="0" w:line="360" w:lineRule="auto"/>
        <w:ind w:firstLine="0"/>
        <w:contextualSpacing/>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de beloning komt niet ten laste van een vaste inrichting van de werkgever in de werkstaat.</w:t>
      </w:r>
    </w:p>
    <w:p w:rsidRPr="00A72FAF" w:rsidR="00A72FAF" w:rsidP="00777141" w:rsidRDefault="00A72FAF" w14:paraId="7B11C0C7" w14:textId="7777777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Als aan één of meer van deze drie voorwaarden niet wordt voldaan, mag de werkstaat volgens de regels van het eerste lid belasting heffen over de inkomsten van de werknemer voor zover die inkomsten zijn toe te rekenen aan de in de werkstaat verrichte werkzaamheden. Het doel van deze bepaling is om de fiscale positie van werknemers die voor een beperkte periode werkzaam zijn in een ander land dan het woonland niet te veranderen en de werknemer en werkgever extra administratieve lasten te besparen die zouden voortvloeien uit een belastingplicht in de werkstaat.</w:t>
      </w:r>
    </w:p>
    <w:p w:rsidRPr="00A72FAF" w:rsidR="00A72FAF" w:rsidP="00777141" w:rsidRDefault="00A72FAF" w14:paraId="731D9E8E" w14:textId="00F0D206">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Voor de duidelijkheid wordt opgemerkt dat onder een vaste inrichting als bedoeld in onderdeel c ook wordt verstaan een vaste inrichting in de zin van artikel 5, vierde lid (het vaste inrichtingsbegrip voor werkzaamheden buitengaats). Dit betekent dat, wat Nederland betreft, Nederland belasting mag heffen over de inkomsten uit dienstbetrekking v</w:t>
      </w:r>
      <w:r w:rsidR="00A30A52">
        <w:rPr>
          <w:rFonts w:ascii="Arial" w:hAnsi="Arial" w:eastAsia="Times New Roman" w:cs="Times New Roman"/>
          <w:sz w:val="20"/>
          <w:szCs w:val="24"/>
          <w:lang w:val="nl-NL" w:eastAsia="nl-NL"/>
        </w:rPr>
        <w:t>an werknemers die voor een Liechtensteinse</w:t>
      </w:r>
      <w:r w:rsidRPr="00A72FAF">
        <w:rPr>
          <w:rFonts w:ascii="Arial" w:hAnsi="Arial" w:eastAsia="Times New Roman" w:cs="Times New Roman"/>
          <w:sz w:val="20"/>
          <w:szCs w:val="24"/>
          <w:lang w:val="nl-NL" w:eastAsia="nl-NL"/>
        </w:rPr>
        <w:t xml:space="preserve"> onderneming op </w:t>
      </w:r>
      <w:r w:rsidRPr="00A72FAF">
        <w:rPr>
          <w:rFonts w:ascii="Arial" w:hAnsi="Arial" w:eastAsia="Times New Roman" w:cs="Times New Roman"/>
          <w:sz w:val="20"/>
          <w:szCs w:val="24"/>
          <w:lang w:val="nl-NL" w:eastAsia="nl-NL"/>
        </w:rPr>
        <w:lastRenderedPageBreak/>
        <w:t xml:space="preserve">het Nederlandse continentale plat werken als die onderneming gedurende </w:t>
      </w:r>
      <w:r w:rsidR="005B290D">
        <w:rPr>
          <w:rFonts w:ascii="Arial" w:hAnsi="Arial" w:eastAsia="Times New Roman" w:cs="Times New Roman"/>
          <w:sz w:val="20"/>
          <w:szCs w:val="24"/>
          <w:lang w:val="nl-NL" w:eastAsia="nl-NL"/>
        </w:rPr>
        <w:t xml:space="preserve">dertig </w:t>
      </w:r>
      <w:r w:rsidRPr="00A72FAF">
        <w:rPr>
          <w:rFonts w:ascii="Arial" w:hAnsi="Arial" w:eastAsia="Times New Roman" w:cs="Times New Roman"/>
          <w:sz w:val="20"/>
          <w:szCs w:val="24"/>
          <w:lang w:val="nl-NL" w:eastAsia="nl-NL"/>
        </w:rPr>
        <w:t xml:space="preserve">dagen of meer activiteiten ontplooit die verband houden met de opsporing en winning van natuurlijke rijkdommen. </w:t>
      </w:r>
      <w:r w:rsidR="001B6F34">
        <w:rPr>
          <w:rFonts w:ascii="Arial" w:hAnsi="Arial" w:eastAsia="Times New Roman" w:cs="Times New Roman"/>
          <w:sz w:val="20"/>
          <w:szCs w:val="24"/>
          <w:lang w:val="nl-NL" w:eastAsia="nl-NL"/>
        </w:rPr>
        <w:t>H</w:t>
      </w:r>
      <w:r w:rsidRPr="00A72FAF">
        <w:rPr>
          <w:rFonts w:ascii="Arial" w:hAnsi="Arial" w:eastAsia="Times New Roman" w:cs="Times New Roman"/>
          <w:sz w:val="20"/>
          <w:szCs w:val="24"/>
          <w:lang w:val="nl-NL" w:eastAsia="nl-NL"/>
        </w:rPr>
        <w:t>iermee</w:t>
      </w:r>
      <w:r w:rsidR="001B6F34">
        <w:rPr>
          <w:rFonts w:ascii="Arial" w:hAnsi="Arial" w:eastAsia="Times New Roman" w:cs="Times New Roman"/>
          <w:sz w:val="20"/>
          <w:szCs w:val="24"/>
          <w:lang w:val="nl-NL" w:eastAsia="nl-NL"/>
        </w:rPr>
        <w:t xml:space="preserve"> wordt</w:t>
      </w:r>
      <w:r w:rsidRPr="00A72FAF">
        <w:rPr>
          <w:rFonts w:ascii="Arial" w:hAnsi="Arial" w:eastAsia="Times New Roman" w:cs="Times New Roman"/>
          <w:sz w:val="20"/>
          <w:szCs w:val="24"/>
          <w:lang w:val="nl-NL" w:eastAsia="nl-NL"/>
        </w:rPr>
        <w:t xml:space="preserve"> teruggekomen op het verdragsbeleid dat is beschreven in onderdeel 2.6.3 van de NFV 2011, ter behoud van de Nederlandse heffingsrechten over inkomsten uit dienstbetrekking van werknemers op het Nederlandse continentale plat.</w:t>
      </w:r>
    </w:p>
    <w:p w:rsidR="00A72FAF" w:rsidP="00777141" w:rsidRDefault="00B052E2" w14:paraId="5258AEFC" w14:textId="5ECBDAFB">
      <w:pPr>
        <w:spacing w:after="0" w:line="360" w:lineRule="auto"/>
        <w:ind w:firstLine="567"/>
        <w:rPr>
          <w:rFonts w:ascii="Arial" w:hAnsi="Arial" w:eastAsia="Times New Roman" w:cs="Times New Roman"/>
          <w:sz w:val="20"/>
          <w:szCs w:val="24"/>
          <w:lang w:val="nl-NL" w:eastAsia="nl-NL"/>
        </w:rPr>
      </w:pPr>
      <w:r w:rsidRPr="00B052E2">
        <w:rPr>
          <w:rFonts w:ascii="Arial" w:hAnsi="Arial" w:eastAsia="Times New Roman" w:cs="Times New Roman"/>
          <w:sz w:val="20"/>
          <w:szCs w:val="24"/>
          <w:lang w:val="nl-NL" w:eastAsia="nl-NL"/>
        </w:rPr>
        <w:t>Op grond van het derde lid is de beloning van werknemers die hun dienstbetrekking</w:t>
      </w:r>
      <w:r w:rsidR="00E07407">
        <w:rPr>
          <w:rFonts w:ascii="Arial" w:hAnsi="Arial" w:eastAsia="Times New Roman" w:cs="Times New Roman"/>
          <w:sz w:val="20"/>
          <w:szCs w:val="24"/>
          <w:lang w:val="nl-NL" w:eastAsia="nl-NL"/>
        </w:rPr>
        <w:t xml:space="preserve"> </w:t>
      </w:r>
      <w:r w:rsidRPr="00B052E2">
        <w:rPr>
          <w:rFonts w:ascii="Arial" w:hAnsi="Arial" w:eastAsia="Times New Roman" w:cs="Times New Roman"/>
          <w:sz w:val="20"/>
          <w:szCs w:val="24"/>
          <w:lang w:val="nl-NL" w:eastAsia="nl-NL"/>
        </w:rPr>
        <w:t>uitoefenen aan boord van een schip of luchtvaartuig in internationaal verkeer belastbaar in de staat</w:t>
      </w:r>
      <w:r w:rsidR="00E07407">
        <w:rPr>
          <w:rFonts w:ascii="Arial" w:hAnsi="Arial" w:eastAsia="Times New Roman" w:cs="Times New Roman"/>
          <w:sz w:val="20"/>
          <w:szCs w:val="24"/>
          <w:lang w:val="nl-NL" w:eastAsia="nl-NL"/>
        </w:rPr>
        <w:t xml:space="preserve"> waarin de feitelijke leiding van de desbetreffende vervoersonderneming is gelegen</w:t>
      </w:r>
      <w:r>
        <w:rPr>
          <w:rFonts w:ascii="Arial" w:hAnsi="Arial" w:eastAsia="Times New Roman" w:cs="Times New Roman"/>
          <w:sz w:val="20"/>
          <w:szCs w:val="24"/>
          <w:lang w:val="nl-NL" w:eastAsia="nl-NL"/>
        </w:rPr>
        <w:t xml:space="preserve">. Bij deze </w:t>
      </w:r>
      <w:r w:rsidRPr="00A72FAF" w:rsidR="00A72FAF">
        <w:rPr>
          <w:rFonts w:ascii="Arial" w:hAnsi="Arial" w:eastAsia="Times New Roman" w:cs="Times New Roman"/>
          <w:sz w:val="20"/>
          <w:szCs w:val="24"/>
          <w:lang w:val="nl-NL" w:eastAsia="nl-NL"/>
        </w:rPr>
        <w:t xml:space="preserve">bepaling </w:t>
      </w:r>
      <w:r>
        <w:rPr>
          <w:rFonts w:ascii="Arial" w:hAnsi="Arial" w:eastAsia="Times New Roman" w:cs="Times New Roman"/>
          <w:sz w:val="20"/>
          <w:szCs w:val="24"/>
          <w:lang w:val="nl-NL" w:eastAsia="nl-NL"/>
        </w:rPr>
        <w:t xml:space="preserve">is nog aangesloten </w:t>
      </w:r>
      <w:r w:rsidR="003C1AF1">
        <w:rPr>
          <w:rFonts w:ascii="Arial" w:hAnsi="Arial" w:eastAsia="Times New Roman" w:cs="Times New Roman"/>
          <w:sz w:val="20"/>
          <w:szCs w:val="24"/>
          <w:lang w:val="nl-NL" w:eastAsia="nl-NL"/>
        </w:rPr>
        <w:t xml:space="preserve">bij </w:t>
      </w:r>
      <w:r w:rsidR="004F2BF9">
        <w:rPr>
          <w:rFonts w:ascii="Arial" w:hAnsi="Arial" w:eastAsia="Times New Roman" w:cs="Times New Roman"/>
          <w:sz w:val="20"/>
          <w:szCs w:val="24"/>
          <w:lang w:val="nl-NL" w:eastAsia="nl-NL"/>
        </w:rPr>
        <w:t>de tekst van</w:t>
      </w:r>
      <w:r>
        <w:rPr>
          <w:rFonts w:ascii="Arial" w:hAnsi="Arial" w:eastAsia="Times New Roman" w:cs="Times New Roman"/>
          <w:sz w:val="20"/>
          <w:szCs w:val="24"/>
          <w:lang w:val="nl-NL" w:eastAsia="nl-NL"/>
        </w:rPr>
        <w:t xml:space="preserve"> </w:t>
      </w:r>
      <w:r w:rsidR="00E72C58">
        <w:rPr>
          <w:rFonts w:ascii="Arial" w:hAnsi="Arial" w:eastAsia="Times New Roman" w:cs="Times New Roman"/>
          <w:sz w:val="20"/>
          <w:szCs w:val="24"/>
          <w:lang w:val="nl-NL" w:eastAsia="nl-NL"/>
        </w:rPr>
        <w:t>het OESO-modelverdrag van 15 juli</w:t>
      </w:r>
      <w:r>
        <w:rPr>
          <w:rFonts w:ascii="Arial" w:hAnsi="Arial" w:eastAsia="Times New Roman" w:cs="Times New Roman"/>
          <w:sz w:val="20"/>
          <w:szCs w:val="24"/>
          <w:lang w:val="nl-NL" w:eastAsia="nl-NL"/>
        </w:rPr>
        <w:t xml:space="preserve"> 2014</w:t>
      </w:r>
      <w:r w:rsidR="003F1566">
        <w:rPr>
          <w:rFonts w:ascii="Arial" w:hAnsi="Arial" w:eastAsia="Times New Roman" w:cs="Times New Roman"/>
          <w:sz w:val="20"/>
          <w:szCs w:val="24"/>
          <w:lang w:val="nl-NL" w:eastAsia="nl-NL"/>
        </w:rPr>
        <w:t xml:space="preserve">. Dit was het voorstel van Liechtenstein en aangezien de feitelijke leiding van vervoersondernemingen </w:t>
      </w:r>
      <w:r w:rsidR="003A60AD">
        <w:rPr>
          <w:rFonts w:ascii="Arial" w:hAnsi="Arial" w:eastAsia="Times New Roman" w:cs="Times New Roman"/>
          <w:sz w:val="20"/>
          <w:szCs w:val="24"/>
          <w:lang w:val="nl-NL" w:eastAsia="nl-NL"/>
        </w:rPr>
        <w:t>niet vaak</w:t>
      </w:r>
      <w:r w:rsidR="00D62D75">
        <w:rPr>
          <w:rFonts w:ascii="Arial" w:hAnsi="Arial" w:eastAsia="Times New Roman" w:cs="Times New Roman"/>
          <w:sz w:val="20"/>
          <w:szCs w:val="24"/>
          <w:lang w:val="nl-NL" w:eastAsia="nl-NL"/>
        </w:rPr>
        <w:t xml:space="preserve"> </w:t>
      </w:r>
      <w:r w:rsidR="003F1566">
        <w:rPr>
          <w:rFonts w:ascii="Arial" w:hAnsi="Arial" w:eastAsia="Times New Roman" w:cs="Times New Roman"/>
          <w:sz w:val="20"/>
          <w:szCs w:val="24"/>
          <w:lang w:val="nl-NL" w:eastAsia="nl-NL"/>
        </w:rPr>
        <w:t>in Liechtenstein ligt is hiermee akkoord gegaan.</w:t>
      </w:r>
    </w:p>
    <w:p w:rsidRPr="006B561A" w:rsidR="006B561A" w:rsidP="00777141" w:rsidRDefault="006B561A" w14:paraId="1721A93C" w14:textId="28088B6F">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 artikel VIII van het p</w:t>
      </w:r>
      <w:r w:rsidR="00A30A52">
        <w:rPr>
          <w:rFonts w:ascii="Arial" w:hAnsi="Arial" w:eastAsia="Times New Roman" w:cs="Times New Roman"/>
          <w:sz w:val="20"/>
          <w:szCs w:val="24"/>
          <w:lang w:val="nl-NL" w:eastAsia="nl-NL"/>
        </w:rPr>
        <w:t xml:space="preserve">rotocol is </w:t>
      </w:r>
      <w:r w:rsidR="00F23C51">
        <w:rPr>
          <w:rFonts w:ascii="Arial" w:hAnsi="Arial" w:eastAsia="Times New Roman" w:cs="Times New Roman"/>
          <w:sz w:val="20"/>
          <w:szCs w:val="24"/>
          <w:lang w:val="nl-NL" w:eastAsia="nl-NL"/>
        </w:rPr>
        <w:t>gelet op het arrest van de Hoge Raad van 18 november 2016 (ECLI:NL:HR:2016:2497</w:t>
      </w:r>
      <w:r w:rsidR="003C0667">
        <w:rPr>
          <w:rFonts w:ascii="Arial" w:hAnsi="Arial" w:eastAsia="Times New Roman" w:cs="Times New Roman"/>
          <w:sz w:val="20"/>
          <w:szCs w:val="24"/>
          <w:lang w:val="nl-NL" w:eastAsia="nl-NL"/>
        </w:rPr>
        <w:t>)</w:t>
      </w:r>
      <w:r w:rsidR="00F23C51">
        <w:rPr>
          <w:rFonts w:ascii="Arial" w:hAnsi="Arial" w:eastAsia="Times New Roman" w:cs="Times New Roman"/>
          <w:sz w:val="20"/>
          <w:szCs w:val="24"/>
          <w:lang w:val="nl-NL" w:eastAsia="nl-NL"/>
        </w:rPr>
        <w:t xml:space="preserve"> </w:t>
      </w:r>
      <w:r w:rsidR="00A30A52">
        <w:rPr>
          <w:rFonts w:ascii="Arial" w:hAnsi="Arial" w:eastAsia="Times New Roman" w:cs="Times New Roman"/>
          <w:sz w:val="20"/>
          <w:szCs w:val="24"/>
          <w:lang w:val="nl-NL" w:eastAsia="nl-NL"/>
        </w:rPr>
        <w:t>verduidelijkt</w:t>
      </w:r>
      <w:r>
        <w:rPr>
          <w:rFonts w:ascii="Arial" w:hAnsi="Arial" w:eastAsia="Times New Roman" w:cs="Times New Roman"/>
          <w:sz w:val="20"/>
          <w:szCs w:val="24"/>
          <w:lang w:val="nl-NL" w:eastAsia="nl-NL"/>
        </w:rPr>
        <w:t xml:space="preserve"> </w:t>
      </w:r>
      <w:r w:rsidRPr="006B561A">
        <w:rPr>
          <w:rFonts w:ascii="Arial" w:hAnsi="Arial" w:eastAsia="Times New Roman" w:cs="Times New Roman"/>
          <w:sz w:val="20"/>
          <w:szCs w:val="24"/>
          <w:lang w:val="nl-NL" w:eastAsia="nl-NL"/>
        </w:rPr>
        <w:t xml:space="preserve">dat </w:t>
      </w:r>
      <w:r w:rsidR="001B1D53">
        <w:rPr>
          <w:rFonts w:ascii="Arial" w:hAnsi="Arial" w:eastAsia="Times New Roman" w:cs="Times New Roman"/>
          <w:sz w:val="20"/>
          <w:szCs w:val="24"/>
          <w:lang w:val="nl-NL" w:eastAsia="nl-NL"/>
        </w:rPr>
        <w:t xml:space="preserve">Nederland </w:t>
      </w:r>
      <w:r w:rsidRPr="006B561A">
        <w:rPr>
          <w:rFonts w:ascii="Arial" w:hAnsi="Arial" w:eastAsia="Times New Roman" w:cs="Times New Roman"/>
          <w:sz w:val="20"/>
          <w:szCs w:val="24"/>
          <w:lang w:val="nl-NL" w:eastAsia="nl-NL"/>
        </w:rPr>
        <w:t xml:space="preserve">de zogenoemde </w:t>
      </w:r>
      <w:proofErr w:type="spellStart"/>
      <w:r w:rsidRPr="006B561A">
        <w:rPr>
          <w:rFonts w:ascii="Arial" w:hAnsi="Arial" w:eastAsia="Times New Roman" w:cs="Times New Roman"/>
          <w:sz w:val="20"/>
          <w:szCs w:val="24"/>
          <w:lang w:val="nl-NL" w:eastAsia="nl-NL"/>
        </w:rPr>
        <w:t>fictiefloonregeling</w:t>
      </w:r>
      <w:proofErr w:type="spellEnd"/>
      <w:r w:rsidRPr="006B561A">
        <w:rPr>
          <w:rFonts w:ascii="Arial" w:hAnsi="Arial" w:eastAsia="Times New Roman" w:cs="Times New Roman"/>
          <w:sz w:val="20"/>
          <w:szCs w:val="24"/>
          <w:lang w:val="nl-NL" w:eastAsia="nl-NL"/>
        </w:rPr>
        <w:t xml:space="preserve"> van artikel 12a van de Wet op de loonbelasting 1964 onder het </w:t>
      </w:r>
      <w:r w:rsidR="00B14853">
        <w:rPr>
          <w:rFonts w:ascii="Arial" w:hAnsi="Arial" w:eastAsia="Times New Roman" w:cs="Times New Roman"/>
          <w:sz w:val="20"/>
          <w:szCs w:val="24"/>
          <w:lang w:val="nl-NL" w:eastAsia="nl-NL"/>
        </w:rPr>
        <w:t>V</w:t>
      </w:r>
      <w:r w:rsidRPr="006B561A">
        <w:rPr>
          <w:rFonts w:ascii="Arial" w:hAnsi="Arial" w:eastAsia="Times New Roman" w:cs="Times New Roman"/>
          <w:sz w:val="20"/>
          <w:szCs w:val="24"/>
          <w:lang w:val="nl-NL" w:eastAsia="nl-NL"/>
        </w:rPr>
        <w:t xml:space="preserve">erdrag kan </w:t>
      </w:r>
      <w:r w:rsidR="00E70BDF">
        <w:rPr>
          <w:rFonts w:ascii="Arial" w:hAnsi="Arial" w:eastAsia="Times New Roman" w:cs="Times New Roman"/>
          <w:sz w:val="20"/>
          <w:szCs w:val="24"/>
          <w:lang w:val="nl-NL" w:eastAsia="nl-NL"/>
        </w:rPr>
        <w:t>toepassen.</w:t>
      </w:r>
    </w:p>
    <w:p w:rsidRPr="00A72FAF" w:rsidR="00A72FAF" w:rsidP="00777141" w:rsidRDefault="00A72FAF" w14:paraId="2F3DEE10" w14:textId="3B1E940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Directeursbelonin</w:t>
      </w:r>
      <w:r w:rsidR="00B052E2">
        <w:rPr>
          <w:rFonts w:ascii="Arial" w:hAnsi="Arial" w:eastAsia="Times New Roman" w:cs="Times New Roman"/>
          <w:bCs/>
          <w:i/>
          <w:iCs/>
          <w:sz w:val="20"/>
          <w:szCs w:val="28"/>
          <w:lang w:val="nl-NL" w:eastAsia="nl-NL"/>
        </w:rPr>
        <w:t>gen (artikel 15</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A72FAF" w:rsidRDefault="00A72FAF" w14:paraId="75E2A098" w14:textId="7E356C7F">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15 inzake directeursbeloningen is gebaseerd op artikel 16 van het OESO-modelverdrag en </w:t>
      </w:r>
      <w:r w:rsidR="00E70BDF">
        <w:rPr>
          <w:rFonts w:ascii="Arial" w:hAnsi="Arial" w:eastAsia="Times New Roman" w:cs="Times New Roman"/>
          <w:sz w:val="20"/>
          <w:szCs w:val="24"/>
          <w:lang w:val="nl-NL" w:eastAsia="nl-NL"/>
        </w:rPr>
        <w:t xml:space="preserve">stemt overeen </w:t>
      </w:r>
      <w:r w:rsidRPr="00A72FAF">
        <w:rPr>
          <w:rFonts w:ascii="Arial" w:hAnsi="Arial" w:eastAsia="Times New Roman" w:cs="Times New Roman"/>
          <w:sz w:val="20"/>
          <w:szCs w:val="24"/>
          <w:lang w:val="nl-NL" w:eastAsia="nl-NL"/>
        </w:rPr>
        <w:t>met de bepaling die Nederland hiervoor in belastingverdragen pleegt overeen te komen.</w:t>
      </w:r>
    </w:p>
    <w:p w:rsidRPr="00A72FAF" w:rsidR="00A72FAF" w:rsidP="00A72FAF" w:rsidRDefault="00A72FAF" w14:paraId="1237DDAF" w14:textId="74CF81F1">
      <w:pPr>
        <w:spacing w:after="0" w:line="360" w:lineRule="auto"/>
        <w:ind w:firstLine="720"/>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Volgens het </w:t>
      </w:r>
      <w:r w:rsidR="00E70BDF">
        <w:rPr>
          <w:rFonts w:ascii="Arial" w:hAnsi="Arial" w:eastAsia="Times New Roman" w:cs="Arial"/>
          <w:sz w:val="20"/>
          <w:szCs w:val="20"/>
          <w:lang w:val="nl-NL" w:eastAsia="nl-NL"/>
        </w:rPr>
        <w:t xml:space="preserve">eerste lid </w:t>
      </w:r>
      <w:r w:rsidRPr="00A72FAF">
        <w:rPr>
          <w:rFonts w:ascii="Arial" w:hAnsi="Arial" w:eastAsia="Times New Roman" w:cs="Arial"/>
          <w:sz w:val="20"/>
          <w:szCs w:val="20"/>
          <w:lang w:val="nl-NL" w:eastAsia="nl-NL"/>
        </w:rPr>
        <w:t xml:space="preserve">mogen de beloningen ontvangen door personen in hun hoedanigheid van bestuurder van een lichaam worden belast in het land waarvan het lichaam inwoner is. In afwijking van het OESO-modelverdrag is de uitdrukking </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andere beloningen</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w:t>
      </w:r>
      <w:r w:rsidR="00B052E2">
        <w:rPr>
          <w:rFonts w:ascii="Arial" w:hAnsi="Arial" w:eastAsia="Times New Roman" w:cs="Arial"/>
          <w:sz w:val="20"/>
          <w:szCs w:val="20"/>
          <w:lang w:val="nl-NL" w:eastAsia="nl-NL"/>
        </w:rPr>
        <w:t>toegevoegd</w:t>
      </w:r>
      <w:r w:rsidRPr="00A72FAF">
        <w:rPr>
          <w:rFonts w:ascii="Arial" w:hAnsi="Arial" w:eastAsia="Times New Roman" w:cs="Arial"/>
          <w:sz w:val="20"/>
          <w:szCs w:val="20"/>
          <w:lang w:val="nl-NL" w:eastAsia="nl-NL"/>
        </w:rPr>
        <w:t>. Hiermee wordt buiten twijfel gesteld dat ook vergoedingen in natura en aandelenopties onder deze bepaling vallen.</w:t>
      </w:r>
      <w:r w:rsidR="00B052E2">
        <w:rPr>
          <w:rFonts w:ascii="Arial" w:hAnsi="Arial" w:eastAsia="Times New Roman" w:cs="Arial"/>
          <w:sz w:val="20"/>
          <w:szCs w:val="20"/>
          <w:lang w:val="nl-NL" w:eastAsia="nl-NL"/>
        </w:rPr>
        <w:t xml:space="preserve"> </w:t>
      </w:r>
      <w:r w:rsidR="003C71EA">
        <w:rPr>
          <w:rFonts w:ascii="Arial" w:hAnsi="Arial" w:eastAsia="Times New Roman" w:cs="Arial"/>
          <w:sz w:val="20"/>
          <w:szCs w:val="20"/>
          <w:lang w:val="nl-NL" w:eastAsia="nl-NL"/>
        </w:rPr>
        <w:t xml:space="preserve">Eveneens in afwijking van het OESO-modelverdrag </w:t>
      </w:r>
      <w:r w:rsidRPr="00DC741E" w:rsidR="003C71EA">
        <w:rPr>
          <w:rFonts w:ascii="Arial" w:hAnsi="Arial" w:eastAsia="Times New Roman" w:cs="Arial"/>
          <w:sz w:val="20"/>
          <w:szCs w:val="20"/>
          <w:lang w:val="nl-NL" w:eastAsia="nl-NL"/>
        </w:rPr>
        <w:t>is o</w:t>
      </w:r>
      <w:r w:rsidRPr="00DC741E" w:rsidR="00B052E2">
        <w:rPr>
          <w:rFonts w:ascii="Arial" w:hAnsi="Arial" w:eastAsia="Times New Roman" w:cs="Arial"/>
          <w:sz w:val="20"/>
          <w:szCs w:val="20"/>
          <w:lang w:val="nl-NL" w:eastAsia="nl-NL"/>
        </w:rPr>
        <w:t xml:space="preserve">p verzoek van </w:t>
      </w:r>
      <w:r w:rsidRPr="00DC741E" w:rsidR="003C71EA">
        <w:rPr>
          <w:rFonts w:ascii="Arial" w:hAnsi="Arial" w:eastAsia="Times New Roman" w:cs="Arial"/>
          <w:sz w:val="20"/>
          <w:szCs w:val="20"/>
          <w:lang w:val="nl-NL" w:eastAsia="nl-NL"/>
        </w:rPr>
        <w:t xml:space="preserve">Liechtenstein </w:t>
      </w:r>
      <w:r w:rsidR="00E70BDF">
        <w:rPr>
          <w:rFonts w:ascii="Arial" w:hAnsi="Arial" w:eastAsia="Times New Roman" w:cs="Arial"/>
          <w:sz w:val="20"/>
          <w:szCs w:val="20"/>
          <w:lang w:val="nl-NL" w:eastAsia="nl-NL"/>
        </w:rPr>
        <w:t xml:space="preserve">het begrip </w:t>
      </w:r>
      <w:r w:rsidR="00367531">
        <w:rPr>
          <w:rFonts w:ascii="Arial" w:hAnsi="Arial" w:eastAsia="Times New Roman" w:cs="Arial"/>
          <w:sz w:val="20"/>
          <w:szCs w:val="20"/>
          <w:lang w:val="nl-NL" w:eastAsia="nl-NL"/>
        </w:rPr>
        <w:t>‘</w:t>
      </w:r>
      <w:r w:rsidRPr="00DC741E" w:rsidR="003C71EA">
        <w:rPr>
          <w:rFonts w:ascii="Arial" w:hAnsi="Arial" w:eastAsia="Times New Roman" w:cs="Arial"/>
          <w:sz w:val="20"/>
          <w:szCs w:val="20"/>
          <w:lang w:val="nl-NL" w:eastAsia="nl-NL"/>
        </w:rPr>
        <w:t>de raad van beheer</w:t>
      </w:r>
      <w:r w:rsidR="00367531">
        <w:rPr>
          <w:rFonts w:ascii="Arial" w:hAnsi="Arial" w:eastAsia="Times New Roman" w:cs="Arial"/>
          <w:sz w:val="20"/>
          <w:szCs w:val="20"/>
          <w:lang w:val="nl-NL" w:eastAsia="nl-NL"/>
        </w:rPr>
        <w:t>’</w:t>
      </w:r>
      <w:r w:rsidRPr="00DC741E" w:rsidR="003C71EA">
        <w:rPr>
          <w:rFonts w:ascii="Arial" w:hAnsi="Arial" w:eastAsia="Times New Roman" w:cs="Arial"/>
          <w:sz w:val="20"/>
          <w:szCs w:val="20"/>
          <w:lang w:val="nl-NL" w:eastAsia="nl-NL"/>
        </w:rPr>
        <w:t xml:space="preserve"> aangevuld met andere organen die dezelfde functie hebben als de raad van beheer. </w:t>
      </w:r>
    </w:p>
    <w:p w:rsidRPr="00A72FAF" w:rsidR="00A72FAF" w:rsidP="00A72FAF" w:rsidRDefault="00A72FAF" w14:paraId="04403CCC" w14:textId="6B1A36A8">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Ingevol</w:t>
      </w:r>
      <w:r w:rsidR="00B052E2">
        <w:rPr>
          <w:rFonts w:ascii="Arial" w:hAnsi="Arial" w:eastAsia="Times New Roman" w:cs="Times New Roman"/>
          <w:sz w:val="20"/>
          <w:szCs w:val="24"/>
          <w:lang w:val="nl-NL" w:eastAsia="nl-NL"/>
        </w:rPr>
        <w:t>ge het tweede lid</w:t>
      </w:r>
      <w:r w:rsidR="004E0310">
        <w:rPr>
          <w:rFonts w:ascii="Arial" w:hAnsi="Arial" w:eastAsia="Times New Roman" w:cs="Times New Roman"/>
          <w:sz w:val="20"/>
          <w:szCs w:val="24"/>
          <w:lang w:val="nl-NL" w:eastAsia="nl-NL"/>
        </w:rPr>
        <w:t>, dat op verzoek van Nederland is opgenomen</w:t>
      </w:r>
      <w:r w:rsidR="003C71EA">
        <w:rPr>
          <w:rFonts w:ascii="Arial" w:hAnsi="Arial" w:eastAsia="Times New Roman" w:cs="Times New Roman"/>
          <w:sz w:val="20"/>
          <w:szCs w:val="24"/>
          <w:lang w:val="nl-NL" w:eastAsia="nl-NL"/>
        </w:rPr>
        <w:t xml:space="preserve"> en ook afwijkt van het OESO-modelverdrag</w:t>
      </w:r>
      <w:r w:rsidR="004E0310">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Pr="00A72FAF">
        <w:rPr>
          <w:rFonts w:ascii="Arial" w:hAnsi="Arial" w:eastAsia="Times New Roman" w:cs="Arial"/>
          <w:sz w:val="20"/>
          <w:szCs w:val="20"/>
          <w:lang w:val="nl-NL" w:eastAsia="nl-NL"/>
        </w:rPr>
        <w:t xml:space="preserve">vallen onder de uitdrukking </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lid van de raad van beheer</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personen die belast zijn met het dagelijks bestuur van de onderneming en personen die belast zijn met het toezicht daarop (zoals de leden van de raad van commissarissen).</w:t>
      </w:r>
    </w:p>
    <w:p w:rsidRPr="00A72FAF" w:rsidR="00A72FAF" w:rsidP="00777141" w:rsidRDefault="00A72FAF" w14:paraId="2F6916C2" w14:textId="1E584367">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Artiesten en sportbeoefenaars (artikel 16</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A72FAF" w:rsidRDefault="00A72FAF" w14:paraId="6D9AD03D" w14:textId="67AFB414">
      <w:pPr>
        <w:spacing w:after="0" w:line="360" w:lineRule="auto"/>
        <w:ind w:firstLine="709"/>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16 ziet op de inkomsten van artiesten en sportbeoefenaars en stemt, afgezien van het derde lid, overeen met </w:t>
      </w:r>
      <w:r w:rsidR="001C584F">
        <w:rPr>
          <w:rFonts w:ascii="Arial" w:hAnsi="Arial" w:eastAsia="Times New Roman" w:cs="Times New Roman"/>
          <w:sz w:val="20"/>
          <w:szCs w:val="24"/>
          <w:lang w:val="nl-NL" w:eastAsia="nl-NL"/>
        </w:rPr>
        <w:t xml:space="preserve">artikel 17 van </w:t>
      </w:r>
      <w:r w:rsidRPr="00A72FAF">
        <w:rPr>
          <w:rFonts w:ascii="Arial" w:hAnsi="Arial" w:eastAsia="Times New Roman" w:cs="Times New Roman"/>
          <w:sz w:val="20"/>
          <w:szCs w:val="24"/>
          <w:lang w:val="nl-NL" w:eastAsia="nl-NL"/>
        </w:rPr>
        <w:t xml:space="preserve">het OESO-modelverdrag. Nederland heeft voorgesteld geen apart artikel voor artiesten en sportbeoefenaars op te nemen, maar om voor hun inkomsten aan te knopen bij de bepalingen voor winst uit onderneming of inkomsten uit dienstbetrekking, in lijn met het verdragsbeleid omschreven in </w:t>
      </w:r>
      <w:r w:rsidR="009962A3">
        <w:rPr>
          <w:rFonts w:ascii="Arial" w:hAnsi="Arial" w:eastAsia="Times New Roman" w:cs="Times New Roman"/>
          <w:sz w:val="20"/>
          <w:szCs w:val="24"/>
          <w:lang w:val="nl-NL" w:eastAsia="nl-NL"/>
        </w:rPr>
        <w:t xml:space="preserve">onderdeel 2.12 van </w:t>
      </w:r>
      <w:r w:rsidRPr="00A72FAF">
        <w:rPr>
          <w:rFonts w:ascii="Arial" w:hAnsi="Arial" w:eastAsia="Times New Roman" w:cs="Times New Roman"/>
          <w:sz w:val="20"/>
          <w:szCs w:val="24"/>
          <w:lang w:val="nl-NL" w:eastAsia="nl-NL"/>
        </w:rPr>
        <w:t>de N</w:t>
      </w:r>
      <w:r w:rsidR="00393A06">
        <w:rPr>
          <w:rFonts w:ascii="Arial" w:hAnsi="Arial" w:eastAsia="Times New Roman" w:cs="Times New Roman"/>
          <w:sz w:val="20"/>
          <w:szCs w:val="24"/>
          <w:lang w:val="nl-NL" w:eastAsia="nl-NL"/>
        </w:rPr>
        <w:t>FV 2011. Liechtenstein</w:t>
      </w:r>
      <w:r w:rsidRPr="00A72FAF">
        <w:rPr>
          <w:rFonts w:ascii="Arial" w:hAnsi="Arial" w:eastAsia="Times New Roman" w:cs="Times New Roman"/>
          <w:sz w:val="20"/>
          <w:szCs w:val="24"/>
          <w:lang w:val="nl-NL" w:eastAsia="nl-NL"/>
        </w:rPr>
        <w:t xml:space="preserve"> hechtte </w:t>
      </w:r>
      <w:r w:rsidR="00393A06">
        <w:rPr>
          <w:rFonts w:ascii="Arial" w:hAnsi="Arial" w:eastAsia="Times New Roman" w:cs="Times New Roman"/>
          <w:sz w:val="20"/>
          <w:szCs w:val="24"/>
          <w:lang w:val="nl-NL" w:eastAsia="nl-NL"/>
        </w:rPr>
        <w:t xml:space="preserve">er </w:t>
      </w:r>
      <w:r w:rsidRPr="00A72FAF">
        <w:rPr>
          <w:rFonts w:ascii="Arial" w:hAnsi="Arial" w:eastAsia="Times New Roman" w:cs="Times New Roman"/>
          <w:sz w:val="20"/>
          <w:szCs w:val="24"/>
          <w:lang w:val="nl-NL" w:eastAsia="nl-NL"/>
        </w:rPr>
        <w:t>e</w:t>
      </w:r>
      <w:r w:rsidR="00393A06">
        <w:rPr>
          <w:rFonts w:ascii="Arial" w:hAnsi="Arial" w:eastAsia="Times New Roman" w:cs="Times New Roman"/>
          <w:sz w:val="20"/>
          <w:szCs w:val="24"/>
          <w:lang w:val="nl-NL" w:eastAsia="nl-NL"/>
        </w:rPr>
        <w:t>chter aan om aan te sluiten bij het OESO-modelverdrag</w:t>
      </w:r>
      <w:r w:rsidRPr="00A72FAF">
        <w:rPr>
          <w:rFonts w:ascii="Arial" w:hAnsi="Arial" w:eastAsia="Times New Roman" w:cs="Times New Roman"/>
          <w:sz w:val="20"/>
          <w:szCs w:val="24"/>
          <w:lang w:val="nl-NL" w:eastAsia="nl-NL"/>
        </w:rPr>
        <w:t xml:space="preserve"> en Nederland heeft daar uiteindelijk mee ingestemd. </w:t>
      </w:r>
    </w:p>
    <w:p w:rsidRPr="00A72FAF" w:rsidR="00A72FAF" w:rsidP="00A72FAF" w:rsidRDefault="00A72FAF" w14:paraId="6733A41A" w14:textId="77777777">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Het eerste lid wijst het heffingsrecht over de inkomsten toe aan de verdragsluitende staat waar een artiest of sportbeoefenaar activiteiten ontplooit. </w:t>
      </w:r>
    </w:p>
    <w:p w:rsidRPr="00A72FAF" w:rsidR="00A72FAF" w:rsidP="00A72FAF" w:rsidRDefault="00A72FAF" w14:paraId="432B61AC" w14:textId="4EB78E57">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lastRenderedPageBreak/>
        <w:t>Het tweede lid ziet op de situatie waarin het inkomen ter zake van de persoonlijke activiteiten niet direct aan de artiest of sportbeoefenaar toekomt maar aan een andere persoon. Ook in dat geval mogen de inkomsten worden belast door de verdragsluitende staat waar die activiteiten worden verricht. Deze bepaling heeft bijvoorbeeld betrekking op betalingen aan management- of artiestenvennootschapp</w:t>
      </w:r>
      <w:r w:rsidR="00E72C58">
        <w:rPr>
          <w:rFonts w:ascii="Arial" w:hAnsi="Arial" w:eastAsia="Times New Roman" w:cs="Times New Roman"/>
          <w:sz w:val="20"/>
          <w:szCs w:val="24"/>
          <w:lang w:val="nl-NL" w:eastAsia="nl-NL"/>
        </w:rPr>
        <w:t xml:space="preserve">en </w:t>
      </w:r>
      <w:r w:rsidRPr="00A72FAF">
        <w:rPr>
          <w:rFonts w:ascii="Arial" w:hAnsi="Arial" w:eastAsia="Times New Roman" w:cs="Times New Roman"/>
          <w:sz w:val="20"/>
          <w:szCs w:val="24"/>
          <w:lang w:val="nl-NL" w:eastAsia="nl-NL"/>
        </w:rPr>
        <w:t>of aan gezelschappen.</w:t>
      </w:r>
    </w:p>
    <w:p w:rsidRPr="00921091" w:rsidR="00896902" w:rsidP="00921091" w:rsidRDefault="00A72FAF" w14:paraId="549C4132" w14:textId="09D7ED12">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het beginsel van belastingheffing in de werkstaat maakt het derde lid een uitzondering. De inkomsten mogen slechts in de woonstaat van de artiest of sportbeoefenaar worden belast als </w:t>
      </w:r>
      <w:r w:rsidR="002C5F69">
        <w:rPr>
          <w:rFonts w:ascii="Arial" w:hAnsi="Arial" w:eastAsia="Times New Roman" w:cs="Times New Roman"/>
          <w:sz w:val="20"/>
          <w:szCs w:val="24"/>
          <w:lang w:val="nl-NL" w:eastAsia="nl-NL"/>
        </w:rPr>
        <w:t>het</w:t>
      </w:r>
      <w:r w:rsidRPr="00A72FAF">
        <w:rPr>
          <w:rFonts w:ascii="Arial" w:hAnsi="Arial" w:eastAsia="Times New Roman" w:cs="Times New Roman"/>
          <w:sz w:val="20"/>
          <w:szCs w:val="24"/>
          <w:lang w:val="nl-NL" w:eastAsia="nl-NL"/>
        </w:rPr>
        <w:t xml:space="preserve"> bezoek aan de andere verdragsluitende staat geheel of voornamelijk wordt gefinancierd uit overheidsfondsen van </w:t>
      </w:r>
      <w:r w:rsidR="002C5F69">
        <w:rPr>
          <w:rFonts w:ascii="Arial" w:hAnsi="Arial" w:eastAsia="Times New Roman" w:cs="Times New Roman"/>
          <w:sz w:val="20"/>
          <w:szCs w:val="24"/>
          <w:lang w:val="nl-NL" w:eastAsia="nl-NL"/>
        </w:rPr>
        <w:t>die woonstaat</w:t>
      </w:r>
      <w:r w:rsidRPr="00A72FAF">
        <w:rPr>
          <w:rFonts w:ascii="Arial" w:hAnsi="Arial" w:eastAsia="Times New Roman" w:cs="Times New Roman"/>
          <w:sz w:val="20"/>
          <w:szCs w:val="24"/>
          <w:lang w:val="nl-NL" w:eastAsia="nl-NL"/>
        </w:rPr>
        <w:t xml:space="preserve"> (of een staatkundig onderdeel of plaatselijk publiekrechtelijk lichaam daarvan). </w:t>
      </w:r>
      <w:r w:rsidR="006966F6">
        <w:rPr>
          <w:rFonts w:ascii="Arial" w:hAnsi="Arial" w:eastAsia="Times New Roman" w:cs="Times New Roman"/>
          <w:sz w:val="20"/>
          <w:szCs w:val="24"/>
          <w:lang w:val="nl-NL" w:eastAsia="nl-NL"/>
        </w:rPr>
        <w:t xml:space="preserve">Een dergelijke bepaling </w:t>
      </w:r>
      <w:r w:rsidRPr="006966F6" w:rsidR="006966F6">
        <w:rPr>
          <w:rFonts w:ascii="Arial" w:hAnsi="Arial" w:eastAsia="Times New Roman" w:cs="Times New Roman"/>
          <w:sz w:val="20"/>
          <w:szCs w:val="24"/>
          <w:lang w:val="nl-NL" w:eastAsia="nl-NL"/>
        </w:rPr>
        <w:t>is niet ongebruikelijk in de Nederlandse belastingverdragen.</w:t>
      </w:r>
      <w:r w:rsidR="006966F6">
        <w:rPr>
          <w:rStyle w:val="FootnoteReference"/>
          <w:rFonts w:ascii="Arial" w:hAnsi="Arial" w:eastAsia="Times New Roman" w:cs="Times New Roman"/>
          <w:sz w:val="20"/>
          <w:szCs w:val="24"/>
          <w:lang w:val="nl-NL" w:eastAsia="nl-NL"/>
        </w:rPr>
        <w:footnoteReference w:id="15"/>
      </w:r>
    </w:p>
    <w:p w:rsidRPr="00202FB8" w:rsidR="000D7A82" w:rsidP="00202FB8" w:rsidRDefault="00393A06" w14:paraId="69AAFF6C" w14:textId="5A9C5694">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Pensioenen, lijfrenten en socialezekerheidsuitke</w:t>
      </w:r>
      <w:r w:rsidR="004F2BF9">
        <w:rPr>
          <w:rFonts w:ascii="Arial" w:hAnsi="Arial" w:eastAsia="Times New Roman" w:cs="Times New Roman"/>
          <w:bCs/>
          <w:i/>
          <w:iCs/>
          <w:sz w:val="20"/>
          <w:szCs w:val="28"/>
          <w:lang w:val="nl-NL" w:eastAsia="nl-NL"/>
        </w:rPr>
        <w:t>ringen (artikel 17</w:t>
      </w:r>
      <w:r w:rsidR="00A01970">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00D142EE" w:rsidP="00202FB8" w:rsidRDefault="00244943" w14:paraId="73D4078C" w14:textId="497569BF">
      <w:pPr>
        <w:spacing w:after="0" w:line="360" w:lineRule="auto"/>
        <w:ind w:firstLine="720"/>
        <w:rPr>
          <w:rFonts w:ascii="Arial" w:hAnsi="Arial" w:eastAsia="Times New Roman" w:cs="Arial"/>
          <w:sz w:val="20"/>
          <w:szCs w:val="20"/>
          <w:lang w:val="nl-NL" w:eastAsia="nl-NL"/>
        </w:rPr>
      </w:pPr>
      <w:r w:rsidRPr="00244943">
        <w:rPr>
          <w:rFonts w:ascii="Arial" w:hAnsi="Arial" w:eastAsia="Times New Roman" w:cs="Arial"/>
          <w:sz w:val="20"/>
          <w:szCs w:val="20"/>
          <w:lang w:val="nl-NL" w:eastAsia="nl-NL"/>
        </w:rPr>
        <w:t>Artikel 17 ziet op het heffingsrecht over pensioenen, lijfrenten en socialezekerheidsuitkeringen. In lijn met onderdeel 2.11.1 van de NFV 2011</w:t>
      </w:r>
      <w:r w:rsidR="009A2E2A">
        <w:rPr>
          <w:rFonts w:ascii="Arial" w:hAnsi="Arial" w:eastAsia="Times New Roman" w:cs="Arial"/>
          <w:sz w:val="20"/>
          <w:szCs w:val="20"/>
          <w:lang w:val="nl-NL" w:eastAsia="nl-NL"/>
        </w:rPr>
        <w:t>, en in afwijking van het OESO-modelverdrag</w:t>
      </w:r>
      <w:r w:rsidR="002D217F">
        <w:rPr>
          <w:rFonts w:ascii="Arial" w:hAnsi="Arial" w:eastAsia="Times New Roman" w:cs="Arial"/>
          <w:sz w:val="20"/>
          <w:szCs w:val="20"/>
          <w:lang w:val="nl-NL" w:eastAsia="nl-NL"/>
        </w:rPr>
        <w:t>,</w:t>
      </w:r>
      <w:r w:rsidR="009A2E2A">
        <w:rPr>
          <w:rFonts w:ascii="Arial" w:hAnsi="Arial" w:eastAsia="Times New Roman" w:cs="Arial"/>
          <w:sz w:val="20"/>
          <w:szCs w:val="20"/>
          <w:lang w:val="nl-NL" w:eastAsia="nl-NL"/>
        </w:rPr>
        <w:t xml:space="preserve"> is voor deze inkomsten het primaire heffingsrecht </w:t>
      </w:r>
      <w:r w:rsidR="00D142EE">
        <w:rPr>
          <w:rFonts w:ascii="Arial" w:hAnsi="Arial" w:eastAsia="Times New Roman" w:cs="Arial"/>
          <w:sz w:val="20"/>
          <w:szCs w:val="20"/>
          <w:lang w:val="nl-NL" w:eastAsia="nl-NL"/>
        </w:rPr>
        <w:t xml:space="preserve">niet </w:t>
      </w:r>
      <w:r w:rsidR="009A2E2A">
        <w:rPr>
          <w:rFonts w:ascii="Arial" w:hAnsi="Arial" w:eastAsia="Times New Roman" w:cs="Arial"/>
          <w:sz w:val="20"/>
          <w:szCs w:val="20"/>
          <w:lang w:val="nl-NL" w:eastAsia="nl-NL"/>
        </w:rPr>
        <w:t xml:space="preserve">toegewezen aan </w:t>
      </w:r>
      <w:r w:rsidR="00D142EE">
        <w:rPr>
          <w:rFonts w:ascii="Arial" w:hAnsi="Arial" w:eastAsia="Times New Roman" w:cs="Arial"/>
          <w:sz w:val="20"/>
          <w:szCs w:val="20"/>
          <w:lang w:val="nl-NL" w:eastAsia="nl-NL"/>
        </w:rPr>
        <w:t>de staat waarvan de genieter ervan inwoner is maar aan de andere staat (de bronstaat).</w:t>
      </w:r>
    </w:p>
    <w:p w:rsidRPr="002320B4" w:rsidR="00202FB8" w:rsidP="00202FB8" w:rsidRDefault="00D142EE" w14:paraId="29347053" w14:textId="1D9AEBCE">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In het eerste lid is het heffingsrecht voor de bronstaat neergelegd</w:t>
      </w:r>
      <w:r w:rsidR="006A222F">
        <w:rPr>
          <w:rFonts w:ascii="Arial" w:hAnsi="Arial" w:eastAsia="Times New Roman" w:cs="Arial"/>
          <w:sz w:val="20"/>
          <w:szCs w:val="20"/>
          <w:lang w:val="nl-NL" w:eastAsia="nl-NL"/>
        </w:rPr>
        <w:t xml:space="preserve">: </w:t>
      </w:r>
      <w:r w:rsidRPr="002320B4" w:rsidR="00202FB8">
        <w:rPr>
          <w:rFonts w:ascii="Arial" w:hAnsi="Arial" w:eastAsia="Times New Roman" w:cs="Arial"/>
          <w:sz w:val="20"/>
          <w:szCs w:val="20"/>
          <w:lang w:val="nl-NL" w:eastAsia="nl-NL"/>
        </w:rPr>
        <w:t>pensioenuitkeringen</w:t>
      </w:r>
      <w:r>
        <w:rPr>
          <w:rFonts w:ascii="Arial" w:hAnsi="Arial" w:eastAsia="Times New Roman" w:cs="Arial"/>
          <w:sz w:val="20"/>
          <w:szCs w:val="20"/>
          <w:lang w:val="nl-NL" w:eastAsia="nl-NL"/>
        </w:rPr>
        <w:t xml:space="preserve">, </w:t>
      </w:r>
      <w:r w:rsidR="002866C2">
        <w:rPr>
          <w:rFonts w:ascii="Arial" w:hAnsi="Arial" w:eastAsia="Times New Roman" w:cs="Arial"/>
          <w:sz w:val="20"/>
          <w:szCs w:val="20"/>
          <w:lang w:val="nl-NL" w:eastAsia="nl-NL"/>
        </w:rPr>
        <w:t xml:space="preserve">andere </w:t>
      </w:r>
      <w:r>
        <w:rPr>
          <w:rFonts w:ascii="Arial" w:hAnsi="Arial" w:eastAsia="Times New Roman" w:cs="Arial"/>
          <w:sz w:val="20"/>
          <w:szCs w:val="20"/>
          <w:lang w:val="nl-NL" w:eastAsia="nl-NL"/>
        </w:rPr>
        <w:t xml:space="preserve">soortgelijke beloningen en </w:t>
      </w:r>
      <w:r w:rsidRPr="002320B4" w:rsidR="00202FB8">
        <w:rPr>
          <w:rFonts w:ascii="Arial" w:hAnsi="Arial" w:eastAsia="Times New Roman" w:cs="Arial"/>
          <w:sz w:val="20"/>
          <w:szCs w:val="20"/>
          <w:lang w:val="nl-NL" w:eastAsia="nl-NL"/>
        </w:rPr>
        <w:t>lijfrenten</w:t>
      </w:r>
      <w:r w:rsidR="006A222F">
        <w:rPr>
          <w:rFonts w:ascii="Arial" w:hAnsi="Arial" w:eastAsia="Times New Roman" w:cs="Arial"/>
          <w:sz w:val="20"/>
          <w:szCs w:val="20"/>
          <w:lang w:val="nl-NL" w:eastAsia="nl-NL"/>
        </w:rPr>
        <w:t xml:space="preserve"> die uit die staat “afkomstig” zijn, mogen in die staat worden belast.</w:t>
      </w:r>
    </w:p>
    <w:p w:rsidRPr="002320B4" w:rsidR="00202FB8" w:rsidP="002320B4" w:rsidRDefault="00202FB8" w14:paraId="47574A08" w14:textId="5B54F6EE">
      <w:pPr>
        <w:spacing w:after="0" w:line="360" w:lineRule="auto"/>
        <w:ind w:firstLine="720"/>
        <w:rPr>
          <w:rFonts w:ascii="Arial" w:hAnsi="Arial" w:eastAsia="Times New Roman" w:cs="Arial"/>
          <w:sz w:val="20"/>
          <w:szCs w:val="20"/>
          <w:lang w:val="nl-NL" w:eastAsia="nl-NL"/>
        </w:rPr>
      </w:pPr>
      <w:r w:rsidRPr="002320B4">
        <w:rPr>
          <w:rFonts w:ascii="Arial" w:hAnsi="Arial" w:eastAsia="Times New Roman" w:cs="Arial"/>
          <w:sz w:val="20"/>
          <w:szCs w:val="20"/>
          <w:lang w:val="nl-NL" w:eastAsia="nl-NL"/>
        </w:rPr>
        <w:t xml:space="preserve">In het tweede lid is bepaald dat </w:t>
      </w:r>
      <w:r w:rsidR="006A222F">
        <w:rPr>
          <w:rFonts w:ascii="Arial" w:hAnsi="Arial" w:eastAsia="Times New Roman" w:cs="Arial"/>
          <w:sz w:val="20"/>
          <w:szCs w:val="20"/>
          <w:lang w:val="nl-NL" w:eastAsia="nl-NL"/>
        </w:rPr>
        <w:t xml:space="preserve">betalingen die worden gedaan op basis van de </w:t>
      </w:r>
      <w:r w:rsidRPr="002320B4">
        <w:rPr>
          <w:rFonts w:ascii="Arial" w:hAnsi="Arial" w:eastAsia="Times New Roman" w:cs="Arial"/>
          <w:sz w:val="20"/>
          <w:szCs w:val="20"/>
          <w:lang w:val="nl-NL" w:eastAsia="nl-NL"/>
        </w:rPr>
        <w:t>socialezekerheids</w:t>
      </w:r>
      <w:r w:rsidR="006A222F">
        <w:rPr>
          <w:rFonts w:ascii="Arial" w:hAnsi="Arial" w:eastAsia="Times New Roman" w:cs="Arial"/>
          <w:sz w:val="20"/>
          <w:szCs w:val="20"/>
          <w:lang w:val="nl-NL" w:eastAsia="nl-NL"/>
        </w:rPr>
        <w:t>wetgeving van een staat in die staat mogen worden belast.</w:t>
      </w:r>
    </w:p>
    <w:p w:rsidRPr="002320B4" w:rsidR="00202FB8" w:rsidP="002320B4" w:rsidRDefault="00BB4AA2" w14:paraId="1155B5DC" w14:textId="6714481C">
      <w:pPr>
        <w:spacing w:after="0" w:line="360" w:lineRule="auto"/>
        <w:ind w:firstLine="720"/>
        <w:rPr>
          <w:rFonts w:ascii="Arial" w:hAnsi="Arial" w:eastAsia="Times New Roman" w:cs="Arial"/>
          <w:sz w:val="20"/>
          <w:szCs w:val="20"/>
          <w:lang w:val="nl-NL" w:eastAsia="nl-NL"/>
        </w:rPr>
      </w:pPr>
      <w:r w:rsidRPr="00BB4AA2">
        <w:rPr>
          <w:rFonts w:ascii="Arial" w:hAnsi="Arial" w:eastAsia="Times New Roman" w:cs="Arial"/>
          <w:sz w:val="20"/>
          <w:szCs w:val="20"/>
          <w:lang w:val="nl-NL" w:eastAsia="nl-NL"/>
        </w:rPr>
        <w:t xml:space="preserve">Het </w:t>
      </w:r>
      <w:r>
        <w:rPr>
          <w:rFonts w:ascii="Arial" w:hAnsi="Arial" w:eastAsia="Times New Roman" w:cs="Arial"/>
          <w:sz w:val="20"/>
          <w:szCs w:val="20"/>
          <w:lang w:val="nl-NL" w:eastAsia="nl-NL"/>
        </w:rPr>
        <w:t xml:space="preserve">derde </w:t>
      </w:r>
      <w:r w:rsidRPr="00BB4AA2">
        <w:rPr>
          <w:rFonts w:ascii="Arial" w:hAnsi="Arial" w:eastAsia="Times New Roman" w:cs="Arial"/>
          <w:sz w:val="20"/>
          <w:szCs w:val="20"/>
          <w:lang w:val="nl-NL" w:eastAsia="nl-NL"/>
        </w:rPr>
        <w:t xml:space="preserve">lid regelt wanneer een verdragsluitende staat kan worden aangemerkt als de bronstaat van een pensioen, andere soortgelijke beloningen en lijfrente. Dit is het geval voor zover de daarvoor betaalde premies, dan wel de aanspraken op pensioenen, andere soortgelijke beloningen en lijfrenten, in die staat in aanmerking zijn gekomen voor fiscale tegemoetkoming. </w:t>
      </w:r>
    </w:p>
    <w:p w:rsidRPr="002320B4" w:rsidR="0066527A" w:rsidP="002320B4" w:rsidRDefault="00202FB8" w14:paraId="3836128D" w14:textId="674718E5">
      <w:pPr>
        <w:spacing w:after="0" w:line="360" w:lineRule="auto"/>
        <w:ind w:firstLine="720"/>
        <w:rPr>
          <w:rFonts w:ascii="Arial" w:hAnsi="Arial" w:eastAsia="Times New Roman" w:cs="Arial"/>
          <w:sz w:val="20"/>
          <w:szCs w:val="20"/>
          <w:lang w:val="nl-NL" w:eastAsia="nl-NL"/>
        </w:rPr>
      </w:pPr>
      <w:r w:rsidRPr="002320B4">
        <w:rPr>
          <w:rFonts w:ascii="Arial" w:hAnsi="Arial" w:eastAsia="Times New Roman" w:cs="Arial"/>
          <w:sz w:val="20"/>
          <w:szCs w:val="20"/>
          <w:lang w:val="nl-NL" w:eastAsia="nl-NL"/>
        </w:rPr>
        <w:t>Het vierde</w:t>
      </w:r>
      <w:r w:rsidRPr="002320B4" w:rsidR="009C7858">
        <w:rPr>
          <w:rFonts w:ascii="Arial" w:hAnsi="Arial" w:eastAsia="Times New Roman" w:cs="Arial"/>
          <w:sz w:val="20"/>
          <w:szCs w:val="20"/>
          <w:lang w:val="nl-NL" w:eastAsia="nl-NL"/>
        </w:rPr>
        <w:t xml:space="preserve"> lid bevat de definitie van de uitdrukking </w:t>
      </w:r>
      <w:r w:rsidR="00367531">
        <w:rPr>
          <w:rFonts w:ascii="Arial" w:hAnsi="Arial" w:eastAsia="Times New Roman" w:cs="Arial"/>
          <w:sz w:val="20"/>
          <w:szCs w:val="20"/>
          <w:lang w:val="nl-NL" w:eastAsia="nl-NL"/>
        </w:rPr>
        <w:t>‘</w:t>
      </w:r>
      <w:r w:rsidRPr="002320B4" w:rsidR="009C7858">
        <w:rPr>
          <w:rFonts w:ascii="Arial" w:hAnsi="Arial" w:eastAsia="Times New Roman" w:cs="Arial"/>
          <w:sz w:val="20"/>
          <w:szCs w:val="20"/>
          <w:lang w:val="nl-NL" w:eastAsia="nl-NL"/>
        </w:rPr>
        <w:t>lijfrente</w:t>
      </w:r>
      <w:r w:rsidR="00367531">
        <w:rPr>
          <w:rFonts w:ascii="Arial" w:hAnsi="Arial" w:eastAsia="Times New Roman" w:cs="Arial"/>
          <w:sz w:val="20"/>
          <w:szCs w:val="20"/>
          <w:lang w:val="nl-NL" w:eastAsia="nl-NL"/>
        </w:rPr>
        <w:t>’</w:t>
      </w:r>
      <w:r w:rsidRPr="002320B4" w:rsidR="000D7A82">
        <w:rPr>
          <w:rFonts w:ascii="Arial" w:hAnsi="Arial" w:eastAsia="Times New Roman" w:cs="Arial"/>
          <w:sz w:val="20"/>
          <w:szCs w:val="20"/>
          <w:lang w:val="nl-NL" w:eastAsia="nl-NL"/>
        </w:rPr>
        <w:t xml:space="preserve">, namelijk: een vaste som, periodiek betaalbaar op vaste tijdstippen, hetzij gedurende het leven, hetzij gedurende een vastgesteld of voor vaststelling vatbaar tijdvak, ingevolge een verbintenis tot het doen van betalingen, welke tegenover een voldoende en volledige tegenprestatie in geld of geldswaarde staat. </w:t>
      </w:r>
    </w:p>
    <w:p w:rsidRPr="002320B4" w:rsidR="000D7A82" w:rsidP="0066527A" w:rsidRDefault="000D7A82" w14:paraId="6A12F48C" w14:textId="680F04A2">
      <w:pPr>
        <w:spacing w:after="0" w:line="360" w:lineRule="auto"/>
        <w:ind w:firstLine="720"/>
        <w:rPr>
          <w:rFonts w:ascii="Arial" w:hAnsi="Arial" w:eastAsia="Times New Roman" w:cs="Arial"/>
          <w:sz w:val="20"/>
          <w:szCs w:val="20"/>
          <w:lang w:val="nl-NL" w:eastAsia="nl-NL"/>
        </w:rPr>
      </w:pPr>
      <w:r w:rsidRPr="002320B4">
        <w:rPr>
          <w:rFonts w:ascii="Arial" w:hAnsi="Arial" w:eastAsia="Times New Roman" w:cs="Arial"/>
          <w:sz w:val="20"/>
          <w:szCs w:val="20"/>
          <w:lang w:val="nl-NL" w:eastAsia="nl-NL"/>
        </w:rPr>
        <w:t xml:space="preserve">Het vijfde lid bevestigt dat ook afkoopsommen van pensioenen, </w:t>
      </w:r>
      <w:r w:rsidR="00EA1622">
        <w:rPr>
          <w:rFonts w:ascii="Arial" w:hAnsi="Arial" w:eastAsia="Times New Roman" w:cs="Arial"/>
          <w:sz w:val="20"/>
          <w:szCs w:val="20"/>
          <w:lang w:val="nl-NL" w:eastAsia="nl-NL"/>
        </w:rPr>
        <w:t xml:space="preserve">andere soortgelijke beloningen en </w:t>
      </w:r>
      <w:r w:rsidRPr="002320B4">
        <w:rPr>
          <w:rFonts w:ascii="Arial" w:hAnsi="Arial" w:eastAsia="Times New Roman" w:cs="Arial"/>
          <w:sz w:val="20"/>
          <w:szCs w:val="20"/>
          <w:lang w:val="nl-NL" w:eastAsia="nl-NL"/>
        </w:rPr>
        <w:t>lijfrenten mogen worden belast in de bronstaat.</w:t>
      </w:r>
    </w:p>
    <w:p w:rsidRPr="00393A06" w:rsidR="00393A06" w:rsidP="00393A06" w:rsidRDefault="00393A06" w14:paraId="31A73CF8" w14:textId="57A6916F">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Overheidsfuncties (artikel 18</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393A06" w:rsidP="00393A06" w:rsidRDefault="00DC20F8" w14:paraId="77DAB10F" w14:textId="6AD9E1A6">
      <w:pPr>
        <w:spacing w:after="0" w:line="360" w:lineRule="auto"/>
        <w:ind w:firstLine="708"/>
        <w:rPr>
          <w:rFonts w:ascii="Arial" w:hAnsi="Arial" w:eastAsia="Times New Roman" w:cs="Times New Roman"/>
          <w:sz w:val="20"/>
          <w:szCs w:val="18"/>
          <w:lang w:val="nl-NL" w:eastAsia="nl-NL"/>
        </w:rPr>
      </w:pPr>
      <w:r>
        <w:rPr>
          <w:rFonts w:ascii="Arial" w:hAnsi="Arial" w:eastAsia="Times New Roman" w:cs="Times New Roman"/>
          <w:sz w:val="20"/>
          <w:szCs w:val="24"/>
          <w:lang w:val="nl-NL" w:eastAsia="nl-NL"/>
        </w:rPr>
        <w:t>Artikel 18</w:t>
      </w:r>
      <w:r w:rsidRPr="00393A06" w:rsidR="00393A06">
        <w:rPr>
          <w:rFonts w:ascii="Arial" w:hAnsi="Arial" w:eastAsia="Times New Roman" w:cs="Times New Roman"/>
          <w:sz w:val="20"/>
          <w:szCs w:val="24"/>
          <w:lang w:val="nl-NL" w:eastAsia="nl-NL"/>
        </w:rPr>
        <w:t xml:space="preserve"> regelt de toewijzing van heffingsrechten over beloningen die worden ontvangen door een natuurlijk persoon vanwege werkzaamheden die (in dienstbetrekking) voor de overheid, </w:t>
      </w:r>
      <w:r w:rsidRPr="00393A06" w:rsidR="00393A06">
        <w:rPr>
          <w:rFonts w:ascii="Arial" w:hAnsi="Arial" w:eastAsia="Times New Roman" w:cs="Arial"/>
          <w:sz w:val="20"/>
          <w:szCs w:val="18"/>
          <w:lang w:val="nl-NL" w:eastAsia="nl-NL"/>
        </w:rPr>
        <w:t>of een staatkundig onderdeel of een plaatselijk publiekrechtelijk lichaam daarvan</w:t>
      </w:r>
      <w:r w:rsidR="005B5556">
        <w:rPr>
          <w:rFonts w:ascii="Arial" w:hAnsi="Arial" w:eastAsia="Times New Roman" w:cs="Arial"/>
          <w:sz w:val="20"/>
          <w:szCs w:val="18"/>
          <w:lang w:val="nl-NL" w:eastAsia="nl-NL"/>
        </w:rPr>
        <w:t xml:space="preserve"> of </w:t>
      </w:r>
      <w:r w:rsidR="00747EBA">
        <w:rPr>
          <w:rFonts w:ascii="Arial" w:hAnsi="Arial" w:eastAsia="Times New Roman" w:cs="Arial"/>
          <w:sz w:val="20"/>
          <w:szCs w:val="18"/>
          <w:lang w:val="nl-NL" w:eastAsia="nl-NL"/>
        </w:rPr>
        <w:t xml:space="preserve">voor </w:t>
      </w:r>
      <w:r w:rsidR="005B5556">
        <w:rPr>
          <w:rFonts w:ascii="Arial" w:hAnsi="Arial" w:eastAsia="Times New Roman" w:cs="Arial"/>
          <w:sz w:val="20"/>
          <w:szCs w:val="18"/>
          <w:lang w:val="nl-NL" w:eastAsia="nl-NL"/>
        </w:rPr>
        <w:t>een ander</w:t>
      </w:r>
      <w:r w:rsidR="00747EBA">
        <w:rPr>
          <w:rFonts w:ascii="Arial" w:hAnsi="Arial" w:eastAsia="Times New Roman" w:cs="Arial"/>
          <w:sz w:val="20"/>
          <w:szCs w:val="18"/>
          <w:lang w:val="nl-NL" w:eastAsia="nl-NL"/>
        </w:rPr>
        <w:t>e</w:t>
      </w:r>
      <w:r w:rsidR="005B5556">
        <w:rPr>
          <w:rFonts w:ascii="Arial" w:hAnsi="Arial" w:eastAsia="Times New Roman" w:cs="Arial"/>
          <w:sz w:val="20"/>
          <w:szCs w:val="18"/>
          <w:lang w:val="nl-NL" w:eastAsia="nl-NL"/>
        </w:rPr>
        <w:t xml:space="preserve"> </w:t>
      </w:r>
      <w:r w:rsidR="005B5556">
        <w:rPr>
          <w:rFonts w:ascii="Arial" w:hAnsi="Arial" w:eastAsia="Times New Roman" w:cs="Arial"/>
          <w:sz w:val="20"/>
          <w:szCs w:val="18"/>
          <w:lang w:val="nl-NL" w:eastAsia="nl-NL"/>
        </w:rPr>
        <w:lastRenderedPageBreak/>
        <w:t>publiekrechtelijk</w:t>
      </w:r>
      <w:r w:rsidR="00747EBA">
        <w:rPr>
          <w:rFonts w:ascii="Arial" w:hAnsi="Arial" w:eastAsia="Times New Roman" w:cs="Arial"/>
          <w:sz w:val="20"/>
          <w:szCs w:val="18"/>
          <w:lang w:val="nl-NL" w:eastAsia="nl-NL"/>
        </w:rPr>
        <w:t>e rechtspersoon</w:t>
      </w:r>
      <w:r w:rsidRPr="00393A06" w:rsidR="00393A06">
        <w:rPr>
          <w:rFonts w:ascii="Arial" w:hAnsi="Arial" w:eastAsia="Times New Roman" w:cs="Arial"/>
          <w:sz w:val="20"/>
          <w:szCs w:val="18"/>
          <w:lang w:val="nl-NL" w:eastAsia="nl-NL"/>
        </w:rPr>
        <w:t xml:space="preserve">, </w:t>
      </w:r>
      <w:r w:rsidRPr="00393A06" w:rsidR="00393A06">
        <w:rPr>
          <w:rFonts w:ascii="Arial" w:hAnsi="Arial" w:eastAsia="Times New Roman" w:cs="Times New Roman"/>
          <w:sz w:val="20"/>
          <w:szCs w:val="24"/>
          <w:lang w:val="nl-NL" w:eastAsia="nl-NL"/>
        </w:rPr>
        <w:t>zijn verricht. Het artikel is gebaseerd op artikel 19 van het OESO-modelverdrag</w:t>
      </w:r>
      <w:r w:rsidR="00A125AE">
        <w:rPr>
          <w:rFonts w:ascii="Arial" w:hAnsi="Arial" w:eastAsia="Times New Roman" w:cs="Times New Roman"/>
          <w:sz w:val="20"/>
          <w:szCs w:val="24"/>
          <w:lang w:val="nl-NL" w:eastAsia="nl-NL"/>
        </w:rPr>
        <w:t>.</w:t>
      </w:r>
    </w:p>
    <w:p w:rsidRPr="00393A06" w:rsidR="00393A06" w:rsidP="00393A06" w:rsidRDefault="00393A06" w14:paraId="5123D7B9" w14:textId="2D930A12">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Op grond van het eerste lid, onderdeel a, mogen salarissen, lonen en andere soortgelijke beloningen</w:t>
      </w:r>
      <w:r w:rsidRPr="00393A06">
        <w:rPr>
          <w:rFonts w:ascii="Arial" w:hAnsi="Arial" w:eastAsia="Times New Roman" w:cs="Arial"/>
          <w:sz w:val="20"/>
          <w:szCs w:val="18"/>
          <w:lang w:val="nl-NL" w:eastAsia="nl-NL"/>
        </w:rPr>
        <w:t xml:space="preserve"> betaald door een verdragsluitende staat aan een natuurlijk persoon ter zake van diensten verleen</w:t>
      </w:r>
      <w:r w:rsidR="001B26ED">
        <w:rPr>
          <w:rFonts w:ascii="Arial" w:hAnsi="Arial" w:eastAsia="Times New Roman" w:cs="Arial"/>
          <w:sz w:val="20"/>
          <w:szCs w:val="18"/>
          <w:lang w:val="nl-NL" w:eastAsia="nl-NL"/>
        </w:rPr>
        <w:t>d</w:t>
      </w:r>
      <w:r w:rsidRPr="00393A06">
        <w:rPr>
          <w:rFonts w:ascii="Arial" w:hAnsi="Arial" w:eastAsia="Times New Roman" w:cs="Arial"/>
          <w:sz w:val="20"/>
          <w:szCs w:val="18"/>
          <w:lang w:val="nl-NL" w:eastAsia="nl-NL"/>
        </w:rPr>
        <w:t xml:space="preserve"> aan die staat slechts in die staat worden belast.</w:t>
      </w:r>
    </w:p>
    <w:p w:rsidRPr="00393A06" w:rsidR="00393A06" w:rsidP="00393A06" w:rsidRDefault="00393A06" w14:paraId="6717AF78" w14:textId="63703CDC">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Het eerste lid, onderdeel b, maakt daarop een uitzondering. De staat waarin de werkzaamheden worden verricht</w:t>
      </w:r>
      <w:r w:rsidR="0066527A">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 xml:space="preserve"> heeft het heffingsrecht als de werknemer inwoner is van de werkstaat en tevens de nationaliteit heeft van die staat, of niet inwoner van die staat is geworden enkel om daar werk te verrichten voor de overheid van de andere staat. Deze uitzondering strekt ertoe lokaal aangeworven medewerkers van bijvoorbeeld een ambassade in hun woonland belastingplichtig te laten zijn in plaats van in de staat bij wiens ambassade zij werkzaam zijn. </w:t>
      </w:r>
      <w:r w:rsidRPr="00393A06">
        <w:rPr>
          <w:rFonts w:ascii="Arial" w:hAnsi="Arial" w:eastAsia="Times New Roman" w:cs="Arial"/>
          <w:sz w:val="20"/>
          <w:szCs w:val="20"/>
          <w:lang w:val="nl-NL" w:eastAsia="nl-NL"/>
        </w:rPr>
        <w:br/>
      </w:r>
      <w:r w:rsidRPr="00393A06">
        <w:rPr>
          <w:rFonts w:ascii="Arial" w:hAnsi="Arial" w:eastAsia="Times New Roman" w:cs="Arial"/>
          <w:sz w:val="20"/>
          <w:szCs w:val="20"/>
          <w:lang w:val="nl-NL" w:eastAsia="nl-NL"/>
        </w:rPr>
        <w:tab/>
        <w:t>In het tweede lid, onderdeel a, is bepaald dat het heffingsrecht over overheidspensioenen en andere soortelijke beloningen is toegewezen aan de staat die het pensioen betaalt of het fonds waaruit het pensioen wordt betaald in</w:t>
      </w:r>
      <w:r w:rsidR="000F5C93">
        <w:rPr>
          <w:rFonts w:ascii="Arial" w:hAnsi="Arial" w:eastAsia="Times New Roman" w:cs="Arial"/>
          <w:sz w:val="20"/>
          <w:szCs w:val="20"/>
          <w:lang w:val="nl-NL" w:eastAsia="nl-NL"/>
        </w:rPr>
        <w:t xml:space="preserve"> het</w:t>
      </w:r>
      <w:r w:rsidRPr="00393A06">
        <w:rPr>
          <w:rFonts w:ascii="Arial" w:hAnsi="Arial" w:eastAsia="Times New Roman" w:cs="Arial"/>
          <w:sz w:val="20"/>
          <w:szCs w:val="20"/>
          <w:lang w:val="nl-NL" w:eastAsia="nl-NL"/>
        </w:rPr>
        <w:t xml:space="preserve"> leven heeft geroepen. </w:t>
      </w:r>
      <w:r w:rsidR="00760B59">
        <w:rPr>
          <w:rFonts w:ascii="Arial" w:hAnsi="Arial" w:eastAsia="Times New Roman" w:cs="Arial"/>
          <w:sz w:val="20"/>
          <w:szCs w:val="20"/>
          <w:lang w:val="nl-NL" w:eastAsia="nl-NL"/>
        </w:rPr>
        <w:t>V</w:t>
      </w:r>
      <w:r w:rsidRPr="00393A06">
        <w:rPr>
          <w:rFonts w:ascii="Arial" w:hAnsi="Arial" w:eastAsia="Times New Roman" w:cs="Arial"/>
          <w:sz w:val="20"/>
          <w:szCs w:val="20"/>
          <w:lang w:val="nl-NL" w:eastAsia="nl-NL"/>
        </w:rPr>
        <w:t xml:space="preserve">olgens onderdeel b komt het heffingsrecht over deze overheidspensioenen en andere soortelijke beloningen </w:t>
      </w:r>
      <w:r w:rsidR="00A125AE">
        <w:rPr>
          <w:rFonts w:ascii="Arial" w:hAnsi="Arial" w:eastAsia="Times New Roman" w:cs="Arial"/>
          <w:sz w:val="20"/>
          <w:szCs w:val="20"/>
          <w:lang w:val="nl-NL" w:eastAsia="nl-NL"/>
        </w:rPr>
        <w:t xml:space="preserve">uitsluitend toe aan </w:t>
      </w:r>
      <w:r w:rsidRPr="00393A06">
        <w:rPr>
          <w:rFonts w:ascii="Arial" w:hAnsi="Arial" w:eastAsia="Times New Roman" w:cs="Arial"/>
          <w:sz w:val="20"/>
          <w:szCs w:val="20"/>
          <w:lang w:val="nl-NL" w:eastAsia="nl-NL"/>
        </w:rPr>
        <w:t>de woonstaat van de pensioengenieter, als hi</w:t>
      </w:r>
      <w:r w:rsidR="00056221">
        <w:rPr>
          <w:rFonts w:ascii="Arial" w:hAnsi="Arial" w:eastAsia="Times New Roman" w:cs="Arial"/>
          <w:sz w:val="20"/>
          <w:szCs w:val="20"/>
          <w:lang w:val="nl-NL" w:eastAsia="nl-NL"/>
        </w:rPr>
        <w:t xml:space="preserve">j tevens de nationaliteit </w:t>
      </w:r>
      <w:r w:rsidRPr="00393A06">
        <w:rPr>
          <w:rFonts w:ascii="Arial" w:hAnsi="Arial" w:eastAsia="Times New Roman" w:cs="Arial"/>
          <w:sz w:val="20"/>
          <w:szCs w:val="20"/>
          <w:lang w:val="nl-NL" w:eastAsia="nl-NL"/>
        </w:rPr>
        <w:t xml:space="preserve">van die staat heeft. </w:t>
      </w:r>
    </w:p>
    <w:p w:rsidRPr="00393A06" w:rsidR="00393A06" w:rsidP="00393A06" w:rsidRDefault="00393A06" w14:paraId="12B37194" w14:textId="4E9D64E7">
      <w:pPr>
        <w:spacing w:after="0" w:line="360" w:lineRule="auto"/>
        <w:ind w:firstLine="709"/>
        <w:rPr>
          <w:rFonts w:ascii="Arial" w:hAnsi="Arial" w:eastAsia="Times New Roman" w:cs="Arial"/>
          <w:sz w:val="20"/>
          <w:szCs w:val="18"/>
          <w:lang w:val="nl-NL" w:eastAsia="nl-NL"/>
        </w:rPr>
      </w:pPr>
      <w:r w:rsidRPr="00393A06">
        <w:rPr>
          <w:rFonts w:ascii="Arial" w:hAnsi="Arial" w:eastAsia="Times New Roman" w:cs="Arial"/>
          <w:sz w:val="20"/>
          <w:szCs w:val="20"/>
          <w:lang w:val="nl-NL" w:eastAsia="nl-NL"/>
        </w:rPr>
        <w:t>Ingevolge het derde lid geldt de in het eerste en tweede lid opgenomen verdeling van heffingsrechten niet voor beloningen, waaronder pensioenen, die worden ontvangen ter zake van werkzaamheden die zijn of worden verricht voor een door de overheid gedreven onderneming. Artikel 14 (</w:t>
      </w:r>
      <w:r w:rsidR="001F4E2E">
        <w:rPr>
          <w:rFonts w:ascii="Arial" w:hAnsi="Arial" w:eastAsia="Times New Roman" w:cs="Arial"/>
          <w:sz w:val="20"/>
          <w:szCs w:val="20"/>
          <w:lang w:val="nl-NL" w:eastAsia="nl-NL"/>
        </w:rPr>
        <w:t>I</w:t>
      </w:r>
      <w:r w:rsidRPr="00393A06">
        <w:rPr>
          <w:rFonts w:ascii="Arial" w:hAnsi="Arial" w:eastAsia="Times New Roman" w:cs="Arial"/>
          <w:sz w:val="20"/>
          <w:szCs w:val="20"/>
          <w:lang w:val="nl-NL" w:eastAsia="nl-NL"/>
        </w:rPr>
        <w:t>nkomsten uit dienstbetrekking), artike</w:t>
      </w:r>
      <w:r w:rsidR="00A125AE">
        <w:rPr>
          <w:rFonts w:ascii="Arial" w:hAnsi="Arial" w:eastAsia="Times New Roman" w:cs="Arial"/>
          <w:sz w:val="20"/>
          <w:szCs w:val="20"/>
          <w:lang w:val="nl-NL" w:eastAsia="nl-NL"/>
        </w:rPr>
        <w:t>l 15 (</w:t>
      </w:r>
      <w:r w:rsidR="001F4E2E">
        <w:rPr>
          <w:rFonts w:ascii="Arial" w:hAnsi="Arial" w:eastAsia="Times New Roman" w:cs="Arial"/>
          <w:sz w:val="20"/>
          <w:szCs w:val="20"/>
          <w:lang w:val="nl-NL" w:eastAsia="nl-NL"/>
        </w:rPr>
        <w:t>D</w:t>
      </w:r>
      <w:r w:rsidR="00A125AE">
        <w:rPr>
          <w:rFonts w:ascii="Arial" w:hAnsi="Arial" w:eastAsia="Times New Roman" w:cs="Arial"/>
          <w:sz w:val="20"/>
          <w:szCs w:val="20"/>
          <w:lang w:val="nl-NL" w:eastAsia="nl-NL"/>
        </w:rPr>
        <w:t>irecteursbeloningen),</w:t>
      </w:r>
      <w:r w:rsidR="001F4E2E">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artikel 16</w:t>
      </w:r>
      <w:r w:rsidR="00A125AE">
        <w:rPr>
          <w:rFonts w:ascii="Arial" w:hAnsi="Arial" w:eastAsia="Times New Roman" w:cs="Arial"/>
          <w:sz w:val="20"/>
          <w:szCs w:val="20"/>
          <w:lang w:val="nl-NL" w:eastAsia="nl-NL"/>
        </w:rPr>
        <w:t xml:space="preserve"> </w:t>
      </w:r>
      <w:r w:rsidR="00760B59">
        <w:rPr>
          <w:rFonts w:ascii="Arial" w:hAnsi="Arial" w:eastAsia="Times New Roman" w:cs="Arial"/>
          <w:sz w:val="20"/>
          <w:szCs w:val="20"/>
          <w:lang w:val="nl-NL" w:eastAsia="nl-NL"/>
        </w:rPr>
        <w:t>(</w:t>
      </w:r>
      <w:r w:rsidR="001F4E2E">
        <w:rPr>
          <w:rFonts w:ascii="Arial" w:hAnsi="Arial" w:eastAsia="Times New Roman" w:cs="Arial"/>
          <w:sz w:val="20"/>
          <w:szCs w:val="20"/>
          <w:lang w:val="nl-NL" w:eastAsia="nl-NL"/>
        </w:rPr>
        <w:t>A</w:t>
      </w:r>
      <w:r w:rsidR="00760B59">
        <w:rPr>
          <w:rFonts w:ascii="Arial" w:hAnsi="Arial" w:eastAsia="Times New Roman" w:cs="Arial"/>
          <w:sz w:val="20"/>
          <w:szCs w:val="20"/>
          <w:lang w:val="nl-NL" w:eastAsia="nl-NL"/>
        </w:rPr>
        <w:t>rtiesten en sportbeoefenaars)</w:t>
      </w:r>
      <w:r w:rsidRPr="00393A06">
        <w:rPr>
          <w:rFonts w:ascii="Arial" w:hAnsi="Arial" w:eastAsia="Times New Roman" w:cs="Arial"/>
          <w:sz w:val="20"/>
          <w:szCs w:val="20"/>
          <w:lang w:val="nl-NL" w:eastAsia="nl-NL"/>
        </w:rPr>
        <w:t xml:space="preserve"> </w:t>
      </w:r>
      <w:r w:rsidR="00A125AE">
        <w:rPr>
          <w:rFonts w:ascii="Arial" w:hAnsi="Arial" w:eastAsia="Times New Roman" w:cs="Arial"/>
          <w:sz w:val="20"/>
          <w:szCs w:val="20"/>
          <w:lang w:val="nl-NL" w:eastAsia="nl-NL"/>
        </w:rPr>
        <w:t xml:space="preserve">of artikel 17 </w:t>
      </w:r>
      <w:r w:rsidRPr="00393A06" w:rsidR="00A125AE">
        <w:rPr>
          <w:rFonts w:ascii="Arial" w:hAnsi="Arial" w:eastAsia="Times New Roman" w:cs="Arial"/>
          <w:sz w:val="20"/>
          <w:szCs w:val="20"/>
          <w:lang w:val="nl-NL" w:eastAsia="nl-NL"/>
        </w:rPr>
        <w:t>(</w:t>
      </w:r>
      <w:r w:rsidR="001F4E2E">
        <w:rPr>
          <w:rFonts w:ascii="Arial" w:hAnsi="Arial" w:eastAsia="Times New Roman" w:cs="Arial"/>
          <w:sz w:val="20"/>
          <w:szCs w:val="20"/>
          <w:lang w:val="nl-NL" w:eastAsia="nl-NL"/>
        </w:rPr>
        <w:t>P</w:t>
      </w:r>
      <w:r w:rsidRPr="00393A06" w:rsidR="00A125AE">
        <w:rPr>
          <w:rFonts w:ascii="Arial" w:hAnsi="Arial" w:eastAsia="Times New Roman" w:cs="Arial"/>
          <w:sz w:val="20"/>
          <w:szCs w:val="20"/>
          <w:lang w:val="nl-NL" w:eastAsia="nl-NL"/>
        </w:rPr>
        <w:t>ensioenen, lijfrenten en socialezekerheidsuitkeringen)</w:t>
      </w:r>
      <w:r w:rsidR="00760B59">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 xml:space="preserve">zijn dan van toepassing. </w:t>
      </w:r>
    </w:p>
    <w:p w:rsidRPr="00393A06" w:rsidR="00393A06" w:rsidP="00393A06" w:rsidRDefault="00393A06" w14:paraId="0918EC39" w14:textId="1F224ABB">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Studenten (artikel 19</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393A06" w:rsidP="00393A06" w:rsidRDefault="00393A06" w14:paraId="1C2AF5B1" w14:textId="77777777">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19 ziet op vergoedingen aan studenten en stagiairs (hierna: studenten) voor hun onderhoud, studie of opleiding. Indien een student een opleiding volgt in de ene verdragsluitende staat en inwoner is (of direct voor zijn vertrek naar de eerstgenoemde staat inwoner was) van de andere verdragsluitende staat, dan mag de eerstgenoemde staat de vergoedingen die de student ontvangt voor zijn onderhoud, studie of opleiding niet belasten als deze vergoedingen afkomstig zijn uit bronnen buiten die staat. De bepaling is overeenkomstig artikel 20 van het OESO-modelverdrag.</w:t>
      </w:r>
    </w:p>
    <w:p w:rsidRPr="00393A06" w:rsidR="00393A06" w:rsidP="00393A06" w:rsidRDefault="00393A06" w14:paraId="37203682" w14:textId="0734E0BE">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Overige inkomsten (artikel 20</w:t>
      </w:r>
      <w:r w:rsidR="004F2BF9">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4F2BF9">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4F2BF9">
        <w:rPr>
          <w:rFonts w:ascii="Arial" w:hAnsi="Arial" w:eastAsia="Times New Roman" w:cs="Times New Roman"/>
          <w:bCs/>
          <w:i/>
          <w:iCs/>
          <w:sz w:val="20"/>
          <w:szCs w:val="28"/>
          <w:lang w:val="nl-NL" w:eastAsia="nl-NL"/>
        </w:rPr>
        <w:t>IX</w:t>
      </w:r>
      <w:r w:rsidR="009461E5">
        <w:rPr>
          <w:rFonts w:ascii="Arial" w:hAnsi="Arial" w:eastAsia="Times New Roman" w:cs="Times New Roman"/>
          <w:bCs/>
          <w:i/>
          <w:iCs/>
          <w:sz w:val="20"/>
          <w:szCs w:val="28"/>
          <w:lang w:val="nl-NL" w:eastAsia="nl-NL"/>
        </w:rPr>
        <w:t xml:space="preserve"> van het Protocol</w:t>
      </w:r>
      <w:r w:rsidRPr="00393A06">
        <w:rPr>
          <w:rFonts w:ascii="Arial" w:hAnsi="Arial" w:eastAsia="Times New Roman" w:cs="Times New Roman"/>
          <w:bCs/>
          <w:i/>
          <w:iCs/>
          <w:sz w:val="20"/>
          <w:szCs w:val="28"/>
          <w:lang w:val="nl-NL" w:eastAsia="nl-NL"/>
        </w:rPr>
        <w:t xml:space="preserve">) </w:t>
      </w:r>
    </w:p>
    <w:p w:rsidR="001555B1" w:rsidP="00393A06" w:rsidRDefault="00393A06" w14:paraId="40AB554C" w14:textId="0871858B">
      <w:pPr>
        <w:spacing w:after="0" w:line="360" w:lineRule="auto"/>
        <w:ind w:firstLine="708"/>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20 verdeelt het heffingsrecht over inkomsten ter zake waarvan het heffingsrecht niet in de voorgaande artikelen van het Verdrag is behandeld (‘overige inkomsten’).</w:t>
      </w:r>
      <w:r w:rsidRPr="00970FB7" w:rsidR="001555B1">
        <w:rPr>
          <w:lang w:val="nl-NL"/>
        </w:rPr>
        <w:t xml:space="preserve"> </w:t>
      </w:r>
      <w:r w:rsidRPr="001555B1" w:rsidR="001555B1">
        <w:rPr>
          <w:rFonts w:ascii="Arial" w:hAnsi="Arial" w:eastAsia="Times New Roman" w:cs="Times New Roman"/>
          <w:sz w:val="20"/>
          <w:szCs w:val="24"/>
          <w:lang w:val="nl-NL" w:eastAsia="nl-NL"/>
        </w:rPr>
        <w:t xml:space="preserve">De bepaling </w:t>
      </w:r>
      <w:r w:rsidR="00A53DF8">
        <w:rPr>
          <w:rFonts w:ascii="Arial" w:hAnsi="Arial" w:eastAsia="Times New Roman" w:cs="Times New Roman"/>
          <w:sz w:val="20"/>
          <w:szCs w:val="24"/>
          <w:lang w:val="nl-NL" w:eastAsia="nl-NL"/>
        </w:rPr>
        <w:t xml:space="preserve">stemt </w:t>
      </w:r>
      <w:r w:rsidRPr="001555B1" w:rsidR="001555B1">
        <w:rPr>
          <w:rFonts w:ascii="Arial" w:hAnsi="Arial" w:eastAsia="Times New Roman" w:cs="Times New Roman"/>
          <w:sz w:val="20"/>
          <w:szCs w:val="24"/>
          <w:lang w:val="nl-NL" w:eastAsia="nl-NL"/>
        </w:rPr>
        <w:t xml:space="preserve">overeen </w:t>
      </w:r>
      <w:r w:rsidR="00A53DF8">
        <w:rPr>
          <w:rFonts w:ascii="Arial" w:hAnsi="Arial" w:eastAsia="Times New Roman" w:cs="Times New Roman"/>
          <w:sz w:val="20"/>
          <w:szCs w:val="24"/>
          <w:lang w:val="nl-NL" w:eastAsia="nl-NL"/>
        </w:rPr>
        <w:t xml:space="preserve">met </w:t>
      </w:r>
      <w:r w:rsidRPr="001555B1" w:rsidR="001555B1">
        <w:rPr>
          <w:rFonts w:ascii="Arial" w:hAnsi="Arial" w:eastAsia="Times New Roman" w:cs="Times New Roman"/>
          <w:sz w:val="20"/>
          <w:szCs w:val="24"/>
          <w:lang w:val="nl-NL" w:eastAsia="nl-NL"/>
        </w:rPr>
        <w:t>artikel 2</w:t>
      </w:r>
      <w:r w:rsidR="001555B1">
        <w:rPr>
          <w:rFonts w:ascii="Arial" w:hAnsi="Arial" w:eastAsia="Times New Roman" w:cs="Times New Roman"/>
          <w:sz w:val="20"/>
          <w:szCs w:val="24"/>
          <w:lang w:val="nl-NL" w:eastAsia="nl-NL"/>
        </w:rPr>
        <w:t>1</w:t>
      </w:r>
      <w:r w:rsidRPr="001555B1" w:rsidR="001555B1">
        <w:rPr>
          <w:rFonts w:ascii="Arial" w:hAnsi="Arial" w:eastAsia="Times New Roman" w:cs="Times New Roman"/>
          <w:sz w:val="20"/>
          <w:szCs w:val="24"/>
          <w:lang w:val="nl-NL" w:eastAsia="nl-NL"/>
        </w:rPr>
        <w:t xml:space="preserve"> van het OESO-modelverdrag</w:t>
      </w:r>
      <w:r w:rsidR="001555B1">
        <w:rPr>
          <w:rFonts w:ascii="Arial" w:hAnsi="Arial" w:eastAsia="Times New Roman" w:cs="Times New Roman"/>
          <w:sz w:val="20"/>
          <w:szCs w:val="24"/>
          <w:lang w:val="nl-NL" w:eastAsia="nl-NL"/>
        </w:rPr>
        <w:t>, behoudens het bepaalde in artikel IX van het Protocol.</w:t>
      </w:r>
    </w:p>
    <w:p w:rsidRPr="00393A06" w:rsidR="00393A06" w:rsidP="00393A06" w:rsidRDefault="001555B1" w14:paraId="69D7DD56" w14:textId="603298BB">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w:t>
      </w:r>
      <w:r w:rsidRPr="00393A06" w:rsidR="00393A06">
        <w:rPr>
          <w:rFonts w:ascii="Arial" w:hAnsi="Arial" w:eastAsia="Times New Roman" w:cs="Times New Roman"/>
          <w:sz w:val="20"/>
          <w:szCs w:val="24"/>
          <w:lang w:val="nl-NL" w:eastAsia="nl-NL"/>
        </w:rPr>
        <w:t xml:space="preserve">het eerste lid </w:t>
      </w:r>
      <w:r>
        <w:rPr>
          <w:rFonts w:ascii="Arial" w:hAnsi="Arial" w:eastAsia="Times New Roman" w:cs="Times New Roman"/>
          <w:sz w:val="20"/>
          <w:szCs w:val="24"/>
          <w:lang w:val="nl-NL" w:eastAsia="nl-NL"/>
        </w:rPr>
        <w:t xml:space="preserve">is bepaald </w:t>
      </w:r>
      <w:r w:rsidRPr="00393A06" w:rsidR="00393A06">
        <w:rPr>
          <w:rFonts w:ascii="Arial" w:hAnsi="Arial" w:eastAsia="Times New Roman" w:cs="Times New Roman"/>
          <w:sz w:val="20"/>
          <w:szCs w:val="24"/>
          <w:lang w:val="nl-NL" w:eastAsia="nl-NL"/>
        </w:rPr>
        <w:t xml:space="preserve">dat het heffingsrecht over </w:t>
      </w:r>
      <w:r w:rsidR="006F2CF2">
        <w:rPr>
          <w:rFonts w:ascii="Arial" w:hAnsi="Arial" w:eastAsia="Times New Roman" w:cs="Times New Roman"/>
          <w:sz w:val="20"/>
          <w:szCs w:val="24"/>
          <w:lang w:val="nl-NL" w:eastAsia="nl-NL"/>
        </w:rPr>
        <w:t>deze inkomsten</w:t>
      </w:r>
      <w:r w:rsidRPr="00393A06" w:rsidR="00393A06">
        <w:rPr>
          <w:rFonts w:ascii="Arial" w:hAnsi="Arial" w:eastAsia="Times New Roman" w:cs="Times New Roman"/>
          <w:sz w:val="20"/>
          <w:szCs w:val="24"/>
          <w:lang w:val="nl-NL" w:eastAsia="nl-NL"/>
        </w:rPr>
        <w:t xml:space="preserve">, ongeacht de herkomst ervan, exclusief toekomt aan de verdragsluitende staat waar de ontvanger van die inkomsten woont. </w:t>
      </w:r>
    </w:p>
    <w:p w:rsidR="00393A06" w:rsidP="00393A06" w:rsidRDefault="00393A06" w14:paraId="19530A5B" w14:textId="164F5DB8">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lastRenderedPageBreak/>
        <w:t>Ingevolge het tweede lid is het eerste lid niet van toepassing op inkomsten die toerekenbaar zijn aan een vaste inrichting gelegen in een verdragsluitende staat. De verdeling van het heffingsrecht over die inkomsten volgt uit artikel 7 van het Verdrag, tenzij het inkomsten betreft uit onroerende zaken in de zin van artikel 6. In dat geval is artikel 6 van toepassing.</w:t>
      </w:r>
    </w:p>
    <w:p w:rsidR="00332797" w:rsidP="00314DCA" w:rsidRDefault="00697C33" w14:paraId="30469A86" w14:textId="091EA785">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w:t>
      </w:r>
      <w:r w:rsidR="0051379A">
        <w:rPr>
          <w:rFonts w:ascii="Arial" w:hAnsi="Arial" w:eastAsia="Times New Roman" w:cs="Times New Roman"/>
          <w:sz w:val="20"/>
          <w:szCs w:val="24"/>
          <w:lang w:val="nl-NL" w:eastAsia="nl-NL"/>
        </w:rPr>
        <w:t xml:space="preserve">n </w:t>
      </w:r>
      <w:r w:rsidRPr="0045516F" w:rsidR="0045516F">
        <w:rPr>
          <w:rFonts w:ascii="Arial" w:hAnsi="Arial" w:eastAsia="Times New Roman" w:cs="Times New Roman"/>
          <w:sz w:val="20"/>
          <w:szCs w:val="24"/>
          <w:lang w:val="nl-NL" w:eastAsia="nl-NL"/>
        </w:rPr>
        <w:t xml:space="preserve">artikel IX van het Protocol </w:t>
      </w:r>
      <w:r>
        <w:rPr>
          <w:rFonts w:ascii="Arial" w:hAnsi="Arial" w:eastAsia="Times New Roman" w:cs="Times New Roman"/>
          <w:sz w:val="20"/>
          <w:szCs w:val="24"/>
          <w:lang w:val="nl-NL" w:eastAsia="nl-NL"/>
        </w:rPr>
        <w:t xml:space="preserve">is </w:t>
      </w:r>
      <w:r w:rsidR="00B3029D">
        <w:rPr>
          <w:rFonts w:ascii="Arial" w:hAnsi="Arial" w:eastAsia="Times New Roman" w:cs="Times New Roman"/>
          <w:sz w:val="20"/>
          <w:szCs w:val="24"/>
          <w:lang w:val="nl-NL" w:eastAsia="nl-NL"/>
        </w:rPr>
        <w:t xml:space="preserve">een bepaling opgenomen die betrekking heeft op de Nederlandse </w:t>
      </w:r>
      <w:r w:rsidR="00976DA9">
        <w:rPr>
          <w:rFonts w:ascii="Arial" w:hAnsi="Arial" w:eastAsia="Times New Roman" w:cs="Times New Roman"/>
          <w:sz w:val="20"/>
          <w:szCs w:val="24"/>
          <w:lang w:val="nl-NL" w:eastAsia="nl-NL"/>
        </w:rPr>
        <w:t xml:space="preserve">vrijgestelde beleggingsinstelling (hierna: </w:t>
      </w:r>
      <w:r w:rsidR="00B3029D">
        <w:rPr>
          <w:rFonts w:ascii="Arial" w:hAnsi="Arial" w:eastAsia="Times New Roman" w:cs="Times New Roman"/>
          <w:sz w:val="20"/>
          <w:szCs w:val="24"/>
          <w:lang w:val="nl-NL" w:eastAsia="nl-NL"/>
        </w:rPr>
        <w:t>VBI</w:t>
      </w:r>
      <w:r w:rsidR="00976DA9">
        <w:rPr>
          <w:rFonts w:ascii="Arial" w:hAnsi="Arial" w:eastAsia="Times New Roman" w:cs="Times New Roman"/>
          <w:sz w:val="20"/>
          <w:szCs w:val="24"/>
          <w:lang w:val="nl-NL" w:eastAsia="nl-NL"/>
        </w:rPr>
        <w:t>)</w:t>
      </w:r>
      <w:r w:rsidR="00B3029D">
        <w:rPr>
          <w:rFonts w:ascii="Arial" w:hAnsi="Arial" w:eastAsia="Times New Roman" w:cs="Times New Roman"/>
          <w:sz w:val="20"/>
          <w:szCs w:val="24"/>
          <w:lang w:val="nl-NL" w:eastAsia="nl-NL"/>
        </w:rPr>
        <w:t>.</w:t>
      </w:r>
      <w:r w:rsidR="00DD092B">
        <w:rPr>
          <w:rFonts w:ascii="Arial" w:hAnsi="Arial" w:eastAsia="Times New Roman" w:cs="Times New Roman"/>
          <w:sz w:val="20"/>
          <w:szCs w:val="24"/>
          <w:lang w:val="nl-NL" w:eastAsia="nl-NL"/>
        </w:rPr>
        <w:t xml:space="preserve"> Deze bepaling moet worden gezien in samenhang met artikel 4 (Inwoner) en artikel 10 (Dividenden) van het Verdrag. </w:t>
      </w:r>
      <w:r w:rsidR="0068060C">
        <w:rPr>
          <w:rFonts w:ascii="Arial" w:hAnsi="Arial" w:eastAsia="Times New Roman" w:cs="Times New Roman"/>
          <w:sz w:val="20"/>
          <w:szCs w:val="24"/>
          <w:lang w:val="nl-NL" w:eastAsia="nl-NL"/>
        </w:rPr>
        <w:t xml:space="preserve">Zoals in deze toelichting met betrekking tot artikel 4 is opgemerkt, kwalificeert een VBI niet als </w:t>
      </w:r>
      <w:r w:rsidR="00B20DA2">
        <w:rPr>
          <w:rFonts w:ascii="Arial" w:hAnsi="Arial" w:eastAsia="Times New Roman" w:cs="Times New Roman"/>
          <w:sz w:val="20"/>
          <w:szCs w:val="24"/>
          <w:lang w:val="nl-NL" w:eastAsia="nl-NL"/>
        </w:rPr>
        <w:t>‘</w:t>
      </w:r>
      <w:r w:rsidR="0068060C">
        <w:rPr>
          <w:rFonts w:ascii="Arial" w:hAnsi="Arial" w:eastAsia="Times New Roman" w:cs="Times New Roman"/>
          <w:sz w:val="20"/>
          <w:szCs w:val="24"/>
          <w:lang w:val="nl-NL" w:eastAsia="nl-NL"/>
        </w:rPr>
        <w:t>inwoner</w:t>
      </w:r>
      <w:r w:rsidR="00B20DA2">
        <w:rPr>
          <w:rFonts w:ascii="Arial" w:hAnsi="Arial" w:eastAsia="Times New Roman" w:cs="Times New Roman"/>
          <w:sz w:val="20"/>
          <w:szCs w:val="24"/>
          <w:lang w:val="nl-NL" w:eastAsia="nl-NL"/>
        </w:rPr>
        <w:t>’</w:t>
      </w:r>
      <w:r w:rsidR="0068060C">
        <w:rPr>
          <w:rFonts w:ascii="Arial" w:hAnsi="Arial" w:eastAsia="Times New Roman" w:cs="Times New Roman"/>
          <w:sz w:val="20"/>
          <w:szCs w:val="24"/>
          <w:lang w:val="nl-NL" w:eastAsia="nl-NL"/>
        </w:rPr>
        <w:t xml:space="preserve"> voor de toepassing van het Verdrag en komt een VBI </w:t>
      </w:r>
      <w:r w:rsidR="00B20DA2">
        <w:rPr>
          <w:rFonts w:ascii="Arial" w:hAnsi="Arial" w:eastAsia="Times New Roman" w:cs="Times New Roman"/>
          <w:sz w:val="20"/>
          <w:szCs w:val="24"/>
          <w:lang w:val="nl-NL" w:eastAsia="nl-NL"/>
        </w:rPr>
        <w:t xml:space="preserve">daarom </w:t>
      </w:r>
      <w:r w:rsidR="0068060C">
        <w:rPr>
          <w:rFonts w:ascii="Arial" w:hAnsi="Arial" w:eastAsia="Times New Roman" w:cs="Times New Roman"/>
          <w:sz w:val="20"/>
          <w:szCs w:val="24"/>
          <w:lang w:val="nl-NL" w:eastAsia="nl-NL"/>
        </w:rPr>
        <w:t xml:space="preserve">niet in aanmerking voor de voordelen van het Verdrag. Dat heeft vooral betekenis voor </w:t>
      </w:r>
      <w:r w:rsidR="00332797">
        <w:rPr>
          <w:rFonts w:ascii="Arial" w:hAnsi="Arial" w:eastAsia="Times New Roman" w:cs="Times New Roman"/>
          <w:sz w:val="20"/>
          <w:szCs w:val="24"/>
          <w:lang w:val="nl-NL" w:eastAsia="nl-NL"/>
        </w:rPr>
        <w:t>de behandeling door Liechtenstein van daaruit afkomstige inkomsten van een VBI: ter zake daarvan wordt Liechtenstein niet do</w:t>
      </w:r>
      <w:r w:rsidR="00B20DA2">
        <w:rPr>
          <w:rFonts w:ascii="Arial" w:hAnsi="Arial" w:eastAsia="Times New Roman" w:cs="Times New Roman"/>
          <w:sz w:val="20"/>
          <w:szCs w:val="24"/>
          <w:lang w:val="nl-NL" w:eastAsia="nl-NL"/>
        </w:rPr>
        <w:t>o</w:t>
      </w:r>
      <w:r w:rsidR="00332797">
        <w:rPr>
          <w:rFonts w:ascii="Arial" w:hAnsi="Arial" w:eastAsia="Times New Roman" w:cs="Times New Roman"/>
          <w:sz w:val="20"/>
          <w:szCs w:val="24"/>
          <w:lang w:val="nl-NL" w:eastAsia="nl-NL"/>
        </w:rPr>
        <w:t>r het Verdrag in de heffingsrechten beperkt.</w:t>
      </w:r>
    </w:p>
    <w:p w:rsidR="00A54114" w:rsidP="00314DCA" w:rsidRDefault="00B20DA2" w14:paraId="7E0CA3C1" w14:textId="780D5D46">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H</w:t>
      </w:r>
      <w:r w:rsidR="00332797">
        <w:rPr>
          <w:rFonts w:ascii="Arial" w:hAnsi="Arial" w:eastAsia="Times New Roman" w:cs="Times New Roman"/>
          <w:sz w:val="20"/>
          <w:szCs w:val="24"/>
          <w:lang w:val="nl-NL" w:eastAsia="nl-NL"/>
        </w:rPr>
        <w:t xml:space="preserve">et feit dat een VBI geen inwoner is in de zin van het Verdrag heeft </w:t>
      </w:r>
      <w:r>
        <w:rPr>
          <w:rFonts w:ascii="Arial" w:hAnsi="Arial" w:eastAsia="Times New Roman" w:cs="Times New Roman"/>
          <w:sz w:val="20"/>
          <w:szCs w:val="24"/>
          <w:lang w:val="nl-NL" w:eastAsia="nl-NL"/>
        </w:rPr>
        <w:t xml:space="preserve">echter </w:t>
      </w:r>
      <w:r w:rsidR="00332797">
        <w:rPr>
          <w:rFonts w:ascii="Arial" w:hAnsi="Arial" w:eastAsia="Times New Roman" w:cs="Times New Roman"/>
          <w:sz w:val="20"/>
          <w:szCs w:val="24"/>
          <w:lang w:val="nl-NL" w:eastAsia="nl-NL"/>
        </w:rPr>
        <w:t xml:space="preserve">ook betekenis voor de heffingsrechten van Nederland over de inkomsten die een inwoner van Liechtenstein behaalt uit hoofde van een belang in een VBI. </w:t>
      </w:r>
      <w:r w:rsidR="00A54114">
        <w:rPr>
          <w:rFonts w:ascii="Arial" w:hAnsi="Arial" w:eastAsia="Times New Roman" w:cs="Times New Roman"/>
          <w:sz w:val="20"/>
          <w:szCs w:val="24"/>
          <w:lang w:val="nl-NL" w:eastAsia="nl-NL"/>
        </w:rPr>
        <w:t xml:space="preserve">Hierbij kan met name worden gewezen op de in artikel 10 van het Verdrag neergelegde heffingsrechtverdeling over dividenden. Kort gezegd, ziet die bepaling op dividenden die worden betaald aan een inwoner van </w:t>
      </w:r>
      <w:r>
        <w:rPr>
          <w:rFonts w:ascii="Arial" w:hAnsi="Arial" w:eastAsia="Times New Roman" w:cs="Times New Roman"/>
          <w:sz w:val="20"/>
          <w:szCs w:val="24"/>
          <w:lang w:val="nl-NL" w:eastAsia="nl-NL"/>
        </w:rPr>
        <w:t xml:space="preserve">de </w:t>
      </w:r>
      <w:r w:rsidR="00A54114">
        <w:rPr>
          <w:rFonts w:ascii="Arial" w:hAnsi="Arial" w:eastAsia="Times New Roman" w:cs="Times New Roman"/>
          <w:sz w:val="20"/>
          <w:szCs w:val="24"/>
          <w:lang w:val="nl-NL" w:eastAsia="nl-NL"/>
        </w:rPr>
        <w:t xml:space="preserve">ene verdragsluitende staat door een vennootschap die inwoner is van de andere verdragsluitende staat. Aangezien een VBI geen inwoner is van een verdragsluitende staat, ziet artikel 10 van </w:t>
      </w:r>
      <w:r w:rsidR="00E166AA">
        <w:rPr>
          <w:rFonts w:ascii="Arial" w:hAnsi="Arial" w:eastAsia="Times New Roman" w:cs="Times New Roman"/>
          <w:sz w:val="20"/>
          <w:szCs w:val="24"/>
          <w:lang w:val="nl-NL" w:eastAsia="nl-NL"/>
        </w:rPr>
        <w:t>h</w:t>
      </w:r>
      <w:r w:rsidR="00A54114">
        <w:rPr>
          <w:rFonts w:ascii="Arial" w:hAnsi="Arial" w:eastAsia="Times New Roman" w:cs="Times New Roman"/>
          <w:sz w:val="20"/>
          <w:szCs w:val="24"/>
          <w:lang w:val="nl-NL" w:eastAsia="nl-NL"/>
        </w:rPr>
        <w:t xml:space="preserve">et </w:t>
      </w:r>
      <w:r w:rsidR="00E166AA">
        <w:rPr>
          <w:rFonts w:ascii="Arial" w:hAnsi="Arial" w:eastAsia="Times New Roman" w:cs="Times New Roman"/>
          <w:sz w:val="20"/>
          <w:szCs w:val="24"/>
          <w:lang w:val="nl-NL" w:eastAsia="nl-NL"/>
        </w:rPr>
        <w:t>V</w:t>
      </w:r>
      <w:r w:rsidR="00A54114">
        <w:rPr>
          <w:rFonts w:ascii="Arial" w:hAnsi="Arial" w:eastAsia="Times New Roman" w:cs="Times New Roman"/>
          <w:sz w:val="20"/>
          <w:szCs w:val="24"/>
          <w:lang w:val="nl-NL" w:eastAsia="nl-NL"/>
        </w:rPr>
        <w:t>erdrag dus niet op de dividendbetalingen door een VBI.</w:t>
      </w:r>
    </w:p>
    <w:p w:rsidR="00E166AA" w:rsidP="00E166AA" w:rsidRDefault="00A54114" w14:paraId="7751A219" w14:textId="12BB968B">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Dit brengt met zich dat deze inkomsten, zonder nadere voorziening, onder het bereik zouden vallen van het onderhavige artikel 20 en het heffingsrecht </w:t>
      </w:r>
      <w:r w:rsidR="00E166AA">
        <w:rPr>
          <w:rFonts w:ascii="Arial" w:hAnsi="Arial" w:eastAsia="Times New Roman" w:cs="Times New Roman"/>
          <w:sz w:val="20"/>
          <w:szCs w:val="24"/>
          <w:lang w:val="nl-NL" w:eastAsia="nl-NL"/>
        </w:rPr>
        <w:t>erover</w:t>
      </w:r>
      <w:r>
        <w:rPr>
          <w:rFonts w:ascii="Arial" w:hAnsi="Arial" w:eastAsia="Times New Roman" w:cs="Times New Roman"/>
          <w:sz w:val="20"/>
          <w:szCs w:val="24"/>
          <w:lang w:val="nl-NL" w:eastAsia="nl-NL"/>
        </w:rPr>
        <w:t xml:space="preserve"> zou toekomen aan Liechtenstein</w:t>
      </w:r>
      <w:r w:rsidR="00E166AA">
        <w:rPr>
          <w:rFonts w:ascii="Arial" w:hAnsi="Arial" w:eastAsia="Times New Roman" w:cs="Times New Roman"/>
          <w:sz w:val="20"/>
          <w:szCs w:val="24"/>
          <w:lang w:val="nl-NL" w:eastAsia="nl-NL"/>
        </w:rPr>
        <w:t xml:space="preserve"> indien sprake is van een inwoner van Liechtenstein aan wie deze inkomsten zouden toekomen.</w:t>
      </w:r>
      <w:r w:rsidR="005B7F22">
        <w:rPr>
          <w:rFonts w:ascii="Arial" w:hAnsi="Arial" w:eastAsia="Times New Roman" w:cs="Times New Roman"/>
          <w:sz w:val="20"/>
          <w:szCs w:val="24"/>
          <w:lang w:val="nl-NL" w:eastAsia="nl-NL"/>
        </w:rPr>
        <w:t xml:space="preserve"> </w:t>
      </w:r>
      <w:r w:rsidR="00E166AA">
        <w:rPr>
          <w:rFonts w:ascii="Arial" w:hAnsi="Arial" w:eastAsia="Times New Roman" w:cs="Times New Roman"/>
          <w:sz w:val="20"/>
          <w:szCs w:val="24"/>
          <w:lang w:val="nl-NL" w:eastAsia="nl-NL"/>
        </w:rPr>
        <w:t>De in artikel IX van het Protocol opgenomen bepaling strekt ertoe het Nederlandse heffingsrecht in die situatie te waarborgen. Op basis van deze bepaling is het Nederland toegestaan de nationale heffingsrechten ter zake van een belang in een VBI te effectueren, met dien verstande dat d</w:t>
      </w:r>
      <w:r w:rsidRPr="0045516F" w:rsidR="0045516F">
        <w:rPr>
          <w:rFonts w:ascii="Arial" w:hAnsi="Arial" w:eastAsia="Times New Roman" w:cs="Times New Roman"/>
          <w:sz w:val="20"/>
          <w:szCs w:val="24"/>
          <w:lang w:val="nl-NL" w:eastAsia="nl-NL"/>
        </w:rPr>
        <w:t>e belastingheffing hierbij niet meer bedra</w:t>
      </w:r>
      <w:r w:rsidR="005B7F22">
        <w:rPr>
          <w:rFonts w:ascii="Arial" w:hAnsi="Arial" w:eastAsia="Times New Roman" w:cs="Times New Roman"/>
          <w:sz w:val="20"/>
          <w:szCs w:val="24"/>
          <w:lang w:val="nl-NL" w:eastAsia="nl-NL"/>
        </w:rPr>
        <w:t>a</w:t>
      </w:r>
      <w:r w:rsidRPr="0045516F" w:rsidR="0045516F">
        <w:rPr>
          <w:rFonts w:ascii="Arial" w:hAnsi="Arial" w:eastAsia="Times New Roman" w:cs="Times New Roman"/>
          <w:sz w:val="20"/>
          <w:szCs w:val="24"/>
          <w:lang w:val="nl-NL" w:eastAsia="nl-NL"/>
        </w:rPr>
        <w:t>g</w:t>
      </w:r>
      <w:r w:rsidR="005B7F22">
        <w:rPr>
          <w:rFonts w:ascii="Arial" w:hAnsi="Arial" w:eastAsia="Times New Roman" w:cs="Times New Roman"/>
          <w:sz w:val="20"/>
          <w:szCs w:val="24"/>
          <w:lang w:val="nl-NL" w:eastAsia="nl-NL"/>
        </w:rPr>
        <w:t>t</w:t>
      </w:r>
      <w:r w:rsidRPr="0045516F" w:rsidR="0045516F">
        <w:rPr>
          <w:rFonts w:ascii="Arial" w:hAnsi="Arial" w:eastAsia="Times New Roman" w:cs="Times New Roman"/>
          <w:sz w:val="20"/>
          <w:szCs w:val="24"/>
          <w:lang w:val="nl-NL" w:eastAsia="nl-NL"/>
        </w:rPr>
        <w:t xml:space="preserve"> dan 15% over het brutobedrag van het inkomen</w:t>
      </w:r>
      <w:r w:rsidR="005B7F22">
        <w:rPr>
          <w:rFonts w:ascii="Arial" w:hAnsi="Arial" w:eastAsia="Times New Roman" w:cs="Times New Roman"/>
          <w:sz w:val="20"/>
          <w:szCs w:val="24"/>
          <w:lang w:val="nl-NL" w:eastAsia="nl-NL"/>
        </w:rPr>
        <w:t>, z</w:t>
      </w:r>
      <w:r w:rsidR="00E166AA">
        <w:rPr>
          <w:rFonts w:ascii="Arial" w:hAnsi="Arial" w:eastAsia="Times New Roman" w:cs="Times New Roman"/>
          <w:sz w:val="20"/>
          <w:szCs w:val="24"/>
          <w:lang w:val="nl-NL" w:eastAsia="nl-NL"/>
        </w:rPr>
        <w:t>ulks in aansluiting bij het in artikel 10, tweede lid, opgenomen tarief voor beleggingsdividenden.</w:t>
      </w:r>
    </w:p>
    <w:p w:rsidR="0045516F" w:rsidP="000E06F0" w:rsidRDefault="0045516F" w14:paraId="7DCB16F5" w14:textId="1EBB7E67">
      <w:pPr>
        <w:spacing w:after="0" w:line="360" w:lineRule="auto"/>
        <w:ind w:firstLine="720"/>
        <w:rPr>
          <w:rFonts w:ascii="Arial" w:hAnsi="Arial" w:eastAsia="Times New Roman" w:cs="Times New Roman"/>
          <w:sz w:val="20"/>
          <w:szCs w:val="24"/>
          <w:lang w:val="nl-NL" w:eastAsia="nl-NL"/>
        </w:rPr>
      </w:pPr>
      <w:r w:rsidRPr="0045516F">
        <w:rPr>
          <w:rFonts w:ascii="Arial" w:hAnsi="Arial" w:eastAsia="Times New Roman" w:cs="Times New Roman"/>
          <w:sz w:val="20"/>
          <w:szCs w:val="24"/>
          <w:lang w:val="nl-NL" w:eastAsia="nl-NL"/>
        </w:rPr>
        <w:t xml:space="preserve">Voor de goede orde wordt </w:t>
      </w:r>
      <w:r w:rsidR="00E166AA">
        <w:rPr>
          <w:rFonts w:ascii="Arial" w:hAnsi="Arial" w:eastAsia="Times New Roman" w:cs="Times New Roman"/>
          <w:sz w:val="20"/>
          <w:szCs w:val="24"/>
          <w:lang w:val="nl-NL" w:eastAsia="nl-NL"/>
        </w:rPr>
        <w:t xml:space="preserve">nog </w:t>
      </w:r>
      <w:r w:rsidRPr="0045516F">
        <w:rPr>
          <w:rFonts w:ascii="Arial" w:hAnsi="Arial" w:eastAsia="Times New Roman" w:cs="Times New Roman"/>
          <w:sz w:val="20"/>
          <w:szCs w:val="24"/>
          <w:lang w:val="nl-NL" w:eastAsia="nl-NL"/>
        </w:rPr>
        <w:t>opgemerkt dat de uitkeringen van een VBI in het algemeen niet worden bestreken door de dividendbelasting, maar wel door de in afdeling 7.3 van de</w:t>
      </w:r>
      <w:r w:rsidR="005B7F22">
        <w:rPr>
          <w:rFonts w:ascii="Arial" w:hAnsi="Arial" w:eastAsia="Times New Roman" w:cs="Times New Roman"/>
          <w:sz w:val="20"/>
          <w:szCs w:val="24"/>
          <w:lang w:val="nl-NL" w:eastAsia="nl-NL"/>
        </w:rPr>
        <w:t xml:space="preserve"> in de</w:t>
      </w:r>
      <w:r w:rsidRPr="0045516F">
        <w:rPr>
          <w:rFonts w:ascii="Arial" w:hAnsi="Arial" w:eastAsia="Times New Roman" w:cs="Times New Roman"/>
          <w:sz w:val="20"/>
          <w:szCs w:val="24"/>
          <w:lang w:val="nl-NL" w:eastAsia="nl-NL"/>
        </w:rPr>
        <w:t xml:space="preserve"> Wet inkomstenbelasting 2001 opgenomen bepalingen over de belastingheffing van buitenlandse belastingplichtigen met een aanmerkelijk belang in een in Ned</w:t>
      </w:r>
      <w:r w:rsidR="00314DCA">
        <w:rPr>
          <w:rFonts w:ascii="Arial" w:hAnsi="Arial" w:eastAsia="Times New Roman" w:cs="Times New Roman"/>
          <w:sz w:val="20"/>
          <w:szCs w:val="24"/>
          <w:lang w:val="nl-NL" w:eastAsia="nl-NL"/>
        </w:rPr>
        <w:t>erland gevestigde vennootschap.</w:t>
      </w:r>
      <w:r w:rsidR="002D56BC">
        <w:rPr>
          <w:rFonts w:ascii="Arial" w:hAnsi="Arial" w:eastAsia="Times New Roman" w:cs="Times New Roman"/>
          <w:sz w:val="20"/>
          <w:szCs w:val="24"/>
          <w:lang w:val="nl-NL" w:eastAsia="nl-NL"/>
        </w:rPr>
        <w:t xml:space="preserve"> Doordat artikel IX van het Protocol betrekking heeft op inkomsten uit hoofde van een belang (</w:t>
      </w:r>
      <w:r w:rsidRPr="007F7640" w:rsidR="002D56BC">
        <w:rPr>
          <w:rFonts w:ascii="Arial" w:hAnsi="Arial" w:eastAsia="Times New Roman" w:cs="Times New Roman"/>
          <w:i/>
          <w:sz w:val="20"/>
          <w:szCs w:val="24"/>
          <w:lang w:val="nl-NL" w:eastAsia="nl-NL"/>
        </w:rPr>
        <w:t>interest</w:t>
      </w:r>
      <w:r w:rsidR="002D56BC">
        <w:rPr>
          <w:rFonts w:ascii="Arial" w:hAnsi="Arial" w:eastAsia="Times New Roman" w:cs="Times New Roman"/>
          <w:sz w:val="20"/>
          <w:szCs w:val="24"/>
          <w:lang w:val="nl-NL" w:eastAsia="nl-NL"/>
        </w:rPr>
        <w:t>) in een VBI, worden daaronder zowel de reguliere voordelen als de forfaitaire voordelen in de zin van hoofdstuk 4 van de Wet inkomstenbelasting 2001 verstaan.</w:t>
      </w:r>
    </w:p>
    <w:p w:rsidRPr="00D63B02" w:rsidR="00760B59" w:rsidP="00777141" w:rsidRDefault="00760B59" w14:paraId="0490CD7B" w14:textId="5C1462A0">
      <w:pPr>
        <w:pStyle w:val="Heading2"/>
        <w:ind w:hanging="284"/>
        <w:rPr>
          <w:b w:val="0"/>
          <w:i/>
          <w:lang w:val="nl-NL"/>
        </w:rPr>
      </w:pPr>
      <w:r w:rsidRPr="00D63B02">
        <w:rPr>
          <w:b w:val="0"/>
          <w:i/>
          <w:lang w:val="nl-NL"/>
        </w:rPr>
        <w:t>Vermogen (artikel 21</w:t>
      </w:r>
      <w:r w:rsidRPr="00D63B02" w:rsidR="00D63B02">
        <w:rPr>
          <w:b w:val="0"/>
          <w:i/>
          <w:lang w:val="nl-NL"/>
        </w:rPr>
        <w:t xml:space="preserve"> van het Verdrag</w:t>
      </w:r>
      <w:r w:rsidRPr="00D63B02">
        <w:rPr>
          <w:b w:val="0"/>
          <w:i/>
          <w:lang w:val="nl-NL"/>
        </w:rPr>
        <w:t xml:space="preserve">) </w:t>
      </w:r>
    </w:p>
    <w:p w:rsidRPr="00760B59" w:rsidR="00760B59" w:rsidP="00760B59" w:rsidRDefault="00760B59" w14:paraId="2654B845" w14:textId="27B65D84">
      <w:pPr>
        <w:spacing w:after="0" w:line="360" w:lineRule="auto"/>
        <w:ind w:firstLine="720"/>
        <w:rPr>
          <w:rFonts w:ascii="Arial" w:hAnsi="Arial" w:eastAsia="Times New Roman" w:cs="Times New Roman"/>
          <w:sz w:val="20"/>
          <w:szCs w:val="24"/>
          <w:lang w:val="nl-NL" w:eastAsia="nl-NL"/>
        </w:rPr>
      </w:pPr>
      <w:r w:rsidRPr="00760B59">
        <w:rPr>
          <w:rFonts w:ascii="Arial" w:hAnsi="Arial" w:eastAsia="Times New Roman" w:cs="Times New Roman"/>
          <w:sz w:val="20"/>
          <w:szCs w:val="24"/>
          <w:lang w:val="nl-NL" w:eastAsia="nl-NL"/>
        </w:rPr>
        <w:t>Het Verdrag bevat ook een bepaling die voorziet in de verdeling van de heffingsbevoegdheid met</w:t>
      </w:r>
    </w:p>
    <w:p w:rsidRPr="00760B59" w:rsidR="00760B59" w:rsidP="00760B59" w:rsidRDefault="00760B59" w14:paraId="71BD6933" w14:textId="3316EB1E">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betrekking</w:t>
      </w:r>
      <w:r w:rsidRPr="00760B59">
        <w:rPr>
          <w:rFonts w:ascii="Arial" w:hAnsi="Arial" w:eastAsia="Times New Roman" w:cs="Times New Roman"/>
          <w:sz w:val="20"/>
          <w:szCs w:val="24"/>
          <w:lang w:val="nl-NL" w:eastAsia="nl-NL"/>
        </w:rPr>
        <w:t xml:space="preserve"> tot vermogensbestanddelen</w:t>
      </w:r>
      <w:r w:rsidR="000B21E5">
        <w:rPr>
          <w:rFonts w:ascii="Arial" w:hAnsi="Arial" w:eastAsia="Times New Roman" w:cs="Times New Roman"/>
          <w:sz w:val="20"/>
          <w:szCs w:val="24"/>
          <w:lang w:val="nl-NL" w:eastAsia="nl-NL"/>
        </w:rPr>
        <w:t>. Die bepaling is in</w:t>
      </w:r>
      <w:r w:rsidRPr="00760B59">
        <w:rPr>
          <w:rFonts w:ascii="Arial" w:hAnsi="Arial" w:eastAsia="Times New Roman" w:cs="Times New Roman"/>
          <w:sz w:val="20"/>
          <w:szCs w:val="24"/>
          <w:lang w:val="nl-NL" w:eastAsia="nl-NL"/>
        </w:rPr>
        <w:t xml:space="preserve"> overeenst</w:t>
      </w:r>
      <w:r w:rsidR="000B21E5">
        <w:rPr>
          <w:rFonts w:ascii="Arial" w:hAnsi="Arial" w:eastAsia="Times New Roman" w:cs="Times New Roman"/>
          <w:sz w:val="20"/>
          <w:szCs w:val="24"/>
          <w:lang w:val="nl-NL" w:eastAsia="nl-NL"/>
        </w:rPr>
        <w:t>emm</w:t>
      </w:r>
      <w:r w:rsidRPr="00760B59">
        <w:rPr>
          <w:rFonts w:ascii="Arial" w:hAnsi="Arial" w:eastAsia="Times New Roman" w:cs="Times New Roman"/>
          <w:sz w:val="20"/>
          <w:szCs w:val="24"/>
          <w:lang w:val="nl-NL" w:eastAsia="nl-NL"/>
        </w:rPr>
        <w:t>i</w:t>
      </w:r>
      <w:r w:rsidR="000B21E5">
        <w:rPr>
          <w:rFonts w:ascii="Arial" w:hAnsi="Arial" w:eastAsia="Times New Roman" w:cs="Times New Roman"/>
          <w:sz w:val="20"/>
          <w:szCs w:val="24"/>
          <w:lang w:val="nl-NL" w:eastAsia="nl-NL"/>
        </w:rPr>
        <w:t>n</w:t>
      </w:r>
      <w:r w:rsidRPr="00760B59">
        <w:rPr>
          <w:rFonts w:ascii="Arial" w:hAnsi="Arial" w:eastAsia="Times New Roman" w:cs="Times New Roman"/>
          <w:sz w:val="20"/>
          <w:szCs w:val="24"/>
          <w:lang w:val="nl-NL" w:eastAsia="nl-NL"/>
        </w:rPr>
        <w:t xml:space="preserve">g </w:t>
      </w:r>
      <w:r w:rsidR="000B21E5">
        <w:rPr>
          <w:rFonts w:ascii="Arial" w:hAnsi="Arial" w:eastAsia="Times New Roman" w:cs="Times New Roman"/>
          <w:sz w:val="20"/>
          <w:szCs w:val="24"/>
          <w:lang w:val="nl-NL" w:eastAsia="nl-NL"/>
        </w:rPr>
        <w:t xml:space="preserve">met </w:t>
      </w:r>
      <w:r w:rsidRPr="00760B59">
        <w:rPr>
          <w:rFonts w:ascii="Arial" w:hAnsi="Arial" w:eastAsia="Times New Roman" w:cs="Times New Roman"/>
          <w:sz w:val="20"/>
          <w:szCs w:val="24"/>
          <w:lang w:val="nl-NL" w:eastAsia="nl-NL"/>
        </w:rPr>
        <w:t>artike</w:t>
      </w:r>
      <w:r w:rsidR="00F01214">
        <w:rPr>
          <w:rFonts w:ascii="Arial" w:hAnsi="Arial" w:eastAsia="Times New Roman" w:cs="Times New Roman"/>
          <w:sz w:val="20"/>
          <w:szCs w:val="24"/>
          <w:lang w:val="nl-NL" w:eastAsia="nl-NL"/>
        </w:rPr>
        <w:t>l 22 van het OESO-modelverdrag</w:t>
      </w:r>
      <w:r w:rsidR="000B21E5">
        <w:rPr>
          <w:rFonts w:ascii="Arial" w:hAnsi="Arial" w:eastAsia="Times New Roman" w:cs="Times New Roman"/>
          <w:sz w:val="20"/>
          <w:szCs w:val="24"/>
          <w:lang w:val="nl-NL" w:eastAsia="nl-NL"/>
        </w:rPr>
        <w:t>, met één afwijking die hieronder wordt toegelicht</w:t>
      </w:r>
      <w:r w:rsidR="00F01214">
        <w:rPr>
          <w:rFonts w:ascii="Arial" w:hAnsi="Arial" w:eastAsia="Times New Roman" w:cs="Times New Roman"/>
          <w:sz w:val="20"/>
          <w:szCs w:val="24"/>
          <w:lang w:val="nl-NL" w:eastAsia="nl-NL"/>
        </w:rPr>
        <w:t xml:space="preserve">. </w:t>
      </w:r>
    </w:p>
    <w:p w:rsidRPr="00393A06" w:rsidR="00760B59" w:rsidP="00A3706F" w:rsidRDefault="002D56BC" w14:paraId="378866BF" w14:textId="3A8B2B71">
      <w:pPr>
        <w:spacing w:after="0" w:line="360" w:lineRule="auto"/>
        <w:ind w:firstLine="720"/>
        <w:rPr>
          <w:rFonts w:ascii="Arial" w:hAnsi="Arial" w:eastAsia="Times New Roman" w:cs="Times New Roman"/>
          <w:sz w:val="20"/>
          <w:szCs w:val="24"/>
          <w:lang w:val="nl-NL" w:eastAsia="nl-NL"/>
        </w:rPr>
      </w:pPr>
      <w:r w:rsidRPr="0031075F">
        <w:rPr>
          <w:rFonts w:ascii="Arial" w:hAnsi="Arial" w:eastAsia="Times New Roman" w:cs="Times New Roman"/>
          <w:sz w:val="20"/>
          <w:szCs w:val="24"/>
          <w:lang w:val="nl-NL" w:eastAsia="nl-NL"/>
        </w:rPr>
        <w:lastRenderedPageBreak/>
        <w:t>Aangezien Nederland geen vermogensbelasting heft, heeft d</w:t>
      </w:r>
      <w:r w:rsidRPr="0031075F" w:rsidR="00760B59">
        <w:rPr>
          <w:rFonts w:ascii="Arial" w:hAnsi="Arial" w:eastAsia="Times New Roman" w:cs="Times New Roman"/>
          <w:sz w:val="20"/>
          <w:szCs w:val="24"/>
          <w:lang w:val="nl-NL" w:eastAsia="nl-NL"/>
        </w:rPr>
        <w:t>e bepaling van artikel 21 slechts betekenis voor de door Liechtenstein geheven</w:t>
      </w:r>
      <w:r w:rsidRPr="0031075F">
        <w:rPr>
          <w:rFonts w:ascii="Arial" w:hAnsi="Arial" w:eastAsia="Times New Roman" w:cs="Times New Roman"/>
          <w:sz w:val="20"/>
          <w:szCs w:val="24"/>
          <w:lang w:val="nl-NL" w:eastAsia="nl-NL"/>
        </w:rPr>
        <w:t xml:space="preserve"> </w:t>
      </w:r>
      <w:r w:rsidR="005B7F22">
        <w:rPr>
          <w:rFonts w:ascii="Arial" w:hAnsi="Arial" w:eastAsia="Times New Roman" w:cs="Times New Roman"/>
          <w:sz w:val="20"/>
          <w:szCs w:val="24"/>
          <w:lang w:val="nl-NL" w:eastAsia="nl-NL"/>
        </w:rPr>
        <w:t>v</w:t>
      </w:r>
      <w:r w:rsidRPr="0031075F" w:rsidR="006B561A">
        <w:rPr>
          <w:rFonts w:ascii="Arial" w:hAnsi="Arial" w:eastAsia="Times New Roman" w:cs="Times New Roman"/>
          <w:sz w:val="20"/>
          <w:szCs w:val="24"/>
          <w:lang w:val="nl-NL" w:eastAsia="nl-NL"/>
        </w:rPr>
        <w:t>ermogensbelasting (</w:t>
      </w:r>
      <w:proofErr w:type="spellStart"/>
      <w:r w:rsidRPr="00777141" w:rsidR="006B561A">
        <w:rPr>
          <w:rFonts w:ascii="Arial" w:hAnsi="Arial" w:eastAsia="Times New Roman" w:cs="Times New Roman"/>
          <w:i/>
          <w:sz w:val="20"/>
          <w:szCs w:val="24"/>
          <w:lang w:val="nl-NL" w:eastAsia="nl-NL"/>
        </w:rPr>
        <w:t>Vermögen</w:t>
      </w:r>
      <w:r w:rsidR="000F5C93">
        <w:rPr>
          <w:rFonts w:ascii="Arial" w:hAnsi="Arial" w:eastAsia="Times New Roman" w:cs="Times New Roman"/>
          <w:i/>
          <w:sz w:val="20"/>
          <w:szCs w:val="24"/>
          <w:lang w:val="nl-NL" w:eastAsia="nl-NL"/>
        </w:rPr>
        <w:t>s</w:t>
      </w:r>
      <w:r w:rsidRPr="00777141" w:rsidR="006B561A">
        <w:rPr>
          <w:rFonts w:ascii="Arial" w:hAnsi="Arial" w:eastAsia="Times New Roman" w:cs="Times New Roman"/>
          <w:i/>
          <w:sz w:val="20"/>
          <w:szCs w:val="24"/>
          <w:lang w:val="nl-NL" w:eastAsia="nl-NL"/>
        </w:rPr>
        <w:t>steuer</w:t>
      </w:r>
      <w:proofErr w:type="spellEnd"/>
      <w:r w:rsidRPr="0031075F" w:rsidR="006B561A">
        <w:rPr>
          <w:rFonts w:ascii="Arial" w:hAnsi="Arial" w:eastAsia="Times New Roman" w:cs="Times New Roman"/>
          <w:sz w:val="20"/>
          <w:szCs w:val="24"/>
          <w:lang w:val="nl-NL" w:eastAsia="nl-NL"/>
        </w:rPr>
        <w:t>). De vermogensbelasting is in Liechtenstein weliswaar geïntegreerd in de inkomstenbelasting</w:t>
      </w:r>
      <w:r w:rsidRPr="0031075F" w:rsidR="004E0310">
        <w:rPr>
          <w:rFonts w:ascii="Arial" w:hAnsi="Arial" w:eastAsia="Times New Roman" w:cs="Times New Roman"/>
          <w:sz w:val="20"/>
          <w:szCs w:val="24"/>
          <w:lang w:val="nl-NL" w:eastAsia="nl-NL"/>
        </w:rPr>
        <w:t>, maar Liechtenstein gaf aan als gevolg van het nationale recht in Liechtenstein een dergelijke bepaling nodig te hebben om voorkoming van dubbele belasting te kunnen geven.</w:t>
      </w:r>
      <w:r w:rsidRPr="0031075F" w:rsidR="00760B59">
        <w:rPr>
          <w:rFonts w:ascii="Arial" w:hAnsi="Arial" w:eastAsia="Times New Roman" w:cs="Times New Roman"/>
          <w:sz w:val="20"/>
          <w:szCs w:val="24"/>
          <w:lang w:val="nl-NL" w:eastAsia="nl-NL"/>
        </w:rPr>
        <w:t xml:space="preserve"> </w:t>
      </w:r>
      <w:r w:rsidRPr="0031075F" w:rsidR="004E0310">
        <w:rPr>
          <w:rFonts w:ascii="Arial" w:hAnsi="Arial" w:eastAsia="Times New Roman" w:cs="Times New Roman"/>
          <w:sz w:val="20"/>
          <w:szCs w:val="24"/>
          <w:lang w:val="nl-NL" w:eastAsia="nl-NL"/>
        </w:rPr>
        <w:t xml:space="preserve">De bepaling bewerkstelligt dat </w:t>
      </w:r>
      <w:r w:rsidRPr="0031075F" w:rsidR="00760B59">
        <w:rPr>
          <w:rFonts w:ascii="Arial" w:hAnsi="Arial" w:eastAsia="Times New Roman" w:cs="Times New Roman"/>
          <w:sz w:val="20"/>
          <w:szCs w:val="24"/>
          <w:lang w:val="nl-NL" w:eastAsia="nl-NL"/>
        </w:rPr>
        <w:t>inwoners van Nederland in bepaalde situaties worden gevrijwaard van Liechtensteinse vermogensbelasting</w:t>
      </w:r>
      <w:r w:rsidRPr="0031075F" w:rsidR="00B60D1D">
        <w:rPr>
          <w:rFonts w:ascii="Arial" w:hAnsi="Arial" w:eastAsia="Times New Roman" w:cs="Times New Roman"/>
          <w:sz w:val="20"/>
          <w:szCs w:val="24"/>
          <w:lang w:val="nl-NL" w:eastAsia="nl-NL"/>
        </w:rPr>
        <w:t>.</w:t>
      </w:r>
      <w:r w:rsidR="00A3706F">
        <w:rPr>
          <w:rFonts w:ascii="Arial" w:hAnsi="Arial" w:eastAsia="Times New Roman" w:cs="Times New Roman"/>
          <w:sz w:val="20"/>
          <w:szCs w:val="24"/>
          <w:lang w:val="nl-NL" w:eastAsia="nl-NL"/>
        </w:rPr>
        <w:t xml:space="preserve"> In het derde lid is in </w:t>
      </w:r>
      <w:r w:rsidR="008137CB">
        <w:rPr>
          <w:rFonts w:ascii="Arial" w:hAnsi="Arial" w:eastAsia="Times New Roman" w:cs="Times New Roman"/>
          <w:sz w:val="20"/>
          <w:szCs w:val="24"/>
          <w:lang w:val="nl-NL" w:eastAsia="nl-NL"/>
        </w:rPr>
        <w:t xml:space="preserve">afwijking van </w:t>
      </w:r>
      <w:r w:rsidR="00A3706F">
        <w:rPr>
          <w:rFonts w:ascii="Arial" w:hAnsi="Arial" w:eastAsia="Times New Roman" w:cs="Times New Roman"/>
          <w:sz w:val="20"/>
          <w:szCs w:val="24"/>
          <w:lang w:val="nl-NL" w:eastAsia="nl-NL"/>
        </w:rPr>
        <w:t xml:space="preserve">het OESO-modelverdrag en in overeenstemming met </w:t>
      </w:r>
      <w:r w:rsidRPr="004B532A" w:rsidR="00A3706F">
        <w:rPr>
          <w:rFonts w:ascii="Arial" w:hAnsi="Arial" w:cs="Arial"/>
          <w:sz w:val="20"/>
          <w:szCs w:val="20"/>
          <w:lang w:val="nl-NL"/>
        </w:rPr>
        <w:t>artikel 8 (</w:t>
      </w:r>
      <w:r w:rsidR="00A3706F">
        <w:rPr>
          <w:rFonts w:ascii="Arial" w:hAnsi="Arial" w:cs="Arial"/>
          <w:sz w:val="20"/>
          <w:szCs w:val="20"/>
          <w:lang w:val="nl-NL"/>
        </w:rPr>
        <w:t>Z</w:t>
      </w:r>
      <w:r w:rsidRPr="004B532A" w:rsidR="00A3706F">
        <w:rPr>
          <w:rFonts w:ascii="Arial" w:hAnsi="Arial" w:cs="Arial"/>
          <w:sz w:val="20"/>
          <w:szCs w:val="20"/>
          <w:lang w:val="nl-NL"/>
        </w:rPr>
        <w:t>ee- en luchtvaart)</w:t>
      </w:r>
      <w:r w:rsidR="00A3706F">
        <w:rPr>
          <w:rFonts w:ascii="Arial" w:hAnsi="Arial" w:cs="Arial"/>
          <w:sz w:val="20"/>
          <w:szCs w:val="20"/>
          <w:lang w:val="nl-NL"/>
        </w:rPr>
        <w:t xml:space="preserve"> en artikel 14 (Inkomsten uit dienstbetrekking) van het Verdrag,</w:t>
      </w:r>
      <w:r w:rsidRPr="004B532A" w:rsidDel="00FD1BAF" w:rsidR="00A3706F">
        <w:rPr>
          <w:rFonts w:ascii="Arial" w:hAnsi="Arial" w:cs="Arial"/>
          <w:sz w:val="20"/>
          <w:szCs w:val="20"/>
          <w:lang w:val="nl-NL"/>
        </w:rPr>
        <w:t xml:space="preserve"> </w:t>
      </w:r>
      <w:r w:rsidR="00A3706F">
        <w:rPr>
          <w:rFonts w:ascii="Arial" w:hAnsi="Arial" w:eastAsia="Times New Roman" w:cs="Times New Roman"/>
          <w:sz w:val="20"/>
          <w:szCs w:val="24"/>
          <w:lang w:val="nl-NL" w:eastAsia="nl-NL"/>
        </w:rPr>
        <w:t>aangesloten bij de feitelijke leiding van de onderneming.</w:t>
      </w:r>
    </w:p>
    <w:p w:rsidR="00393A06" w:rsidP="00393A06" w:rsidRDefault="00393A06" w14:paraId="21C0FDEE" w14:textId="68250D09">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bookmarkStart w:name="_Ref323636103" w:id="1"/>
      <w:r w:rsidRPr="00393A06">
        <w:rPr>
          <w:rFonts w:ascii="Arial" w:hAnsi="Arial" w:eastAsia="Times New Roman" w:cs="Times New Roman"/>
          <w:bCs/>
          <w:i/>
          <w:iCs/>
          <w:sz w:val="20"/>
          <w:szCs w:val="28"/>
          <w:lang w:val="nl-NL" w:eastAsia="nl-NL"/>
        </w:rPr>
        <w:t>Vermijding v</w:t>
      </w:r>
      <w:r w:rsidR="00760B59">
        <w:rPr>
          <w:rFonts w:ascii="Arial" w:hAnsi="Arial" w:eastAsia="Times New Roman" w:cs="Times New Roman"/>
          <w:bCs/>
          <w:i/>
          <w:iCs/>
          <w:sz w:val="20"/>
          <w:szCs w:val="28"/>
          <w:lang w:val="nl-NL" w:eastAsia="nl-NL"/>
        </w:rPr>
        <w:t>an dubbele belasting (artikel 22</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bookmarkEnd w:id="1"/>
    </w:p>
    <w:p w:rsidRPr="008C2615" w:rsidR="00577FA0" w:rsidP="00577FA0" w:rsidRDefault="008C2615" w14:paraId="6A9D94CE" w14:textId="26BF1774">
      <w:pPr>
        <w:spacing w:after="0" w:line="360" w:lineRule="auto"/>
        <w:ind w:firstLine="709"/>
        <w:rPr>
          <w:rFonts w:ascii="Arial" w:hAnsi="Arial" w:eastAsia="Times New Roman" w:cs="Times New Roman"/>
          <w:sz w:val="20"/>
          <w:szCs w:val="24"/>
          <w:lang w:val="nl-NL" w:eastAsia="nl-NL"/>
        </w:rPr>
      </w:pPr>
      <w:r w:rsidRPr="008C2615">
        <w:rPr>
          <w:rFonts w:ascii="Arial" w:hAnsi="Arial" w:eastAsia="Times New Roman" w:cs="Times New Roman"/>
          <w:sz w:val="20"/>
          <w:szCs w:val="24"/>
          <w:lang w:val="nl-NL" w:eastAsia="nl-NL"/>
        </w:rPr>
        <w:t>In artikel 22</w:t>
      </w:r>
      <w:r w:rsidRPr="008C2615" w:rsidR="00577FA0">
        <w:rPr>
          <w:rFonts w:ascii="Arial" w:hAnsi="Arial" w:eastAsia="Times New Roman" w:cs="Times New Roman"/>
          <w:sz w:val="20"/>
          <w:szCs w:val="24"/>
          <w:lang w:val="nl-NL" w:eastAsia="nl-NL"/>
        </w:rPr>
        <w:t xml:space="preserve"> is neergelegd op welke wijze de verdragsluitende staten dubbele belasting vermijden.</w:t>
      </w:r>
    </w:p>
    <w:p w:rsidR="008C2615" w:rsidP="005666E4" w:rsidRDefault="008C2615" w14:paraId="16A5F6F1" w14:textId="620702A9">
      <w:pPr>
        <w:spacing w:after="0" w:line="360" w:lineRule="auto"/>
        <w:ind w:firstLine="709"/>
        <w:rPr>
          <w:rFonts w:ascii="Arial" w:hAnsi="Arial" w:eastAsia="Times New Roman" w:cs="Times New Roman"/>
          <w:sz w:val="20"/>
          <w:szCs w:val="24"/>
          <w:lang w:val="nl-NL" w:eastAsia="nl-NL"/>
        </w:rPr>
      </w:pPr>
      <w:r w:rsidRPr="005666E4">
        <w:rPr>
          <w:rFonts w:ascii="Arial" w:hAnsi="Arial" w:eastAsia="Times New Roman" w:cs="Times New Roman"/>
          <w:sz w:val="20"/>
          <w:szCs w:val="24"/>
          <w:lang w:val="nl-NL" w:eastAsia="nl-NL"/>
        </w:rPr>
        <w:t>Het eerste lid, onderdeel a</w:t>
      </w:r>
      <w:r w:rsidR="005B7F22">
        <w:rPr>
          <w:rFonts w:ascii="Arial" w:hAnsi="Arial" w:eastAsia="Times New Roman" w:cs="Times New Roman"/>
          <w:sz w:val="20"/>
          <w:szCs w:val="24"/>
          <w:lang w:val="nl-NL" w:eastAsia="nl-NL"/>
        </w:rPr>
        <w:t>,</w:t>
      </w:r>
      <w:r w:rsidRPr="005666E4">
        <w:rPr>
          <w:rFonts w:ascii="Arial" w:hAnsi="Arial" w:eastAsia="Times New Roman" w:cs="Times New Roman"/>
          <w:sz w:val="20"/>
          <w:szCs w:val="24"/>
          <w:lang w:val="nl-NL" w:eastAsia="nl-NL"/>
        </w:rPr>
        <w:t xml:space="preserve"> beschrijft dat Liechtenstein voor inkomsten genoten door een inwoner van Liechtenstein die volgens het Verdrag (ook) in Nederland mogen worden belast, met uitzondering van de inkomsten genoemd in onderdeel b, </w:t>
      </w:r>
      <w:r w:rsidRPr="005666E4" w:rsidR="005666E4">
        <w:rPr>
          <w:rFonts w:ascii="Arial" w:hAnsi="Arial" w:eastAsia="Times New Roman" w:cs="Times New Roman"/>
          <w:sz w:val="20"/>
          <w:szCs w:val="24"/>
          <w:lang w:val="nl-NL" w:eastAsia="nl-NL"/>
        </w:rPr>
        <w:t xml:space="preserve">belastingvermindering verleent volgens de vrijstellingsmethode. </w:t>
      </w:r>
      <w:r w:rsidR="0056003B">
        <w:rPr>
          <w:rFonts w:ascii="Arial" w:hAnsi="Arial" w:eastAsia="Times New Roman" w:cs="Times New Roman"/>
          <w:sz w:val="20"/>
          <w:szCs w:val="24"/>
          <w:lang w:val="nl-NL" w:eastAsia="nl-NL"/>
        </w:rPr>
        <w:t>U</w:t>
      </w:r>
      <w:r w:rsidRPr="005666E4" w:rsidR="005666E4">
        <w:rPr>
          <w:rFonts w:ascii="Arial" w:hAnsi="Arial" w:eastAsia="Times New Roman" w:cs="Times New Roman"/>
          <w:sz w:val="20"/>
          <w:szCs w:val="24"/>
          <w:lang w:val="nl-NL" w:eastAsia="nl-NL"/>
        </w:rPr>
        <w:t xml:space="preserve">it onderdeel </w:t>
      </w:r>
      <w:r w:rsidR="0056003B">
        <w:rPr>
          <w:rFonts w:ascii="Arial" w:hAnsi="Arial" w:eastAsia="Times New Roman" w:cs="Times New Roman"/>
          <w:sz w:val="20"/>
          <w:szCs w:val="24"/>
          <w:lang w:val="nl-NL" w:eastAsia="nl-NL"/>
        </w:rPr>
        <w:t xml:space="preserve">a volgt daarbij </w:t>
      </w:r>
      <w:r w:rsidRPr="005666E4" w:rsidR="005666E4">
        <w:rPr>
          <w:rFonts w:ascii="Arial" w:hAnsi="Arial" w:eastAsia="Times New Roman" w:cs="Times New Roman"/>
          <w:sz w:val="20"/>
          <w:szCs w:val="24"/>
          <w:lang w:val="nl-NL" w:eastAsia="nl-NL"/>
        </w:rPr>
        <w:t>dat Liechtenstein de inkomsten die (ook) in Nederland mogen worden belast in de grondslag mag betrekken waarnaar de Liechtensteinse belasting wordt geheven.</w:t>
      </w:r>
    </w:p>
    <w:p w:rsidRPr="0056003B" w:rsidR="008C2615" w:rsidP="0056003B" w:rsidRDefault="0096326F" w14:paraId="35FADB28" w14:textId="74B3224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 het</w:t>
      </w:r>
      <w:r w:rsidRPr="0056003B" w:rsidR="0056003B">
        <w:rPr>
          <w:rFonts w:ascii="Arial" w:hAnsi="Arial" w:eastAsia="Times New Roman" w:cs="Times New Roman"/>
          <w:sz w:val="20"/>
          <w:szCs w:val="24"/>
          <w:lang w:val="nl-NL" w:eastAsia="nl-NL"/>
        </w:rPr>
        <w:t xml:space="preserve"> </w:t>
      </w:r>
      <w:r w:rsidR="0056003B">
        <w:rPr>
          <w:rFonts w:ascii="Arial" w:hAnsi="Arial" w:eastAsia="Times New Roman" w:cs="Times New Roman"/>
          <w:sz w:val="20"/>
          <w:szCs w:val="24"/>
          <w:lang w:val="nl-NL" w:eastAsia="nl-NL"/>
        </w:rPr>
        <w:t>eerste lid, onderdeel b</w:t>
      </w:r>
      <w:r w:rsidR="005B7F22">
        <w:rPr>
          <w:rFonts w:ascii="Arial" w:hAnsi="Arial" w:eastAsia="Times New Roman" w:cs="Times New Roman"/>
          <w:sz w:val="20"/>
          <w:szCs w:val="24"/>
          <w:lang w:val="nl-NL" w:eastAsia="nl-NL"/>
        </w:rPr>
        <w:t>,</w:t>
      </w:r>
      <w:r w:rsidRPr="0056003B" w:rsidR="0056003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wordt voor de daar genoemde inkomsten </w:t>
      </w:r>
      <w:r w:rsidRPr="0056003B" w:rsidR="0056003B">
        <w:rPr>
          <w:rFonts w:ascii="Arial" w:hAnsi="Arial" w:eastAsia="Times New Roman" w:cs="Times New Roman"/>
          <w:sz w:val="20"/>
          <w:szCs w:val="24"/>
          <w:lang w:val="nl-NL" w:eastAsia="nl-NL"/>
        </w:rPr>
        <w:t xml:space="preserve">waarover </w:t>
      </w:r>
      <w:r>
        <w:rPr>
          <w:rFonts w:ascii="Arial" w:hAnsi="Arial" w:eastAsia="Times New Roman" w:cs="Times New Roman"/>
          <w:sz w:val="20"/>
          <w:szCs w:val="24"/>
          <w:lang w:val="nl-NL" w:eastAsia="nl-NL"/>
        </w:rPr>
        <w:t>Nederland</w:t>
      </w:r>
      <w:r w:rsidRPr="0056003B" w:rsidR="0056003B">
        <w:rPr>
          <w:rFonts w:ascii="Arial" w:hAnsi="Arial" w:eastAsia="Times New Roman" w:cs="Times New Roman"/>
          <w:sz w:val="20"/>
          <w:szCs w:val="24"/>
          <w:lang w:val="nl-NL" w:eastAsia="nl-NL"/>
        </w:rPr>
        <w:t xml:space="preserve"> belasting mag heffen, uitgewerkt dat </w:t>
      </w:r>
      <w:r>
        <w:rPr>
          <w:rFonts w:ascii="Arial" w:hAnsi="Arial" w:eastAsia="Times New Roman" w:cs="Times New Roman"/>
          <w:sz w:val="20"/>
          <w:szCs w:val="24"/>
          <w:lang w:val="nl-NL" w:eastAsia="nl-NL"/>
        </w:rPr>
        <w:t>Liechtenstein</w:t>
      </w:r>
      <w:r w:rsidRPr="0056003B" w:rsidR="0056003B">
        <w:rPr>
          <w:rFonts w:ascii="Arial" w:hAnsi="Arial" w:eastAsia="Times New Roman" w:cs="Times New Roman"/>
          <w:sz w:val="20"/>
          <w:szCs w:val="24"/>
          <w:lang w:val="nl-NL" w:eastAsia="nl-NL"/>
        </w:rPr>
        <w:t xml:space="preserve"> in die gevallen een vermindering ter vermijding van dubbele belasting verleent volgens de </w:t>
      </w:r>
      <w:proofErr w:type="spellStart"/>
      <w:r w:rsidRPr="0056003B" w:rsidR="0056003B">
        <w:rPr>
          <w:rFonts w:ascii="Arial" w:hAnsi="Arial" w:eastAsia="Times New Roman" w:cs="Times New Roman"/>
          <w:sz w:val="20"/>
          <w:szCs w:val="24"/>
          <w:lang w:val="nl-NL" w:eastAsia="nl-NL"/>
        </w:rPr>
        <w:t>verreke</w:t>
      </w:r>
      <w:r w:rsidRPr="0056003B" w:rsidR="0056003B">
        <w:rPr>
          <w:rFonts w:ascii="Arial" w:hAnsi="Arial" w:eastAsia="Times New Roman" w:cs="Times New Roman"/>
          <w:sz w:val="20"/>
          <w:szCs w:val="24"/>
          <w:lang w:val="nl-NL" w:eastAsia="nl-NL"/>
        </w:rPr>
        <w:softHyphen/>
        <w:t>ningsmethode</w:t>
      </w:r>
      <w:proofErr w:type="spellEnd"/>
      <w:r w:rsidRPr="0056003B" w:rsidR="0056003B">
        <w:rPr>
          <w:rFonts w:ascii="Arial" w:hAnsi="Arial" w:eastAsia="Times New Roman" w:cs="Times New Roman"/>
          <w:sz w:val="20"/>
          <w:szCs w:val="24"/>
          <w:lang w:val="nl-NL" w:eastAsia="nl-NL"/>
        </w:rPr>
        <w:t xml:space="preserve"> met evenredigheidslimiet. Het betreft dividenden, </w:t>
      </w:r>
      <w:r>
        <w:rPr>
          <w:rFonts w:ascii="Arial" w:hAnsi="Arial" w:eastAsia="Times New Roman" w:cs="Times New Roman"/>
          <w:sz w:val="20"/>
          <w:szCs w:val="24"/>
          <w:lang w:val="nl-NL" w:eastAsia="nl-NL"/>
        </w:rPr>
        <w:t xml:space="preserve">inkomen uit dienstbetrekking en </w:t>
      </w:r>
      <w:r w:rsidRPr="0056003B" w:rsidR="0056003B">
        <w:rPr>
          <w:rFonts w:ascii="Arial" w:hAnsi="Arial" w:eastAsia="Times New Roman" w:cs="Times New Roman"/>
          <w:sz w:val="20"/>
          <w:szCs w:val="24"/>
          <w:lang w:val="nl-NL" w:eastAsia="nl-NL"/>
        </w:rPr>
        <w:t>inkomen van bestuurders</w:t>
      </w:r>
      <w:r w:rsidR="00B46790">
        <w:rPr>
          <w:rFonts w:ascii="Arial" w:hAnsi="Arial" w:eastAsia="Times New Roman" w:cs="Times New Roman"/>
          <w:sz w:val="20"/>
          <w:szCs w:val="24"/>
          <w:lang w:val="nl-NL" w:eastAsia="nl-NL"/>
        </w:rPr>
        <w:t>,</w:t>
      </w:r>
      <w:r w:rsidRPr="0056003B" w:rsidR="0056003B">
        <w:rPr>
          <w:rFonts w:ascii="Arial" w:hAnsi="Arial" w:eastAsia="Times New Roman" w:cs="Times New Roman"/>
          <w:sz w:val="20"/>
          <w:szCs w:val="24"/>
          <w:lang w:val="nl-NL" w:eastAsia="nl-NL"/>
        </w:rPr>
        <w:t xml:space="preserve"> sporters en artiesten</w:t>
      </w:r>
      <w:r w:rsidR="0056003B">
        <w:rPr>
          <w:rFonts w:ascii="Arial" w:hAnsi="Arial" w:eastAsia="Times New Roman" w:cs="Times New Roman"/>
          <w:sz w:val="20"/>
          <w:szCs w:val="24"/>
          <w:lang w:val="nl-NL" w:eastAsia="nl-NL"/>
        </w:rPr>
        <w:t xml:space="preserve">. </w:t>
      </w:r>
    </w:p>
    <w:p w:rsidRPr="006213AE" w:rsidR="00577FA0" w:rsidP="00577FA0" w:rsidRDefault="009F7112" w14:paraId="3A6280CC" w14:textId="3B9716DB">
      <w:pPr>
        <w:spacing w:after="0" w:line="360" w:lineRule="auto"/>
        <w:ind w:firstLine="709"/>
        <w:rPr>
          <w:rFonts w:ascii="Arial" w:hAnsi="Arial" w:eastAsia="Times New Roman" w:cs="Times New Roman"/>
          <w:sz w:val="20"/>
          <w:szCs w:val="24"/>
          <w:lang w:val="nl-NL" w:eastAsia="nl-NL"/>
        </w:rPr>
      </w:pPr>
      <w:r w:rsidRPr="006213AE">
        <w:rPr>
          <w:rFonts w:ascii="Arial" w:hAnsi="Arial" w:eastAsia="Times New Roman" w:cs="Times New Roman"/>
          <w:sz w:val="20"/>
          <w:szCs w:val="24"/>
          <w:lang w:val="nl-NL" w:eastAsia="nl-NL"/>
        </w:rPr>
        <w:t xml:space="preserve">Vervolgens is in het </w:t>
      </w:r>
      <w:r w:rsidRPr="006213AE" w:rsidR="008C2615">
        <w:rPr>
          <w:rFonts w:ascii="Arial" w:hAnsi="Arial" w:eastAsia="Times New Roman" w:cs="Times New Roman"/>
          <w:sz w:val="20"/>
          <w:szCs w:val="24"/>
          <w:lang w:val="nl-NL" w:eastAsia="nl-NL"/>
        </w:rPr>
        <w:t>tweede</w:t>
      </w:r>
      <w:r w:rsidRPr="006213AE" w:rsidR="00577FA0">
        <w:rPr>
          <w:rFonts w:ascii="Arial" w:hAnsi="Arial" w:eastAsia="Times New Roman" w:cs="Times New Roman"/>
          <w:sz w:val="20"/>
          <w:szCs w:val="24"/>
          <w:lang w:val="nl-NL" w:eastAsia="nl-NL"/>
        </w:rPr>
        <w:t xml:space="preserve"> lid</w:t>
      </w:r>
      <w:r w:rsidRPr="006213AE">
        <w:rPr>
          <w:rFonts w:ascii="Arial" w:hAnsi="Arial" w:eastAsia="Times New Roman" w:cs="Times New Roman"/>
          <w:sz w:val="20"/>
          <w:szCs w:val="24"/>
          <w:lang w:val="nl-NL" w:eastAsia="nl-NL"/>
        </w:rPr>
        <w:t xml:space="preserve">, onderdeel a tot en met f, in lijn met het </w:t>
      </w:r>
      <w:r w:rsidRPr="006213AE" w:rsidR="00577FA0">
        <w:rPr>
          <w:rFonts w:ascii="Arial" w:hAnsi="Arial" w:eastAsia="Times New Roman" w:cs="Times New Roman"/>
          <w:sz w:val="20"/>
          <w:szCs w:val="24"/>
          <w:lang w:val="nl-NL" w:eastAsia="nl-NL"/>
        </w:rPr>
        <w:t xml:space="preserve">Nederlandse verdragsbeleid, bepaald hoe Nederland voorziet in het vermijden van dubbele belasting voor inkomsten genoten door een inwoner van Nederland die volgens het Verdrag (ook) in </w:t>
      </w:r>
      <w:r w:rsidRPr="006213AE">
        <w:rPr>
          <w:rFonts w:ascii="Arial" w:hAnsi="Arial" w:eastAsia="Times New Roman" w:cs="Times New Roman"/>
          <w:sz w:val="20"/>
          <w:szCs w:val="24"/>
          <w:lang w:val="nl-NL" w:eastAsia="nl-NL"/>
        </w:rPr>
        <w:t>Liechtenstein</w:t>
      </w:r>
      <w:r w:rsidRPr="006213AE" w:rsidR="00577FA0">
        <w:rPr>
          <w:rFonts w:ascii="Arial" w:hAnsi="Arial" w:eastAsia="Times New Roman" w:cs="Times New Roman"/>
          <w:sz w:val="20"/>
          <w:szCs w:val="24"/>
          <w:lang w:val="nl-NL" w:eastAsia="nl-NL"/>
        </w:rPr>
        <w:t xml:space="preserve"> mogen worden belast.</w:t>
      </w:r>
    </w:p>
    <w:p w:rsidRPr="00E407AC" w:rsidR="00577FA0" w:rsidP="00577FA0" w:rsidRDefault="00577FA0" w14:paraId="6FF3E367" w14:textId="2E54A86D">
      <w:pPr>
        <w:spacing w:after="0" w:line="360" w:lineRule="auto"/>
        <w:ind w:firstLine="709"/>
        <w:rPr>
          <w:rFonts w:ascii="Arial" w:hAnsi="Arial" w:eastAsia="Times New Roman" w:cs="Times New Roman"/>
          <w:sz w:val="20"/>
          <w:szCs w:val="24"/>
          <w:lang w:val="nl-NL" w:eastAsia="nl-NL"/>
        </w:rPr>
      </w:pPr>
      <w:r w:rsidRPr="00E407AC">
        <w:rPr>
          <w:rFonts w:ascii="Arial" w:hAnsi="Arial" w:eastAsia="Times New Roman" w:cs="Times New Roman"/>
          <w:sz w:val="20"/>
          <w:szCs w:val="24"/>
          <w:lang w:val="nl-NL" w:eastAsia="nl-NL"/>
        </w:rPr>
        <w:t xml:space="preserve">Uit het </w:t>
      </w:r>
      <w:r w:rsidRPr="00E407AC" w:rsidR="00E407AC">
        <w:rPr>
          <w:rFonts w:ascii="Arial" w:hAnsi="Arial" w:eastAsia="Times New Roman" w:cs="Times New Roman"/>
          <w:sz w:val="20"/>
          <w:szCs w:val="24"/>
          <w:lang w:val="nl-NL" w:eastAsia="nl-NL"/>
        </w:rPr>
        <w:t>tweede</w:t>
      </w:r>
      <w:r w:rsidRPr="00E407AC">
        <w:rPr>
          <w:rFonts w:ascii="Arial" w:hAnsi="Arial" w:eastAsia="Times New Roman" w:cs="Times New Roman"/>
          <w:sz w:val="20"/>
          <w:szCs w:val="24"/>
          <w:lang w:val="nl-NL" w:eastAsia="nl-NL"/>
        </w:rPr>
        <w:t xml:space="preserve"> lid</w:t>
      </w:r>
      <w:r w:rsidRPr="00E407AC" w:rsidR="00E407AC">
        <w:rPr>
          <w:rFonts w:ascii="Arial" w:hAnsi="Arial" w:eastAsia="Times New Roman" w:cs="Times New Roman"/>
          <w:sz w:val="20"/>
          <w:szCs w:val="24"/>
          <w:lang w:val="nl-NL" w:eastAsia="nl-NL"/>
        </w:rPr>
        <w:t>, onderdeel a</w:t>
      </w:r>
      <w:r w:rsidR="005B7F22">
        <w:rPr>
          <w:rFonts w:ascii="Arial" w:hAnsi="Arial" w:eastAsia="Times New Roman" w:cs="Times New Roman"/>
          <w:sz w:val="20"/>
          <w:szCs w:val="24"/>
          <w:lang w:val="nl-NL" w:eastAsia="nl-NL"/>
        </w:rPr>
        <w:t>,</w:t>
      </w:r>
      <w:r w:rsidRPr="00E407AC">
        <w:rPr>
          <w:rFonts w:ascii="Arial" w:hAnsi="Arial" w:eastAsia="Times New Roman" w:cs="Times New Roman"/>
          <w:sz w:val="20"/>
          <w:szCs w:val="24"/>
          <w:lang w:val="nl-NL" w:eastAsia="nl-NL"/>
        </w:rPr>
        <w:t xml:space="preserve"> volgt expliciet dat Nederland de inkomsten die (ook) in </w:t>
      </w:r>
      <w:r w:rsidRPr="00E407AC" w:rsidR="00E407AC">
        <w:rPr>
          <w:rFonts w:ascii="Arial" w:hAnsi="Arial" w:eastAsia="Times New Roman" w:cs="Times New Roman"/>
          <w:sz w:val="20"/>
          <w:szCs w:val="24"/>
          <w:lang w:val="nl-NL" w:eastAsia="nl-NL"/>
        </w:rPr>
        <w:t>Liechtenstein</w:t>
      </w:r>
      <w:r w:rsidRPr="00E407AC">
        <w:rPr>
          <w:rFonts w:ascii="Arial" w:hAnsi="Arial" w:eastAsia="Times New Roman" w:cs="Times New Roman"/>
          <w:sz w:val="20"/>
          <w:szCs w:val="24"/>
          <w:lang w:val="nl-NL" w:eastAsia="nl-NL"/>
        </w:rPr>
        <w:t xml:space="preserve"> mogen worden belast in de grondslag mag betrekken waarnaar de Nederlandse belasting wordt geheven. Daarmee wordt ook bevestigd dat Nederland de tariefprogressie die met name in de inkomstenbelasting gestalte krijgt ook met betrekking tot inkomsten uit </w:t>
      </w:r>
      <w:r w:rsidRPr="00E407AC" w:rsidR="00E407AC">
        <w:rPr>
          <w:rFonts w:ascii="Arial" w:hAnsi="Arial" w:eastAsia="Times New Roman" w:cs="Times New Roman"/>
          <w:sz w:val="20"/>
          <w:szCs w:val="24"/>
          <w:lang w:val="nl-NL" w:eastAsia="nl-NL"/>
        </w:rPr>
        <w:t>Liechtenstein</w:t>
      </w:r>
      <w:r w:rsidRPr="00E407AC">
        <w:rPr>
          <w:rFonts w:ascii="Arial" w:hAnsi="Arial" w:eastAsia="Times New Roman" w:cs="Times New Roman"/>
          <w:sz w:val="20"/>
          <w:szCs w:val="24"/>
          <w:lang w:val="nl-NL" w:eastAsia="nl-NL"/>
        </w:rPr>
        <w:t xml:space="preserve"> kan effectueren. </w:t>
      </w:r>
    </w:p>
    <w:p w:rsidR="00577FA0" w:rsidP="00577FA0" w:rsidRDefault="00E407AC" w14:paraId="7A67E9B0" w14:textId="4A4CCE40">
      <w:pPr>
        <w:spacing w:after="0" w:line="360" w:lineRule="auto"/>
        <w:ind w:firstLine="709"/>
        <w:rPr>
          <w:rFonts w:ascii="Arial" w:hAnsi="Arial" w:eastAsia="Times New Roman" w:cs="Times New Roman"/>
          <w:sz w:val="20"/>
          <w:szCs w:val="24"/>
          <w:lang w:val="nl-NL" w:eastAsia="nl-NL"/>
        </w:rPr>
      </w:pPr>
      <w:r w:rsidRPr="00E407AC">
        <w:rPr>
          <w:rFonts w:ascii="Arial" w:hAnsi="Arial" w:eastAsia="Times New Roman" w:cs="Times New Roman"/>
          <w:sz w:val="20"/>
          <w:szCs w:val="24"/>
          <w:lang w:val="nl-NL" w:eastAsia="nl-NL"/>
        </w:rPr>
        <w:t>Het tweede lid, onderdeel b</w:t>
      </w:r>
      <w:r w:rsidR="005B7F22">
        <w:rPr>
          <w:rFonts w:ascii="Arial" w:hAnsi="Arial" w:eastAsia="Times New Roman" w:cs="Times New Roman"/>
          <w:sz w:val="20"/>
          <w:szCs w:val="24"/>
          <w:lang w:val="nl-NL" w:eastAsia="nl-NL"/>
        </w:rPr>
        <w:t>,</w:t>
      </w:r>
      <w:r w:rsidRPr="00E407AC" w:rsidR="00577FA0">
        <w:rPr>
          <w:rFonts w:ascii="Arial" w:hAnsi="Arial" w:eastAsia="Times New Roman" w:cs="Times New Roman"/>
          <w:sz w:val="20"/>
          <w:szCs w:val="24"/>
          <w:lang w:val="nl-NL" w:eastAsia="nl-NL"/>
        </w:rPr>
        <w:t xml:space="preserve"> bepaalt vervolgens dat voor de daar genoemde inkomsten belastingvermindering wordt verleend volgens de vrijstellingsmethode. Met betrekking tot de vennootschapsbelasting wordt daarbij het volgende opgemerkt. Met ingang van 1 januari 2012 is in afdeling 2.10a van de Wet </w:t>
      </w:r>
      <w:proofErr w:type="spellStart"/>
      <w:r w:rsidRPr="00E407AC" w:rsidR="00577FA0">
        <w:rPr>
          <w:rFonts w:ascii="Arial" w:hAnsi="Arial" w:eastAsia="Times New Roman" w:cs="Times New Roman"/>
          <w:sz w:val="20"/>
          <w:szCs w:val="24"/>
          <w:lang w:val="nl-NL" w:eastAsia="nl-NL"/>
        </w:rPr>
        <w:t>Vpb</w:t>
      </w:r>
      <w:proofErr w:type="spellEnd"/>
      <w:r w:rsidRPr="00E407AC" w:rsidR="00577FA0">
        <w:rPr>
          <w:rFonts w:ascii="Arial" w:hAnsi="Arial" w:eastAsia="Times New Roman" w:cs="Times New Roman"/>
          <w:sz w:val="20"/>
          <w:szCs w:val="24"/>
          <w:lang w:val="nl-NL" w:eastAsia="nl-NL"/>
        </w:rPr>
        <w:t xml:space="preserve"> 1969 de zogenoemde objectvrijstelling voor buitenlandse ondernemingswinsten opgenomen. Toegespitst op het onderhavige Verdrag wordt op basis van deze objectvrijstelling bij een belastingplichtige met winst uit </w:t>
      </w:r>
      <w:r w:rsidRPr="00E407AC">
        <w:rPr>
          <w:rFonts w:ascii="Arial" w:hAnsi="Arial" w:eastAsia="Times New Roman" w:cs="Times New Roman"/>
          <w:sz w:val="20"/>
          <w:szCs w:val="24"/>
          <w:lang w:val="nl-NL" w:eastAsia="nl-NL"/>
        </w:rPr>
        <w:t xml:space="preserve">Liechtenstein </w:t>
      </w:r>
      <w:r w:rsidRPr="00E407AC" w:rsidR="00577FA0">
        <w:rPr>
          <w:rFonts w:ascii="Arial" w:hAnsi="Arial" w:eastAsia="Times New Roman" w:cs="Times New Roman"/>
          <w:sz w:val="20"/>
          <w:szCs w:val="24"/>
          <w:lang w:val="nl-NL" w:eastAsia="nl-NL"/>
        </w:rPr>
        <w:t xml:space="preserve">de winst verminderd met de positieve en de negatieve bedragen van de winst uit </w:t>
      </w:r>
      <w:r w:rsidRPr="00E407AC">
        <w:rPr>
          <w:rFonts w:ascii="Arial" w:hAnsi="Arial" w:eastAsia="Times New Roman" w:cs="Times New Roman"/>
          <w:sz w:val="20"/>
          <w:szCs w:val="24"/>
          <w:lang w:val="nl-NL" w:eastAsia="nl-NL"/>
        </w:rPr>
        <w:t xml:space="preserve">Liechtenstein </w:t>
      </w:r>
      <w:r w:rsidRPr="00E407AC" w:rsidR="00577FA0">
        <w:rPr>
          <w:rFonts w:ascii="Arial" w:hAnsi="Arial" w:eastAsia="Times New Roman" w:cs="Times New Roman"/>
          <w:sz w:val="20"/>
          <w:szCs w:val="24"/>
          <w:lang w:val="nl-NL" w:eastAsia="nl-NL"/>
        </w:rPr>
        <w:t xml:space="preserve">die op basis van het Verdrag mede aan </w:t>
      </w:r>
      <w:r w:rsidRPr="00E407AC">
        <w:rPr>
          <w:rFonts w:ascii="Arial" w:hAnsi="Arial" w:eastAsia="Times New Roman" w:cs="Times New Roman"/>
          <w:sz w:val="20"/>
          <w:szCs w:val="24"/>
          <w:lang w:val="nl-NL" w:eastAsia="nl-NL"/>
        </w:rPr>
        <w:t>Liechtenstein</w:t>
      </w:r>
      <w:r w:rsidRPr="00E407AC" w:rsidR="00577FA0">
        <w:rPr>
          <w:rFonts w:ascii="Arial" w:hAnsi="Arial" w:eastAsia="Times New Roman" w:cs="Times New Roman"/>
          <w:sz w:val="20"/>
          <w:szCs w:val="24"/>
          <w:lang w:val="nl-NL" w:eastAsia="nl-NL"/>
        </w:rPr>
        <w:t xml:space="preserve"> ter heffing is toegewezen en waarvoor Nederland op basis van de onderhavige </w:t>
      </w:r>
      <w:r w:rsidRPr="00E407AC" w:rsidR="00577FA0">
        <w:rPr>
          <w:rFonts w:ascii="Arial" w:hAnsi="Arial" w:eastAsia="Times New Roman" w:cs="Times New Roman"/>
          <w:sz w:val="20"/>
          <w:szCs w:val="24"/>
          <w:lang w:val="nl-NL" w:eastAsia="nl-NL"/>
        </w:rPr>
        <w:lastRenderedPageBreak/>
        <w:t>bepaling voor positieve bedragen een vrijstelling dient te verle</w:t>
      </w:r>
      <w:r w:rsidR="00DC2CB3">
        <w:rPr>
          <w:rFonts w:ascii="Arial" w:hAnsi="Arial" w:eastAsia="Times New Roman" w:cs="Times New Roman"/>
          <w:sz w:val="20"/>
          <w:szCs w:val="24"/>
          <w:lang w:val="nl-NL" w:eastAsia="nl-NL"/>
        </w:rPr>
        <w:t>nen. Voor de toepassing van het tweede lid, onderdeel b</w:t>
      </w:r>
      <w:r w:rsidR="005B7F22">
        <w:rPr>
          <w:rFonts w:ascii="Arial" w:hAnsi="Arial" w:eastAsia="Times New Roman" w:cs="Times New Roman"/>
          <w:sz w:val="20"/>
          <w:szCs w:val="24"/>
          <w:lang w:val="nl-NL" w:eastAsia="nl-NL"/>
        </w:rPr>
        <w:t>,</w:t>
      </w:r>
      <w:r w:rsidR="00DC2CB3">
        <w:rPr>
          <w:rFonts w:ascii="Arial" w:hAnsi="Arial" w:eastAsia="Times New Roman" w:cs="Times New Roman"/>
          <w:sz w:val="20"/>
          <w:szCs w:val="24"/>
          <w:lang w:val="nl-NL" w:eastAsia="nl-NL"/>
        </w:rPr>
        <w:t xml:space="preserve"> </w:t>
      </w:r>
      <w:r w:rsidRPr="00E407AC" w:rsidR="00577FA0">
        <w:rPr>
          <w:rFonts w:ascii="Arial" w:hAnsi="Arial" w:eastAsia="Times New Roman" w:cs="Times New Roman"/>
          <w:sz w:val="20"/>
          <w:szCs w:val="24"/>
          <w:lang w:val="nl-NL" w:eastAsia="nl-NL"/>
        </w:rPr>
        <w:t xml:space="preserve">houdt dit in dat door de objectvrijstelling de desbetreffende uit </w:t>
      </w:r>
      <w:r w:rsidRPr="00E407AC">
        <w:rPr>
          <w:rFonts w:ascii="Arial" w:hAnsi="Arial" w:eastAsia="Times New Roman" w:cs="Times New Roman"/>
          <w:sz w:val="20"/>
          <w:szCs w:val="24"/>
          <w:lang w:val="nl-NL" w:eastAsia="nl-NL"/>
        </w:rPr>
        <w:t xml:space="preserve">Liechtenstein </w:t>
      </w:r>
      <w:r w:rsidRPr="00E407AC" w:rsidR="00577FA0">
        <w:rPr>
          <w:rFonts w:ascii="Arial" w:hAnsi="Arial" w:eastAsia="Times New Roman" w:cs="Times New Roman"/>
          <w:sz w:val="20"/>
          <w:szCs w:val="24"/>
          <w:lang w:val="nl-NL" w:eastAsia="nl-NL"/>
        </w:rPr>
        <w:t xml:space="preserve">afkomstige (en aan </w:t>
      </w:r>
      <w:r w:rsidRPr="00E407AC">
        <w:rPr>
          <w:rFonts w:ascii="Arial" w:hAnsi="Arial" w:eastAsia="Times New Roman" w:cs="Times New Roman"/>
          <w:sz w:val="20"/>
          <w:szCs w:val="24"/>
          <w:lang w:val="nl-NL" w:eastAsia="nl-NL"/>
        </w:rPr>
        <w:t>Liechtenstein</w:t>
      </w:r>
      <w:r w:rsidRPr="00E407AC" w:rsidR="00577FA0">
        <w:rPr>
          <w:rFonts w:ascii="Arial" w:hAnsi="Arial" w:eastAsia="Times New Roman" w:cs="Times New Roman"/>
          <w:sz w:val="20"/>
          <w:szCs w:val="24"/>
          <w:lang w:val="nl-NL" w:eastAsia="nl-NL"/>
        </w:rPr>
        <w:t xml:space="preserve"> ter heffing toegewezen) winsten per saldo geen deel meer uitmaken van de in het </w:t>
      </w:r>
      <w:r w:rsidR="00DC2CB3">
        <w:rPr>
          <w:rFonts w:ascii="Arial" w:hAnsi="Arial" w:eastAsia="Times New Roman" w:cs="Times New Roman"/>
          <w:sz w:val="20"/>
          <w:szCs w:val="24"/>
          <w:lang w:val="nl-NL" w:eastAsia="nl-NL"/>
        </w:rPr>
        <w:t>tweede</w:t>
      </w:r>
      <w:r w:rsidRPr="00E407AC" w:rsidR="00577FA0">
        <w:rPr>
          <w:rFonts w:ascii="Arial" w:hAnsi="Arial" w:eastAsia="Times New Roman" w:cs="Times New Roman"/>
          <w:sz w:val="20"/>
          <w:szCs w:val="24"/>
          <w:lang w:val="nl-NL" w:eastAsia="nl-NL"/>
        </w:rPr>
        <w:t xml:space="preserve"> lid</w:t>
      </w:r>
      <w:r w:rsidR="00DC2CB3">
        <w:rPr>
          <w:rFonts w:ascii="Arial" w:hAnsi="Arial" w:eastAsia="Times New Roman" w:cs="Times New Roman"/>
          <w:sz w:val="20"/>
          <w:szCs w:val="24"/>
          <w:lang w:val="nl-NL" w:eastAsia="nl-NL"/>
        </w:rPr>
        <w:t>, onderdeel a</w:t>
      </w:r>
      <w:r w:rsidR="005B7F22">
        <w:rPr>
          <w:rFonts w:ascii="Arial" w:hAnsi="Arial" w:eastAsia="Times New Roman" w:cs="Times New Roman"/>
          <w:sz w:val="20"/>
          <w:szCs w:val="24"/>
          <w:lang w:val="nl-NL" w:eastAsia="nl-NL"/>
        </w:rPr>
        <w:t>,</w:t>
      </w:r>
      <w:r w:rsidRPr="00E407AC" w:rsidR="00577FA0">
        <w:rPr>
          <w:rFonts w:ascii="Arial" w:hAnsi="Arial" w:eastAsia="Times New Roman" w:cs="Times New Roman"/>
          <w:sz w:val="20"/>
          <w:szCs w:val="24"/>
          <w:lang w:val="nl-NL" w:eastAsia="nl-NL"/>
        </w:rPr>
        <w:t xml:space="preserve"> bedoelde grondslag waarover de vennootschapsbelasting wordt geheven. </w:t>
      </w:r>
      <w:r w:rsidR="005B7F22">
        <w:rPr>
          <w:rFonts w:ascii="Arial" w:hAnsi="Arial" w:eastAsia="Times New Roman" w:cs="Times New Roman"/>
          <w:sz w:val="20"/>
          <w:szCs w:val="24"/>
          <w:lang w:val="nl-NL" w:eastAsia="nl-NL"/>
        </w:rPr>
        <w:t>Daarom</w:t>
      </w:r>
      <w:r w:rsidRPr="00E407AC" w:rsidR="005B7F22">
        <w:rPr>
          <w:rFonts w:ascii="Arial" w:hAnsi="Arial" w:eastAsia="Times New Roman" w:cs="Times New Roman"/>
          <w:sz w:val="20"/>
          <w:szCs w:val="24"/>
          <w:lang w:val="nl-NL" w:eastAsia="nl-NL"/>
        </w:rPr>
        <w:t xml:space="preserve"> </w:t>
      </w:r>
      <w:r w:rsidRPr="00E407AC" w:rsidR="00577FA0">
        <w:rPr>
          <w:rFonts w:ascii="Arial" w:hAnsi="Arial" w:eastAsia="Times New Roman" w:cs="Times New Roman"/>
          <w:sz w:val="20"/>
          <w:szCs w:val="24"/>
          <w:lang w:val="nl-NL" w:eastAsia="nl-NL"/>
        </w:rPr>
        <w:t>behoeft de in het tweede lid</w:t>
      </w:r>
      <w:r w:rsidR="00DC2CB3">
        <w:rPr>
          <w:rFonts w:ascii="Arial" w:hAnsi="Arial" w:eastAsia="Times New Roman" w:cs="Times New Roman"/>
          <w:sz w:val="20"/>
          <w:szCs w:val="24"/>
          <w:lang w:val="nl-NL" w:eastAsia="nl-NL"/>
        </w:rPr>
        <w:t>, onderdeel b</w:t>
      </w:r>
      <w:r w:rsidR="005B7F22">
        <w:rPr>
          <w:rFonts w:ascii="Arial" w:hAnsi="Arial" w:eastAsia="Times New Roman" w:cs="Times New Roman"/>
          <w:sz w:val="20"/>
          <w:szCs w:val="24"/>
          <w:lang w:val="nl-NL" w:eastAsia="nl-NL"/>
        </w:rPr>
        <w:t>,</w:t>
      </w:r>
      <w:r w:rsidRPr="00E407AC" w:rsidR="00577FA0">
        <w:rPr>
          <w:rFonts w:ascii="Arial" w:hAnsi="Arial" w:eastAsia="Times New Roman" w:cs="Times New Roman"/>
          <w:sz w:val="20"/>
          <w:szCs w:val="24"/>
          <w:lang w:val="nl-NL" w:eastAsia="nl-NL"/>
        </w:rPr>
        <w:t xml:space="preserve"> opgenomen vrijstellingsmethode hierop geen toepassing meer te vinden en wordt door de toepassing van de objectvrijstelling in feite voorzien in het vermijden van dubbele belastingheffing. Aangezien de objectvrijstelling niet geldt voor de inkomstenbelasting blijft de in de onderhavige bepaling opgenomen vrijstellingsmethode onverkort van belang voor de in dit onderdeel bedoelde inkomsten van natuurlijke personen.</w:t>
      </w:r>
    </w:p>
    <w:p w:rsidRPr="00D25681" w:rsidR="00D25681" w:rsidP="00D25681" w:rsidRDefault="00D25681" w14:paraId="6C607FFA" w14:textId="46233CF1">
      <w:pPr>
        <w:spacing w:after="0" w:line="360" w:lineRule="auto"/>
        <w:ind w:firstLine="709"/>
        <w:rPr>
          <w:rFonts w:ascii="Arial" w:hAnsi="Arial" w:eastAsia="Times New Roman" w:cs="Times New Roman"/>
          <w:sz w:val="20"/>
          <w:szCs w:val="24"/>
          <w:lang w:val="nl-NL" w:eastAsia="nl-NL"/>
        </w:rPr>
      </w:pPr>
      <w:r w:rsidRPr="00D25681">
        <w:rPr>
          <w:rFonts w:ascii="Arial" w:hAnsi="Arial" w:eastAsia="Times New Roman" w:cs="Times New Roman"/>
          <w:sz w:val="20"/>
          <w:szCs w:val="24"/>
          <w:lang w:val="nl-NL" w:eastAsia="nl-NL"/>
        </w:rPr>
        <w:t xml:space="preserve">Het </w:t>
      </w:r>
      <w:r>
        <w:rPr>
          <w:rFonts w:ascii="Arial" w:hAnsi="Arial" w:eastAsia="Times New Roman" w:cs="Times New Roman"/>
          <w:sz w:val="20"/>
          <w:szCs w:val="24"/>
          <w:lang w:val="nl-NL" w:eastAsia="nl-NL"/>
        </w:rPr>
        <w:t>tweede lid, onderdeel c</w:t>
      </w:r>
      <w:r w:rsidR="005B7F22">
        <w:rPr>
          <w:rFonts w:ascii="Arial" w:hAnsi="Arial" w:eastAsia="Times New Roman" w:cs="Times New Roman"/>
          <w:sz w:val="20"/>
          <w:szCs w:val="24"/>
          <w:lang w:val="nl-NL" w:eastAsia="nl-NL"/>
        </w:rPr>
        <w:t>,</w:t>
      </w:r>
      <w:r w:rsidRPr="00D25681">
        <w:rPr>
          <w:rFonts w:ascii="Arial" w:hAnsi="Arial" w:eastAsia="Times New Roman" w:cs="Times New Roman"/>
          <w:sz w:val="20"/>
          <w:szCs w:val="24"/>
          <w:lang w:val="nl-NL" w:eastAsia="nl-NL"/>
        </w:rPr>
        <w:t xml:space="preserve"> vloeit voort uit </w:t>
      </w:r>
      <w:r w:rsidR="002307C0">
        <w:rPr>
          <w:rFonts w:ascii="Arial" w:hAnsi="Arial" w:eastAsia="Times New Roman" w:cs="Times New Roman"/>
          <w:sz w:val="20"/>
          <w:szCs w:val="24"/>
          <w:lang w:val="nl-NL" w:eastAsia="nl-NL"/>
        </w:rPr>
        <w:t>a</w:t>
      </w:r>
      <w:r w:rsidRPr="00D25681">
        <w:rPr>
          <w:rFonts w:ascii="Arial" w:hAnsi="Arial" w:eastAsia="Times New Roman" w:cs="Times New Roman"/>
          <w:sz w:val="20"/>
          <w:szCs w:val="24"/>
          <w:lang w:val="nl-NL" w:eastAsia="nl-NL"/>
        </w:rPr>
        <w:t xml:space="preserve">ctiepunt 2 van het BEPS-project en heeft betrekking op de toepassing van de in </w:t>
      </w:r>
      <w:r>
        <w:rPr>
          <w:rFonts w:ascii="Arial" w:hAnsi="Arial" w:eastAsia="Times New Roman" w:cs="Times New Roman"/>
          <w:sz w:val="20"/>
          <w:szCs w:val="24"/>
          <w:lang w:val="nl-NL" w:eastAsia="nl-NL"/>
        </w:rPr>
        <w:t xml:space="preserve">het </w:t>
      </w:r>
      <w:r w:rsidRPr="00D25681">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 onderdeel b</w:t>
      </w:r>
      <w:r w:rsidR="00AE6914">
        <w:rPr>
          <w:rFonts w:ascii="Arial" w:hAnsi="Arial" w:eastAsia="Times New Roman" w:cs="Times New Roman"/>
          <w:sz w:val="20"/>
          <w:szCs w:val="24"/>
          <w:lang w:val="nl-NL" w:eastAsia="nl-NL"/>
        </w:rPr>
        <w:t>,</w:t>
      </w:r>
      <w:r w:rsidRPr="00D25681">
        <w:rPr>
          <w:rFonts w:ascii="Arial" w:hAnsi="Arial" w:eastAsia="Times New Roman" w:cs="Times New Roman"/>
          <w:sz w:val="20"/>
          <w:szCs w:val="24"/>
          <w:lang w:val="nl-NL" w:eastAsia="nl-NL"/>
        </w:rPr>
        <w:t xml:space="preserve"> opgenomen vrijstellingsmethode. Uit </w:t>
      </w:r>
      <w:r>
        <w:rPr>
          <w:rFonts w:ascii="Arial" w:hAnsi="Arial" w:eastAsia="Times New Roman" w:cs="Times New Roman"/>
          <w:sz w:val="20"/>
          <w:szCs w:val="24"/>
          <w:lang w:val="nl-NL" w:eastAsia="nl-NL"/>
        </w:rPr>
        <w:t>onderdeel c</w:t>
      </w:r>
      <w:r w:rsidRPr="00D25681">
        <w:rPr>
          <w:rFonts w:ascii="Arial" w:hAnsi="Arial" w:eastAsia="Times New Roman" w:cs="Times New Roman"/>
          <w:sz w:val="20"/>
          <w:szCs w:val="24"/>
          <w:lang w:val="nl-NL" w:eastAsia="nl-NL"/>
        </w:rPr>
        <w:t xml:space="preserve"> blijkt dat Nederland niet verplicht </w:t>
      </w:r>
      <w:r>
        <w:rPr>
          <w:rFonts w:ascii="Arial" w:hAnsi="Arial" w:eastAsia="Times New Roman" w:cs="Times New Roman"/>
          <w:sz w:val="20"/>
          <w:szCs w:val="24"/>
          <w:lang w:val="nl-NL" w:eastAsia="nl-NL"/>
        </w:rPr>
        <w:t xml:space="preserve">is de in onderdeel b </w:t>
      </w:r>
      <w:r w:rsidRPr="00D25681">
        <w:rPr>
          <w:rFonts w:ascii="Arial" w:hAnsi="Arial" w:eastAsia="Times New Roman" w:cs="Times New Roman"/>
          <w:sz w:val="20"/>
          <w:szCs w:val="24"/>
          <w:lang w:val="nl-NL" w:eastAsia="nl-NL"/>
        </w:rPr>
        <w:t xml:space="preserve">opgenomen vrijstellingsmethode toe te passen ter zake van het inkomen van een inwoner indien </w:t>
      </w:r>
      <w:r>
        <w:rPr>
          <w:rFonts w:ascii="Arial" w:hAnsi="Arial" w:eastAsia="Times New Roman" w:cs="Times New Roman"/>
          <w:sz w:val="20"/>
          <w:szCs w:val="24"/>
          <w:lang w:val="nl-NL" w:eastAsia="nl-NL"/>
        </w:rPr>
        <w:t>Liechtenstein</w:t>
      </w:r>
      <w:r w:rsidRPr="00D25681">
        <w:rPr>
          <w:rFonts w:ascii="Arial" w:hAnsi="Arial" w:eastAsia="Times New Roman" w:cs="Times New Roman"/>
          <w:sz w:val="20"/>
          <w:szCs w:val="24"/>
          <w:lang w:val="nl-NL" w:eastAsia="nl-NL"/>
        </w:rPr>
        <w:t xml:space="preserve"> dat inkomen op basis van de bepalingen van het Verdrag geheel niet in de heffing betrekt of de heffing volgens artikel 10, tweede lid</w:t>
      </w:r>
      <w:r w:rsidR="00AE6914">
        <w:rPr>
          <w:rFonts w:ascii="Arial" w:hAnsi="Arial" w:eastAsia="Times New Roman" w:cs="Times New Roman"/>
          <w:sz w:val="20"/>
          <w:szCs w:val="24"/>
          <w:lang w:val="nl-NL" w:eastAsia="nl-NL"/>
        </w:rPr>
        <w:t>,</w:t>
      </w:r>
      <w:r w:rsidRPr="00D25681">
        <w:rPr>
          <w:rFonts w:ascii="Arial" w:hAnsi="Arial" w:eastAsia="Times New Roman" w:cs="Times New Roman"/>
          <w:sz w:val="20"/>
          <w:szCs w:val="24"/>
          <w:lang w:val="nl-NL" w:eastAsia="nl-NL"/>
        </w:rPr>
        <w:t xml:space="preserve"> beperkt. Hiermee wordt voorkomen dat inkomen als gevolg van een verschillende toepassing van de verdragsbepalingen in beide verdragsluitende staten geheel niet of maar ten dele in de belastingheffing wordt betrokken. </w:t>
      </w:r>
    </w:p>
    <w:p w:rsidRPr="004F6A21" w:rsidR="00577FA0" w:rsidP="00577FA0" w:rsidRDefault="00577FA0" w14:paraId="7B93F84D" w14:textId="1788DBE5">
      <w:pPr>
        <w:spacing w:after="0" w:line="360" w:lineRule="auto"/>
        <w:ind w:firstLine="709"/>
        <w:rPr>
          <w:rFonts w:ascii="Arial" w:hAnsi="Arial" w:eastAsia="Times New Roman" w:cs="Times New Roman"/>
          <w:sz w:val="20"/>
          <w:szCs w:val="24"/>
          <w:lang w:val="nl-NL" w:eastAsia="nl-NL"/>
        </w:rPr>
      </w:pPr>
      <w:r w:rsidRPr="004F6A21">
        <w:rPr>
          <w:rFonts w:ascii="Arial" w:hAnsi="Arial" w:eastAsia="Times New Roman" w:cs="Times New Roman"/>
          <w:sz w:val="20"/>
          <w:szCs w:val="24"/>
          <w:lang w:val="nl-NL" w:eastAsia="nl-NL"/>
        </w:rPr>
        <w:t xml:space="preserve">In het </w:t>
      </w:r>
      <w:r w:rsidRPr="004F6A21" w:rsidR="004F6A21">
        <w:rPr>
          <w:rFonts w:ascii="Arial" w:hAnsi="Arial" w:eastAsia="Times New Roman" w:cs="Times New Roman"/>
          <w:sz w:val="20"/>
          <w:szCs w:val="24"/>
          <w:lang w:val="nl-NL" w:eastAsia="nl-NL"/>
        </w:rPr>
        <w:t>tweede</w:t>
      </w:r>
      <w:r w:rsidRPr="004F6A21">
        <w:rPr>
          <w:rFonts w:ascii="Arial" w:hAnsi="Arial" w:eastAsia="Times New Roman" w:cs="Times New Roman"/>
          <w:sz w:val="20"/>
          <w:szCs w:val="24"/>
          <w:lang w:val="nl-NL" w:eastAsia="nl-NL"/>
        </w:rPr>
        <w:t xml:space="preserve"> lid</w:t>
      </w:r>
      <w:r w:rsidRPr="004F6A21" w:rsidR="004F6A21">
        <w:rPr>
          <w:rFonts w:ascii="Arial" w:hAnsi="Arial" w:eastAsia="Times New Roman" w:cs="Times New Roman"/>
          <w:sz w:val="20"/>
          <w:szCs w:val="24"/>
          <w:lang w:val="nl-NL" w:eastAsia="nl-NL"/>
        </w:rPr>
        <w:t>, onderdeel d</w:t>
      </w:r>
      <w:r w:rsidR="00AE6914">
        <w:rPr>
          <w:rFonts w:ascii="Arial" w:hAnsi="Arial" w:eastAsia="Times New Roman" w:cs="Times New Roman"/>
          <w:sz w:val="20"/>
          <w:szCs w:val="24"/>
          <w:lang w:val="nl-NL" w:eastAsia="nl-NL"/>
        </w:rPr>
        <w:t>,</w:t>
      </w:r>
      <w:r w:rsidRPr="004F6A21">
        <w:rPr>
          <w:rFonts w:ascii="Arial" w:hAnsi="Arial" w:eastAsia="Times New Roman" w:cs="Times New Roman"/>
          <w:sz w:val="20"/>
          <w:szCs w:val="24"/>
          <w:lang w:val="nl-NL" w:eastAsia="nl-NL"/>
        </w:rPr>
        <w:t xml:space="preserve"> is neergelegd dat Nederland bij het vermijden van dubbele belasting over winst behaald met een in </w:t>
      </w:r>
      <w:r w:rsidRPr="004F6A21" w:rsidR="004F6A21">
        <w:rPr>
          <w:rFonts w:ascii="Arial" w:hAnsi="Arial" w:eastAsia="Times New Roman" w:cs="Times New Roman"/>
          <w:sz w:val="20"/>
          <w:szCs w:val="24"/>
          <w:lang w:val="nl-NL" w:eastAsia="nl-NL"/>
        </w:rPr>
        <w:t>Liechtenstein</w:t>
      </w:r>
      <w:r w:rsidRPr="004F6A21">
        <w:rPr>
          <w:rFonts w:ascii="Arial" w:hAnsi="Arial" w:eastAsia="Times New Roman" w:cs="Times New Roman"/>
          <w:sz w:val="20"/>
          <w:szCs w:val="24"/>
          <w:lang w:val="nl-NL" w:eastAsia="nl-NL"/>
        </w:rPr>
        <w:t xml:space="preserve"> gelegen vaste inrichting, de </w:t>
      </w:r>
      <w:proofErr w:type="spellStart"/>
      <w:r w:rsidRPr="004F6A21">
        <w:rPr>
          <w:rFonts w:ascii="Arial" w:hAnsi="Arial" w:eastAsia="Times New Roman" w:cs="Times New Roman"/>
          <w:sz w:val="20"/>
          <w:szCs w:val="24"/>
          <w:lang w:val="nl-NL" w:eastAsia="nl-NL"/>
        </w:rPr>
        <w:t>verrekeningsmethode</w:t>
      </w:r>
      <w:proofErr w:type="spellEnd"/>
      <w:r w:rsidRPr="004F6A21">
        <w:rPr>
          <w:rFonts w:ascii="Arial" w:hAnsi="Arial" w:eastAsia="Times New Roman" w:cs="Times New Roman"/>
          <w:sz w:val="20"/>
          <w:szCs w:val="24"/>
          <w:lang w:val="nl-NL" w:eastAsia="nl-NL"/>
        </w:rPr>
        <w:t xml:space="preserve"> hanteert in plaats van de vrijstellingsmethode, indien op grond van de Nederlandse regelgeving die methode toepassing vindt bij het vermijden van dubbele belasting over die inkomsten. Dit is de zogenoemde ‘</w:t>
      </w:r>
      <w:proofErr w:type="spellStart"/>
      <w:r w:rsidRPr="004F6A21">
        <w:rPr>
          <w:rFonts w:ascii="Arial" w:hAnsi="Arial" w:eastAsia="Times New Roman" w:cs="Times New Roman"/>
          <w:sz w:val="20"/>
          <w:szCs w:val="24"/>
          <w:lang w:val="nl-NL" w:eastAsia="nl-NL"/>
        </w:rPr>
        <w:t>zwartegatenbepaling</w:t>
      </w:r>
      <w:proofErr w:type="spellEnd"/>
      <w:r w:rsidRPr="004F6A21">
        <w:rPr>
          <w:rFonts w:ascii="Arial" w:hAnsi="Arial" w:eastAsia="Times New Roman" w:cs="Times New Roman"/>
          <w:sz w:val="20"/>
          <w:szCs w:val="24"/>
          <w:lang w:val="nl-NL" w:eastAsia="nl-NL"/>
        </w:rPr>
        <w:t xml:space="preserve">’. Zo is bij de hiervoor beschreven objectvrijstelling bepaald dat de objectvrijstelling niet geldt voor winst uit een </w:t>
      </w:r>
      <w:proofErr w:type="spellStart"/>
      <w:r w:rsidRPr="004F6A21">
        <w:rPr>
          <w:rFonts w:ascii="Arial" w:hAnsi="Arial" w:eastAsia="Times New Roman" w:cs="Times New Roman"/>
          <w:sz w:val="20"/>
          <w:szCs w:val="24"/>
          <w:lang w:val="nl-NL" w:eastAsia="nl-NL"/>
        </w:rPr>
        <w:t>laagbelaste</w:t>
      </w:r>
      <w:proofErr w:type="spellEnd"/>
      <w:r w:rsidRPr="004F6A21">
        <w:rPr>
          <w:rFonts w:ascii="Arial" w:hAnsi="Arial" w:eastAsia="Times New Roman" w:cs="Times New Roman"/>
          <w:sz w:val="20"/>
          <w:szCs w:val="24"/>
          <w:lang w:val="nl-NL" w:eastAsia="nl-NL"/>
        </w:rPr>
        <w:t xml:space="preserve"> buitenlandse beleggingsonderneming als bedoeld in artikel 15g van de Wet </w:t>
      </w:r>
      <w:proofErr w:type="spellStart"/>
      <w:r w:rsidRPr="004F6A21">
        <w:rPr>
          <w:rFonts w:ascii="Arial" w:hAnsi="Arial" w:eastAsia="Times New Roman" w:cs="Times New Roman"/>
          <w:sz w:val="20"/>
          <w:szCs w:val="24"/>
          <w:lang w:val="nl-NL" w:eastAsia="nl-NL"/>
        </w:rPr>
        <w:t>Vpb</w:t>
      </w:r>
      <w:proofErr w:type="spellEnd"/>
      <w:r w:rsidRPr="004F6A21">
        <w:rPr>
          <w:rFonts w:ascii="Arial" w:hAnsi="Arial" w:eastAsia="Times New Roman" w:cs="Times New Roman"/>
          <w:sz w:val="20"/>
          <w:szCs w:val="24"/>
          <w:lang w:val="nl-NL" w:eastAsia="nl-NL"/>
        </w:rPr>
        <w:t xml:space="preserve"> 1969; in dat geval wordt voorzien in een verrekening van de op die winst drukkende buitenlandse belasting op de voet van de in artikel 23d van de Wet </w:t>
      </w:r>
      <w:proofErr w:type="spellStart"/>
      <w:r w:rsidRPr="004F6A21">
        <w:rPr>
          <w:rFonts w:ascii="Arial" w:hAnsi="Arial" w:eastAsia="Times New Roman" w:cs="Times New Roman"/>
          <w:sz w:val="20"/>
          <w:szCs w:val="24"/>
          <w:lang w:val="nl-NL" w:eastAsia="nl-NL"/>
        </w:rPr>
        <w:t>Vpb</w:t>
      </w:r>
      <w:proofErr w:type="spellEnd"/>
      <w:r w:rsidRPr="004F6A21">
        <w:rPr>
          <w:rFonts w:ascii="Arial" w:hAnsi="Arial" w:eastAsia="Times New Roman" w:cs="Times New Roman"/>
          <w:sz w:val="20"/>
          <w:szCs w:val="24"/>
          <w:lang w:val="nl-NL" w:eastAsia="nl-NL"/>
        </w:rPr>
        <w:t xml:space="preserve"> 1969 getroffen regeling. Door opname van de onderhavige bepaling kan Nederland deze in de Nederlandse wetgeving opgenomen regeling ter vermijding van dubbele belasting ook in relatie tot </w:t>
      </w:r>
      <w:r w:rsidRPr="004F6A21" w:rsidR="004F6A21">
        <w:rPr>
          <w:rFonts w:ascii="Arial" w:hAnsi="Arial" w:eastAsia="Times New Roman" w:cs="Times New Roman"/>
          <w:sz w:val="20"/>
          <w:szCs w:val="24"/>
          <w:lang w:val="nl-NL" w:eastAsia="nl-NL"/>
        </w:rPr>
        <w:t>Liechtenstein</w:t>
      </w:r>
      <w:r w:rsidRPr="004F6A21">
        <w:rPr>
          <w:rFonts w:ascii="Arial" w:hAnsi="Arial" w:eastAsia="Times New Roman" w:cs="Times New Roman"/>
          <w:sz w:val="20"/>
          <w:szCs w:val="24"/>
          <w:lang w:val="nl-NL" w:eastAsia="nl-NL"/>
        </w:rPr>
        <w:t xml:space="preserve"> toepassen.</w:t>
      </w:r>
    </w:p>
    <w:p w:rsidR="004F6A21" w:rsidP="00865C4C" w:rsidRDefault="008E4367" w14:paraId="00046727" w14:textId="20D5E604">
      <w:pPr>
        <w:spacing w:after="0" w:line="360" w:lineRule="auto"/>
        <w:ind w:firstLine="709"/>
        <w:rPr>
          <w:rFonts w:ascii="Arial" w:hAnsi="Arial" w:eastAsia="Times New Roman" w:cs="Times New Roman"/>
          <w:sz w:val="20"/>
          <w:szCs w:val="24"/>
          <w:lang w:val="nl-NL" w:eastAsia="nl-NL"/>
        </w:rPr>
      </w:pPr>
      <w:r w:rsidRPr="004F6A21">
        <w:rPr>
          <w:rFonts w:ascii="Arial" w:hAnsi="Arial" w:eastAsia="Times New Roman" w:cs="Times New Roman"/>
          <w:sz w:val="20"/>
          <w:szCs w:val="24"/>
          <w:lang w:val="nl-NL" w:eastAsia="nl-NL"/>
        </w:rPr>
        <w:t xml:space="preserve">In het </w:t>
      </w:r>
      <w:r w:rsidRPr="004F6A21" w:rsidR="004F6A21">
        <w:rPr>
          <w:rFonts w:ascii="Arial" w:hAnsi="Arial" w:eastAsia="Times New Roman" w:cs="Times New Roman"/>
          <w:sz w:val="20"/>
          <w:szCs w:val="24"/>
          <w:lang w:val="nl-NL" w:eastAsia="nl-NL"/>
        </w:rPr>
        <w:t>tweede lid, onderdeel e</w:t>
      </w:r>
      <w:r w:rsidR="00DD10A2">
        <w:rPr>
          <w:rFonts w:ascii="Arial" w:hAnsi="Arial" w:eastAsia="Times New Roman" w:cs="Times New Roman"/>
          <w:sz w:val="20"/>
          <w:szCs w:val="24"/>
          <w:lang w:val="nl-NL" w:eastAsia="nl-NL"/>
        </w:rPr>
        <w:t>,</w:t>
      </w:r>
      <w:r w:rsidRPr="004F6A21" w:rsidR="004F6A21">
        <w:rPr>
          <w:rFonts w:ascii="Arial" w:hAnsi="Arial" w:eastAsia="Times New Roman" w:cs="Times New Roman"/>
          <w:sz w:val="20"/>
          <w:szCs w:val="24"/>
          <w:lang w:val="nl-NL" w:eastAsia="nl-NL"/>
        </w:rPr>
        <w:t xml:space="preserve"> </w:t>
      </w:r>
      <w:r w:rsidRPr="004F6A21">
        <w:rPr>
          <w:rFonts w:ascii="Arial" w:hAnsi="Arial" w:eastAsia="Times New Roman" w:cs="Times New Roman"/>
          <w:sz w:val="20"/>
          <w:szCs w:val="24"/>
          <w:lang w:val="nl-NL" w:eastAsia="nl-NL"/>
        </w:rPr>
        <w:t xml:space="preserve">wordt voor andere inkomsten </w:t>
      </w:r>
      <w:r w:rsidRPr="004F6A21" w:rsidR="004F6A21">
        <w:rPr>
          <w:rFonts w:ascii="Arial" w:hAnsi="Arial" w:eastAsia="Times New Roman" w:cs="Times New Roman"/>
          <w:sz w:val="20"/>
          <w:szCs w:val="24"/>
          <w:lang w:val="nl-NL" w:eastAsia="nl-NL"/>
        </w:rPr>
        <w:t xml:space="preserve">dan </w:t>
      </w:r>
      <w:r w:rsidR="00DD10A2">
        <w:rPr>
          <w:rFonts w:ascii="Arial" w:hAnsi="Arial" w:eastAsia="Times New Roman" w:cs="Times New Roman"/>
          <w:sz w:val="20"/>
          <w:szCs w:val="24"/>
          <w:lang w:val="nl-NL" w:eastAsia="nl-NL"/>
        </w:rPr>
        <w:t xml:space="preserve">die </w:t>
      </w:r>
      <w:r w:rsidRPr="004F6A21" w:rsidR="004F6A21">
        <w:rPr>
          <w:rFonts w:ascii="Arial" w:hAnsi="Arial" w:eastAsia="Times New Roman" w:cs="Times New Roman"/>
          <w:sz w:val="20"/>
          <w:szCs w:val="24"/>
          <w:lang w:val="nl-NL" w:eastAsia="nl-NL"/>
        </w:rPr>
        <w:t>genoemd in het tweede lid, onderdeel b</w:t>
      </w:r>
      <w:r w:rsidR="00DD10A2">
        <w:rPr>
          <w:rFonts w:ascii="Arial" w:hAnsi="Arial" w:eastAsia="Times New Roman" w:cs="Times New Roman"/>
          <w:sz w:val="20"/>
          <w:szCs w:val="24"/>
          <w:lang w:val="nl-NL" w:eastAsia="nl-NL"/>
        </w:rPr>
        <w:t>,</w:t>
      </w:r>
      <w:r w:rsidRPr="004F6A21" w:rsidR="004F6A21">
        <w:rPr>
          <w:rFonts w:ascii="Arial" w:hAnsi="Arial" w:eastAsia="Times New Roman" w:cs="Times New Roman"/>
          <w:sz w:val="20"/>
          <w:szCs w:val="24"/>
          <w:lang w:val="nl-NL" w:eastAsia="nl-NL"/>
        </w:rPr>
        <w:t xml:space="preserve"> </w:t>
      </w:r>
      <w:r w:rsidRPr="004F6A21">
        <w:rPr>
          <w:rFonts w:ascii="Arial" w:hAnsi="Arial" w:eastAsia="Times New Roman" w:cs="Times New Roman"/>
          <w:sz w:val="20"/>
          <w:szCs w:val="24"/>
          <w:lang w:val="nl-NL" w:eastAsia="nl-NL"/>
        </w:rPr>
        <w:t xml:space="preserve">waarover </w:t>
      </w:r>
      <w:r w:rsidRPr="004F6A21" w:rsidR="004F6A21">
        <w:rPr>
          <w:rFonts w:ascii="Arial" w:hAnsi="Arial" w:eastAsia="Times New Roman" w:cs="Times New Roman"/>
          <w:sz w:val="20"/>
          <w:szCs w:val="24"/>
          <w:lang w:val="nl-NL" w:eastAsia="nl-NL"/>
        </w:rPr>
        <w:t>Liechtenstein</w:t>
      </w:r>
      <w:r w:rsidRPr="004F6A21">
        <w:rPr>
          <w:rFonts w:ascii="Arial" w:hAnsi="Arial" w:eastAsia="Times New Roman" w:cs="Times New Roman"/>
          <w:sz w:val="20"/>
          <w:szCs w:val="24"/>
          <w:lang w:val="nl-NL" w:eastAsia="nl-NL"/>
        </w:rPr>
        <w:t xml:space="preserve"> belasting mag heffen, uitgewerkt dat Nederland in die gevallen een vermindering ter vermijding van dubbele belasting verleent volgens de </w:t>
      </w:r>
      <w:proofErr w:type="spellStart"/>
      <w:r w:rsidRPr="004F6A21">
        <w:rPr>
          <w:rFonts w:ascii="Arial" w:hAnsi="Arial" w:eastAsia="Times New Roman" w:cs="Times New Roman"/>
          <w:sz w:val="20"/>
          <w:szCs w:val="24"/>
          <w:lang w:val="nl-NL" w:eastAsia="nl-NL"/>
        </w:rPr>
        <w:t>verreke</w:t>
      </w:r>
      <w:r w:rsidRPr="004F6A21">
        <w:rPr>
          <w:rFonts w:ascii="Arial" w:hAnsi="Arial" w:eastAsia="Times New Roman" w:cs="Times New Roman"/>
          <w:sz w:val="20"/>
          <w:szCs w:val="24"/>
          <w:lang w:val="nl-NL" w:eastAsia="nl-NL"/>
        </w:rPr>
        <w:softHyphen/>
        <w:t>ningsmethode</w:t>
      </w:r>
      <w:proofErr w:type="spellEnd"/>
      <w:r w:rsidRPr="004F6A21">
        <w:rPr>
          <w:rFonts w:ascii="Arial" w:hAnsi="Arial" w:eastAsia="Times New Roman" w:cs="Times New Roman"/>
          <w:sz w:val="20"/>
          <w:szCs w:val="24"/>
          <w:lang w:val="nl-NL" w:eastAsia="nl-NL"/>
        </w:rPr>
        <w:t xml:space="preserve"> met evenredigheidslimiet. Het betreft dividenden, vermogenswinsten, inkomen van bestuurders</w:t>
      </w:r>
      <w:r w:rsidR="00F2751F">
        <w:rPr>
          <w:rFonts w:ascii="Arial" w:hAnsi="Arial" w:eastAsia="Times New Roman" w:cs="Times New Roman"/>
          <w:sz w:val="20"/>
          <w:szCs w:val="24"/>
          <w:lang w:val="nl-NL" w:eastAsia="nl-NL"/>
        </w:rPr>
        <w:t>,</w:t>
      </w:r>
      <w:r w:rsidRPr="004F6A21">
        <w:rPr>
          <w:rFonts w:ascii="Arial" w:hAnsi="Arial" w:eastAsia="Times New Roman" w:cs="Times New Roman"/>
          <w:sz w:val="20"/>
          <w:szCs w:val="24"/>
          <w:lang w:val="nl-NL" w:eastAsia="nl-NL"/>
        </w:rPr>
        <w:t xml:space="preserve"> sporters en artiesten en afkoopsommen van pensioenen waarvoor een bronstaatheffing geldt. </w:t>
      </w:r>
    </w:p>
    <w:p w:rsidRPr="004F6A21" w:rsidR="0015273F" w:rsidP="003F21BC" w:rsidRDefault="0015273F" w14:paraId="603873DD" w14:textId="378AD16C">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Het tweede lid, onderdeel f</w:t>
      </w:r>
      <w:r w:rsidR="00DD10A2">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w:t>
      </w:r>
      <w:r w:rsidRPr="003F21BC">
        <w:rPr>
          <w:rFonts w:ascii="Arial" w:hAnsi="Arial" w:eastAsia="Times New Roman" w:cs="Times New Roman"/>
          <w:sz w:val="20"/>
          <w:szCs w:val="24"/>
          <w:lang w:val="nl-NL" w:eastAsia="nl-NL"/>
        </w:rPr>
        <w:t>is ten slotte bedoel</w:t>
      </w:r>
      <w:r w:rsidRPr="003F21BC" w:rsidR="003F21BC">
        <w:rPr>
          <w:rFonts w:ascii="Arial" w:hAnsi="Arial" w:eastAsia="Times New Roman" w:cs="Times New Roman"/>
          <w:sz w:val="20"/>
          <w:szCs w:val="24"/>
          <w:lang w:val="nl-NL" w:eastAsia="nl-NL"/>
        </w:rPr>
        <w:t>d om duidelijk te maken dat de</w:t>
      </w:r>
      <w:r w:rsidRPr="003F21BC">
        <w:rPr>
          <w:rFonts w:ascii="Arial" w:hAnsi="Arial" w:eastAsia="Times New Roman" w:cs="Times New Roman"/>
          <w:sz w:val="20"/>
          <w:szCs w:val="24"/>
          <w:lang w:val="nl-NL" w:eastAsia="nl-NL"/>
        </w:rPr>
        <w:t xml:space="preserve"> bepaling </w:t>
      </w:r>
      <w:r w:rsidRPr="003F21BC" w:rsidR="003F21BC">
        <w:rPr>
          <w:rFonts w:ascii="Arial" w:hAnsi="Arial" w:eastAsia="Times New Roman" w:cs="Times New Roman"/>
          <w:sz w:val="20"/>
          <w:szCs w:val="24"/>
          <w:lang w:val="nl-NL" w:eastAsia="nl-NL"/>
        </w:rPr>
        <w:t xml:space="preserve">van onderdeel e </w:t>
      </w:r>
      <w:r w:rsidRPr="003F21BC">
        <w:rPr>
          <w:rFonts w:ascii="Arial" w:hAnsi="Arial" w:eastAsia="Times New Roman" w:cs="Times New Roman"/>
          <w:sz w:val="20"/>
          <w:szCs w:val="24"/>
          <w:lang w:val="nl-NL" w:eastAsia="nl-NL"/>
        </w:rPr>
        <w:t xml:space="preserve">geen inbreuk maakt op de verruiming van mogelijkheden die de nationale </w:t>
      </w:r>
      <w:proofErr w:type="spellStart"/>
      <w:r w:rsidRPr="003F21BC">
        <w:rPr>
          <w:rFonts w:ascii="Arial" w:hAnsi="Arial" w:eastAsia="Times New Roman" w:cs="Times New Roman"/>
          <w:sz w:val="20"/>
          <w:szCs w:val="24"/>
          <w:lang w:val="nl-NL" w:eastAsia="nl-NL"/>
        </w:rPr>
        <w:t>verrekeningsregels</w:t>
      </w:r>
      <w:proofErr w:type="spellEnd"/>
      <w:r w:rsidRPr="003F21BC">
        <w:rPr>
          <w:rFonts w:ascii="Arial" w:hAnsi="Arial" w:eastAsia="Times New Roman" w:cs="Times New Roman"/>
          <w:sz w:val="20"/>
          <w:szCs w:val="24"/>
          <w:lang w:val="nl-NL" w:eastAsia="nl-NL"/>
        </w:rPr>
        <w:t xml:space="preserve"> bieden om verrekening van buitenlandse belasting te realiseren. Die regels zien op het samentellen van verschillende buitenlandse bronnen en op het verrekenen van buitenlandse belasting over verschillende jaren gezamenlijk. </w:t>
      </w:r>
    </w:p>
    <w:p w:rsidRPr="00577FA0" w:rsidR="00577FA0" w:rsidP="00577FA0" w:rsidRDefault="00393A06" w14:paraId="36B2B18D" w14:textId="7071F699">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lastRenderedPageBreak/>
        <w:t>Non-discriminatie (artikel 23</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393A06" w:rsidP="00393A06" w:rsidRDefault="00393A06" w14:paraId="44C5B23E" w14:textId="1146B651">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23 is gebaseerd op de in het OESO-modelverdrag opgenomen non-discriminatiebepaling</w:t>
      </w:r>
      <w:r w:rsidR="00D537AC">
        <w:rPr>
          <w:rFonts w:ascii="Arial" w:hAnsi="Arial" w:eastAsia="Times New Roman" w:cs="Times New Roman"/>
          <w:sz w:val="20"/>
          <w:szCs w:val="24"/>
          <w:lang w:val="nl-NL" w:eastAsia="nl-NL"/>
        </w:rPr>
        <w:t>.</w:t>
      </w:r>
    </w:p>
    <w:p w:rsidRPr="00393A06" w:rsidR="00393A06" w:rsidP="00393A06" w:rsidRDefault="00393A06" w14:paraId="6F53DE52" w14:textId="73D824AD">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Het eerste lid bevat het verbod op fiscale discriminatie naar nationaliteit. </w:t>
      </w:r>
    </w:p>
    <w:p w:rsidRPr="00393A06" w:rsidR="00393A06" w:rsidP="00393A06" w:rsidRDefault="00393A06" w14:paraId="7F84DBE8" w14:textId="6390FB77">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In het tweede lid is een bepaling opgenomen voor zogenoemde sta</w:t>
      </w:r>
      <w:r w:rsidR="00D07CDD">
        <w:rPr>
          <w:rFonts w:ascii="Arial" w:hAnsi="Arial" w:eastAsia="Times New Roman" w:cs="Times New Roman"/>
          <w:sz w:val="20"/>
          <w:szCs w:val="24"/>
          <w:lang w:val="nl-NL" w:eastAsia="nl-NL"/>
        </w:rPr>
        <w:t>a</w:t>
      </w:r>
      <w:r w:rsidRPr="00393A06">
        <w:rPr>
          <w:rFonts w:ascii="Arial" w:hAnsi="Arial" w:eastAsia="Times New Roman" w:cs="Times New Roman"/>
          <w:sz w:val="20"/>
          <w:szCs w:val="24"/>
          <w:lang w:val="nl-NL" w:eastAsia="nl-NL"/>
        </w:rPr>
        <w:t>tloze personen.</w:t>
      </w:r>
    </w:p>
    <w:p w:rsidRPr="00393A06" w:rsidR="00393A06" w:rsidP="00393A06" w:rsidRDefault="00393A06" w14:paraId="26F557AE" w14:textId="77777777">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Uit het derde lid volgt dat een verdragsluitende staat een vaste inrichting van een door een inwoner van de andere verdragsluitende staat gedreven onderneming niet ongunstiger mag behandelen dan de ondernemingen van de “eigen” inwoners. Deze staat is evenwel niet verplicht persoonlijke aftrekken en dergelijke te verlenen. Het uitgangspunt is immers dat met name de woonstaat van een belastingplichtige rekening moet houden met de persoonlijke omstandigheden van de belastingplichtige.</w:t>
      </w:r>
    </w:p>
    <w:p w:rsidRPr="00393A06" w:rsidR="00393A06" w:rsidP="00393A06" w:rsidRDefault="00393A06" w14:paraId="2D31868E" w14:textId="77777777">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 het vierde lid is vastgelegd dat voor de fiscale aftrekbaarheid van de daarin bedoelde vergoedingen geen onderscheid gemaakt mag worden naar de woonplaats van de crediteur. </w:t>
      </w:r>
    </w:p>
    <w:p w:rsidR="00DD0419" w:rsidP="00683C96" w:rsidRDefault="00393A06" w14:paraId="38F7C931" w14:textId="77777777">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Het vijfde lid verbiedt dat ondernemingen van een verdragsluitende staat, waarvan het kapitaal geheel of ten dele onmiddellijk of middellijk in bezit is van of wordt beheerst door één of meer inwoners van de andere verdragsluitende staat, in eerstbedoelde staat aan een andere of zwaardere belastingheffing of daarmee verband houdende verplichting worden onderworpen dan waaraan andere soortgelijke ondernemingen van eerstbedoelde staat zijn of kunnen worden onderworpen.</w:t>
      </w:r>
    </w:p>
    <w:p w:rsidR="00E93782" w:rsidP="00683C96" w:rsidRDefault="00DD0419" w14:paraId="4014F35B" w14:textId="034C90EC">
      <w:pPr>
        <w:spacing w:after="0" w:line="360" w:lineRule="auto"/>
        <w:ind w:firstLine="720"/>
        <w:rPr>
          <w:rFonts w:ascii="Arial" w:hAnsi="Arial" w:eastAsia="Times New Roman" w:cs="Times New Roman"/>
          <w:sz w:val="20"/>
          <w:szCs w:val="24"/>
          <w:lang w:val="nl-NL" w:eastAsia="nl-NL"/>
        </w:rPr>
      </w:pPr>
      <w:r w:rsidRPr="00DD0419">
        <w:rPr>
          <w:rFonts w:ascii="Arial" w:hAnsi="Arial" w:eastAsia="Times New Roman" w:cs="Times New Roman"/>
          <w:sz w:val="20"/>
          <w:szCs w:val="24"/>
          <w:lang w:val="nl-NL" w:eastAsia="nl-NL"/>
        </w:rPr>
        <w:t>Volgens het ze</w:t>
      </w:r>
      <w:r>
        <w:rPr>
          <w:rFonts w:ascii="Arial" w:hAnsi="Arial" w:eastAsia="Times New Roman" w:cs="Times New Roman"/>
          <w:sz w:val="20"/>
          <w:szCs w:val="24"/>
          <w:lang w:val="nl-NL" w:eastAsia="nl-NL"/>
        </w:rPr>
        <w:t>sde</w:t>
      </w:r>
      <w:r w:rsidRPr="00DD0419">
        <w:rPr>
          <w:rFonts w:ascii="Arial" w:hAnsi="Arial" w:eastAsia="Times New Roman" w:cs="Times New Roman"/>
          <w:sz w:val="20"/>
          <w:szCs w:val="24"/>
          <w:lang w:val="nl-NL" w:eastAsia="nl-NL"/>
        </w:rPr>
        <w:t xml:space="preserve"> lid is de toepassing van dit artikel niet beperkt tot de belastingen waar het Verdrag ingevolge artikel 2 </w:t>
      </w:r>
      <w:r>
        <w:rPr>
          <w:rFonts w:ascii="Arial" w:hAnsi="Arial" w:eastAsia="Times New Roman" w:cs="Times New Roman"/>
          <w:sz w:val="20"/>
          <w:szCs w:val="24"/>
          <w:lang w:val="nl-NL" w:eastAsia="nl-NL"/>
        </w:rPr>
        <w:t>betrekking op heeft</w:t>
      </w:r>
      <w:r w:rsidRPr="00DD0419">
        <w:rPr>
          <w:rFonts w:ascii="Arial" w:hAnsi="Arial" w:eastAsia="Times New Roman" w:cs="Times New Roman"/>
          <w:sz w:val="20"/>
          <w:szCs w:val="24"/>
          <w:lang w:val="nl-NL" w:eastAsia="nl-NL"/>
        </w:rPr>
        <w:t>.</w:t>
      </w:r>
      <w:r w:rsidRPr="00393A06" w:rsidR="00393A06">
        <w:rPr>
          <w:rFonts w:ascii="Arial" w:hAnsi="Arial" w:eastAsia="Times New Roman" w:cs="Times New Roman"/>
          <w:sz w:val="20"/>
          <w:szCs w:val="24"/>
          <w:lang w:val="nl-NL" w:eastAsia="nl-NL"/>
        </w:rPr>
        <w:br/>
      </w:r>
      <w:r w:rsidRPr="00393A06" w:rsidR="00393A06">
        <w:rPr>
          <w:rFonts w:ascii="Arial" w:hAnsi="Arial" w:eastAsia="Times New Roman" w:cs="Times New Roman"/>
          <w:sz w:val="20"/>
          <w:szCs w:val="24"/>
          <w:lang w:val="nl-NL" w:eastAsia="nl-NL"/>
        </w:rPr>
        <w:tab/>
      </w:r>
      <w:r w:rsidRPr="00865C4C" w:rsidR="00E93782">
        <w:rPr>
          <w:rFonts w:ascii="Arial" w:hAnsi="Arial" w:eastAsia="Times New Roman" w:cs="Times New Roman"/>
          <w:sz w:val="20"/>
          <w:szCs w:val="24"/>
          <w:lang w:val="nl-NL" w:eastAsia="nl-NL"/>
        </w:rPr>
        <w:t xml:space="preserve">In onderdeel 2.11.5 van de NFV 2011 is aangegeven dat Nederland streeft naar opname in het artikel over non-discriminatie van een regeling inzake voortgezette pensioenpremieaftrek. Een dergelijke regeling garandeert dat (tijdelijk) inkomende werknemers in de werkstaat eenzelfde recht op premieaftrek hebben als lokale werknemers. Zowel Liechtenstein als </w:t>
      </w:r>
      <w:proofErr w:type="spellStart"/>
      <w:r w:rsidRPr="00865C4C" w:rsidR="00E93782">
        <w:rPr>
          <w:rFonts w:ascii="Arial" w:hAnsi="Arial" w:eastAsia="Times New Roman" w:cs="Times New Roman"/>
          <w:sz w:val="20"/>
          <w:szCs w:val="24"/>
          <w:lang w:val="nl-NL" w:eastAsia="nl-NL"/>
        </w:rPr>
        <w:t>EER-l</w:t>
      </w:r>
      <w:r w:rsidR="00506E4D">
        <w:rPr>
          <w:rFonts w:ascii="Arial" w:hAnsi="Arial" w:eastAsia="Times New Roman" w:cs="Times New Roman"/>
          <w:sz w:val="20"/>
          <w:szCs w:val="24"/>
          <w:lang w:val="nl-NL" w:eastAsia="nl-NL"/>
        </w:rPr>
        <w:t>and</w:t>
      </w:r>
      <w:proofErr w:type="spellEnd"/>
      <w:r w:rsidRPr="00865C4C" w:rsidR="00E93782">
        <w:rPr>
          <w:rFonts w:ascii="Arial" w:hAnsi="Arial" w:eastAsia="Times New Roman" w:cs="Times New Roman"/>
          <w:sz w:val="20"/>
          <w:szCs w:val="24"/>
          <w:lang w:val="nl-NL" w:eastAsia="nl-NL"/>
        </w:rPr>
        <w:t xml:space="preserve"> als Nederland als EU-lid</w:t>
      </w:r>
      <w:r w:rsidR="00B46790">
        <w:rPr>
          <w:rFonts w:ascii="Arial" w:hAnsi="Arial" w:eastAsia="Times New Roman" w:cs="Times New Roman"/>
          <w:sz w:val="20"/>
          <w:szCs w:val="24"/>
          <w:lang w:val="nl-NL" w:eastAsia="nl-NL"/>
        </w:rPr>
        <w:t>staat</w:t>
      </w:r>
      <w:r w:rsidRPr="00865C4C" w:rsidR="00E93782">
        <w:rPr>
          <w:rFonts w:ascii="Arial" w:hAnsi="Arial" w:eastAsia="Times New Roman" w:cs="Times New Roman"/>
          <w:sz w:val="20"/>
          <w:szCs w:val="24"/>
          <w:lang w:val="nl-NL" w:eastAsia="nl-NL"/>
        </w:rPr>
        <w:t xml:space="preserve"> zijn op basis van EU-recht </w:t>
      </w:r>
      <w:r w:rsidR="00506E4D">
        <w:rPr>
          <w:rFonts w:ascii="Arial" w:hAnsi="Arial" w:eastAsia="Times New Roman" w:cs="Times New Roman"/>
          <w:sz w:val="20"/>
          <w:szCs w:val="24"/>
          <w:lang w:val="nl-NL" w:eastAsia="nl-NL"/>
        </w:rPr>
        <w:t>gehouden</w:t>
      </w:r>
      <w:r w:rsidRPr="00865C4C" w:rsidR="00B46790">
        <w:rPr>
          <w:rFonts w:ascii="Arial" w:hAnsi="Arial" w:eastAsia="Times New Roman" w:cs="Times New Roman"/>
          <w:sz w:val="20"/>
          <w:szCs w:val="24"/>
          <w:lang w:val="nl-NL" w:eastAsia="nl-NL"/>
        </w:rPr>
        <w:t xml:space="preserve"> </w:t>
      </w:r>
      <w:r w:rsidRPr="00865C4C" w:rsidR="00E93782">
        <w:rPr>
          <w:rFonts w:ascii="Arial" w:hAnsi="Arial" w:eastAsia="Times New Roman" w:cs="Times New Roman"/>
          <w:sz w:val="20"/>
          <w:szCs w:val="24"/>
          <w:lang w:val="nl-NL" w:eastAsia="nl-NL"/>
        </w:rPr>
        <w:t>hierin te voorzien. Het opnemen van een verdragsbepaling was daarom niet nodig</w:t>
      </w:r>
      <w:r w:rsidRPr="00865C4C" w:rsidR="00E93782">
        <w:rPr>
          <w:rFonts w:ascii="Arial" w:hAnsi="Arial" w:eastAsia="Times New Roman" w:cs="Arial"/>
          <w:sz w:val="20"/>
          <w:szCs w:val="24"/>
          <w:lang w:val="nl-NL" w:eastAsia="nl-NL"/>
        </w:rPr>
        <w:t>.</w:t>
      </w:r>
    </w:p>
    <w:p w:rsidRPr="00E93782" w:rsidR="00393A06" w:rsidP="00777141" w:rsidRDefault="00393A06" w14:paraId="31F93AEA" w14:textId="189703DE">
      <w:pPr>
        <w:pStyle w:val="Heading2"/>
        <w:ind w:hanging="284"/>
        <w:rPr>
          <w:b w:val="0"/>
          <w:i/>
          <w:lang w:val="nl-NL"/>
        </w:rPr>
      </w:pPr>
      <w:r w:rsidRPr="00E93782">
        <w:rPr>
          <w:b w:val="0"/>
          <w:i/>
          <w:lang w:val="nl-NL"/>
        </w:rPr>
        <w:t>Regeling voor onderling overleg (artikel 24</w:t>
      </w:r>
      <w:r w:rsidRPr="00D63B02" w:rsidR="00D63B02">
        <w:rPr>
          <w:b w:val="0"/>
          <w:i/>
          <w:lang w:val="nl-NL"/>
        </w:rPr>
        <w:t xml:space="preserve"> van het Verdrag</w:t>
      </w:r>
      <w:r w:rsidR="00311D43">
        <w:rPr>
          <w:b w:val="0"/>
          <w:i/>
          <w:lang w:val="nl-NL"/>
        </w:rPr>
        <w:t xml:space="preserve"> en artikel X van het Protocol</w:t>
      </w:r>
      <w:r w:rsidRPr="00E93782">
        <w:rPr>
          <w:b w:val="0"/>
          <w:i/>
          <w:lang w:val="nl-NL"/>
        </w:rPr>
        <w:t>)</w:t>
      </w:r>
    </w:p>
    <w:p w:rsidRPr="00393A06" w:rsidR="00393A06" w:rsidP="00393A06" w:rsidRDefault="00393A06" w14:paraId="4155DE6D" w14:textId="1B424605">
      <w:pPr>
        <w:spacing w:after="0" w:line="360" w:lineRule="auto"/>
        <w:ind w:firstLine="720"/>
        <w:rPr>
          <w:rFonts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Artikel 24 bevat een regeling voor onderling overleg tussen de </w:t>
      </w:r>
      <w:r w:rsidR="006E146C">
        <w:rPr>
          <w:rFonts w:ascii="Arial" w:hAnsi="Arial" w:eastAsia="Times New Roman" w:cs="Times New Roman"/>
          <w:sz w:val="20"/>
          <w:szCs w:val="24"/>
          <w:lang w:val="nl-NL" w:eastAsia="nl-NL"/>
        </w:rPr>
        <w:t xml:space="preserve">bevoegde autoriteiten van de </w:t>
      </w:r>
      <w:r w:rsidRPr="00393A06">
        <w:rPr>
          <w:rFonts w:ascii="Arial" w:hAnsi="Arial" w:eastAsia="Times New Roman" w:cs="Times New Roman"/>
          <w:sz w:val="20"/>
          <w:szCs w:val="24"/>
          <w:lang w:val="nl-NL" w:eastAsia="nl-NL"/>
        </w:rPr>
        <w:t>verdragsluitende staten (onderlinge overlegprocedure) en sluit aan bij artikel 25 van het OESO-modelverdrag</w:t>
      </w:r>
      <w:r w:rsidR="00623A5F">
        <w:rPr>
          <w:rFonts w:ascii="Arial" w:hAnsi="Arial" w:eastAsia="Times New Roman" w:cs="Times New Roman"/>
          <w:sz w:val="20"/>
          <w:szCs w:val="24"/>
          <w:lang w:val="nl-NL" w:eastAsia="nl-NL"/>
        </w:rPr>
        <w:t>.</w:t>
      </w:r>
    </w:p>
    <w:p w:rsidRPr="00393A06" w:rsidR="00393A06" w:rsidP="00393A06" w:rsidRDefault="00393A06" w14:paraId="1642D703" w14:textId="77777777">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Op basis van het eerste lid kan een inwoner van een verdragsluitende staat bij de aangewezen bevoegde autoriteit van elk van de verdragsluitende staten om een onderlinge overlegprocedure verzoeken wanneer hij van mening is dat de maatregelen van één of van beide staten voor hem leiden of zullen leiden tot belastingheffing die niet in overeenstemming is met het Verdrag. Dit kan zich, bijvoorbeeld, voordoen als bepalingen in het Verdrag in beide verdragsluitende staten verschillend worden uitgelegd en toegepast, of wanneer beide staten een verschillende winsttoerekening hanteren, waardoor ondanks de bepalingen van het Verdrag toch dubbele belasting ontstaat. Met de gecreëerde mogelijkheid om een verzoek te kunnen richten aan de bevoegde autoriteiten van beide staten, in plaats </w:t>
      </w:r>
      <w:r w:rsidRPr="00393A06">
        <w:rPr>
          <w:rFonts w:ascii="Arial" w:hAnsi="Arial" w:eastAsia="Times New Roman" w:cs="Times New Roman"/>
          <w:sz w:val="20"/>
          <w:szCs w:val="24"/>
          <w:lang w:val="nl-NL" w:eastAsia="nl-NL"/>
        </w:rPr>
        <w:lastRenderedPageBreak/>
        <w:t>van alleen bij de bevoegde autoriteit van de staat waarvan de belastingplichtige inwoner is, wordt aangesloten bij de zodanige aanbeveling in het rapport bij actiepunt 14 van het BEPS-project.</w:t>
      </w:r>
    </w:p>
    <w:p w:rsidRPr="00393A06" w:rsidR="00393A06" w:rsidP="00393A06" w:rsidRDefault="00393A06" w14:paraId="1D3F58A5" w14:textId="60CD01CA">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Op grond van de tweede </w:t>
      </w:r>
      <w:r w:rsidR="008137CB">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van het eerst</w:t>
      </w:r>
      <w:r w:rsidR="000F5C93">
        <w:rPr>
          <w:rFonts w:ascii="Arial" w:hAnsi="Arial" w:eastAsia="Times New Roman" w:cs="Times New Roman"/>
          <w:sz w:val="20"/>
          <w:szCs w:val="24"/>
          <w:lang w:val="nl-NL" w:eastAsia="nl-NL"/>
        </w:rPr>
        <w:t>e</w:t>
      </w:r>
      <w:r w:rsidRPr="00393A06">
        <w:rPr>
          <w:rFonts w:ascii="Arial" w:hAnsi="Arial" w:eastAsia="Times New Roman" w:cs="Times New Roman"/>
          <w:sz w:val="20"/>
          <w:szCs w:val="24"/>
          <w:lang w:val="nl-NL" w:eastAsia="nl-NL"/>
        </w:rPr>
        <w:t xml:space="preserve"> lid moet het verzoek worden ingediend binnen drie jaar nadat de maatregel die mogelijk belastingheffing in strijd met het </w:t>
      </w:r>
      <w:r w:rsidR="00D167FB">
        <w:rPr>
          <w:rFonts w:ascii="Arial" w:hAnsi="Arial" w:eastAsia="Times New Roman" w:cs="Times New Roman"/>
          <w:sz w:val="20"/>
          <w:szCs w:val="24"/>
          <w:lang w:val="nl-NL" w:eastAsia="nl-NL"/>
        </w:rPr>
        <w:t>Verdrag</w:t>
      </w:r>
      <w:r w:rsidRPr="00393A06" w:rsidR="00D167FB">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tot gevolg heeft voor het eerst bekend gemaakt is aan de belastingplichtige. Nederland heeft de procedure voor onderling overleg nader uitgewerkt in het Besluit van de Staatssecretaris van Financiën van 29 september 2008, nr. IFZ 2008/248M, (</w:t>
      </w:r>
      <w:proofErr w:type="spellStart"/>
      <w:r w:rsidRPr="00393A06">
        <w:rPr>
          <w:rFonts w:ascii="Arial" w:hAnsi="Arial" w:eastAsia="Times New Roman" w:cs="Times New Roman"/>
          <w:i/>
          <w:sz w:val="20"/>
          <w:szCs w:val="24"/>
          <w:lang w:val="nl-NL" w:eastAsia="nl-NL"/>
        </w:rPr>
        <w:t>Stcrt</w:t>
      </w:r>
      <w:proofErr w:type="spellEnd"/>
      <w:r w:rsidRPr="00393A06">
        <w:rPr>
          <w:rFonts w:ascii="Arial" w:hAnsi="Arial" w:eastAsia="Times New Roman" w:cs="Times New Roman"/>
          <w:i/>
          <w:sz w:val="20"/>
          <w:szCs w:val="24"/>
          <w:lang w:val="nl-NL" w:eastAsia="nl-NL"/>
        </w:rPr>
        <w:t>.</w:t>
      </w:r>
      <w:r w:rsidRPr="00393A06">
        <w:rPr>
          <w:rFonts w:ascii="Arial" w:hAnsi="Arial" w:eastAsia="Times New Roman" w:cs="Times New Roman"/>
          <w:sz w:val="20"/>
          <w:szCs w:val="24"/>
          <w:lang w:val="nl-NL" w:eastAsia="nl-NL"/>
        </w:rPr>
        <w:t xml:space="preserve"> 2008, 188).</w:t>
      </w:r>
    </w:p>
    <w:p w:rsidRPr="00393A06" w:rsidR="00393A06" w:rsidP="00393A06" w:rsidRDefault="00393A06" w14:paraId="22388184" w14:textId="33CA7D59">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Het tweede lid bevat een inspanningsverplichting voor de bevoegde autoriteiten om – indien een verzoek gegrond voorkomt – in onderling overleg eventuele belastingheffing die in strijd is met het </w:t>
      </w:r>
      <w:r w:rsidR="00D167FB">
        <w:rPr>
          <w:rFonts w:ascii="Arial" w:hAnsi="Arial" w:eastAsia="Times New Roman" w:cs="Times New Roman"/>
          <w:sz w:val="20"/>
          <w:szCs w:val="24"/>
          <w:lang w:val="nl-NL" w:eastAsia="nl-NL"/>
        </w:rPr>
        <w:t>Verdrag</w:t>
      </w:r>
      <w:r w:rsidRPr="00393A06" w:rsidR="00D167FB">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weg te nemen. In de tweede </w:t>
      </w:r>
      <w:r w:rsidR="008137CB">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is de verplichting opgenomen voor de staten om niettegenstaande de termijnen in hun nationale wetgeving de uitkomst van een procedure voor onderling overleg te implementeren. </w:t>
      </w:r>
    </w:p>
    <w:p w:rsidRPr="00393A06" w:rsidR="00393A06" w:rsidP="00393A06" w:rsidRDefault="00393A06" w14:paraId="6CCD7B0B" w14:textId="7A378670">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Op grond van het derde lid trachten bevoegde autoriteiten in onderling overleg moeilijkheden en twijfelpunten die ontstaan bij de uitleg en toepassing van </w:t>
      </w:r>
      <w:r w:rsidR="00D167FB">
        <w:rPr>
          <w:rFonts w:ascii="Arial" w:hAnsi="Arial" w:eastAsia="Times New Roman" w:cs="Times New Roman"/>
          <w:sz w:val="20"/>
          <w:szCs w:val="24"/>
          <w:lang w:val="nl-NL" w:eastAsia="nl-NL"/>
        </w:rPr>
        <w:t xml:space="preserve">het Verdrag </w:t>
      </w:r>
      <w:r w:rsidRPr="00393A06">
        <w:rPr>
          <w:rFonts w:ascii="Arial" w:hAnsi="Arial" w:eastAsia="Times New Roman" w:cs="Times New Roman"/>
          <w:sz w:val="20"/>
          <w:szCs w:val="24"/>
          <w:lang w:val="nl-NL" w:eastAsia="nl-NL"/>
        </w:rPr>
        <w:t xml:space="preserve">weg te nemen. Uit de tweede </w:t>
      </w:r>
      <w:r w:rsidR="008137CB">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volgt dat bevoegde autoriteiten ook in overleg kunnen treden bij situaties van dubbele belastingheffing die niet in het </w:t>
      </w:r>
      <w:r w:rsidR="00D167FB">
        <w:rPr>
          <w:rFonts w:ascii="Arial" w:hAnsi="Arial" w:eastAsia="Times New Roman" w:cs="Times New Roman"/>
          <w:sz w:val="20"/>
          <w:szCs w:val="24"/>
          <w:lang w:val="nl-NL" w:eastAsia="nl-NL"/>
        </w:rPr>
        <w:t>Verdrag</w:t>
      </w:r>
      <w:r w:rsidRPr="00393A06" w:rsidR="00D167FB">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zijn geregeld. Op grond van het derde lid kunnen de bevoegde autoriteiten van de verdragsluitende staten problemen bij de toepassing van het Verdrag in onderling overleg adresseren zonder dat daaraan een verzoek ten grondslag ligt.</w:t>
      </w:r>
    </w:p>
    <w:p w:rsidRPr="00393A06" w:rsidR="00393A06" w:rsidP="0000442C" w:rsidRDefault="00393A06" w14:paraId="61A8A36D" w14:textId="5A034FA5">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In het vierde lid is opgenomen dat rechtstreeks overleg kan plaatsvinden tussen de bevoegde autoriteiten van de verdragsluitende staten om overeenstemming te bereiken in het kader van een onderlinge overlegprocedure. Dit overleg is vormvrij. In tegenstelling tot het in het OESO-modelverdrag opgenomen art</w:t>
      </w:r>
      <w:r w:rsidR="00A30A52">
        <w:rPr>
          <w:rFonts w:ascii="Arial" w:hAnsi="Arial" w:eastAsia="Times New Roman" w:cs="Times New Roman"/>
          <w:sz w:val="20"/>
          <w:szCs w:val="24"/>
          <w:lang w:val="nl-NL" w:eastAsia="nl-NL"/>
        </w:rPr>
        <w:t xml:space="preserve">ikel, is op verzoek van Liechtenstein </w:t>
      </w:r>
      <w:r w:rsidRPr="00393A06">
        <w:rPr>
          <w:rFonts w:ascii="Arial" w:hAnsi="Arial" w:eastAsia="Times New Roman" w:cs="Times New Roman"/>
          <w:sz w:val="20"/>
          <w:szCs w:val="24"/>
          <w:lang w:val="nl-NL" w:eastAsia="nl-NL"/>
        </w:rPr>
        <w:t>niet expliciet vermeld dat overleg tussen de bevoegde autoriteiten van de verdragsluitende staten kan geschieden in een</w:t>
      </w:r>
      <w:r w:rsidR="00A30A52">
        <w:rPr>
          <w:rFonts w:ascii="Arial" w:hAnsi="Arial" w:eastAsia="Times New Roman" w:cs="Times New Roman"/>
          <w:sz w:val="20"/>
          <w:szCs w:val="24"/>
          <w:lang w:val="nl-NL" w:eastAsia="nl-NL"/>
        </w:rPr>
        <w:t xml:space="preserve"> gezamenlijke commissie. Liechtenstein</w:t>
      </w:r>
      <w:r w:rsidRPr="00393A06">
        <w:rPr>
          <w:rFonts w:ascii="Arial" w:hAnsi="Arial" w:eastAsia="Times New Roman" w:cs="Times New Roman"/>
          <w:sz w:val="20"/>
          <w:szCs w:val="24"/>
          <w:lang w:val="nl-NL" w:eastAsia="nl-NL"/>
        </w:rPr>
        <w:t xml:space="preserve"> is namelijk van mening is dat deze toevoeging overbodig is en zonder deze bepaling ook een overleg kan worden georganiseerd in de vorm van een gezamenlijke commissie. </w:t>
      </w:r>
    </w:p>
    <w:p w:rsidRPr="00311D43" w:rsidR="00704C9E" w:rsidP="00311D43" w:rsidRDefault="0000442C" w14:paraId="6464EF66" w14:textId="3FAB46C5">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Op grond van het vijfde</w:t>
      </w:r>
      <w:r w:rsidR="00957BE2">
        <w:rPr>
          <w:rFonts w:ascii="Arial" w:hAnsi="Arial" w:eastAsia="Times New Roman" w:cs="Times New Roman"/>
          <w:sz w:val="20"/>
          <w:szCs w:val="24"/>
          <w:lang w:val="nl-NL" w:eastAsia="nl-NL"/>
        </w:rPr>
        <w:t xml:space="preserve"> lid </w:t>
      </w:r>
      <w:r w:rsidRPr="00393A06" w:rsidR="00393A06">
        <w:rPr>
          <w:rFonts w:ascii="Arial" w:hAnsi="Arial" w:eastAsia="Times New Roman" w:cs="Times New Roman"/>
          <w:sz w:val="20"/>
          <w:szCs w:val="24"/>
          <w:lang w:val="nl-NL" w:eastAsia="nl-NL"/>
        </w:rPr>
        <w:t xml:space="preserve">worden zaken waar de bevoegde autoriteiten in een procedure voor onderling overleg geen overeenstemming over kunnen bereiken op schriftelijk verzoek van een persoon voorgelegd voor arbitrage. In beginsel komt een zaak daarvoor in aanmerking als de bevoegde autoriteiten </w:t>
      </w:r>
      <w:r w:rsidRPr="00393A06" w:rsidR="00F12ED3">
        <w:rPr>
          <w:rFonts w:ascii="Arial" w:hAnsi="Arial" w:eastAsia="Times New Roman" w:cs="Times New Roman"/>
          <w:sz w:val="20"/>
          <w:szCs w:val="24"/>
          <w:lang w:val="nl-NL" w:eastAsia="nl-NL"/>
        </w:rPr>
        <w:t xml:space="preserve">– kort gezegd – </w:t>
      </w:r>
      <w:r w:rsidRPr="00393A06" w:rsidR="00393A06">
        <w:rPr>
          <w:rFonts w:ascii="Arial" w:hAnsi="Arial" w:eastAsia="Times New Roman" w:cs="Times New Roman"/>
          <w:sz w:val="20"/>
          <w:szCs w:val="24"/>
          <w:lang w:val="nl-NL" w:eastAsia="nl-NL"/>
        </w:rPr>
        <w:t>niet binnen twee jaar na de start van procedure overeenstemming bereiken. Het verplichte karakter houdt in dat de verdragsluitende staten zich niet aan – door een belastingplichtige verzochte – arbitrage kunnen onttrekken. Het bindende karakter houdt in dat de verdragsluitende staten gebonden zijn aan de uitkomst van een arbitrageprocedure. Hierop bestaan twee uitzonderingen, namelijk indien de belastingplichtige niet akkoord gaat met de uitkomst van de arbitrageprocedure of</w:t>
      </w:r>
      <w:r w:rsidR="00F35F2A">
        <w:rPr>
          <w:rFonts w:ascii="Arial" w:hAnsi="Arial" w:eastAsia="Times New Roman" w:cs="Times New Roman"/>
          <w:sz w:val="20"/>
          <w:szCs w:val="24"/>
          <w:lang w:val="nl-NL" w:eastAsia="nl-NL"/>
        </w:rPr>
        <w:t>, in afwijking van het OESO-modelverdrag,</w:t>
      </w:r>
      <w:r w:rsidRPr="00393A06" w:rsidR="00393A06">
        <w:rPr>
          <w:rFonts w:ascii="Arial" w:hAnsi="Arial" w:eastAsia="Times New Roman" w:cs="Times New Roman"/>
          <w:sz w:val="20"/>
          <w:szCs w:val="24"/>
          <w:lang w:val="nl-NL" w:eastAsia="nl-NL"/>
        </w:rPr>
        <w:t xml:space="preserve"> indien de bevoegde autoriteiten het, binnen </w:t>
      </w:r>
      <w:r>
        <w:rPr>
          <w:rFonts w:ascii="Arial" w:hAnsi="Arial" w:eastAsia="Times New Roman" w:cs="Times New Roman"/>
          <w:sz w:val="20"/>
          <w:szCs w:val="24"/>
          <w:lang w:val="nl-NL" w:eastAsia="nl-NL"/>
        </w:rPr>
        <w:t>zes maanden</w:t>
      </w:r>
      <w:r w:rsidRPr="00393A06" w:rsidR="00393A06">
        <w:rPr>
          <w:rFonts w:ascii="Arial" w:hAnsi="Arial" w:eastAsia="Times New Roman" w:cs="Times New Roman"/>
          <w:sz w:val="20"/>
          <w:szCs w:val="24"/>
          <w:lang w:val="nl-NL" w:eastAsia="nl-NL"/>
        </w:rPr>
        <w:t xml:space="preserve"> nadat de arbitragebeslissing bekend </w:t>
      </w:r>
      <w:r w:rsidR="000B21E5">
        <w:rPr>
          <w:rFonts w:ascii="Arial" w:hAnsi="Arial" w:eastAsia="Times New Roman" w:cs="Times New Roman"/>
          <w:sz w:val="20"/>
          <w:szCs w:val="24"/>
          <w:lang w:val="nl-NL" w:eastAsia="nl-NL"/>
        </w:rPr>
        <w:t>gemaakt</w:t>
      </w:r>
      <w:r w:rsidRPr="00393A06" w:rsidR="000B21E5">
        <w:rPr>
          <w:rFonts w:ascii="Arial" w:hAnsi="Arial" w:eastAsia="Times New Roman" w:cs="Times New Roman"/>
          <w:sz w:val="20"/>
          <w:szCs w:val="24"/>
          <w:lang w:val="nl-NL" w:eastAsia="nl-NL"/>
        </w:rPr>
        <w:t xml:space="preserve"> </w:t>
      </w:r>
      <w:r w:rsidRPr="00393A06" w:rsidR="00393A06">
        <w:rPr>
          <w:rFonts w:ascii="Arial" w:hAnsi="Arial" w:eastAsia="Times New Roman" w:cs="Times New Roman"/>
          <w:sz w:val="20"/>
          <w:szCs w:val="24"/>
          <w:lang w:val="nl-NL" w:eastAsia="nl-NL"/>
        </w:rPr>
        <w:t>is, eens worden over een alternatieve oplossing.</w:t>
      </w:r>
      <w:r w:rsidR="00FE3A57">
        <w:rPr>
          <w:rFonts w:ascii="Arial" w:hAnsi="Arial" w:eastAsia="Times New Roman" w:cs="Times New Roman"/>
          <w:sz w:val="20"/>
          <w:szCs w:val="24"/>
          <w:lang w:val="nl-NL" w:eastAsia="nl-NL"/>
        </w:rPr>
        <w:t xml:space="preserve"> </w:t>
      </w:r>
      <w:r w:rsidRPr="004F27FF" w:rsidR="00F35F2A">
        <w:rPr>
          <w:rFonts w:cs="Arial"/>
          <w:szCs w:val="18"/>
          <w:lang w:val="nl-NL"/>
        </w:rPr>
        <w:t xml:space="preserve">In afwijking van het OESO-modelverdrag is </w:t>
      </w:r>
      <w:r w:rsidRPr="004F27FF" w:rsidR="00F35F2A">
        <w:rPr>
          <w:szCs w:val="18"/>
          <w:lang w:val="nl-NL"/>
        </w:rPr>
        <w:t>arbitrage ook mogelijk indien</w:t>
      </w:r>
      <w:r w:rsidR="000B21E5">
        <w:rPr>
          <w:szCs w:val="18"/>
          <w:lang w:val="nl-NL"/>
        </w:rPr>
        <w:t>, kort gezegd,</w:t>
      </w:r>
      <w:r w:rsidRPr="004F27FF" w:rsidR="00F35F2A">
        <w:rPr>
          <w:szCs w:val="18"/>
          <w:lang w:val="nl-NL"/>
        </w:rPr>
        <w:t xml:space="preserve"> al een uitspraak is gedaan door </w:t>
      </w:r>
      <w:r w:rsidR="008137CB">
        <w:rPr>
          <w:szCs w:val="18"/>
          <w:lang w:val="nl-NL"/>
        </w:rPr>
        <w:t>een</w:t>
      </w:r>
      <w:r w:rsidRPr="004F27FF" w:rsidR="00F35F2A">
        <w:rPr>
          <w:szCs w:val="18"/>
          <w:lang w:val="nl-NL"/>
        </w:rPr>
        <w:t xml:space="preserve"> rechter</w:t>
      </w:r>
      <w:r w:rsidR="000B21E5">
        <w:rPr>
          <w:szCs w:val="18"/>
          <w:lang w:val="nl-NL"/>
        </w:rPr>
        <w:t xml:space="preserve"> van een van de verdragsluitende staten</w:t>
      </w:r>
      <w:r w:rsidRPr="004F27FF" w:rsidR="00F35F2A">
        <w:rPr>
          <w:szCs w:val="18"/>
          <w:lang w:val="nl-NL"/>
        </w:rPr>
        <w:t>.</w:t>
      </w:r>
      <w:r w:rsidR="00F35F2A">
        <w:rPr>
          <w:szCs w:val="18"/>
          <w:lang w:val="nl-NL"/>
        </w:rPr>
        <w:t xml:space="preserve"> </w:t>
      </w:r>
      <w:r w:rsidR="00FE3A57">
        <w:rPr>
          <w:rFonts w:ascii="Arial" w:hAnsi="Arial" w:eastAsia="Times New Roman" w:cs="Times New Roman"/>
          <w:sz w:val="20"/>
          <w:szCs w:val="24"/>
          <w:lang w:val="nl-NL" w:eastAsia="nl-NL"/>
        </w:rPr>
        <w:t xml:space="preserve">Het vijfde lid bepaalt tot slot dat </w:t>
      </w:r>
      <w:r w:rsidRPr="00FE3A57" w:rsidR="00FE3A57">
        <w:rPr>
          <w:rFonts w:ascii="Arial" w:hAnsi="Arial" w:eastAsia="Times New Roman" w:cs="Times New Roman"/>
          <w:sz w:val="20"/>
          <w:szCs w:val="24"/>
          <w:lang w:val="nl-NL" w:eastAsia="nl-NL"/>
        </w:rPr>
        <w:t xml:space="preserve">de bevoegde </w:t>
      </w:r>
      <w:r w:rsidRPr="00FE3A57" w:rsidR="00FE3A57">
        <w:rPr>
          <w:rFonts w:ascii="Arial" w:hAnsi="Arial" w:eastAsia="Times New Roman" w:cs="Times New Roman"/>
          <w:sz w:val="20"/>
          <w:szCs w:val="24"/>
          <w:lang w:val="nl-NL" w:eastAsia="nl-NL"/>
        </w:rPr>
        <w:lastRenderedPageBreak/>
        <w:t>autoriteiten in onderling</w:t>
      </w:r>
      <w:r w:rsidR="000B21E5">
        <w:rPr>
          <w:rFonts w:ascii="Arial" w:hAnsi="Arial" w:eastAsia="Times New Roman" w:cs="Times New Roman"/>
          <w:sz w:val="20"/>
          <w:szCs w:val="24"/>
          <w:lang w:val="nl-NL" w:eastAsia="nl-NL"/>
        </w:rPr>
        <w:t>e</w:t>
      </w:r>
      <w:r w:rsidRPr="00FE3A57" w:rsidR="00FE3A57">
        <w:rPr>
          <w:rFonts w:ascii="Arial" w:hAnsi="Arial" w:eastAsia="Times New Roman" w:cs="Times New Roman"/>
          <w:sz w:val="20"/>
          <w:szCs w:val="24"/>
          <w:lang w:val="nl-NL" w:eastAsia="nl-NL"/>
        </w:rPr>
        <w:t xml:space="preserve"> over</w:t>
      </w:r>
      <w:r w:rsidR="000B21E5">
        <w:rPr>
          <w:rFonts w:ascii="Arial" w:hAnsi="Arial" w:eastAsia="Times New Roman" w:cs="Times New Roman"/>
          <w:sz w:val="20"/>
          <w:szCs w:val="24"/>
          <w:lang w:val="nl-NL" w:eastAsia="nl-NL"/>
        </w:rPr>
        <w:t>eenst</w:t>
      </w:r>
      <w:r w:rsidRPr="00FE3A57" w:rsidR="00FE3A57">
        <w:rPr>
          <w:rFonts w:ascii="Arial" w:hAnsi="Arial" w:eastAsia="Times New Roman" w:cs="Times New Roman"/>
          <w:sz w:val="20"/>
          <w:szCs w:val="24"/>
          <w:lang w:val="nl-NL" w:eastAsia="nl-NL"/>
        </w:rPr>
        <w:t>e</w:t>
      </w:r>
      <w:r w:rsidR="000B21E5">
        <w:rPr>
          <w:rFonts w:ascii="Arial" w:hAnsi="Arial" w:eastAsia="Times New Roman" w:cs="Times New Roman"/>
          <w:sz w:val="20"/>
          <w:szCs w:val="24"/>
          <w:lang w:val="nl-NL" w:eastAsia="nl-NL"/>
        </w:rPr>
        <w:t>mmin</w:t>
      </w:r>
      <w:r w:rsidRPr="00FE3A57" w:rsidR="00FE3A57">
        <w:rPr>
          <w:rFonts w:ascii="Arial" w:hAnsi="Arial" w:eastAsia="Times New Roman" w:cs="Times New Roman"/>
          <w:sz w:val="20"/>
          <w:szCs w:val="24"/>
          <w:lang w:val="nl-NL" w:eastAsia="nl-NL"/>
        </w:rPr>
        <w:t xml:space="preserve">g </w:t>
      </w:r>
      <w:r w:rsidR="00FE3A57">
        <w:rPr>
          <w:rFonts w:ascii="Arial" w:hAnsi="Arial" w:eastAsia="Times New Roman" w:cs="Times New Roman"/>
          <w:sz w:val="20"/>
          <w:szCs w:val="24"/>
          <w:lang w:val="nl-NL" w:eastAsia="nl-NL"/>
        </w:rPr>
        <w:t>de toepassing van dit lid regelen</w:t>
      </w:r>
      <w:r w:rsidRPr="00FE3A57" w:rsidR="00FE3A57">
        <w:rPr>
          <w:rFonts w:ascii="Arial" w:hAnsi="Arial" w:eastAsia="Times New Roman" w:cs="Times New Roman"/>
          <w:sz w:val="20"/>
          <w:szCs w:val="24"/>
          <w:lang w:val="nl-NL" w:eastAsia="nl-NL"/>
        </w:rPr>
        <w:t xml:space="preserve">. </w:t>
      </w:r>
      <w:r w:rsidRPr="000C35E6" w:rsidR="00DE5A71">
        <w:rPr>
          <w:rFonts w:ascii="Arial" w:hAnsi="Arial" w:eastAsia="Times New Roman" w:cs="Arial"/>
          <w:sz w:val="20"/>
          <w:szCs w:val="20"/>
          <w:lang w:val="nl-NL" w:eastAsia="nl-NL"/>
        </w:rPr>
        <w:t xml:space="preserve">Indien die </w:t>
      </w:r>
      <w:r w:rsidR="00DE5A71">
        <w:rPr>
          <w:rFonts w:ascii="Arial" w:hAnsi="Arial" w:eastAsia="Times New Roman" w:cs="Arial"/>
          <w:sz w:val="20"/>
          <w:szCs w:val="20"/>
          <w:lang w:val="nl-NL" w:eastAsia="nl-NL"/>
        </w:rPr>
        <w:t>toepassing wordt</w:t>
      </w:r>
      <w:r w:rsidRPr="000C35E6" w:rsidR="00DE5A71">
        <w:rPr>
          <w:rFonts w:ascii="Arial" w:hAnsi="Arial" w:eastAsia="Times New Roman" w:cs="Arial"/>
          <w:sz w:val="20"/>
          <w:szCs w:val="20"/>
          <w:lang w:val="nl-NL" w:eastAsia="nl-NL"/>
        </w:rPr>
        <w:t xml:space="preserve"> vastgelegd in een verdrag kan dit beschouwd worden als een uitvoeringsverdrag dat op grond van artikel 7, onderdeel b, van de Rijkswet goedkeuring en </w:t>
      </w:r>
      <w:r w:rsidRPr="00311D43" w:rsidR="00DE5A71">
        <w:rPr>
          <w:rFonts w:ascii="Arial" w:hAnsi="Arial" w:eastAsia="Times New Roman" w:cs="Times New Roman"/>
          <w:sz w:val="20"/>
          <w:szCs w:val="24"/>
          <w:lang w:val="nl-NL" w:eastAsia="nl-NL"/>
        </w:rPr>
        <w:t>bekendmaking verdragen geen parlementaire goedkeuring behoeft, behoudens het bepaalde in artikel 8 van die wet.</w:t>
      </w:r>
    </w:p>
    <w:p w:rsidR="00311D43" w:rsidP="00034198" w:rsidRDefault="00311D43" w14:paraId="59794C79" w14:textId="6C98ECA8">
      <w:pPr>
        <w:spacing w:after="0" w:line="360" w:lineRule="auto"/>
        <w:ind w:firstLine="720"/>
        <w:rPr>
          <w:rFonts w:ascii="Arial" w:hAnsi="Arial" w:eastAsia="Times New Roman" w:cs="Times New Roman"/>
          <w:sz w:val="20"/>
          <w:szCs w:val="24"/>
          <w:lang w:val="nl-NL" w:eastAsia="nl-NL"/>
        </w:rPr>
      </w:pPr>
      <w:r w:rsidRPr="00311D43">
        <w:rPr>
          <w:rFonts w:ascii="Arial" w:hAnsi="Arial" w:eastAsia="Times New Roman" w:cs="Times New Roman"/>
          <w:sz w:val="20"/>
          <w:szCs w:val="24"/>
          <w:lang w:val="nl-NL" w:eastAsia="nl-NL"/>
        </w:rPr>
        <w:t>Artikel X van het Protocol bevat een bepaling voor situaties waarin een onderling</w:t>
      </w:r>
      <w:r w:rsidR="008137CB">
        <w:rPr>
          <w:rFonts w:ascii="Arial" w:hAnsi="Arial" w:eastAsia="Times New Roman" w:cs="Times New Roman"/>
          <w:sz w:val="20"/>
          <w:szCs w:val="24"/>
          <w:lang w:val="nl-NL" w:eastAsia="nl-NL"/>
        </w:rPr>
        <w:t>e</w:t>
      </w:r>
      <w:r w:rsidRPr="00311D43">
        <w:rPr>
          <w:rFonts w:ascii="Arial" w:hAnsi="Arial" w:eastAsia="Times New Roman" w:cs="Times New Roman"/>
          <w:sz w:val="20"/>
          <w:szCs w:val="24"/>
          <w:lang w:val="nl-NL" w:eastAsia="nl-NL"/>
        </w:rPr>
        <w:t xml:space="preserve"> overlegprocedure heeft geleid tot aanvullende belasting</w:t>
      </w:r>
      <w:r w:rsidR="008137CB">
        <w:rPr>
          <w:rFonts w:ascii="Arial" w:hAnsi="Arial" w:eastAsia="Times New Roman" w:cs="Times New Roman"/>
          <w:sz w:val="20"/>
          <w:szCs w:val="24"/>
          <w:lang w:val="nl-NL" w:eastAsia="nl-NL"/>
        </w:rPr>
        <w:t>heffing</w:t>
      </w:r>
      <w:r w:rsidRPr="00311D43">
        <w:rPr>
          <w:rFonts w:ascii="Arial" w:hAnsi="Arial" w:eastAsia="Times New Roman" w:cs="Times New Roman"/>
          <w:sz w:val="20"/>
          <w:szCs w:val="24"/>
          <w:lang w:val="nl-NL" w:eastAsia="nl-NL"/>
        </w:rPr>
        <w:t xml:space="preserve"> in een verdragsluitende staat waarbij de andere verdragsluitende staat een daarmee verband houdende vermindering van belasting heeft verleend. Op grond van de protocolbepaling kunnen de bevoegde autoriteiten </w:t>
      </w:r>
      <w:r w:rsidR="008137CB">
        <w:rPr>
          <w:rFonts w:ascii="Arial" w:hAnsi="Arial" w:eastAsia="Times New Roman" w:cs="Times New Roman"/>
          <w:sz w:val="20"/>
          <w:szCs w:val="24"/>
          <w:lang w:val="nl-NL" w:eastAsia="nl-NL"/>
        </w:rPr>
        <w:t>overeenkomen dat met betrekking tot de additionele belastingheffing geen belastingverhogingen, bestuurlijke boetes, interest en kosten zullen worden opgelegd.</w:t>
      </w:r>
    </w:p>
    <w:p w:rsidRPr="00704C9E" w:rsidR="00393A06" w:rsidP="00777141" w:rsidRDefault="00393A06" w14:paraId="6596BD01" w14:textId="04155E12">
      <w:pPr>
        <w:pStyle w:val="Heading2"/>
        <w:ind w:hanging="284"/>
        <w:rPr>
          <w:b w:val="0"/>
          <w:lang w:val="nl-NL"/>
        </w:rPr>
      </w:pPr>
      <w:r w:rsidRPr="00F01214">
        <w:rPr>
          <w:b w:val="0"/>
          <w:i/>
          <w:lang w:val="nl-NL"/>
        </w:rPr>
        <w:t>Uitwiss</w:t>
      </w:r>
      <w:r w:rsidRPr="00F01214" w:rsidR="00704C9E">
        <w:rPr>
          <w:b w:val="0"/>
          <w:i/>
          <w:lang w:val="nl-NL"/>
        </w:rPr>
        <w:t>eling van informatie (artikel 25</w:t>
      </w:r>
      <w:r w:rsidRPr="00F01214" w:rsidR="00F01214">
        <w:rPr>
          <w:b w:val="0"/>
          <w:i/>
          <w:lang w:val="nl-NL"/>
        </w:rPr>
        <w:t xml:space="preserve"> </w:t>
      </w:r>
      <w:r w:rsidRPr="00D63B02" w:rsidR="00D63B02">
        <w:rPr>
          <w:b w:val="0"/>
          <w:i/>
          <w:lang w:val="nl-NL"/>
        </w:rPr>
        <w:t>van het Verdrag</w:t>
      </w:r>
      <w:r w:rsidRPr="00D63B02" w:rsidR="00D63B02">
        <w:rPr>
          <w:i/>
          <w:lang w:val="nl-NL"/>
        </w:rPr>
        <w:t xml:space="preserve"> </w:t>
      </w:r>
      <w:r w:rsidRPr="00F01214" w:rsidR="00F01214">
        <w:rPr>
          <w:b w:val="0"/>
          <w:i/>
          <w:lang w:val="nl-NL"/>
        </w:rPr>
        <w:t xml:space="preserve">en </w:t>
      </w:r>
      <w:r w:rsidR="009461E5">
        <w:rPr>
          <w:b w:val="0"/>
          <w:i/>
          <w:lang w:val="nl-NL"/>
        </w:rPr>
        <w:t xml:space="preserve">artikel </w:t>
      </w:r>
      <w:r w:rsidRPr="00F01214" w:rsidR="00F01214">
        <w:rPr>
          <w:b w:val="0"/>
          <w:i/>
          <w:lang w:val="nl-NL"/>
        </w:rPr>
        <w:t>XI</w:t>
      </w:r>
      <w:r w:rsidR="009461E5">
        <w:rPr>
          <w:b w:val="0"/>
          <w:i/>
          <w:lang w:val="nl-NL"/>
        </w:rPr>
        <w:t xml:space="preserve"> van het Protocol</w:t>
      </w:r>
      <w:r w:rsidRPr="00F01214">
        <w:rPr>
          <w:b w:val="0"/>
          <w:i/>
          <w:lang w:val="nl-NL"/>
        </w:rPr>
        <w:t>)</w:t>
      </w:r>
    </w:p>
    <w:p w:rsidRPr="00393A06" w:rsidR="00393A06" w:rsidP="00393A06" w:rsidRDefault="00393A06" w14:paraId="62DDBF14" w14:textId="5DE7FF51">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sidR="006E146C">
        <w:rPr>
          <w:rFonts w:ascii="Arial" w:hAnsi="Arial" w:eastAsia="Times New Roman" w:cs="Times New Roman"/>
          <w:sz w:val="20"/>
          <w:szCs w:val="24"/>
          <w:lang w:val="nl-NL" w:eastAsia="nl-NL"/>
        </w:rPr>
        <w:t>5</w:t>
      </w:r>
      <w:r w:rsidRPr="00393A06">
        <w:rPr>
          <w:rFonts w:ascii="Arial" w:hAnsi="Arial" w:eastAsia="Times New Roman" w:cs="Times New Roman"/>
          <w:sz w:val="20"/>
          <w:szCs w:val="24"/>
          <w:lang w:val="nl-NL" w:eastAsia="nl-NL"/>
        </w:rPr>
        <w:t xml:space="preserve"> </w:t>
      </w:r>
      <w:r w:rsidR="006E146C">
        <w:rPr>
          <w:rFonts w:ascii="Arial" w:hAnsi="Arial" w:eastAsia="Times New Roman" w:cs="Times New Roman"/>
          <w:sz w:val="20"/>
          <w:szCs w:val="24"/>
          <w:lang w:val="nl-NL" w:eastAsia="nl-NL"/>
        </w:rPr>
        <w:t xml:space="preserve">bevat de </w:t>
      </w:r>
      <w:r w:rsidRPr="00393A06">
        <w:rPr>
          <w:rFonts w:ascii="Arial" w:hAnsi="Arial" w:eastAsia="Times New Roman" w:cs="Arial"/>
          <w:sz w:val="20"/>
          <w:szCs w:val="20"/>
          <w:lang w:val="nl-NL" w:eastAsia="nl-NL"/>
        </w:rPr>
        <w:t>verplicht</w:t>
      </w:r>
      <w:r w:rsidR="006E146C">
        <w:rPr>
          <w:rFonts w:ascii="Arial" w:hAnsi="Arial" w:eastAsia="Times New Roman" w:cs="Arial"/>
          <w:sz w:val="20"/>
          <w:szCs w:val="20"/>
          <w:lang w:val="nl-NL" w:eastAsia="nl-NL"/>
        </w:rPr>
        <w:t>ing</w:t>
      </w:r>
      <w:r w:rsidRPr="00393A06">
        <w:rPr>
          <w:rFonts w:ascii="Arial" w:hAnsi="Arial" w:eastAsia="Times New Roman" w:cs="Arial"/>
          <w:sz w:val="20"/>
          <w:szCs w:val="20"/>
          <w:lang w:val="nl-NL" w:eastAsia="nl-NL"/>
        </w:rPr>
        <w:t xml:space="preserve"> </w:t>
      </w:r>
      <w:r w:rsidR="006E146C">
        <w:rPr>
          <w:rFonts w:ascii="Arial" w:hAnsi="Arial" w:eastAsia="Times New Roman" w:cs="Arial"/>
          <w:sz w:val="20"/>
          <w:szCs w:val="20"/>
          <w:lang w:val="nl-NL" w:eastAsia="nl-NL"/>
        </w:rPr>
        <w:t xml:space="preserve">voor </w:t>
      </w:r>
      <w:r w:rsidRPr="00393A06">
        <w:rPr>
          <w:rFonts w:ascii="Arial" w:hAnsi="Arial" w:eastAsia="Times New Roman" w:cs="Arial"/>
          <w:sz w:val="20"/>
          <w:szCs w:val="20"/>
          <w:lang w:val="nl-NL" w:eastAsia="nl-NL"/>
        </w:rPr>
        <w:t>de verdragsluitende staten om informatie uit te wisselen.</w:t>
      </w:r>
      <w:r w:rsidRPr="00393A06">
        <w:rPr>
          <w:rFonts w:ascii="Arial" w:hAnsi="Arial" w:eastAsia="Times New Roman" w:cs="Times New Roman"/>
          <w:sz w:val="20"/>
          <w:szCs w:val="24"/>
          <w:lang w:val="nl-NL" w:eastAsia="nl-NL"/>
        </w:rPr>
        <w:t xml:space="preserve"> Het artikel komt overeen met artikel 26 van het OESO-modelverdrag en is in lijn met het Nederlandse verdragsbeleid</w:t>
      </w:r>
      <w:r w:rsidR="006E146C">
        <w:rPr>
          <w:rFonts w:ascii="Arial" w:hAnsi="Arial" w:eastAsia="Times New Roman" w:cs="Times New Roman"/>
          <w:sz w:val="20"/>
          <w:szCs w:val="24"/>
          <w:lang w:val="nl-NL" w:eastAsia="nl-NL"/>
        </w:rPr>
        <w:t xml:space="preserve">, behoudens dat </w:t>
      </w:r>
      <w:r w:rsidR="006A51CE">
        <w:rPr>
          <w:rFonts w:ascii="Arial" w:hAnsi="Arial" w:eastAsia="Times New Roman" w:cs="Times New Roman"/>
          <w:sz w:val="20"/>
          <w:szCs w:val="24"/>
          <w:lang w:val="nl-NL" w:eastAsia="nl-NL"/>
        </w:rPr>
        <w:t>het voor Liechtenstein niet mogelijk was om de bepaling ook expliciet van toepassing te verklaring voor wat betreft de Nederlandse inkomensafhankelijke regelingen (‘de toeslagen’)</w:t>
      </w:r>
      <w:r w:rsidRPr="00393A06">
        <w:rPr>
          <w:rFonts w:ascii="Arial" w:hAnsi="Arial" w:eastAsia="Times New Roman" w:cs="Times New Roman"/>
          <w:sz w:val="20"/>
          <w:szCs w:val="24"/>
          <w:lang w:val="nl-NL" w:eastAsia="nl-NL"/>
        </w:rPr>
        <w:t>.</w:t>
      </w:r>
      <w:r w:rsidR="003861AE">
        <w:rPr>
          <w:rFonts w:ascii="Arial" w:hAnsi="Arial" w:eastAsia="Times New Roman" w:cs="Times New Roman"/>
          <w:sz w:val="20"/>
          <w:szCs w:val="24"/>
          <w:lang w:val="nl-NL" w:eastAsia="nl-NL"/>
        </w:rPr>
        <w:t xml:space="preserve"> De Liechtensteinse bevoegde autoriteiten hebben geen bevoegdheden op het gebied van de toeslagen.</w:t>
      </w:r>
    </w:p>
    <w:p w:rsidRPr="00FE3A57" w:rsidR="00393A06" w:rsidP="002B5982" w:rsidRDefault="00393A06" w14:paraId="6FF85BCC" w14:textId="6B5BBC20">
      <w:pPr>
        <w:spacing w:after="0" w:line="360" w:lineRule="auto"/>
        <w:ind w:firstLine="709"/>
        <w:rPr>
          <w:rFonts w:ascii="Arial" w:hAnsi="Arial" w:eastAsia="Times New Roman" w:cs="Arial"/>
          <w:sz w:val="20"/>
          <w:szCs w:val="20"/>
          <w:lang w:val="nl-NL" w:eastAsia="nl-NL"/>
        </w:rPr>
      </w:pPr>
      <w:r w:rsidRPr="00393A06">
        <w:rPr>
          <w:rFonts w:ascii="Arial" w:hAnsi="Arial" w:eastAsia="Times New Roman" w:cs="Times New Roman"/>
          <w:sz w:val="20"/>
          <w:szCs w:val="24"/>
          <w:lang w:val="nl-NL" w:eastAsia="nl-NL"/>
        </w:rPr>
        <w:t xml:space="preserve">Uit het eerste lid volgt de werkingssfeer van de informatie-uitwisseling. Volgens de tweede </w:t>
      </w:r>
      <w:r w:rsidR="008137CB">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is de informatie-uitwisseling niet beperkt tot informatie ten aanzien van inwoners van de verdragsluitende staten en evenmin tot de belastingen waarop het Verdrag van toepassing is</w:t>
      </w:r>
      <w:r w:rsidRPr="00FE3A57">
        <w:rPr>
          <w:rFonts w:ascii="Arial" w:hAnsi="Arial" w:eastAsia="Times New Roman" w:cs="Arial"/>
          <w:sz w:val="20"/>
          <w:szCs w:val="20"/>
          <w:lang w:val="nl-NL" w:eastAsia="nl-NL"/>
        </w:rPr>
        <w:t>.</w:t>
      </w:r>
      <w:r w:rsidRPr="00777141" w:rsidR="002B5982">
        <w:rPr>
          <w:rFonts w:ascii="Arial" w:hAnsi="Arial" w:cs="Arial"/>
          <w:sz w:val="20"/>
          <w:szCs w:val="20"/>
          <w:lang w:val="nl-NL"/>
        </w:rPr>
        <w:t xml:space="preserve"> In de laatste zin is</w:t>
      </w:r>
      <w:r w:rsidR="005D11C4">
        <w:rPr>
          <w:rFonts w:ascii="Arial" w:hAnsi="Arial" w:cs="Arial"/>
          <w:sz w:val="20"/>
          <w:szCs w:val="20"/>
          <w:lang w:val="nl-NL"/>
        </w:rPr>
        <w:t>,</w:t>
      </w:r>
      <w:r w:rsidR="00423CE7">
        <w:rPr>
          <w:rFonts w:ascii="Arial" w:hAnsi="Arial" w:cs="Arial"/>
          <w:sz w:val="20"/>
          <w:szCs w:val="20"/>
          <w:lang w:val="nl-NL"/>
        </w:rPr>
        <w:t xml:space="preserve"> in afwijking van het OESO-modelverdrag,</w:t>
      </w:r>
      <w:r w:rsidRPr="00777141" w:rsidR="002B5982">
        <w:rPr>
          <w:rFonts w:ascii="Arial" w:hAnsi="Arial" w:cs="Arial"/>
          <w:sz w:val="20"/>
          <w:szCs w:val="20"/>
          <w:lang w:val="nl-NL"/>
        </w:rPr>
        <w:t xml:space="preserve"> voor de volledigheid opgenomen dat </w:t>
      </w:r>
      <w:r w:rsidR="005D11C4">
        <w:rPr>
          <w:rFonts w:ascii="Arial" w:hAnsi="Arial" w:cs="Arial"/>
          <w:sz w:val="20"/>
          <w:szCs w:val="20"/>
          <w:lang w:val="nl-NL"/>
        </w:rPr>
        <w:t xml:space="preserve">de </w:t>
      </w:r>
      <w:r w:rsidRPr="00777141" w:rsidR="002B5982">
        <w:rPr>
          <w:rFonts w:ascii="Arial" w:hAnsi="Arial" w:cs="Arial"/>
          <w:sz w:val="20"/>
          <w:szCs w:val="20"/>
          <w:lang w:val="nl-NL"/>
        </w:rPr>
        <w:t>bevoegde autoriteiten van de verdragsluitende staten in onderling</w:t>
      </w:r>
      <w:r w:rsidR="000F6CFB">
        <w:rPr>
          <w:rFonts w:ascii="Arial" w:hAnsi="Arial" w:cs="Arial"/>
          <w:sz w:val="20"/>
          <w:szCs w:val="20"/>
          <w:lang w:val="nl-NL"/>
        </w:rPr>
        <w:t>e</w:t>
      </w:r>
      <w:r w:rsidRPr="00777141" w:rsidR="002B5982">
        <w:rPr>
          <w:rFonts w:ascii="Arial" w:hAnsi="Arial" w:cs="Arial"/>
          <w:sz w:val="20"/>
          <w:szCs w:val="20"/>
          <w:lang w:val="nl-NL"/>
        </w:rPr>
        <w:t xml:space="preserve"> over</w:t>
      </w:r>
      <w:r w:rsidR="000F6CFB">
        <w:rPr>
          <w:rFonts w:ascii="Arial" w:hAnsi="Arial" w:cs="Arial"/>
          <w:sz w:val="20"/>
          <w:szCs w:val="20"/>
          <w:lang w:val="nl-NL"/>
        </w:rPr>
        <w:t>eenstemming</w:t>
      </w:r>
      <w:r w:rsidRPr="00777141" w:rsidR="002B5982">
        <w:rPr>
          <w:rFonts w:ascii="Arial" w:hAnsi="Arial" w:cs="Arial"/>
          <w:sz w:val="20"/>
          <w:szCs w:val="20"/>
          <w:lang w:val="nl-NL"/>
        </w:rPr>
        <w:t xml:space="preserve"> </w:t>
      </w:r>
      <w:r w:rsidRPr="00FE3A57" w:rsidR="002B5982">
        <w:rPr>
          <w:rFonts w:ascii="Arial" w:hAnsi="Arial" w:eastAsia="Times New Roman" w:cs="Arial"/>
          <w:sz w:val="20"/>
          <w:szCs w:val="20"/>
          <w:lang w:val="nl-NL" w:eastAsia="nl-NL"/>
        </w:rPr>
        <w:t>de toepassing kunnen regelen van dit artikel.</w:t>
      </w:r>
      <w:r w:rsidR="00FE3A57">
        <w:rPr>
          <w:rFonts w:ascii="Arial" w:hAnsi="Arial" w:eastAsia="Times New Roman" w:cs="Arial"/>
          <w:sz w:val="20"/>
          <w:szCs w:val="20"/>
          <w:lang w:val="nl-NL" w:eastAsia="nl-NL"/>
        </w:rPr>
        <w:t xml:space="preserve"> </w:t>
      </w:r>
      <w:r w:rsidRPr="00DE5A71" w:rsidR="00DE5A71">
        <w:rPr>
          <w:rFonts w:ascii="Arial" w:hAnsi="Arial" w:eastAsia="Times New Roman" w:cs="Arial"/>
          <w:sz w:val="20"/>
          <w:szCs w:val="20"/>
          <w:lang w:val="nl-NL" w:eastAsia="nl-NL"/>
        </w:rPr>
        <w:t>Indien die toepassing wordt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393A06" w:rsidR="00F01214" w:rsidP="002B5982" w:rsidRDefault="00F01214" w14:paraId="10B20F3F" w14:textId="7C67D74B">
      <w:pPr>
        <w:spacing w:after="0" w:line="360" w:lineRule="auto"/>
        <w:ind w:firstLine="709"/>
        <w:rPr>
          <w:rFonts w:ascii="Arial" w:hAnsi="Arial" w:eastAsia="Times New Roman" w:cs="Times New Roman"/>
          <w:sz w:val="20"/>
          <w:szCs w:val="24"/>
          <w:lang w:val="nl-NL" w:eastAsia="nl-NL"/>
        </w:rPr>
      </w:pPr>
      <w:r w:rsidRPr="00AD621E">
        <w:rPr>
          <w:rFonts w:ascii="Arial" w:hAnsi="Arial" w:eastAsia="Times New Roman" w:cs="Times New Roman"/>
          <w:sz w:val="20"/>
          <w:szCs w:val="24"/>
          <w:lang w:val="nl-NL" w:eastAsia="nl-NL"/>
        </w:rPr>
        <w:t xml:space="preserve">In artikel XI van het Protocol is in onderdeel a bepaald dat uitwisseling van informatie naar derde staten mogelijk is onder de voorwaarden van artikel 25 van het Verdrag en mits daarvoor eerst toestemming wordt gegeven door de staat die de informatie uitwisselt. Daarnaast is in onderdeel b bepaald dat </w:t>
      </w:r>
      <w:r w:rsidRPr="00AD621E" w:rsidR="004C04FD">
        <w:rPr>
          <w:rFonts w:ascii="Arial" w:hAnsi="Arial" w:eastAsia="Times New Roman" w:cs="Times New Roman"/>
          <w:sz w:val="20"/>
          <w:szCs w:val="24"/>
          <w:lang w:val="nl-NL" w:eastAsia="nl-NL"/>
        </w:rPr>
        <w:t xml:space="preserve">dat persoonlijke gegevens mogen worden uitgewisseld voor zover deze noodzakelijk zijn voor de informatie-uitwisseling op grond van artikel 25. </w:t>
      </w:r>
      <w:r w:rsidRPr="00AD621E">
        <w:rPr>
          <w:rFonts w:ascii="Arial" w:hAnsi="Arial" w:eastAsia="Times New Roman" w:cs="Times New Roman"/>
          <w:sz w:val="20"/>
          <w:szCs w:val="24"/>
          <w:lang w:val="nl-NL" w:eastAsia="nl-NL"/>
        </w:rPr>
        <w:t xml:space="preserve">   </w:t>
      </w:r>
    </w:p>
    <w:p w:rsidRPr="00393A06" w:rsidR="00393A06" w:rsidP="00393A06" w:rsidRDefault="00393A06" w14:paraId="25E692C7" w14:textId="394D16EE">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Het tweede lid </w:t>
      </w:r>
      <w:r w:rsidR="0015339F">
        <w:rPr>
          <w:rFonts w:ascii="Arial" w:hAnsi="Arial" w:eastAsia="Times New Roman" w:cs="Times New Roman"/>
          <w:sz w:val="20"/>
          <w:szCs w:val="24"/>
          <w:lang w:val="nl-NL" w:eastAsia="nl-NL"/>
        </w:rPr>
        <w:t xml:space="preserve">van artikel 25 </w:t>
      </w:r>
      <w:r w:rsidRPr="00393A06">
        <w:rPr>
          <w:rFonts w:ascii="Arial" w:hAnsi="Arial" w:eastAsia="Times New Roman" w:cs="Times New Roman"/>
          <w:sz w:val="20"/>
          <w:szCs w:val="24"/>
          <w:lang w:val="nl-NL" w:eastAsia="nl-NL"/>
        </w:rPr>
        <w:t xml:space="preserve">regelt hoe de verdragsluitende staat die informatie ontvangt van de andere verdragsluitende staat met deze informatie dient om te gaan in termen van vertrouwelijkheid. Het tweede lid bevat ook de toevoeging (overeenkomstig het tweede lid van artikel 26 OESO-modelverdrag) dat </w:t>
      </w:r>
      <w:r w:rsidRPr="00393A06">
        <w:rPr>
          <w:rFonts w:ascii="Arial" w:hAnsi="Arial" w:eastAsia="Times New Roman" w:cs="Arial"/>
          <w:sz w:val="20"/>
          <w:szCs w:val="20"/>
          <w:lang w:val="nl-NL" w:eastAsia="nl-NL"/>
        </w:rPr>
        <w:t>de ontvangende staat de informatie onder voorwaarden ook voor niet-fiscale doeleinden mag gebruiken</w:t>
      </w:r>
      <w:r w:rsidR="00C929F7">
        <w:rPr>
          <w:rFonts w:ascii="Arial" w:hAnsi="Arial" w:eastAsia="Times New Roman" w:cs="Times New Roman"/>
          <w:sz w:val="20"/>
          <w:szCs w:val="24"/>
          <w:lang w:val="nl-NL" w:eastAsia="nl-NL"/>
        </w:rPr>
        <w:t>, n</w:t>
      </w:r>
      <w:r w:rsidRPr="00393A06">
        <w:rPr>
          <w:rFonts w:ascii="Arial" w:hAnsi="Arial" w:eastAsia="Times New Roman" w:cs="Times New Roman"/>
          <w:sz w:val="20"/>
          <w:szCs w:val="24"/>
          <w:lang w:val="nl-NL" w:eastAsia="nl-NL"/>
        </w:rPr>
        <w:t>amelijk indien dat in elk van de verdragsluitende staten wettelijk is toegestaan en mits de aanleverende bevoegde autoriteit dit toestaat</w:t>
      </w:r>
      <w:r w:rsidRPr="00957BE2">
        <w:rPr>
          <w:rFonts w:ascii="Arial" w:hAnsi="Arial" w:eastAsia="Times New Roman" w:cs="Times New Roman"/>
          <w:sz w:val="20"/>
          <w:szCs w:val="24"/>
          <w:lang w:val="nl-NL" w:eastAsia="nl-NL"/>
        </w:rPr>
        <w:t xml:space="preserve">. Op basis van deze </w:t>
      </w:r>
      <w:r w:rsidR="008137CB">
        <w:rPr>
          <w:rFonts w:ascii="Arial" w:hAnsi="Arial" w:eastAsia="Times New Roman" w:cs="Times New Roman"/>
          <w:sz w:val="20"/>
          <w:szCs w:val="24"/>
          <w:lang w:val="nl-NL" w:eastAsia="nl-NL"/>
        </w:rPr>
        <w:t>zin</w:t>
      </w:r>
      <w:r w:rsidRPr="00957BE2">
        <w:rPr>
          <w:rFonts w:ascii="Arial" w:hAnsi="Arial" w:eastAsia="Times New Roman" w:cs="Times New Roman"/>
          <w:sz w:val="20"/>
          <w:szCs w:val="24"/>
          <w:lang w:val="nl-NL" w:eastAsia="nl-NL"/>
        </w:rPr>
        <w:t xml:space="preserve"> kan door </w:t>
      </w:r>
      <w:r w:rsidRPr="00957BE2" w:rsidR="00811BEA">
        <w:rPr>
          <w:rFonts w:ascii="Arial" w:hAnsi="Arial" w:eastAsia="Times New Roman" w:cs="Times New Roman"/>
          <w:sz w:val="20"/>
          <w:szCs w:val="24"/>
          <w:lang w:val="nl-NL" w:eastAsia="nl-NL"/>
        </w:rPr>
        <w:t xml:space="preserve">Nederland en </w:t>
      </w:r>
      <w:r w:rsidRPr="00957BE2" w:rsidR="00811BEA">
        <w:rPr>
          <w:rFonts w:ascii="Arial" w:hAnsi="Arial" w:eastAsia="Times New Roman" w:cs="Times New Roman"/>
          <w:sz w:val="20"/>
          <w:szCs w:val="24"/>
          <w:lang w:val="nl-NL" w:eastAsia="nl-NL"/>
        </w:rPr>
        <w:lastRenderedPageBreak/>
        <w:t xml:space="preserve">Liechtenstein </w:t>
      </w:r>
      <w:r w:rsidRPr="00957BE2">
        <w:rPr>
          <w:rFonts w:ascii="Arial" w:hAnsi="Arial" w:eastAsia="Times New Roman" w:cs="Times New Roman"/>
          <w:sz w:val="20"/>
          <w:szCs w:val="24"/>
          <w:lang w:val="nl-NL" w:eastAsia="nl-NL"/>
        </w:rPr>
        <w:t>uitgewisselde informatie door Nederland ook gebruikt worden voor</w:t>
      </w:r>
      <w:r w:rsidRPr="00957BE2">
        <w:rPr>
          <w:rFonts w:ascii="Arial" w:hAnsi="Arial" w:eastAsia="Times New Roman" w:cs="Arial"/>
          <w:sz w:val="20"/>
          <w:szCs w:val="20"/>
          <w:lang w:val="nl-NL" w:eastAsia="nl-NL"/>
        </w:rPr>
        <w:t xml:space="preserve"> de uitvoering van de Nederlandse inkomensafhank</w:t>
      </w:r>
      <w:r w:rsidR="001165B6">
        <w:rPr>
          <w:rFonts w:ascii="Arial" w:hAnsi="Arial" w:eastAsia="Times New Roman" w:cs="Arial"/>
          <w:sz w:val="20"/>
          <w:szCs w:val="20"/>
          <w:lang w:val="nl-NL" w:eastAsia="nl-NL"/>
        </w:rPr>
        <w:t>elijke regelingen (toeslagen).</w:t>
      </w:r>
    </w:p>
    <w:p w:rsidRPr="00393A06" w:rsidR="00393A06" w:rsidP="00393A06" w:rsidRDefault="00393A06" w14:paraId="3657E5C5" w14:textId="3C6E2975">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 het </w:t>
      </w:r>
      <w:r w:rsidR="002B5982">
        <w:rPr>
          <w:rFonts w:ascii="Arial" w:hAnsi="Arial" w:eastAsia="Times New Roman" w:cs="Times New Roman"/>
          <w:sz w:val="20"/>
          <w:szCs w:val="24"/>
          <w:lang w:val="nl-NL" w:eastAsia="nl-NL"/>
        </w:rPr>
        <w:t>derde</w:t>
      </w:r>
      <w:r w:rsidRPr="00393A06">
        <w:rPr>
          <w:rFonts w:ascii="Arial" w:hAnsi="Arial" w:eastAsia="Times New Roman" w:cs="Times New Roman"/>
          <w:sz w:val="20"/>
          <w:szCs w:val="24"/>
          <w:lang w:val="nl-NL" w:eastAsia="nl-NL"/>
        </w:rPr>
        <w:t xml:space="preserve"> lid wordt aangegeven onder welke omstandigheden een verdragsluitende staat geen informatie hoeft te verstrekken aan de andere verdragsluitende staat. </w:t>
      </w:r>
    </w:p>
    <w:p w:rsidRPr="00393A06" w:rsidR="00393A06" w:rsidP="00393A06" w:rsidRDefault="00393A06" w14:paraId="651684B7" w14:textId="65465A8D">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Het </w:t>
      </w:r>
      <w:r w:rsidR="002B5982">
        <w:rPr>
          <w:rFonts w:ascii="Arial" w:hAnsi="Arial" w:eastAsia="Times New Roman" w:cs="Times New Roman"/>
          <w:sz w:val="20"/>
          <w:szCs w:val="24"/>
          <w:lang w:val="nl-NL" w:eastAsia="nl-NL"/>
        </w:rPr>
        <w:t>vierde</w:t>
      </w:r>
      <w:r w:rsidRPr="00393A06">
        <w:rPr>
          <w:rFonts w:ascii="Arial" w:hAnsi="Arial" w:eastAsia="Times New Roman" w:cs="Times New Roman"/>
          <w:sz w:val="20"/>
          <w:szCs w:val="24"/>
          <w:lang w:val="nl-NL" w:eastAsia="nl-NL"/>
        </w:rPr>
        <w:t xml:space="preserve"> lid brengt expliciet tot uitdrukking dat een staat niet kan weigeren informatie uit te wisselen op grond van het feit dat deze staat de informatie niet nodig heeft voor de eigen belastingheffing. </w:t>
      </w:r>
    </w:p>
    <w:p w:rsidR="00393A06" w:rsidP="00393A06" w:rsidRDefault="00393A06" w14:paraId="2BEE4BA1" w14:textId="707A77A5">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Tot slot bepaalt het </w:t>
      </w:r>
      <w:r w:rsidR="00380D0E">
        <w:rPr>
          <w:rFonts w:ascii="Arial" w:hAnsi="Arial" w:eastAsia="Times New Roman" w:cs="Times New Roman"/>
          <w:sz w:val="20"/>
          <w:szCs w:val="24"/>
          <w:lang w:val="nl-NL" w:eastAsia="nl-NL"/>
        </w:rPr>
        <w:t>vijfde</w:t>
      </w:r>
      <w:r w:rsidRPr="00393A06">
        <w:rPr>
          <w:rFonts w:ascii="Arial" w:hAnsi="Arial" w:eastAsia="Times New Roman" w:cs="Times New Roman"/>
          <w:sz w:val="20"/>
          <w:szCs w:val="24"/>
          <w:lang w:val="nl-NL" w:eastAsia="nl-NL"/>
        </w:rPr>
        <w:t xml:space="preserve"> lid dat het enkele feit dat informatie in het bezit is van bijvoorbeeld een bank, een andere financiële instelling of een zaakwaarnemer, of dat de informatie betrekking heeft op eigendomsverhoudingen, niet de grond mag zijn op basis waarvan informatie niet wordt uitgewisseld.</w:t>
      </w:r>
    </w:p>
    <w:p w:rsidRPr="00393A06" w:rsidR="00032735" w:rsidP="00314DCA" w:rsidRDefault="00032735" w14:paraId="254CD839" w14:textId="79B9EB5B">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Zoals reeds aangegeven </w:t>
      </w:r>
      <w:r w:rsidR="009962A3">
        <w:rPr>
          <w:rFonts w:ascii="Arial" w:hAnsi="Arial" w:eastAsia="Times New Roman" w:cs="Times New Roman"/>
          <w:sz w:val="20"/>
          <w:szCs w:val="24"/>
          <w:lang w:val="nl-NL" w:eastAsia="nl-NL"/>
        </w:rPr>
        <w:t xml:space="preserve">in paragraaf </w:t>
      </w:r>
      <w:r>
        <w:rPr>
          <w:rFonts w:ascii="Arial" w:hAnsi="Arial" w:eastAsia="Times New Roman" w:cs="Times New Roman"/>
          <w:sz w:val="20"/>
          <w:szCs w:val="24"/>
          <w:lang w:val="nl-NL" w:eastAsia="nl-NL"/>
        </w:rPr>
        <w:t xml:space="preserve">I.0 </w:t>
      </w:r>
      <w:r w:rsidR="009962A3">
        <w:rPr>
          <w:rFonts w:ascii="Arial" w:hAnsi="Arial" w:eastAsia="Times New Roman" w:cs="Times New Roman"/>
          <w:sz w:val="20"/>
          <w:szCs w:val="24"/>
          <w:lang w:val="nl-NL" w:eastAsia="nl-NL"/>
        </w:rPr>
        <w:t xml:space="preserve">van deze toelichting </w:t>
      </w:r>
      <w:r>
        <w:rPr>
          <w:rFonts w:ascii="Arial" w:hAnsi="Arial" w:eastAsia="Times New Roman" w:cs="Times New Roman"/>
          <w:sz w:val="20"/>
          <w:szCs w:val="24"/>
          <w:lang w:val="nl-NL" w:eastAsia="nl-NL"/>
        </w:rPr>
        <w:t xml:space="preserve">blijft </w:t>
      </w:r>
      <w:r w:rsidR="00CA4CEC">
        <w:rPr>
          <w:rFonts w:ascii="Arial" w:hAnsi="Arial" w:eastAsia="Times New Roman" w:cs="Times New Roman"/>
          <w:sz w:val="20"/>
          <w:szCs w:val="24"/>
          <w:lang w:val="nl-NL" w:eastAsia="nl-NL"/>
        </w:rPr>
        <w:t>de TIEA uit 2009</w:t>
      </w:r>
      <w:r>
        <w:rPr>
          <w:rFonts w:ascii="Arial" w:hAnsi="Arial" w:eastAsia="Times New Roman" w:cs="Times New Roman"/>
          <w:sz w:val="20"/>
          <w:szCs w:val="24"/>
          <w:lang w:val="nl-NL" w:eastAsia="nl-NL"/>
        </w:rPr>
        <w:t xml:space="preserve"> </w:t>
      </w:r>
      <w:r w:rsidRPr="00032735">
        <w:rPr>
          <w:rFonts w:ascii="Arial" w:hAnsi="Arial" w:eastAsia="Times New Roman" w:cs="Times New Roman"/>
          <w:sz w:val="20"/>
          <w:szCs w:val="24"/>
          <w:lang w:val="nl-NL" w:eastAsia="nl-NL"/>
        </w:rPr>
        <w:t xml:space="preserve">naast het Verdrag in stand. </w:t>
      </w:r>
      <w:r>
        <w:rPr>
          <w:rFonts w:ascii="Arial" w:hAnsi="Arial" w:eastAsia="Times New Roman" w:cs="Times New Roman"/>
          <w:sz w:val="20"/>
          <w:szCs w:val="24"/>
          <w:lang w:val="nl-NL" w:eastAsia="nl-NL"/>
        </w:rPr>
        <w:t xml:space="preserve">Dat betekent dat ter zake van </w:t>
      </w:r>
      <w:r w:rsidRPr="00032735">
        <w:rPr>
          <w:rFonts w:ascii="Arial" w:hAnsi="Arial" w:eastAsia="Times New Roman" w:cs="Times New Roman"/>
          <w:sz w:val="20"/>
          <w:szCs w:val="24"/>
          <w:lang w:val="nl-NL" w:eastAsia="nl-NL"/>
        </w:rPr>
        <w:t>belastingtijdvakken b</w:t>
      </w:r>
      <w:r>
        <w:rPr>
          <w:rFonts w:ascii="Arial" w:hAnsi="Arial" w:eastAsia="Times New Roman" w:cs="Times New Roman"/>
          <w:sz w:val="20"/>
          <w:szCs w:val="24"/>
          <w:lang w:val="nl-NL" w:eastAsia="nl-NL"/>
        </w:rPr>
        <w:t xml:space="preserve">eginnend op of na 1 januari </w:t>
      </w:r>
      <w:r w:rsidR="00C7688D">
        <w:rPr>
          <w:rFonts w:ascii="Arial" w:hAnsi="Arial" w:eastAsia="Times New Roman" w:cs="Times New Roman"/>
          <w:sz w:val="20"/>
          <w:szCs w:val="24"/>
          <w:lang w:val="nl-NL" w:eastAsia="nl-NL"/>
        </w:rPr>
        <w:t>van het kalenderjaar waarin het Verdrag in werking treedt voor</w:t>
      </w:r>
      <w:r>
        <w:rPr>
          <w:rFonts w:ascii="Arial" w:hAnsi="Arial" w:eastAsia="Times New Roman" w:cs="Times New Roman"/>
          <w:sz w:val="20"/>
          <w:szCs w:val="24"/>
          <w:lang w:val="nl-NL" w:eastAsia="nl-NL"/>
        </w:rPr>
        <w:t xml:space="preserve"> wat betreft</w:t>
      </w:r>
      <w:r w:rsidRPr="00032735">
        <w:rPr>
          <w:rFonts w:ascii="Arial" w:hAnsi="Arial" w:eastAsia="Times New Roman" w:cs="Times New Roman"/>
          <w:sz w:val="20"/>
          <w:szCs w:val="24"/>
          <w:lang w:val="nl-NL" w:eastAsia="nl-NL"/>
        </w:rPr>
        <w:t xml:space="preserve"> de uitwisseling van informatie </w:t>
      </w:r>
      <w:r w:rsidR="00CA4CEC">
        <w:rPr>
          <w:rFonts w:ascii="Arial" w:hAnsi="Arial" w:eastAsia="Times New Roman" w:cs="Times New Roman"/>
          <w:sz w:val="20"/>
          <w:szCs w:val="24"/>
          <w:lang w:val="nl-NL" w:eastAsia="nl-NL"/>
        </w:rPr>
        <w:t xml:space="preserve">zowel op dit Verdrag als op de TIEA een beroep kan worden gedaan. Ter zake van belastingtijdvakken tussen 1 januari 2010 en </w:t>
      </w:r>
      <w:r w:rsidR="00B83CC4">
        <w:rPr>
          <w:rFonts w:ascii="Arial" w:hAnsi="Arial" w:eastAsia="Times New Roman" w:cs="Times New Roman"/>
          <w:sz w:val="20"/>
          <w:szCs w:val="24"/>
          <w:lang w:val="nl-NL" w:eastAsia="nl-NL"/>
        </w:rPr>
        <w:t>het kalenderjaar waarin het Verdrag in werking treedt</w:t>
      </w:r>
      <w:r w:rsidR="009962A3">
        <w:rPr>
          <w:rFonts w:ascii="Arial" w:hAnsi="Arial" w:eastAsia="Times New Roman" w:cs="Times New Roman"/>
          <w:sz w:val="20"/>
          <w:szCs w:val="24"/>
          <w:lang w:val="nl-NL" w:eastAsia="nl-NL"/>
        </w:rPr>
        <w:t>,</w:t>
      </w:r>
      <w:r w:rsidR="00CA4CEC">
        <w:rPr>
          <w:rFonts w:ascii="Arial" w:hAnsi="Arial" w:eastAsia="Times New Roman" w:cs="Times New Roman"/>
          <w:sz w:val="20"/>
          <w:szCs w:val="24"/>
          <w:lang w:val="nl-NL" w:eastAsia="nl-NL"/>
        </w:rPr>
        <w:t xml:space="preserve"> kan uitsluitend een beroep worden gedaan op de bepalingen uit de TIEA. </w:t>
      </w:r>
    </w:p>
    <w:p w:rsidRPr="00393A06" w:rsidR="00393A06" w:rsidP="00393A06" w:rsidRDefault="00393A06" w14:paraId="6FD82F96" w14:textId="6C86F8E4">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 xml:space="preserve">Bijstand bij de invordering van belastingen (artikel </w:t>
      </w:r>
      <w:r w:rsidR="00380D0E">
        <w:rPr>
          <w:rFonts w:ascii="Arial" w:hAnsi="Arial" w:eastAsia="Times New Roman" w:cs="Times New Roman"/>
          <w:bCs/>
          <w:i/>
          <w:iCs/>
          <w:sz w:val="20"/>
          <w:szCs w:val="28"/>
          <w:lang w:val="nl-NL" w:eastAsia="nl-NL"/>
        </w:rPr>
        <w:t>26</w:t>
      </w:r>
      <w:r w:rsidRPr="00393A06">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393A06" w:rsidR="00D63B02">
        <w:rPr>
          <w:rFonts w:ascii="Arial" w:hAnsi="Arial" w:eastAsia="Times New Roman" w:cs="Times New Roman"/>
          <w:bCs/>
          <w:i/>
          <w:iCs/>
          <w:sz w:val="20"/>
          <w:szCs w:val="28"/>
          <w:lang w:val="nl-NL" w:eastAsia="nl-NL"/>
        </w:rPr>
        <w:t xml:space="preserve"> </w:t>
      </w:r>
      <w:r w:rsidRPr="00393A06">
        <w:rPr>
          <w:rFonts w:ascii="Arial" w:hAnsi="Arial" w:eastAsia="Times New Roman" w:cs="Times New Roman"/>
          <w:bCs/>
          <w:i/>
          <w:iCs/>
          <w:sz w:val="20"/>
          <w:szCs w:val="28"/>
          <w:lang w:val="nl-NL" w:eastAsia="nl-NL"/>
        </w:rPr>
        <w:t xml:space="preserve">en </w:t>
      </w:r>
      <w:r w:rsidRPr="009461E5" w:rsidR="009461E5">
        <w:rPr>
          <w:rFonts w:ascii="Arial" w:hAnsi="Arial" w:eastAsia="Times New Roman" w:cs="Times New Roman"/>
          <w:bCs/>
          <w:i/>
          <w:iCs/>
          <w:sz w:val="20"/>
          <w:szCs w:val="28"/>
          <w:lang w:val="nl-NL" w:eastAsia="nl-NL"/>
        </w:rPr>
        <w:t>artikel</w:t>
      </w:r>
      <w:r w:rsidR="009461E5">
        <w:rPr>
          <w:rFonts w:ascii="Arial" w:hAnsi="Arial" w:eastAsia="Times New Roman" w:cs="Times New Roman"/>
          <w:bCs/>
          <w:i/>
          <w:iCs/>
          <w:sz w:val="20"/>
          <w:szCs w:val="28"/>
          <w:lang w:val="nl-NL" w:eastAsia="nl-NL"/>
        </w:rPr>
        <w:t xml:space="preserve"> X</w:t>
      </w:r>
      <w:r w:rsidRPr="009461E5" w:rsidR="009461E5">
        <w:rPr>
          <w:rFonts w:ascii="Arial" w:hAnsi="Arial" w:eastAsia="Times New Roman" w:cs="Times New Roman"/>
          <w:bCs/>
          <w:i/>
          <w:iCs/>
          <w:sz w:val="20"/>
          <w:szCs w:val="28"/>
          <w:lang w:val="nl-NL" w:eastAsia="nl-NL"/>
        </w:rPr>
        <w:t>II van het Protocol</w:t>
      </w:r>
      <w:r w:rsidRPr="00393A06">
        <w:rPr>
          <w:rFonts w:ascii="Arial" w:hAnsi="Arial" w:eastAsia="Times New Roman" w:cs="Times New Roman"/>
          <w:bCs/>
          <w:i/>
          <w:iCs/>
          <w:sz w:val="20"/>
          <w:szCs w:val="28"/>
          <w:lang w:val="nl-NL" w:eastAsia="nl-NL"/>
        </w:rPr>
        <w:t>)</w:t>
      </w:r>
    </w:p>
    <w:p w:rsidRPr="00393A06" w:rsidR="00393A06" w:rsidP="00393A06" w:rsidRDefault="00393A06" w14:paraId="53A66E00" w14:textId="3319C59E">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In artikel 2</w:t>
      </w:r>
      <w:r w:rsidR="004A44A2">
        <w:rPr>
          <w:rFonts w:ascii="Arial" w:hAnsi="Arial" w:eastAsia="Times New Roman" w:cs="Times New Roman"/>
          <w:sz w:val="20"/>
          <w:szCs w:val="24"/>
          <w:lang w:val="nl-NL" w:eastAsia="nl-NL"/>
        </w:rPr>
        <w:t>6</w:t>
      </w:r>
      <w:r w:rsidRPr="00393A06">
        <w:rPr>
          <w:rFonts w:ascii="Arial" w:hAnsi="Arial" w:eastAsia="Times New Roman" w:cs="Times New Roman"/>
          <w:sz w:val="20"/>
          <w:szCs w:val="24"/>
          <w:lang w:val="nl-NL" w:eastAsia="nl-NL"/>
        </w:rPr>
        <w:t xml:space="preserve"> zijn de verdragsluitende staten samenwerking bij de invordering van belastingen overeengekomen. Het artikel is gelijk aan artikel 27 van het OESO-modelverdrag. </w:t>
      </w:r>
    </w:p>
    <w:p w:rsidRPr="00393A06" w:rsidR="00393A06" w:rsidP="00393A06" w:rsidRDefault="00393A06" w14:paraId="32D6CE0B" w14:textId="50ECBBB3">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Het eerste lid bevat de verplichting tot het verlenen van de bijstand. Net als het geval is bij de uitwisseling van informatie, is de bijstand bij invordering niet beperkt tot inwoners van de verdragsluitende staten en evenmin tot de belastingen waarop het Verdrag van toepassing is. In afwijking van onderdeel 2.16.2 van de NFV 2011 is geen doelmatigheidsdrempel opgenomen. Hierbij is wel van belang dat in het achtste lid een algemene proportionaliteitstoets is opgenomen voor bijstand bij invordering, overeenkomstig het OESO-modelverdrag.</w:t>
      </w:r>
      <w:r w:rsidR="00BE51B1">
        <w:rPr>
          <w:rFonts w:ascii="Arial" w:hAnsi="Arial" w:eastAsia="Times New Roman" w:cs="Times New Roman"/>
          <w:sz w:val="20"/>
          <w:szCs w:val="24"/>
          <w:lang w:val="nl-NL" w:eastAsia="nl-NL"/>
        </w:rPr>
        <w:t xml:space="preserve"> Het eerste lid bepaalt tot slot dat </w:t>
      </w:r>
      <w:r w:rsidRPr="00FE3A57" w:rsidR="00BE51B1">
        <w:rPr>
          <w:rFonts w:ascii="Arial" w:hAnsi="Arial" w:eastAsia="Times New Roman" w:cs="Times New Roman"/>
          <w:sz w:val="20"/>
          <w:szCs w:val="24"/>
          <w:lang w:val="nl-NL" w:eastAsia="nl-NL"/>
        </w:rPr>
        <w:t xml:space="preserve">de bevoegde autoriteiten in onderling overleg </w:t>
      </w:r>
      <w:r w:rsidR="00BE51B1">
        <w:rPr>
          <w:rFonts w:ascii="Arial" w:hAnsi="Arial" w:eastAsia="Times New Roman" w:cs="Times New Roman"/>
          <w:sz w:val="20"/>
          <w:szCs w:val="24"/>
          <w:lang w:val="nl-NL" w:eastAsia="nl-NL"/>
        </w:rPr>
        <w:t>de toepassing van dit artikel kunnen regelen</w:t>
      </w:r>
      <w:r w:rsidRPr="00FE3A57" w:rsidR="00BE51B1">
        <w:rPr>
          <w:rFonts w:ascii="Arial" w:hAnsi="Arial" w:eastAsia="Times New Roman" w:cs="Times New Roman"/>
          <w:sz w:val="20"/>
          <w:szCs w:val="24"/>
          <w:lang w:val="nl-NL" w:eastAsia="nl-NL"/>
        </w:rPr>
        <w:t xml:space="preserve">. </w:t>
      </w:r>
      <w:r w:rsidRPr="000C35E6" w:rsidR="00BE51B1">
        <w:rPr>
          <w:rFonts w:ascii="Arial" w:hAnsi="Arial" w:eastAsia="Times New Roman" w:cs="Arial"/>
          <w:sz w:val="20"/>
          <w:szCs w:val="20"/>
          <w:lang w:val="nl-NL" w:eastAsia="nl-NL"/>
        </w:rPr>
        <w:t xml:space="preserve">Indien die </w:t>
      </w:r>
      <w:r w:rsidR="00BE51B1">
        <w:rPr>
          <w:rFonts w:ascii="Arial" w:hAnsi="Arial" w:eastAsia="Times New Roman" w:cs="Arial"/>
          <w:sz w:val="20"/>
          <w:szCs w:val="20"/>
          <w:lang w:val="nl-NL" w:eastAsia="nl-NL"/>
        </w:rPr>
        <w:t>toepassing wordt</w:t>
      </w:r>
      <w:r w:rsidRPr="000C35E6" w:rsidR="00BE51B1">
        <w:rPr>
          <w:rFonts w:ascii="Arial" w:hAnsi="Arial" w:eastAsia="Times New Roman" w:cs="Arial"/>
          <w:sz w:val="20"/>
          <w:szCs w:val="20"/>
          <w:lang w:val="nl-NL" w:eastAsia="nl-NL"/>
        </w:rPr>
        <w:t xml:space="preserve">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A525B8" w:rsidR="00393A06" w:rsidP="00393A06" w:rsidRDefault="00393A06" w14:paraId="75AB3FE1" w14:textId="5F21D5F6">
      <w:pPr>
        <w:spacing w:after="0" w:line="360" w:lineRule="auto"/>
        <w:ind w:firstLine="709"/>
        <w:rPr>
          <w:rFonts w:ascii="Arial" w:hAnsi="Arial" w:eastAsia="Times New Roman" w:cs="Arial"/>
          <w:sz w:val="20"/>
          <w:szCs w:val="20"/>
          <w:lang w:val="nl-NL" w:eastAsia="nl-NL"/>
        </w:rPr>
      </w:pPr>
      <w:r w:rsidRPr="00393A06">
        <w:rPr>
          <w:rFonts w:ascii="Arial" w:hAnsi="Arial" w:eastAsia="Times New Roman" w:cs="Times New Roman"/>
          <w:sz w:val="20"/>
          <w:szCs w:val="24"/>
          <w:lang w:val="nl-NL" w:eastAsia="nl-NL"/>
        </w:rPr>
        <w:t xml:space="preserve">Het tweede lid bepaalt wat voor de toepassing van dit artikel wordt verstaan onder een </w:t>
      </w:r>
      <w:r w:rsidR="00257E12">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belastingvordering</w:t>
      </w:r>
      <w:r w:rsidR="00257E12">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sidRPr="00393A06">
        <w:rPr>
          <w:rFonts w:ascii="Arial" w:hAnsi="Arial" w:eastAsia="Times New Roman" w:cs="Arial"/>
          <w:sz w:val="20"/>
          <w:szCs w:val="20"/>
          <w:lang w:val="nl-NL" w:eastAsia="nl-NL"/>
        </w:rPr>
        <w:t>Het gaat om belastingvorderingen met betrekking tot alle soorten belastingen, met inbegrip van bijkomende kosten. Vorderingen die betrekking hebben op belastingen geheven op een wijze die in strijd is met het Verdrag zelf of met andere verdragen waarbij de staten partij zijn, worden van de invorderingsbijstand uitgezonderd. Bijkomende kosten die onder de invorderingsbijstand vallen, zijn interest, bestuursrechtelijke boetes en de kosten van invordering of van conservatoire maatregelen.</w:t>
      </w:r>
    </w:p>
    <w:p w:rsidRPr="00393A06" w:rsidR="00393A06" w:rsidP="00393A06" w:rsidRDefault="00393A06" w14:paraId="45BE8A4E" w14:textId="2E583854">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lastRenderedPageBreak/>
        <w:t xml:space="preserve">Ingevolge het derde lid kan een verdragsluitende staat om bijstand bij invordering verzoeken wanneer een belastingvordering volgens de wetgeving van die staat kan worden ingevorderd en aan een </w:t>
      </w:r>
      <w:r w:rsidRPr="00E23CC7">
        <w:rPr>
          <w:rFonts w:ascii="Arial" w:hAnsi="Arial" w:eastAsia="Times New Roman" w:cs="Arial"/>
          <w:sz w:val="20"/>
          <w:szCs w:val="20"/>
          <w:lang w:val="nl-NL" w:eastAsia="nl-NL"/>
        </w:rPr>
        <w:t xml:space="preserve">belastingschuldige geen (rechts)middelen meer ter beschikking staan om de invordering tegen te houden. </w:t>
      </w:r>
      <w:r w:rsidRPr="00E23CC7" w:rsidR="00C87090">
        <w:rPr>
          <w:rFonts w:ascii="Arial" w:hAnsi="Arial" w:eastAsia="Times New Roman" w:cs="Times New Roman"/>
          <w:sz w:val="20"/>
          <w:szCs w:val="24"/>
          <w:lang w:val="nl-NL" w:eastAsia="nl-NL"/>
        </w:rPr>
        <w:t>In afwijking van</w:t>
      </w:r>
      <w:r w:rsidRPr="00E23CC7">
        <w:rPr>
          <w:rFonts w:ascii="Arial" w:hAnsi="Arial" w:eastAsia="Times New Roman" w:cs="Times New Roman"/>
          <w:sz w:val="20"/>
          <w:szCs w:val="24"/>
          <w:lang w:val="nl-NL" w:eastAsia="nl-NL"/>
        </w:rPr>
        <w:t xml:space="preserve"> o</w:t>
      </w:r>
      <w:r w:rsidRPr="00E23CC7" w:rsidR="00C87090">
        <w:rPr>
          <w:rFonts w:ascii="Arial" w:hAnsi="Arial" w:eastAsia="Times New Roman" w:cs="Times New Roman"/>
          <w:sz w:val="20"/>
          <w:szCs w:val="24"/>
          <w:lang w:val="nl-NL" w:eastAsia="nl-NL"/>
        </w:rPr>
        <w:t>nderdeel 2.16.2 van de NFV 2011</w:t>
      </w:r>
      <w:r w:rsidRPr="00E23CC7">
        <w:rPr>
          <w:rFonts w:ascii="Arial" w:hAnsi="Arial" w:eastAsia="Times New Roman" w:cs="Times New Roman"/>
          <w:sz w:val="20"/>
          <w:szCs w:val="24"/>
          <w:lang w:val="nl-NL" w:eastAsia="nl-NL"/>
        </w:rPr>
        <w:t xml:space="preserve"> </w:t>
      </w:r>
      <w:r w:rsidRPr="00E23CC7" w:rsidR="00C87090">
        <w:rPr>
          <w:rFonts w:ascii="Arial" w:hAnsi="Arial" w:eastAsia="Times New Roman" w:cs="Times New Roman"/>
          <w:sz w:val="20"/>
          <w:szCs w:val="24"/>
          <w:lang w:val="nl-NL" w:eastAsia="nl-NL"/>
        </w:rPr>
        <w:t xml:space="preserve">is voor wat betreft de </w:t>
      </w:r>
      <w:r w:rsidRPr="00E23CC7">
        <w:rPr>
          <w:rFonts w:ascii="Arial" w:hAnsi="Arial" w:eastAsia="Times New Roman" w:cs="Arial"/>
          <w:sz w:val="20"/>
          <w:szCs w:val="20"/>
          <w:lang w:val="nl-NL" w:eastAsia="nl-NL"/>
        </w:rPr>
        <w:t>voorwaarden voor invorderingsbijstand op basis van dit artikel</w:t>
      </w:r>
      <w:r w:rsidR="00CC7EA1">
        <w:rPr>
          <w:rFonts w:ascii="Arial" w:hAnsi="Arial" w:eastAsia="Times New Roman" w:cs="Arial"/>
          <w:sz w:val="20"/>
          <w:szCs w:val="20"/>
          <w:lang w:val="nl-NL" w:eastAsia="nl-NL"/>
        </w:rPr>
        <w:t>,</w:t>
      </w:r>
      <w:r w:rsidRPr="00E23CC7">
        <w:rPr>
          <w:rFonts w:ascii="Arial" w:hAnsi="Arial" w:eastAsia="Times New Roman" w:cs="Arial"/>
          <w:sz w:val="20"/>
          <w:szCs w:val="20"/>
          <w:lang w:val="nl-NL" w:eastAsia="nl-NL"/>
        </w:rPr>
        <w:t xml:space="preserve"> </w:t>
      </w:r>
      <w:r w:rsidRPr="00E23CC7" w:rsidR="00C87090">
        <w:rPr>
          <w:rFonts w:ascii="Arial" w:hAnsi="Arial" w:eastAsia="Times New Roman" w:cs="Arial"/>
          <w:sz w:val="20"/>
          <w:szCs w:val="20"/>
          <w:lang w:val="nl-NL" w:eastAsia="nl-NL"/>
        </w:rPr>
        <w:t xml:space="preserve">op verzoek van Liechtenstein geen onderscheid gemaakt tussen </w:t>
      </w:r>
      <w:r w:rsidRPr="00E23CC7">
        <w:rPr>
          <w:rFonts w:ascii="Arial" w:hAnsi="Arial" w:eastAsia="Times New Roman" w:cs="Arial"/>
          <w:sz w:val="20"/>
          <w:szCs w:val="20"/>
          <w:lang w:val="nl-NL" w:eastAsia="nl-NL"/>
        </w:rPr>
        <w:t>inwoner</w:t>
      </w:r>
      <w:r w:rsidRPr="00E23CC7" w:rsidR="00C87090">
        <w:rPr>
          <w:rFonts w:ascii="Arial" w:hAnsi="Arial" w:eastAsia="Times New Roman" w:cs="Arial"/>
          <w:sz w:val="20"/>
          <w:szCs w:val="20"/>
          <w:lang w:val="nl-NL" w:eastAsia="nl-NL"/>
        </w:rPr>
        <w:t>s</w:t>
      </w:r>
      <w:r w:rsidRPr="00E23CC7">
        <w:rPr>
          <w:rFonts w:ascii="Arial" w:hAnsi="Arial" w:eastAsia="Times New Roman" w:cs="Arial"/>
          <w:sz w:val="20"/>
          <w:szCs w:val="20"/>
          <w:lang w:val="nl-NL" w:eastAsia="nl-NL"/>
        </w:rPr>
        <w:t xml:space="preserve"> </w:t>
      </w:r>
      <w:r w:rsidRPr="00E23CC7" w:rsidR="00C87090">
        <w:rPr>
          <w:rFonts w:ascii="Arial" w:hAnsi="Arial" w:eastAsia="Times New Roman" w:cs="Arial"/>
          <w:sz w:val="20"/>
          <w:szCs w:val="20"/>
          <w:lang w:val="nl-NL" w:eastAsia="nl-NL"/>
        </w:rPr>
        <w:t>en</w:t>
      </w:r>
      <w:r w:rsidRPr="00E23CC7">
        <w:rPr>
          <w:rFonts w:ascii="Arial" w:hAnsi="Arial" w:eastAsia="Times New Roman" w:cs="Arial"/>
          <w:sz w:val="20"/>
          <w:szCs w:val="20"/>
          <w:lang w:val="nl-NL" w:eastAsia="nl-NL"/>
        </w:rPr>
        <w:t xml:space="preserve"> niet-inwoner</w:t>
      </w:r>
      <w:r w:rsidRPr="00E23CC7" w:rsidR="00C87090">
        <w:rPr>
          <w:rFonts w:ascii="Arial" w:hAnsi="Arial" w:eastAsia="Times New Roman" w:cs="Arial"/>
          <w:sz w:val="20"/>
          <w:szCs w:val="20"/>
          <w:lang w:val="nl-NL" w:eastAsia="nl-NL"/>
        </w:rPr>
        <w:t>s</w:t>
      </w:r>
      <w:r w:rsidRPr="00E23CC7">
        <w:rPr>
          <w:rFonts w:ascii="Arial" w:hAnsi="Arial" w:eastAsia="Times New Roman" w:cs="Arial"/>
          <w:sz w:val="20"/>
          <w:szCs w:val="20"/>
          <w:lang w:val="nl-NL" w:eastAsia="nl-NL"/>
        </w:rPr>
        <w:t>.</w:t>
      </w:r>
      <w:r w:rsidRPr="00E23CC7" w:rsidR="00C87090">
        <w:rPr>
          <w:rFonts w:ascii="Arial" w:hAnsi="Arial" w:eastAsia="Times New Roman" w:cs="Arial"/>
          <w:sz w:val="20"/>
          <w:szCs w:val="20"/>
          <w:lang w:val="nl-NL" w:eastAsia="nl-NL"/>
        </w:rPr>
        <w:t xml:space="preserve"> Overeengekomen</w:t>
      </w:r>
      <w:r w:rsidR="00C87090">
        <w:rPr>
          <w:rFonts w:ascii="Arial" w:hAnsi="Arial" w:eastAsia="Times New Roman" w:cs="Arial"/>
          <w:sz w:val="20"/>
          <w:szCs w:val="20"/>
          <w:lang w:val="nl-NL" w:eastAsia="nl-NL"/>
        </w:rPr>
        <w:t xml:space="preserve"> is om aan te sluiten bij het OESO-modelverdrag.</w:t>
      </w:r>
    </w:p>
    <w:p w:rsidRPr="00393A06" w:rsidR="00393A06" w:rsidP="00393A06" w:rsidRDefault="00393A06" w14:paraId="39CCBE02" w14:textId="27A51F29">
      <w:pPr>
        <w:spacing w:after="0" w:line="360" w:lineRule="auto"/>
        <w:ind w:firstLine="708"/>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Het vierde lid ziet op het nemen van conservatoire maatregelen. De aangezochte staat dient voor de invordering van een buitenlandse belastingschuld dezelfde conservatoire maatregelen te nemen die deze staat zou nemen voor de invordering van een binnenlandse schuld. De aangezochte staat zal reeds ingaan op een verzoek om conservatoire maatregelen te nemen, ook al is de belastingschuld nog niet invorderbaar of nog vatbaar voor bezwaar en beroep.</w:t>
      </w:r>
    </w:p>
    <w:p w:rsidRPr="00393A06" w:rsidR="00393A06" w:rsidP="00393A06" w:rsidRDefault="0041744B" w14:paraId="7EA22D3D" w14:textId="5B72716C">
      <w:pPr>
        <w:spacing w:after="0" w:line="360" w:lineRule="auto"/>
        <w:ind w:firstLine="709"/>
        <w:rPr>
          <w:rFonts w:ascii="Arial" w:hAnsi="Arial" w:eastAsia="Times New Roman" w:cs="Arial"/>
          <w:sz w:val="20"/>
          <w:szCs w:val="20"/>
          <w:lang w:val="nl-NL" w:eastAsia="nl-NL"/>
        </w:rPr>
      </w:pPr>
      <w:r w:rsidRPr="0041744B">
        <w:rPr>
          <w:rFonts w:ascii="Arial" w:hAnsi="Arial" w:eastAsia="Times New Roman" w:cs="Arial"/>
          <w:sz w:val="20"/>
          <w:szCs w:val="20"/>
          <w:lang w:val="nl-NL" w:eastAsia="nl-NL"/>
        </w:rPr>
        <w:t xml:space="preserve">Het vijfde lid bevat nadere bepalingen met betrekking tot de in het derde en vierde lid neergelegde verplichting voor de aangezochte staat om de buitenlandse belastingschuld in te vorderen als ware het een binnenlandse belastingschuld. Ten eerste gelden niet de verjaringstermijnen die specifiek betrekking </w:t>
      </w:r>
      <w:r>
        <w:rPr>
          <w:rFonts w:ascii="Arial" w:hAnsi="Arial" w:eastAsia="Times New Roman" w:cs="Arial"/>
          <w:sz w:val="20"/>
          <w:szCs w:val="20"/>
          <w:lang w:val="nl-NL" w:eastAsia="nl-NL"/>
        </w:rPr>
        <w:t xml:space="preserve">hebben </w:t>
      </w:r>
      <w:r w:rsidRPr="0041744B">
        <w:rPr>
          <w:rFonts w:ascii="Arial" w:hAnsi="Arial" w:eastAsia="Times New Roman" w:cs="Arial"/>
          <w:sz w:val="20"/>
          <w:szCs w:val="20"/>
          <w:lang w:val="nl-NL" w:eastAsia="nl-NL"/>
        </w:rPr>
        <w:t>op belastingschulden van de aangezochte staat, maar die van de verzoekende staat. Ten tweede is bepaald dat aan de invordering van buitenlandse belastingvorderingen geen voorrang wordt verleend, noch volgens de wetgeving van de verzoekende staat noch volgens de wetgeving van de aangezochte staat.</w:t>
      </w:r>
      <w:r w:rsidRPr="00393A06" w:rsidR="00393A06">
        <w:rPr>
          <w:rFonts w:ascii="Arial" w:hAnsi="Arial" w:eastAsia="Times New Roman" w:cs="Arial"/>
          <w:sz w:val="20"/>
          <w:szCs w:val="20"/>
          <w:lang w:val="nl-NL" w:eastAsia="nl-NL"/>
        </w:rPr>
        <w:t xml:space="preserve"> </w:t>
      </w:r>
    </w:p>
    <w:p w:rsidRPr="00393A06" w:rsidR="00393A06" w:rsidP="00393A06" w:rsidRDefault="00393A06" w14:paraId="2EAE672F" w14:textId="77777777">
      <w:pPr>
        <w:spacing w:after="0" w:line="360" w:lineRule="auto"/>
        <w:ind w:firstLine="709"/>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Ingevolge het zesde lid kunnen procedures inzake het bestaan, de geldigheid of het bedrag van een belastingvordering van een verzoekende staat niet voor een rechterlijke instantie of administratiefrechtelijk lichaam van een aangezochte staat worden gebracht. </w:t>
      </w:r>
    </w:p>
    <w:p w:rsidRPr="00393A06" w:rsidR="00393A06" w:rsidP="00393A06" w:rsidRDefault="00393A06" w14:paraId="73B950CF" w14:textId="77777777">
      <w:pPr>
        <w:spacing w:after="0" w:line="360" w:lineRule="auto"/>
        <w:ind w:firstLine="709"/>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Uit het zevende lid volgt dat wanneer niet langer is voldaan aan de voorwaarden voor het doen van een verzoek tot invordering, bijvoorbeeld omdat een vordering niet langer invorderbaar is in de verzoekende staat, de verzoekende staat de aangezochte staat onverwijld op de hoogte dient te brengen van deze gewijzigde omstandigheden.</w:t>
      </w:r>
    </w:p>
    <w:p w:rsidRPr="00677930" w:rsidR="00393A06" w:rsidP="00393A06" w:rsidRDefault="00393A06" w14:paraId="275E1421" w14:textId="2A760A4D">
      <w:pPr>
        <w:spacing w:after="0" w:line="360" w:lineRule="auto"/>
        <w:ind w:firstLine="709"/>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In het achtste lid is een aantal beperkingen opgenomen van de verplichting van de aangezochte staat om </w:t>
      </w:r>
      <w:r w:rsidRPr="00677930">
        <w:rPr>
          <w:rFonts w:ascii="Arial" w:hAnsi="Arial" w:eastAsia="Times New Roman" w:cs="Arial"/>
          <w:sz w:val="20"/>
          <w:szCs w:val="20"/>
          <w:lang w:val="nl-NL" w:eastAsia="nl-NL"/>
        </w:rPr>
        <w:t>aan een bijstandsverzoek van de verzoekende staat te voldoen</w:t>
      </w:r>
      <w:r w:rsidR="000150C8">
        <w:rPr>
          <w:rFonts w:ascii="Arial" w:hAnsi="Arial" w:eastAsia="Times New Roman" w:cs="Arial"/>
          <w:sz w:val="20"/>
          <w:szCs w:val="20"/>
          <w:lang w:val="nl-NL" w:eastAsia="nl-NL"/>
        </w:rPr>
        <w:t xml:space="preserve"> waaronder de al genoemde proportionaliteit</w:t>
      </w:r>
      <w:r w:rsidRPr="00677930">
        <w:rPr>
          <w:rFonts w:ascii="Arial" w:hAnsi="Arial" w:eastAsia="Times New Roman" w:cs="Arial"/>
          <w:sz w:val="20"/>
          <w:szCs w:val="20"/>
          <w:lang w:val="nl-NL" w:eastAsia="nl-NL"/>
        </w:rPr>
        <w:t>.</w:t>
      </w:r>
    </w:p>
    <w:p w:rsidRPr="004A44A2" w:rsidR="004A44A2" w:rsidP="004A44A2" w:rsidRDefault="004A44A2" w14:paraId="482AB2E5" w14:textId="0B30A926">
      <w:pPr>
        <w:tabs>
          <w:tab w:val="left" w:pos="709"/>
        </w:tabs>
        <w:spacing w:after="0" w:line="360" w:lineRule="auto"/>
        <w:ind w:firstLine="708"/>
        <w:rPr>
          <w:rFonts w:ascii="Arial" w:hAnsi="Arial" w:eastAsia="Times New Roman" w:cs="Arial"/>
          <w:sz w:val="20"/>
          <w:szCs w:val="20"/>
          <w:lang w:val="nl-NL" w:eastAsia="nl-NL"/>
        </w:rPr>
      </w:pPr>
      <w:r w:rsidRPr="00677930">
        <w:rPr>
          <w:rFonts w:ascii="Arial" w:hAnsi="Arial" w:eastAsia="Times New Roman" w:cs="Arial"/>
          <w:sz w:val="20"/>
          <w:szCs w:val="20"/>
          <w:lang w:val="nl-NL" w:eastAsia="nl-NL"/>
        </w:rPr>
        <w:t xml:space="preserve">In artikel XII van het Protocol is een bepaling opgenomen op basis waarvan </w:t>
      </w:r>
      <w:r w:rsidRPr="00677930" w:rsidR="00677930">
        <w:rPr>
          <w:rFonts w:ascii="Arial" w:hAnsi="Arial" w:eastAsia="Times New Roman" w:cs="Arial"/>
          <w:sz w:val="20"/>
          <w:szCs w:val="20"/>
          <w:lang w:val="nl-NL" w:eastAsia="nl-NL"/>
        </w:rPr>
        <w:t>de bevoegde autoriteiten kunnen overeenkomen onder welke omstandigheden artikel 26 kan worden toegepast met betrekking tot de invordering van toeslagen.</w:t>
      </w:r>
    </w:p>
    <w:p w:rsidRPr="00393A06" w:rsidR="00393A06" w:rsidP="00393A06" w:rsidRDefault="00393A06" w14:paraId="5CB21D58" w14:textId="6FEBB0FF">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Diplomatieke en c</w:t>
      </w:r>
      <w:r w:rsidR="00F968F0">
        <w:rPr>
          <w:rFonts w:ascii="Arial" w:hAnsi="Arial" w:eastAsia="Times New Roman" w:cs="Times New Roman"/>
          <w:bCs/>
          <w:i/>
          <w:iCs/>
          <w:sz w:val="20"/>
          <w:szCs w:val="28"/>
          <w:lang w:val="nl-NL" w:eastAsia="nl-NL"/>
        </w:rPr>
        <w:t>onsulaire ambtenaren (artikel 27</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393A06" w:rsidP="00393A06" w:rsidRDefault="00393A06" w14:paraId="381C9EF2" w14:textId="44238119">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sidR="004C04FD">
        <w:rPr>
          <w:rFonts w:ascii="Arial" w:hAnsi="Arial" w:eastAsia="Times New Roman" w:cs="Times New Roman"/>
          <w:sz w:val="20"/>
          <w:szCs w:val="24"/>
          <w:lang w:val="nl-NL" w:eastAsia="nl-NL"/>
        </w:rPr>
        <w:t>7</w:t>
      </w:r>
      <w:r w:rsidRPr="00393A06">
        <w:rPr>
          <w:rFonts w:ascii="Arial" w:hAnsi="Arial" w:eastAsia="Times New Roman" w:cs="Times New Roman"/>
          <w:sz w:val="20"/>
          <w:szCs w:val="24"/>
          <w:lang w:val="nl-NL" w:eastAsia="nl-NL"/>
        </w:rPr>
        <w:t xml:space="preserve"> ziet op de toepassing van het Verdrag in relatie tot leden van een diplomatieke of consulaire vertegenwoordiging. </w:t>
      </w:r>
    </w:p>
    <w:p w:rsidRPr="00393A06" w:rsidR="00393A06" w:rsidP="00393A06" w:rsidRDefault="00393A06" w14:paraId="3D0A8BEC" w14:textId="77777777">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Het eerste lid bepaalt, conform artikel 28 van het OESO-modelverdrag, dat fiscale voorrechten toegekend aan leden van een diplomatieke of consulaire vertegenwoordiging op grond van internationaal recht of internationale overeenkomsten, niet worden aangetast door het onderhavige Verdrag.</w:t>
      </w:r>
    </w:p>
    <w:p w:rsidRPr="00393A06" w:rsidR="00393A06" w:rsidP="00393A06" w:rsidRDefault="00393A06" w14:paraId="58A6A6B0" w14:textId="301A2937">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lastRenderedPageBreak/>
        <w:t xml:space="preserve">Het tweede lid is ontleend aan paragraaf 3 van het commentaar op artikel 28 van het OESO-modelverdrag. Als gevolg van deze bepaling wordt een diplomaat voor de toepassing van het Verdrag geacht inwoner te zijn van de zendstaat, indien hij onderdaan is van die staat en daarin op dezelfde wijze aan belastingen naar het inkomen </w:t>
      </w:r>
      <w:r w:rsidR="0029761C">
        <w:rPr>
          <w:rFonts w:ascii="Arial" w:hAnsi="Arial" w:eastAsia="Times New Roman" w:cs="Times New Roman"/>
          <w:sz w:val="20"/>
          <w:szCs w:val="24"/>
          <w:lang w:val="nl-NL" w:eastAsia="nl-NL"/>
        </w:rPr>
        <w:t xml:space="preserve">en het vermogen </w:t>
      </w:r>
      <w:r w:rsidRPr="00393A06">
        <w:rPr>
          <w:rFonts w:ascii="Arial" w:hAnsi="Arial" w:eastAsia="Times New Roman" w:cs="Times New Roman"/>
          <w:sz w:val="20"/>
          <w:szCs w:val="24"/>
          <w:lang w:val="nl-NL" w:eastAsia="nl-NL"/>
        </w:rPr>
        <w:t xml:space="preserve">is onderworpen als inwoners van die staat. Als aan die voorwaarde is voldaan, kunnen diplomaten een beroep doen op de toepassing van de bepalingen van het Verdrag. De bepaling ziet zowel op diplomaten die door de zendstaat zijn uitgezonden naar de andere verdragsluitende staat als op diplomaten die naar derde staten zijn uitgezonden. Voor Nederland sluit deze bepaling aan bij de woonplaatsfictie van artikel 2.2, tweede lid, van de Wet </w:t>
      </w:r>
      <w:r w:rsidR="009A4CFE">
        <w:rPr>
          <w:rFonts w:ascii="Arial" w:hAnsi="Arial" w:eastAsia="Times New Roman" w:cs="Times New Roman"/>
          <w:sz w:val="20"/>
          <w:szCs w:val="24"/>
          <w:lang w:val="nl-NL" w:eastAsia="nl-NL"/>
        </w:rPr>
        <w:t>inkomstenbelasting</w:t>
      </w:r>
      <w:r w:rsidRPr="00393A06">
        <w:rPr>
          <w:rFonts w:ascii="Arial" w:hAnsi="Arial" w:eastAsia="Times New Roman" w:cs="Times New Roman"/>
          <w:sz w:val="20"/>
          <w:szCs w:val="24"/>
          <w:lang w:val="nl-NL" w:eastAsia="nl-NL"/>
        </w:rPr>
        <w:t xml:space="preserve"> 2001.</w:t>
      </w:r>
    </w:p>
    <w:p w:rsidR="00E93782" w:rsidP="00314DCA" w:rsidRDefault="00393A06" w14:paraId="34C5B842" w14:textId="299489A5">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 Het derde lid is ontleend aan paragraaf 4 van het commentaar op artikel 28 van het OESO-modelverdrag. Op grond van deze bepaling hebben internationale organisaties en hun organen of hun functionarissen, evenals leden van een diplomatieke vertegenwoordiging of consulaire post van een derde staat, die in een verdragsluitende staat verblijven geen recht op de voordelen van het Verdrag indien zij niet op dezelfde wijze aan de belastingheffing naar het inkomen </w:t>
      </w:r>
      <w:r w:rsidR="0029761C">
        <w:rPr>
          <w:rFonts w:ascii="Arial" w:hAnsi="Arial" w:eastAsia="Times New Roman" w:cs="Times New Roman"/>
          <w:sz w:val="20"/>
          <w:szCs w:val="24"/>
          <w:lang w:val="nl-NL" w:eastAsia="nl-NL"/>
        </w:rPr>
        <w:t xml:space="preserve">of het vermogen </w:t>
      </w:r>
      <w:r w:rsidRPr="00393A06">
        <w:rPr>
          <w:rFonts w:ascii="Arial" w:hAnsi="Arial" w:eastAsia="Times New Roman" w:cs="Times New Roman"/>
          <w:sz w:val="20"/>
          <w:szCs w:val="24"/>
          <w:lang w:val="nl-NL" w:eastAsia="nl-NL"/>
        </w:rPr>
        <w:t xml:space="preserve">zijn onderworpen als inwoners van die staat. </w:t>
      </w:r>
    </w:p>
    <w:p w:rsidRPr="00D63B02" w:rsidR="00E93782" w:rsidP="00777141" w:rsidRDefault="00743F9A" w14:paraId="3867F0E3" w14:textId="6D3F6CD0">
      <w:pPr>
        <w:pStyle w:val="Heading2"/>
        <w:ind w:left="0"/>
        <w:rPr>
          <w:b w:val="0"/>
          <w:i/>
          <w:lang w:val="nl-NL"/>
        </w:rPr>
      </w:pPr>
      <w:r w:rsidRPr="00D63B02">
        <w:rPr>
          <w:b w:val="0"/>
          <w:i/>
          <w:lang w:val="nl-NL"/>
        </w:rPr>
        <w:t>Recht op voordelen (artikel 28</w:t>
      </w:r>
      <w:r w:rsidRPr="00D63B02" w:rsidR="00D63B02">
        <w:rPr>
          <w:b w:val="0"/>
          <w:i/>
          <w:lang w:val="nl-NL"/>
        </w:rPr>
        <w:t xml:space="preserve"> van het Verdrag</w:t>
      </w:r>
      <w:r w:rsidRPr="00D63B02" w:rsidR="00E93782">
        <w:rPr>
          <w:b w:val="0"/>
          <w:i/>
          <w:lang w:val="nl-NL"/>
        </w:rPr>
        <w:t>)</w:t>
      </w:r>
    </w:p>
    <w:p w:rsidRPr="00256FC3" w:rsidR="00E93782" w:rsidP="00256FC3" w:rsidRDefault="00E93782" w14:paraId="06910025" w14:textId="3F2B94AB">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In ar</w:t>
      </w:r>
      <w:r w:rsidR="00743F9A">
        <w:rPr>
          <w:rFonts w:ascii="Arial" w:hAnsi="Arial" w:eastAsia="Times New Roman" w:cs="Arial"/>
          <w:sz w:val="20"/>
          <w:szCs w:val="20"/>
          <w:lang w:val="nl-NL" w:eastAsia="nl-NL"/>
        </w:rPr>
        <w:t>tikel 28</w:t>
      </w:r>
      <w:r w:rsidRPr="00393A06">
        <w:rPr>
          <w:rFonts w:ascii="Arial" w:hAnsi="Arial" w:eastAsia="Times New Roman" w:cs="Arial"/>
          <w:sz w:val="20"/>
          <w:szCs w:val="20"/>
          <w:lang w:val="nl-NL" w:eastAsia="nl-NL"/>
        </w:rPr>
        <w:t xml:space="preserve"> van het Verdrag is</w:t>
      </w:r>
      <w:r w:rsidR="008800E0">
        <w:rPr>
          <w:rFonts w:ascii="Arial" w:hAnsi="Arial" w:eastAsia="Times New Roman" w:cs="Arial"/>
          <w:sz w:val="20"/>
          <w:szCs w:val="20"/>
          <w:lang w:val="nl-NL" w:eastAsia="nl-NL"/>
        </w:rPr>
        <w:t xml:space="preserve"> in aansluiting bij artikel 29, negende lid, van het OESO-modelverdrag en</w:t>
      </w:r>
      <w:r w:rsidRPr="00393A06">
        <w:rPr>
          <w:rFonts w:ascii="Arial" w:hAnsi="Arial" w:eastAsia="Times New Roman" w:cs="Arial"/>
          <w:sz w:val="20"/>
          <w:szCs w:val="20"/>
          <w:lang w:val="nl-NL" w:eastAsia="nl-NL"/>
        </w:rPr>
        <w:t xml:space="preserve"> in overeenstemming met de aanbevelingen in het rapport bij actiepunt 6 van het BEPS-project een zogeheten ‘</w:t>
      </w:r>
      <w:proofErr w:type="spellStart"/>
      <w:r w:rsidRPr="00393A06">
        <w:rPr>
          <w:rFonts w:ascii="Arial" w:hAnsi="Arial" w:eastAsia="Times New Roman" w:cs="Arial"/>
          <w:i/>
          <w:sz w:val="20"/>
          <w:szCs w:val="20"/>
          <w:lang w:val="nl-NL" w:eastAsia="nl-NL"/>
        </w:rPr>
        <w:t>principal</w:t>
      </w:r>
      <w:proofErr w:type="spellEnd"/>
      <w:r w:rsidRPr="00393A06">
        <w:rPr>
          <w:rFonts w:ascii="Arial" w:hAnsi="Arial" w:eastAsia="Times New Roman" w:cs="Arial"/>
          <w:i/>
          <w:sz w:val="20"/>
          <w:szCs w:val="20"/>
          <w:lang w:val="nl-NL" w:eastAsia="nl-NL"/>
        </w:rPr>
        <w:t xml:space="preserve"> </w:t>
      </w:r>
      <w:proofErr w:type="spellStart"/>
      <w:r w:rsidRPr="00393A06">
        <w:rPr>
          <w:rFonts w:ascii="Arial" w:hAnsi="Arial" w:eastAsia="Times New Roman" w:cs="Arial"/>
          <w:i/>
          <w:sz w:val="20"/>
          <w:szCs w:val="20"/>
          <w:lang w:val="nl-NL" w:eastAsia="nl-NL"/>
        </w:rPr>
        <w:t>purposes</w:t>
      </w:r>
      <w:proofErr w:type="spellEnd"/>
      <w:r w:rsidRPr="00393A06">
        <w:rPr>
          <w:rFonts w:ascii="Arial" w:hAnsi="Arial" w:eastAsia="Times New Roman" w:cs="Arial"/>
          <w:i/>
          <w:sz w:val="20"/>
          <w:szCs w:val="20"/>
          <w:lang w:val="nl-NL" w:eastAsia="nl-NL"/>
        </w:rPr>
        <w:t xml:space="preserve"> test’</w:t>
      </w:r>
      <w:r w:rsidRPr="00393A06">
        <w:rPr>
          <w:rFonts w:ascii="Arial" w:hAnsi="Arial" w:eastAsia="Times New Roman" w:cs="Arial"/>
          <w:sz w:val="20"/>
          <w:szCs w:val="20"/>
          <w:lang w:val="nl-NL" w:eastAsia="nl-NL"/>
        </w:rPr>
        <w:t xml:space="preserve"> opgenomen ter bestrijding van verdragsmisbruik.</w:t>
      </w:r>
      <w:r w:rsidR="00256FC3">
        <w:rPr>
          <w:rFonts w:ascii="Arial" w:hAnsi="Arial" w:eastAsia="Times New Roman" w:cs="Arial"/>
          <w:sz w:val="20"/>
          <w:szCs w:val="20"/>
          <w:lang w:val="nl-NL" w:eastAsia="nl-NL"/>
        </w:rPr>
        <w:t xml:space="preserve"> </w:t>
      </w:r>
      <w:r w:rsidR="00607905">
        <w:rPr>
          <w:rFonts w:ascii="Arial" w:hAnsi="Arial" w:eastAsia="Times New Roman" w:cs="Arial"/>
          <w:sz w:val="20"/>
          <w:szCs w:val="20"/>
          <w:lang w:val="nl-NL" w:eastAsia="nl-NL"/>
        </w:rPr>
        <w:t>Hier</w:t>
      </w:r>
      <w:r w:rsidR="00256FC3">
        <w:rPr>
          <w:rFonts w:ascii="Arial" w:hAnsi="Arial" w:eastAsia="Times New Roman" w:cs="Arial"/>
          <w:sz w:val="20"/>
          <w:szCs w:val="20"/>
          <w:lang w:val="nl-NL" w:eastAsia="nl-NL"/>
        </w:rPr>
        <w:t>op hebben het eerste en tweede lid betrekking.</w:t>
      </w:r>
      <w:r w:rsidR="002649DF">
        <w:rPr>
          <w:rFonts w:ascii="Arial" w:hAnsi="Arial" w:eastAsia="Times New Roman" w:cs="Arial"/>
          <w:sz w:val="20"/>
          <w:szCs w:val="20"/>
          <w:lang w:val="nl-NL" w:eastAsia="nl-NL"/>
        </w:rPr>
        <w:t xml:space="preserve"> </w:t>
      </w:r>
      <w:r w:rsidR="00607905">
        <w:rPr>
          <w:rFonts w:ascii="Arial" w:hAnsi="Arial" w:eastAsia="Times New Roman" w:cs="Arial"/>
          <w:sz w:val="20"/>
          <w:szCs w:val="20"/>
          <w:lang w:val="nl-NL" w:eastAsia="nl-NL"/>
        </w:rPr>
        <w:t xml:space="preserve">Voorts </w:t>
      </w:r>
      <w:r w:rsidR="00256FC3">
        <w:rPr>
          <w:rFonts w:ascii="Arial" w:hAnsi="Arial" w:eastAsia="Times New Roman" w:cs="Arial"/>
          <w:sz w:val="20"/>
          <w:szCs w:val="20"/>
          <w:lang w:val="nl-NL" w:eastAsia="nl-NL"/>
        </w:rPr>
        <w:t xml:space="preserve">is, </w:t>
      </w:r>
      <w:r w:rsidR="008800E0">
        <w:rPr>
          <w:rFonts w:ascii="Arial" w:hAnsi="Arial" w:eastAsia="Times New Roman" w:cs="Arial"/>
          <w:sz w:val="20"/>
          <w:szCs w:val="20"/>
          <w:lang w:val="nl-NL" w:eastAsia="nl-NL"/>
        </w:rPr>
        <w:t xml:space="preserve">in aansluiting bij artikel 29, </w:t>
      </w:r>
      <w:r w:rsidR="0029761C">
        <w:rPr>
          <w:rFonts w:ascii="Arial" w:hAnsi="Arial" w:eastAsia="Times New Roman" w:cs="Arial"/>
          <w:sz w:val="20"/>
          <w:szCs w:val="20"/>
          <w:lang w:val="nl-NL" w:eastAsia="nl-NL"/>
        </w:rPr>
        <w:t xml:space="preserve">achtste lid van het OESO-modelverdrag en, </w:t>
      </w:r>
      <w:r w:rsidR="00256FC3">
        <w:rPr>
          <w:rFonts w:ascii="Arial" w:hAnsi="Arial" w:eastAsia="Times New Roman" w:cs="Arial"/>
          <w:sz w:val="20"/>
          <w:szCs w:val="20"/>
          <w:lang w:val="nl-NL" w:eastAsia="nl-NL"/>
        </w:rPr>
        <w:t xml:space="preserve">eveneens gebaseerd op de </w:t>
      </w:r>
      <w:r w:rsidRPr="00256FC3" w:rsidR="00256FC3">
        <w:rPr>
          <w:rFonts w:ascii="Arial" w:hAnsi="Arial" w:eastAsia="Times New Roman" w:cs="Arial"/>
          <w:sz w:val="20"/>
          <w:szCs w:val="20"/>
          <w:lang w:val="nl-NL" w:eastAsia="nl-NL"/>
        </w:rPr>
        <w:t>aanbevelingen in het rapport bij actiepunt 6 van het BEPS-project</w:t>
      </w:r>
      <w:r w:rsidR="00256FC3">
        <w:rPr>
          <w:rFonts w:ascii="Arial" w:hAnsi="Arial" w:eastAsia="Times New Roman" w:cs="Arial"/>
          <w:sz w:val="20"/>
          <w:szCs w:val="20"/>
          <w:lang w:val="nl-NL" w:eastAsia="nl-NL"/>
        </w:rPr>
        <w:t xml:space="preserve">, in de leden 3, 4 en 5, een </w:t>
      </w:r>
      <w:proofErr w:type="spellStart"/>
      <w:r w:rsidR="00256FC3">
        <w:rPr>
          <w:rFonts w:ascii="Arial" w:hAnsi="Arial" w:eastAsia="Times New Roman" w:cs="Arial"/>
          <w:sz w:val="20"/>
          <w:szCs w:val="20"/>
          <w:lang w:val="nl-NL" w:eastAsia="nl-NL"/>
        </w:rPr>
        <w:t>anti-misbruikbepaling</w:t>
      </w:r>
      <w:proofErr w:type="spellEnd"/>
      <w:r w:rsidR="00256FC3">
        <w:rPr>
          <w:rFonts w:ascii="Arial" w:hAnsi="Arial" w:eastAsia="Times New Roman" w:cs="Arial"/>
          <w:sz w:val="20"/>
          <w:szCs w:val="20"/>
          <w:lang w:val="nl-NL" w:eastAsia="nl-NL"/>
        </w:rPr>
        <w:t xml:space="preserve"> opgenomen met betrekking tot inkomsten die worden toegerekend aan een vaste inrichting gelegen in een (</w:t>
      </w:r>
      <w:proofErr w:type="spellStart"/>
      <w:r w:rsidR="00256FC3">
        <w:rPr>
          <w:rFonts w:ascii="Arial" w:hAnsi="Arial" w:eastAsia="Times New Roman" w:cs="Arial"/>
          <w:sz w:val="20"/>
          <w:szCs w:val="20"/>
          <w:lang w:val="nl-NL" w:eastAsia="nl-NL"/>
        </w:rPr>
        <w:t>laagbelastende</w:t>
      </w:r>
      <w:proofErr w:type="spellEnd"/>
      <w:r w:rsidR="00256FC3">
        <w:rPr>
          <w:rFonts w:ascii="Arial" w:hAnsi="Arial" w:eastAsia="Times New Roman" w:cs="Arial"/>
          <w:sz w:val="20"/>
          <w:szCs w:val="20"/>
          <w:lang w:val="nl-NL" w:eastAsia="nl-NL"/>
        </w:rPr>
        <w:t xml:space="preserve">) </w:t>
      </w:r>
      <w:r w:rsidRPr="002307C0" w:rsidR="00256FC3">
        <w:rPr>
          <w:rFonts w:ascii="Arial" w:hAnsi="Arial" w:eastAsia="Times New Roman" w:cs="Arial"/>
          <w:sz w:val="20"/>
          <w:szCs w:val="20"/>
          <w:lang w:val="nl-NL" w:eastAsia="nl-NL"/>
        </w:rPr>
        <w:t>derde</w:t>
      </w:r>
      <w:r w:rsidR="002307C0">
        <w:rPr>
          <w:rFonts w:ascii="Arial" w:hAnsi="Arial" w:eastAsia="Times New Roman" w:cs="Arial"/>
          <w:sz w:val="20"/>
          <w:szCs w:val="20"/>
          <w:lang w:val="nl-NL" w:eastAsia="nl-NL"/>
        </w:rPr>
        <w:t xml:space="preserve"> </w:t>
      </w:r>
      <w:r w:rsidR="00BB146E">
        <w:rPr>
          <w:rFonts w:ascii="Arial" w:hAnsi="Arial" w:eastAsia="Times New Roman" w:cs="Arial"/>
          <w:sz w:val="20"/>
          <w:szCs w:val="20"/>
          <w:lang w:val="nl-NL" w:eastAsia="nl-NL"/>
        </w:rPr>
        <w:t>rechtsgebied</w:t>
      </w:r>
      <w:r w:rsidR="00256FC3">
        <w:rPr>
          <w:rFonts w:ascii="Arial" w:hAnsi="Arial" w:eastAsia="Times New Roman" w:cs="Arial"/>
          <w:sz w:val="20"/>
          <w:szCs w:val="20"/>
          <w:lang w:val="nl-NL" w:eastAsia="nl-NL"/>
        </w:rPr>
        <w:t xml:space="preserve">.  </w:t>
      </w:r>
    </w:p>
    <w:p w:rsidRPr="00393A06" w:rsidR="00E93782" w:rsidP="0094644C" w:rsidRDefault="00E93782" w14:paraId="03BF5074" w14:textId="5D757350">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Op grond van het eerste lid worden verdragsvoordelen niet toegekend voor een bestanddeel </w:t>
      </w:r>
      <w:r w:rsidR="00607905">
        <w:rPr>
          <w:rFonts w:ascii="Arial" w:hAnsi="Arial" w:eastAsia="Times New Roman" w:cs="Arial"/>
          <w:sz w:val="20"/>
          <w:szCs w:val="20"/>
          <w:lang w:val="nl-NL" w:eastAsia="nl-NL"/>
        </w:rPr>
        <w:t xml:space="preserve">van het inkomen of het vermogen </w:t>
      </w:r>
      <w:r w:rsidRPr="00393A06">
        <w:rPr>
          <w:rFonts w:ascii="Arial" w:hAnsi="Arial" w:eastAsia="Times New Roman" w:cs="Arial"/>
          <w:sz w:val="20"/>
          <w:szCs w:val="20"/>
          <w:lang w:val="nl-NL" w:eastAsia="nl-NL"/>
        </w:rPr>
        <w:t>indien het verkrijgen van dit verdragsvoordeel één van de voornaamste redenen was voor een constructie of transactie die tot dat voordeel heeft geleid.</w:t>
      </w:r>
      <w:r w:rsidRPr="0094644C" w:rsidR="0094644C">
        <w:rPr>
          <w:rFonts w:ascii="Arial" w:hAnsi="Arial" w:eastAsia="Times New Roman" w:cs="Arial"/>
          <w:sz w:val="20"/>
          <w:szCs w:val="20"/>
          <w:lang w:val="nl-NL" w:eastAsia="nl-NL"/>
        </w:rPr>
        <w:t xml:space="preserve"> </w:t>
      </w:r>
      <w:r w:rsidRPr="00393A06" w:rsidR="0094644C">
        <w:rPr>
          <w:rFonts w:ascii="Arial" w:hAnsi="Arial" w:eastAsia="Times New Roman" w:cs="Arial"/>
          <w:sz w:val="20"/>
          <w:szCs w:val="20"/>
          <w:lang w:val="nl-NL" w:eastAsia="nl-NL"/>
        </w:rPr>
        <w:t>In</w:t>
      </w:r>
      <w:r w:rsidR="0094644C">
        <w:rPr>
          <w:rFonts w:ascii="Arial" w:hAnsi="Arial" w:eastAsia="Times New Roman" w:cs="Arial"/>
          <w:sz w:val="20"/>
          <w:szCs w:val="20"/>
          <w:lang w:val="nl-NL" w:eastAsia="nl-NL"/>
        </w:rPr>
        <w:t xml:space="preserve"> de laatste </w:t>
      </w:r>
      <w:r w:rsidR="008137CB">
        <w:rPr>
          <w:rFonts w:ascii="Arial" w:hAnsi="Arial" w:eastAsia="Times New Roman" w:cs="Arial"/>
          <w:sz w:val="20"/>
          <w:szCs w:val="20"/>
          <w:lang w:val="nl-NL" w:eastAsia="nl-NL"/>
        </w:rPr>
        <w:t>zin</w:t>
      </w:r>
      <w:r w:rsidRPr="00393A06" w:rsidR="0094644C">
        <w:rPr>
          <w:rFonts w:ascii="Arial" w:hAnsi="Arial" w:eastAsia="Times New Roman" w:cs="Arial"/>
          <w:sz w:val="20"/>
          <w:szCs w:val="20"/>
          <w:lang w:val="nl-NL" w:eastAsia="nl-NL"/>
        </w:rPr>
        <w:t xml:space="preserve"> is geregeld dat voordat een verdragsluitende staat aan een belastingplichtige de verdragsvoordelen op grond van dit </w:t>
      </w:r>
      <w:r w:rsidR="0094644C">
        <w:rPr>
          <w:rFonts w:ascii="Arial" w:hAnsi="Arial" w:eastAsia="Times New Roman" w:cs="Arial"/>
          <w:sz w:val="20"/>
          <w:szCs w:val="20"/>
          <w:lang w:val="nl-NL" w:eastAsia="nl-NL"/>
        </w:rPr>
        <w:t>lid</w:t>
      </w:r>
      <w:r w:rsidRPr="00393A06" w:rsidR="0094644C">
        <w:rPr>
          <w:rFonts w:ascii="Arial" w:hAnsi="Arial" w:eastAsia="Times New Roman" w:cs="Arial"/>
          <w:sz w:val="20"/>
          <w:szCs w:val="20"/>
          <w:lang w:val="nl-NL" w:eastAsia="nl-NL"/>
        </w:rPr>
        <w:t xml:space="preserve"> weigert, de verdragsluitende staat de andere verdragsluitende staat </w:t>
      </w:r>
      <w:r w:rsidR="0094644C">
        <w:rPr>
          <w:rFonts w:ascii="Arial" w:hAnsi="Arial" w:eastAsia="Times New Roman" w:cs="Arial"/>
          <w:sz w:val="20"/>
          <w:szCs w:val="20"/>
          <w:lang w:val="nl-NL" w:eastAsia="nl-NL"/>
        </w:rPr>
        <w:t>daar</w:t>
      </w:r>
      <w:r w:rsidRPr="00393A06" w:rsidR="0094644C">
        <w:rPr>
          <w:rFonts w:ascii="Arial" w:hAnsi="Arial" w:eastAsia="Times New Roman" w:cs="Arial"/>
          <w:sz w:val="20"/>
          <w:szCs w:val="20"/>
          <w:lang w:val="nl-NL" w:eastAsia="nl-NL"/>
        </w:rPr>
        <w:t>over raadpleegt</w:t>
      </w:r>
      <w:r w:rsidRPr="00A7310D" w:rsidR="00607905">
        <w:rPr>
          <w:lang w:val="nl-NL"/>
        </w:rPr>
        <w:t xml:space="preserve"> </w:t>
      </w:r>
      <w:r w:rsidRPr="00607905" w:rsidR="00607905">
        <w:rPr>
          <w:rFonts w:ascii="Arial" w:hAnsi="Arial" w:eastAsia="Times New Roman" w:cs="Arial"/>
          <w:sz w:val="20"/>
          <w:szCs w:val="20"/>
          <w:lang w:val="nl-NL" w:eastAsia="nl-NL"/>
        </w:rPr>
        <w:t>(verplichte voorafgaande consultatie</w:t>
      </w:r>
      <w:r w:rsidR="00607905">
        <w:rPr>
          <w:rFonts w:ascii="Arial" w:hAnsi="Arial" w:eastAsia="Times New Roman" w:cs="Arial"/>
          <w:sz w:val="20"/>
          <w:szCs w:val="20"/>
          <w:lang w:val="nl-NL" w:eastAsia="nl-NL"/>
        </w:rPr>
        <w:t>).</w:t>
      </w:r>
    </w:p>
    <w:p w:rsidRPr="00393A06" w:rsidR="00E93782" w:rsidP="00E93782" w:rsidRDefault="00E93782" w14:paraId="5D7E30C7" w14:textId="7DD5AF82">
      <w:pPr>
        <w:autoSpaceDE w:val="0"/>
        <w:autoSpaceDN w:val="0"/>
        <w:adjustRightInd w:val="0"/>
        <w:spacing w:after="0" w:line="360" w:lineRule="auto"/>
        <w:ind w:firstLine="709"/>
        <w:rPr>
          <w:rFonts w:ascii="Arial" w:hAnsi="Arial" w:eastAsia="Times New Roman" w:cs="Times New Roman"/>
          <w:sz w:val="20"/>
          <w:szCs w:val="24"/>
          <w:lang w:val="nl-NL" w:eastAsia="nl-NL"/>
        </w:rPr>
      </w:pPr>
      <w:r w:rsidRPr="002C3789">
        <w:rPr>
          <w:rFonts w:ascii="Arial" w:hAnsi="Arial" w:eastAsia="Times New Roman" w:cs="Times New Roman"/>
          <w:sz w:val="20"/>
          <w:szCs w:val="24"/>
          <w:lang w:val="nl-NL" w:eastAsia="nl-NL"/>
        </w:rPr>
        <w:t xml:space="preserve">In het </w:t>
      </w:r>
      <w:r w:rsidRPr="002C3789">
        <w:rPr>
          <w:rFonts w:ascii="Arial" w:hAnsi="Arial" w:eastAsia="Times New Roman" w:cs="Arial"/>
          <w:sz w:val="20"/>
          <w:szCs w:val="20"/>
          <w:lang w:val="nl-NL" w:eastAsia="nl-NL"/>
        </w:rPr>
        <w:t>tweede lid is bepaald</w:t>
      </w:r>
      <w:r w:rsidRPr="00393A06">
        <w:rPr>
          <w:rFonts w:ascii="Arial" w:hAnsi="Arial" w:eastAsia="Times New Roman" w:cs="Arial"/>
          <w:sz w:val="20"/>
          <w:szCs w:val="20"/>
          <w:lang w:val="nl-NL" w:eastAsia="nl-NL"/>
        </w:rPr>
        <w:t xml:space="preserve"> dat</w:t>
      </w:r>
      <w:r w:rsidR="009F2465">
        <w:rPr>
          <w:rFonts w:ascii="Arial" w:hAnsi="Arial" w:eastAsia="Times New Roman" w:cs="Times New Roman"/>
          <w:sz w:val="20"/>
          <w:szCs w:val="24"/>
          <w:lang w:val="nl-NL" w:eastAsia="nl-NL"/>
        </w:rPr>
        <w:t xml:space="preserve"> –</w:t>
      </w:r>
      <w:r w:rsidRPr="00393A06">
        <w:rPr>
          <w:rFonts w:ascii="Arial" w:hAnsi="Arial" w:eastAsia="Times New Roman" w:cs="Arial"/>
          <w:sz w:val="20"/>
          <w:szCs w:val="20"/>
          <w:lang w:val="nl-NL" w:eastAsia="nl-NL"/>
        </w:rPr>
        <w:t xml:space="preserve"> op verzoek van een belastingplichtige</w:t>
      </w:r>
      <w:r w:rsidR="009F2465">
        <w:rPr>
          <w:rFonts w:ascii="Arial" w:hAnsi="Arial" w:eastAsia="Times New Roman" w:cs="Times New Roman"/>
          <w:sz w:val="20"/>
          <w:szCs w:val="24"/>
          <w:lang w:val="nl-NL" w:eastAsia="nl-NL"/>
        </w:rPr>
        <w:t xml:space="preserve"> –</w:t>
      </w:r>
      <w:r w:rsidRPr="00393A06">
        <w:rPr>
          <w:rFonts w:ascii="Arial" w:hAnsi="Arial" w:eastAsia="Times New Roman" w:cs="Arial"/>
          <w:sz w:val="20"/>
          <w:szCs w:val="20"/>
          <w:lang w:val="nl-NL" w:eastAsia="nl-NL"/>
        </w:rPr>
        <w:t xml:space="preserve"> </w:t>
      </w:r>
      <w:r w:rsidRPr="00393A06">
        <w:rPr>
          <w:rFonts w:ascii="Arial" w:hAnsi="Arial" w:eastAsia="Times New Roman" w:cs="Times New Roman"/>
          <w:sz w:val="20"/>
          <w:szCs w:val="24"/>
          <w:lang w:val="nl-NL" w:eastAsia="nl-NL"/>
        </w:rPr>
        <w:t xml:space="preserve">de bevoegde autoriteit van de staat waarvan verdragsvoordelen worden gevraagd (veelal het bronland) de mogelijkheid heeft verdragsvoordelen toch toe te kennen voor zover wordt vastgesteld dat bij afwezigheid van een </w:t>
      </w:r>
      <w:r w:rsidRPr="00393A06">
        <w:rPr>
          <w:rFonts w:ascii="Arial" w:hAnsi="Arial" w:eastAsia="Times New Roman" w:cs="Times New Roman"/>
          <w:color w:val="000000"/>
          <w:sz w:val="20"/>
          <w:szCs w:val="24"/>
          <w:lang w:val="nl-NL" w:eastAsia="nl-NL"/>
        </w:rPr>
        <w:t>transactie of constructie bedoeld in het eerste lid,</w:t>
      </w:r>
      <w:r w:rsidRPr="00393A06">
        <w:rPr>
          <w:rFonts w:ascii="Arial" w:hAnsi="Arial" w:eastAsia="Times New Roman" w:cs="Times New Roman"/>
          <w:sz w:val="20"/>
          <w:szCs w:val="24"/>
          <w:lang w:val="nl-NL" w:eastAsia="nl-NL"/>
        </w:rPr>
        <w:t xml:space="preserve"> verdragsvoordelen ook gegeven zouden zijn (de zogenoemde ‘vangnetbepaling’). </w:t>
      </w:r>
      <w:r w:rsidRPr="00393A06" w:rsidR="0094644C">
        <w:rPr>
          <w:rFonts w:ascii="Arial" w:hAnsi="Arial" w:eastAsia="Times New Roman" w:cs="Arial"/>
          <w:sz w:val="20"/>
          <w:szCs w:val="20"/>
          <w:lang w:val="nl-NL" w:eastAsia="nl-NL"/>
        </w:rPr>
        <w:t>In</w:t>
      </w:r>
      <w:r w:rsidR="0094644C">
        <w:rPr>
          <w:rFonts w:ascii="Arial" w:hAnsi="Arial" w:eastAsia="Times New Roman" w:cs="Arial"/>
          <w:sz w:val="20"/>
          <w:szCs w:val="20"/>
          <w:lang w:val="nl-NL" w:eastAsia="nl-NL"/>
        </w:rPr>
        <w:t xml:space="preserve"> de laatste </w:t>
      </w:r>
      <w:r w:rsidR="008137CB">
        <w:rPr>
          <w:rFonts w:ascii="Arial" w:hAnsi="Arial" w:eastAsia="Times New Roman" w:cs="Arial"/>
          <w:sz w:val="20"/>
          <w:szCs w:val="20"/>
          <w:lang w:val="nl-NL" w:eastAsia="nl-NL"/>
        </w:rPr>
        <w:t>zin</w:t>
      </w:r>
      <w:r w:rsidRPr="00393A06" w:rsidR="0094644C">
        <w:rPr>
          <w:rFonts w:ascii="Arial" w:hAnsi="Arial" w:eastAsia="Times New Roman" w:cs="Arial"/>
          <w:sz w:val="20"/>
          <w:szCs w:val="20"/>
          <w:lang w:val="nl-NL" w:eastAsia="nl-NL"/>
        </w:rPr>
        <w:t xml:space="preserve"> is geregeld dat voordat een verdragsluitende staat aan een belastingplichtige </w:t>
      </w:r>
      <w:r w:rsidR="00261743">
        <w:rPr>
          <w:rFonts w:ascii="Arial" w:hAnsi="Arial" w:eastAsia="Times New Roman" w:cs="Arial"/>
          <w:sz w:val="20"/>
          <w:szCs w:val="20"/>
          <w:lang w:val="nl-NL" w:eastAsia="nl-NL"/>
        </w:rPr>
        <w:t>die inwoner is van de andere verdragsluitende staat</w:t>
      </w:r>
      <w:r w:rsidRPr="00393A06" w:rsidR="00261743">
        <w:rPr>
          <w:rFonts w:ascii="Arial" w:hAnsi="Arial" w:eastAsia="Times New Roman" w:cs="Arial"/>
          <w:sz w:val="20"/>
          <w:szCs w:val="20"/>
          <w:lang w:val="nl-NL" w:eastAsia="nl-NL"/>
        </w:rPr>
        <w:t xml:space="preserve"> </w:t>
      </w:r>
      <w:r w:rsidRPr="00393A06" w:rsidR="0094644C">
        <w:rPr>
          <w:rFonts w:ascii="Arial" w:hAnsi="Arial" w:eastAsia="Times New Roman" w:cs="Arial"/>
          <w:sz w:val="20"/>
          <w:szCs w:val="20"/>
          <w:lang w:val="nl-NL" w:eastAsia="nl-NL"/>
        </w:rPr>
        <w:t xml:space="preserve">de verdragsvoordelen op grond van dit </w:t>
      </w:r>
      <w:r w:rsidR="0094644C">
        <w:rPr>
          <w:rFonts w:ascii="Arial" w:hAnsi="Arial" w:eastAsia="Times New Roman" w:cs="Arial"/>
          <w:sz w:val="20"/>
          <w:szCs w:val="20"/>
          <w:lang w:val="nl-NL" w:eastAsia="nl-NL"/>
        </w:rPr>
        <w:t>lid</w:t>
      </w:r>
      <w:r w:rsidRPr="00393A06" w:rsidR="0094644C">
        <w:rPr>
          <w:rFonts w:ascii="Arial" w:hAnsi="Arial" w:eastAsia="Times New Roman" w:cs="Arial"/>
          <w:sz w:val="20"/>
          <w:szCs w:val="20"/>
          <w:lang w:val="nl-NL" w:eastAsia="nl-NL"/>
        </w:rPr>
        <w:t xml:space="preserve"> weigert, d</w:t>
      </w:r>
      <w:r w:rsidR="00261743">
        <w:rPr>
          <w:rFonts w:ascii="Arial" w:hAnsi="Arial" w:eastAsia="Times New Roman" w:cs="Arial"/>
          <w:sz w:val="20"/>
          <w:szCs w:val="20"/>
          <w:lang w:val="nl-NL" w:eastAsia="nl-NL"/>
        </w:rPr>
        <w:t>i</w:t>
      </w:r>
      <w:r w:rsidRPr="00393A06" w:rsidR="0094644C">
        <w:rPr>
          <w:rFonts w:ascii="Arial" w:hAnsi="Arial" w:eastAsia="Times New Roman" w:cs="Arial"/>
          <w:sz w:val="20"/>
          <w:szCs w:val="20"/>
          <w:lang w:val="nl-NL" w:eastAsia="nl-NL"/>
        </w:rPr>
        <w:t xml:space="preserve">e verdragsluitende staat de andere verdragsluitende staat </w:t>
      </w:r>
      <w:r w:rsidR="0094644C">
        <w:rPr>
          <w:rFonts w:ascii="Arial" w:hAnsi="Arial" w:eastAsia="Times New Roman" w:cs="Arial"/>
          <w:sz w:val="20"/>
          <w:szCs w:val="20"/>
          <w:lang w:val="nl-NL" w:eastAsia="nl-NL"/>
        </w:rPr>
        <w:t>daar</w:t>
      </w:r>
      <w:r w:rsidRPr="00393A06" w:rsidR="0094644C">
        <w:rPr>
          <w:rFonts w:ascii="Arial" w:hAnsi="Arial" w:eastAsia="Times New Roman" w:cs="Arial"/>
          <w:sz w:val="20"/>
          <w:szCs w:val="20"/>
          <w:lang w:val="nl-NL" w:eastAsia="nl-NL"/>
        </w:rPr>
        <w:t>over raadpleegt</w:t>
      </w:r>
      <w:r w:rsidR="0094644C">
        <w:rPr>
          <w:rFonts w:ascii="Arial" w:hAnsi="Arial" w:eastAsia="Times New Roman" w:cs="Arial"/>
          <w:sz w:val="20"/>
          <w:szCs w:val="20"/>
          <w:lang w:val="nl-NL" w:eastAsia="nl-NL"/>
        </w:rPr>
        <w:t>.</w:t>
      </w:r>
    </w:p>
    <w:p w:rsidRPr="00D67D02" w:rsidR="009C6BB9" w:rsidP="009C6BB9" w:rsidRDefault="00433AA7" w14:paraId="6E2842C8" w14:textId="4572095A">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Het derde lid</w:t>
      </w:r>
      <w:r w:rsidRPr="00433AA7">
        <w:rPr>
          <w:rFonts w:ascii="Arial" w:hAnsi="Arial" w:eastAsia="Times New Roman" w:cs="Times New Roman"/>
          <w:sz w:val="20"/>
          <w:szCs w:val="24"/>
          <w:lang w:val="nl-NL" w:eastAsia="nl-NL"/>
        </w:rPr>
        <w:t xml:space="preserve"> bevat een antimisbruikbepaling voor bepaalde </w:t>
      </w:r>
      <w:proofErr w:type="spellStart"/>
      <w:r w:rsidRPr="00433AA7">
        <w:rPr>
          <w:rFonts w:ascii="Arial" w:hAnsi="Arial" w:eastAsia="Times New Roman" w:cs="Times New Roman"/>
          <w:sz w:val="20"/>
          <w:szCs w:val="24"/>
          <w:lang w:val="nl-NL" w:eastAsia="nl-NL"/>
        </w:rPr>
        <w:t>driehoekssituaties</w:t>
      </w:r>
      <w:proofErr w:type="spellEnd"/>
      <w:r w:rsidRPr="00433AA7">
        <w:rPr>
          <w:rFonts w:ascii="Arial" w:hAnsi="Arial" w:eastAsia="Times New Roman" w:cs="Times New Roman"/>
          <w:sz w:val="20"/>
          <w:szCs w:val="24"/>
          <w:lang w:val="nl-NL" w:eastAsia="nl-NL"/>
        </w:rPr>
        <w:t xml:space="preserve"> met vaste inrichtingen in derde rechtsgebieden. In essentie vo</w:t>
      </w:r>
      <w:r w:rsidR="004E24C2">
        <w:rPr>
          <w:rFonts w:ascii="Arial" w:hAnsi="Arial" w:eastAsia="Times New Roman" w:cs="Times New Roman"/>
          <w:sz w:val="20"/>
          <w:szCs w:val="24"/>
          <w:lang w:val="nl-NL" w:eastAsia="nl-NL"/>
        </w:rPr>
        <w:t>orkomt dit artikel dat heffings</w:t>
      </w:r>
      <w:r w:rsidRPr="00433AA7">
        <w:rPr>
          <w:rFonts w:ascii="Arial" w:hAnsi="Arial" w:eastAsia="Times New Roman" w:cs="Times New Roman"/>
          <w:sz w:val="20"/>
          <w:szCs w:val="24"/>
          <w:lang w:val="nl-NL" w:eastAsia="nl-NL"/>
        </w:rPr>
        <w:t xml:space="preserve">rechten van </w:t>
      </w:r>
      <w:r w:rsidR="00BB146E">
        <w:rPr>
          <w:rFonts w:ascii="Arial" w:hAnsi="Arial" w:eastAsia="Times New Roman" w:cs="Times New Roman"/>
          <w:sz w:val="20"/>
          <w:szCs w:val="24"/>
          <w:lang w:val="nl-NL" w:eastAsia="nl-NL"/>
        </w:rPr>
        <w:t>de ene</w:t>
      </w:r>
      <w:r w:rsidRPr="00433AA7" w:rsidR="00BB146E">
        <w:rPr>
          <w:rFonts w:ascii="Arial" w:hAnsi="Arial" w:eastAsia="Times New Roman" w:cs="Times New Roman"/>
          <w:sz w:val="20"/>
          <w:szCs w:val="24"/>
          <w:lang w:val="nl-NL" w:eastAsia="nl-NL"/>
        </w:rPr>
        <w:t xml:space="preserve"> </w:t>
      </w:r>
      <w:r w:rsidRPr="00433AA7">
        <w:rPr>
          <w:rFonts w:ascii="Arial" w:hAnsi="Arial" w:eastAsia="Times New Roman" w:cs="Times New Roman"/>
          <w:sz w:val="20"/>
          <w:szCs w:val="24"/>
          <w:lang w:val="nl-NL" w:eastAsia="nl-NL"/>
        </w:rPr>
        <w:t>verdragsluitend</w:t>
      </w:r>
      <w:r w:rsidR="00BB146E">
        <w:rPr>
          <w:rFonts w:ascii="Arial" w:hAnsi="Arial" w:eastAsia="Times New Roman" w:cs="Times New Roman"/>
          <w:sz w:val="20"/>
          <w:szCs w:val="24"/>
          <w:lang w:val="nl-NL" w:eastAsia="nl-NL"/>
        </w:rPr>
        <w:t>e</w:t>
      </w:r>
      <w:r w:rsidRPr="00433AA7">
        <w:rPr>
          <w:rFonts w:ascii="Arial" w:hAnsi="Arial" w:eastAsia="Times New Roman" w:cs="Times New Roman"/>
          <w:sz w:val="20"/>
          <w:szCs w:val="24"/>
          <w:lang w:val="nl-NL" w:eastAsia="nl-NL"/>
        </w:rPr>
        <w:t xml:space="preserve"> </w:t>
      </w:r>
      <w:r w:rsidR="00BB146E">
        <w:rPr>
          <w:rFonts w:ascii="Arial" w:hAnsi="Arial" w:eastAsia="Times New Roman" w:cs="Times New Roman"/>
          <w:sz w:val="20"/>
          <w:szCs w:val="24"/>
          <w:lang w:val="nl-NL" w:eastAsia="nl-NL"/>
        </w:rPr>
        <w:t>staat</w:t>
      </w:r>
      <w:r w:rsidRPr="00433AA7" w:rsidR="00BB146E">
        <w:rPr>
          <w:rFonts w:ascii="Arial" w:hAnsi="Arial" w:eastAsia="Times New Roman" w:cs="Times New Roman"/>
          <w:sz w:val="20"/>
          <w:szCs w:val="24"/>
          <w:lang w:val="nl-NL" w:eastAsia="nl-NL"/>
        </w:rPr>
        <w:t xml:space="preserve"> </w:t>
      </w:r>
      <w:r w:rsidRPr="00433AA7">
        <w:rPr>
          <w:rFonts w:ascii="Arial" w:hAnsi="Arial" w:eastAsia="Times New Roman" w:cs="Times New Roman"/>
          <w:sz w:val="20"/>
          <w:szCs w:val="24"/>
          <w:lang w:val="nl-NL" w:eastAsia="nl-NL"/>
        </w:rPr>
        <w:t xml:space="preserve">(bronland) door </w:t>
      </w:r>
      <w:r w:rsidR="00BB146E">
        <w:rPr>
          <w:rFonts w:ascii="Arial" w:hAnsi="Arial" w:eastAsia="Times New Roman" w:cs="Times New Roman"/>
          <w:sz w:val="20"/>
          <w:szCs w:val="24"/>
          <w:lang w:val="nl-NL" w:eastAsia="nl-NL"/>
        </w:rPr>
        <w:t xml:space="preserve">het Verdrag </w:t>
      </w:r>
      <w:r w:rsidRPr="00433AA7">
        <w:rPr>
          <w:rFonts w:ascii="Arial" w:hAnsi="Arial" w:eastAsia="Times New Roman" w:cs="Times New Roman"/>
          <w:sz w:val="20"/>
          <w:szCs w:val="24"/>
          <w:lang w:val="nl-NL" w:eastAsia="nl-NL"/>
        </w:rPr>
        <w:t xml:space="preserve">worden beperkt voor inkomen van een inwoner van </w:t>
      </w:r>
      <w:r w:rsidR="00BB146E">
        <w:rPr>
          <w:rFonts w:ascii="Arial" w:hAnsi="Arial" w:eastAsia="Times New Roman" w:cs="Times New Roman"/>
          <w:sz w:val="20"/>
          <w:szCs w:val="24"/>
          <w:lang w:val="nl-NL" w:eastAsia="nl-NL"/>
        </w:rPr>
        <w:t xml:space="preserve">de </w:t>
      </w:r>
      <w:r w:rsidRPr="00433AA7">
        <w:rPr>
          <w:rFonts w:ascii="Arial" w:hAnsi="Arial" w:eastAsia="Times New Roman" w:cs="Times New Roman"/>
          <w:sz w:val="20"/>
          <w:szCs w:val="24"/>
          <w:lang w:val="nl-NL" w:eastAsia="nl-NL"/>
        </w:rPr>
        <w:t xml:space="preserve">andere verdragsluitende </w:t>
      </w:r>
      <w:r w:rsidR="00BB146E">
        <w:rPr>
          <w:rFonts w:ascii="Arial" w:hAnsi="Arial" w:eastAsia="Times New Roman" w:cs="Times New Roman"/>
          <w:sz w:val="20"/>
          <w:szCs w:val="24"/>
          <w:lang w:val="nl-NL" w:eastAsia="nl-NL"/>
        </w:rPr>
        <w:t xml:space="preserve">staat </w:t>
      </w:r>
      <w:r w:rsidRPr="00433AA7">
        <w:rPr>
          <w:rFonts w:ascii="Arial" w:hAnsi="Arial" w:eastAsia="Times New Roman" w:cs="Times New Roman"/>
          <w:sz w:val="20"/>
          <w:szCs w:val="24"/>
          <w:lang w:val="nl-NL" w:eastAsia="nl-NL"/>
        </w:rPr>
        <w:t xml:space="preserve">(woonland) dat daar wordt vrijgesteld, omdat het wordt toegerekend aan zijn vaste inrichting in een derde </w:t>
      </w:r>
      <w:r w:rsidR="00BB146E">
        <w:rPr>
          <w:rFonts w:ascii="Arial" w:hAnsi="Arial" w:eastAsia="Times New Roman" w:cs="Times New Roman"/>
          <w:sz w:val="20"/>
          <w:szCs w:val="24"/>
          <w:lang w:val="nl-NL" w:eastAsia="nl-NL"/>
        </w:rPr>
        <w:t>rechtsgebied</w:t>
      </w:r>
      <w:r w:rsidRPr="00433AA7" w:rsidR="00BB146E">
        <w:rPr>
          <w:rFonts w:ascii="Arial" w:hAnsi="Arial" w:eastAsia="Times New Roman" w:cs="Times New Roman"/>
          <w:sz w:val="20"/>
          <w:szCs w:val="24"/>
          <w:lang w:val="nl-NL" w:eastAsia="nl-NL"/>
        </w:rPr>
        <w:t xml:space="preserve"> </w:t>
      </w:r>
      <w:r w:rsidRPr="00433AA7" w:rsidR="009C6BB9">
        <w:rPr>
          <w:rFonts w:ascii="Arial" w:hAnsi="Arial" w:eastAsia="Times New Roman" w:cs="Times New Roman"/>
          <w:sz w:val="20"/>
          <w:szCs w:val="24"/>
          <w:lang w:val="nl-NL" w:eastAsia="nl-NL"/>
        </w:rPr>
        <w:t xml:space="preserve">(geen partij bij het </w:t>
      </w:r>
      <w:r w:rsidR="00BB146E">
        <w:rPr>
          <w:rFonts w:ascii="Arial" w:hAnsi="Arial" w:eastAsia="Times New Roman" w:cs="Times New Roman"/>
          <w:sz w:val="20"/>
          <w:szCs w:val="24"/>
          <w:lang w:val="nl-NL" w:eastAsia="nl-NL"/>
        </w:rPr>
        <w:t>V</w:t>
      </w:r>
      <w:r w:rsidRPr="00433AA7" w:rsidR="009C6BB9">
        <w:rPr>
          <w:rFonts w:ascii="Arial" w:hAnsi="Arial" w:eastAsia="Times New Roman" w:cs="Times New Roman"/>
          <w:sz w:val="20"/>
          <w:szCs w:val="24"/>
          <w:lang w:val="nl-NL" w:eastAsia="nl-NL"/>
        </w:rPr>
        <w:t>erdrag)</w:t>
      </w:r>
      <w:r w:rsidR="00BB146E">
        <w:rPr>
          <w:rFonts w:ascii="Arial" w:hAnsi="Arial" w:eastAsia="Times New Roman" w:cs="Times New Roman"/>
          <w:sz w:val="20"/>
          <w:szCs w:val="24"/>
          <w:lang w:val="nl-NL" w:eastAsia="nl-NL"/>
        </w:rPr>
        <w:t xml:space="preserve"> </w:t>
      </w:r>
      <w:r w:rsidR="009C6BB9">
        <w:rPr>
          <w:rFonts w:ascii="Arial" w:hAnsi="Arial" w:eastAsia="Times New Roman" w:cs="Times New Roman"/>
          <w:sz w:val="20"/>
          <w:szCs w:val="24"/>
          <w:lang w:val="nl-NL" w:eastAsia="nl-NL"/>
        </w:rPr>
        <w:t xml:space="preserve">dat </w:t>
      </w:r>
      <w:r w:rsidRPr="00D67D02" w:rsidR="009C6BB9">
        <w:rPr>
          <w:rFonts w:ascii="Arial" w:hAnsi="Arial" w:eastAsia="Times New Roman" w:cs="Times New Roman"/>
          <w:sz w:val="20"/>
          <w:szCs w:val="24"/>
          <w:lang w:val="nl-NL" w:eastAsia="nl-NL"/>
        </w:rPr>
        <w:t>een nominaal winstbelastingtarief van minder da</w:t>
      </w:r>
      <w:r w:rsidR="00D67D02">
        <w:rPr>
          <w:rFonts w:ascii="Arial" w:hAnsi="Arial" w:eastAsia="Times New Roman" w:cs="Times New Roman"/>
          <w:sz w:val="20"/>
          <w:szCs w:val="24"/>
          <w:lang w:val="nl-NL" w:eastAsia="nl-NL"/>
        </w:rPr>
        <w:t xml:space="preserve">n 9% </w:t>
      </w:r>
      <w:r w:rsidRPr="00D67D02" w:rsidR="009C6BB9">
        <w:rPr>
          <w:rFonts w:ascii="Arial" w:hAnsi="Arial" w:eastAsia="Times New Roman" w:cs="Times New Roman"/>
          <w:sz w:val="20"/>
          <w:szCs w:val="24"/>
          <w:lang w:val="nl-NL" w:eastAsia="nl-NL"/>
        </w:rPr>
        <w:t>heef</w:t>
      </w:r>
      <w:r w:rsidRPr="00D67D02" w:rsidR="004E24C2">
        <w:rPr>
          <w:rFonts w:ascii="Arial" w:hAnsi="Arial" w:eastAsia="Times New Roman" w:cs="Times New Roman"/>
          <w:sz w:val="20"/>
          <w:szCs w:val="24"/>
          <w:lang w:val="nl-NL" w:eastAsia="nl-NL"/>
        </w:rPr>
        <w:t>t, buitenlands inkomen vrijstelt</w:t>
      </w:r>
      <w:r w:rsidRPr="00D67D02" w:rsidR="009C6BB9">
        <w:rPr>
          <w:rFonts w:ascii="Arial" w:hAnsi="Arial" w:eastAsia="Times New Roman" w:cs="Times New Roman"/>
          <w:sz w:val="20"/>
          <w:szCs w:val="24"/>
          <w:lang w:val="nl-NL" w:eastAsia="nl-NL"/>
        </w:rPr>
        <w:t xml:space="preserve"> of is opgenomen op de EU-lijst van niet-coöperatieve rechtsgebieden. Bij de redactie van dit artikel is aangeslot</w:t>
      </w:r>
      <w:r w:rsidRPr="00D67D02" w:rsidR="004E24C2">
        <w:rPr>
          <w:rFonts w:ascii="Arial" w:hAnsi="Arial" w:eastAsia="Times New Roman" w:cs="Times New Roman"/>
          <w:sz w:val="20"/>
          <w:szCs w:val="24"/>
          <w:lang w:val="nl-NL" w:eastAsia="nl-NL"/>
        </w:rPr>
        <w:t xml:space="preserve">en bij de </w:t>
      </w:r>
      <w:r w:rsidR="001A2D71">
        <w:rPr>
          <w:rFonts w:ascii="Arial" w:hAnsi="Arial" w:eastAsia="Times New Roman" w:cs="Times New Roman"/>
          <w:sz w:val="20"/>
          <w:szCs w:val="24"/>
          <w:lang w:val="nl-NL" w:eastAsia="nl-NL"/>
        </w:rPr>
        <w:t xml:space="preserve">redactie van artikel I van het </w:t>
      </w:r>
      <w:r w:rsidRPr="00D67D02" w:rsidR="004E24C2">
        <w:rPr>
          <w:rFonts w:ascii="Arial" w:hAnsi="Arial" w:eastAsia="Times New Roman" w:cs="Times New Roman"/>
          <w:sz w:val="20"/>
          <w:szCs w:val="24"/>
          <w:lang w:val="nl-NL" w:eastAsia="nl-NL"/>
        </w:rPr>
        <w:t>P</w:t>
      </w:r>
      <w:r w:rsidRPr="00D67D02" w:rsidR="009C6BB9">
        <w:rPr>
          <w:rFonts w:ascii="Arial" w:hAnsi="Arial" w:eastAsia="Times New Roman" w:cs="Times New Roman"/>
          <w:sz w:val="20"/>
          <w:szCs w:val="24"/>
          <w:lang w:val="nl-NL" w:eastAsia="nl-NL"/>
        </w:rPr>
        <w:t>rotocol.</w:t>
      </w:r>
    </w:p>
    <w:p w:rsidR="00E360F2" w:rsidP="00E360F2" w:rsidRDefault="00E360F2" w14:paraId="15A9302B" w14:textId="42DD8FEC">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De</w:t>
      </w:r>
      <w:r w:rsidR="00433AA7">
        <w:rPr>
          <w:rFonts w:ascii="Arial" w:hAnsi="Arial" w:eastAsia="Times New Roman" w:cs="Times New Roman"/>
          <w:sz w:val="20"/>
          <w:szCs w:val="24"/>
          <w:lang w:val="nl-NL" w:eastAsia="nl-NL"/>
        </w:rPr>
        <w:t xml:space="preserve"> bepaling</w:t>
      </w:r>
      <w:r w:rsidR="008800E0">
        <w:rPr>
          <w:rFonts w:ascii="Arial" w:hAnsi="Arial" w:eastAsia="Times New Roman" w:cs="Times New Roman"/>
          <w:sz w:val="20"/>
          <w:szCs w:val="24"/>
          <w:lang w:val="nl-NL" w:eastAsia="nl-NL"/>
        </w:rPr>
        <w:t>en van</w:t>
      </w:r>
      <w:r>
        <w:rPr>
          <w:rFonts w:ascii="Arial" w:hAnsi="Arial" w:eastAsia="Times New Roman" w:cs="Times New Roman"/>
          <w:sz w:val="20"/>
          <w:szCs w:val="24"/>
          <w:lang w:val="nl-NL" w:eastAsia="nl-NL"/>
        </w:rPr>
        <w:t xml:space="preserve"> het derde lid </w:t>
      </w:r>
      <w:r w:rsidR="008800E0">
        <w:rPr>
          <w:rFonts w:ascii="Arial" w:hAnsi="Arial" w:eastAsia="Times New Roman" w:cs="Times New Roman"/>
          <w:sz w:val="20"/>
          <w:szCs w:val="24"/>
          <w:lang w:val="nl-NL" w:eastAsia="nl-NL"/>
        </w:rPr>
        <w:t xml:space="preserve">zijn </w:t>
      </w:r>
      <w:r w:rsidR="00433AA7">
        <w:rPr>
          <w:rFonts w:ascii="Arial" w:hAnsi="Arial" w:eastAsia="Times New Roman" w:cs="Times New Roman"/>
          <w:sz w:val="20"/>
          <w:szCs w:val="24"/>
          <w:lang w:val="nl-NL" w:eastAsia="nl-NL"/>
        </w:rPr>
        <w:t>volgens het vierde</w:t>
      </w:r>
      <w:r w:rsidRPr="00433AA7" w:rsidR="00433AA7">
        <w:rPr>
          <w:rFonts w:ascii="Arial" w:hAnsi="Arial" w:eastAsia="Times New Roman" w:cs="Times New Roman"/>
          <w:sz w:val="20"/>
          <w:szCs w:val="24"/>
          <w:lang w:val="nl-NL" w:eastAsia="nl-NL"/>
        </w:rPr>
        <w:t xml:space="preserve"> lid niet van toepassing op inkomen</w:t>
      </w:r>
      <w:r w:rsidR="008800E0">
        <w:rPr>
          <w:rFonts w:ascii="Arial" w:hAnsi="Arial" w:eastAsia="Times New Roman" w:cs="Times New Roman"/>
          <w:sz w:val="20"/>
          <w:szCs w:val="24"/>
          <w:lang w:val="nl-NL" w:eastAsia="nl-NL"/>
        </w:rPr>
        <w:t xml:space="preserve">sbestanddelen die </w:t>
      </w:r>
      <w:r w:rsidRPr="00433AA7" w:rsidR="00433AA7">
        <w:rPr>
          <w:rFonts w:ascii="Arial" w:hAnsi="Arial" w:eastAsia="Times New Roman" w:cs="Times New Roman"/>
          <w:sz w:val="20"/>
          <w:szCs w:val="24"/>
          <w:lang w:val="nl-NL" w:eastAsia="nl-NL"/>
        </w:rPr>
        <w:t>verband houd</w:t>
      </w:r>
      <w:r w:rsidR="00BB146E">
        <w:rPr>
          <w:rFonts w:ascii="Arial" w:hAnsi="Arial" w:eastAsia="Times New Roman" w:cs="Times New Roman"/>
          <w:sz w:val="20"/>
          <w:szCs w:val="24"/>
          <w:lang w:val="nl-NL" w:eastAsia="nl-NL"/>
        </w:rPr>
        <w:t>en</w:t>
      </w:r>
      <w:r w:rsidRPr="00433AA7" w:rsidR="00433AA7">
        <w:rPr>
          <w:rFonts w:ascii="Arial" w:hAnsi="Arial" w:eastAsia="Times New Roman" w:cs="Times New Roman"/>
          <w:sz w:val="20"/>
          <w:szCs w:val="24"/>
          <w:lang w:val="nl-NL" w:eastAsia="nl-NL"/>
        </w:rPr>
        <w:t xml:space="preserve"> met de actieve uitoefening van een bedrijf door de vaste inrichting. </w:t>
      </w:r>
    </w:p>
    <w:p w:rsidR="00E360F2" w:rsidP="004E24C2" w:rsidRDefault="00433AA7" w14:paraId="324D5126" w14:textId="0D945D02">
      <w:pPr>
        <w:spacing w:after="0" w:line="360" w:lineRule="auto"/>
        <w:ind w:firstLine="720"/>
        <w:rPr>
          <w:rFonts w:ascii="Arial" w:hAnsi="Arial" w:eastAsia="Times New Roman" w:cs="Times New Roman"/>
          <w:sz w:val="20"/>
          <w:szCs w:val="24"/>
          <w:lang w:val="nl-NL" w:eastAsia="nl-NL"/>
        </w:rPr>
      </w:pPr>
      <w:r w:rsidRPr="00433AA7">
        <w:rPr>
          <w:rFonts w:ascii="Arial" w:hAnsi="Arial" w:eastAsia="Times New Roman" w:cs="Times New Roman"/>
          <w:sz w:val="20"/>
          <w:szCs w:val="24"/>
          <w:lang w:val="nl-NL" w:eastAsia="nl-NL"/>
        </w:rPr>
        <w:t>Om</w:t>
      </w:r>
      <w:r w:rsidR="00362421">
        <w:rPr>
          <w:rFonts w:ascii="Arial" w:hAnsi="Arial" w:eastAsia="Times New Roman" w:cs="Times New Roman"/>
          <w:sz w:val="20"/>
          <w:szCs w:val="24"/>
          <w:lang w:val="nl-NL" w:eastAsia="nl-NL"/>
        </w:rPr>
        <w:t xml:space="preserve"> te voorkomen dat gevallen worden getroffen waar</w:t>
      </w:r>
      <w:r w:rsidR="00891EF7">
        <w:rPr>
          <w:rFonts w:ascii="Arial" w:hAnsi="Arial" w:eastAsia="Times New Roman" w:cs="Times New Roman"/>
          <w:sz w:val="20"/>
          <w:szCs w:val="24"/>
          <w:lang w:val="nl-NL" w:eastAsia="nl-NL"/>
        </w:rPr>
        <w:t>voor de bepaling niet bedoeld is,</w:t>
      </w:r>
      <w:r w:rsidRPr="00433AA7">
        <w:rPr>
          <w:rFonts w:ascii="Arial" w:hAnsi="Arial" w:eastAsia="Times New Roman" w:cs="Times New Roman"/>
          <w:sz w:val="20"/>
          <w:szCs w:val="24"/>
          <w:lang w:val="nl-NL" w:eastAsia="nl-NL"/>
        </w:rPr>
        <w:t xml:space="preserve"> </w:t>
      </w:r>
      <w:r w:rsidR="00E360F2">
        <w:rPr>
          <w:rFonts w:ascii="Arial" w:hAnsi="Arial" w:eastAsia="Times New Roman" w:cs="Times New Roman"/>
          <w:sz w:val="20"/>
          <w:szCs w:val="24"/>
          <w:lang w:val="nl-NL" w:eastAsia="nl-NL"/>
        </w:rPr>
        <w:t>biedt het vijfde</w:t>
      </w:r>
      <w:r w:rsidRPr="00433AA7">
        <w:rPr>
          <w:rFonts w:ascii="Arial" w:hAnsi="Arial" w:eastAsia="Times New Roman" w:cs="Times New Roman"/>
          <w:sz w:val="20"/>
          <w:szCs w:val="24"/>
          <w:lang w:val="nl-NL" w:eastAsia="nl-NL"/>
        </w:rPr>
        <w:t xml:space="preserve"> lid de mogelijkheid voor de bevoegde autoriteit van het bronland o</w:t>
      </w:r>
      <w:r w:rsidR="00E360F2">
        <w:rPr>
          <w:rFonts w:ascii="Arial" w:hAnsi="Arial" w:eastAsia="Times New Roman" w:cs="Times New Roman"/>
          <w:sz w:val="20"/>
          <w:szCs w:val="24"/>
          <w:lang w:val="nl-NL" w:eastAsia="nl-NL"/>
        </w:rPr>
        <w:t>m – op verzoek van de belasting</w:t>
      </w:r>
      <w:r w:rsidRPr="00433AA7">
        <w:rPr>
          <w:rFonts w:ascii="Arial" w:hAnsi="Arial" w:eastAsia="Times New Roman" w:cs="Times New Roman"/>
          <w:sz w:val="20"/>
          <w:szCs w:val="24"/>
          <w:lang w:val="nl-NL" w:eastAsia="nl-NL"/>
        </w:rPr>
        <w:t xml:space="preserve">plichtige – toch verdragsvoordelen toe te kennen als de bevoegde autoriteit dat gerechtvaardigd voorkomt. Voorafgaand aan het weigeren of inwilligen van het verzoek zal die bevoegde autoriteit de bevoegde autoriteit van de </w:t>
      </w:r>
      <w:r w:rsidR="00E14707">
        <w:rPr>
          <w:rFonts w:ascii="Arial" w:hAnsi="Arial" w:eastAsia="Times New Roman" w:cs="Times New Roman"/>
          <w:sz w:val="20"/>
          <w:szCs w:val="24"/>
          <w:lang w:val="nl-NL" w:eastAsia="nl-NL"/>
        </w:rPr>
        <w:t>andere verdragsluitende staat</w:t>
      </w:r>
      <w:r w:rsidRPr="00433AA7" w:rsidR="00E14707">
        <w:rPr>
          <w:rFonts w:ascii="Arial" w:hAnsi="Arial" w:eastAsia="Times New Roman" w:cs="Times New Roman"/>
          <w:sz w:val="20"/>
          <w:szCs w:val="24"/>
          <w:lang w:val="nl-NL" w:eastAsia="nl-NL"/>
        </w:rPr>
        <w:t xml:space="preserve"> </w:t>
      </w:r>
      <w:r w:rsidRPr="00433AA7">
        <w:rPr>
          <w:rFonts w:ascii="Arial" w:hAnsi="Arial" w:eastAsia="Times New Roman" w:cs="Times New Roman"/>
          <w:sz w:val="20"/>
          <w:szCs w:val="24"/>
          <w:lang w:val="nl-NL" w:eastAsia="nl-NL"/>
        </w:rPr>
        <w:t xml:space="preserve">consulteren. </w:t>
      </w:r>
    </w:p>
    <w:p w:rsidRPr="00E360F2" w:rsidR="00393A06" w:rsidP="00891EF7" w:rsidRDefault="00393A06" w14:paraId="49E1BC79" w14:textId="35CB647A">
      <w:pPr>
        <w:pStyle w:val="Heading2"/>
        <w:ind w:left="0"/>
        <w:rPr>
          <w:b w:val="0"/>
          <w:lang w:val="nl-NL"/>
        </w:rPr>
      </w:pPr>
      <w:r w:rsidRPr="00E360F2">
        <w:rPr>
          <w:b w:val="0"/>
          <w:i/>
          <w:lang w:val="nl-NL"/>
        </w:rPr>
        <w:t>Uitbreiding tot andere gebieden (artikel 29</w:t>
      </w:r>
      <w:r w:rsidR="00153826">
        <w:rPr>
          <w:b w:val="0"/>
          <w:i/>
          <w:lang w:val="nl-NL"/>
        </w:rPr>
        <w:t xml:space="preserve"> van het Verdrag</w:t>
      </w:r>
      <w:r w:rsidRPr="00E360F2">
        <w:rPr>
          <w:b w:val="0"/>
          <w:i/>
          <w:lang w:val="nl-NL"/>
        </w:rPr>
        <w:t>)</w:t>
      </w:r>
    </w:p>
    <w:p w:rsidRPr="00393A06" w:rsidR="00393A06" w:rsidP="00393A06" w:rsidRDefault="00393A06" w14:paraId="7408397B" w14:textId="370FF451">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 Het eerste lid bepaalt dat het Verdrag </w:t>
      </w:r>
      <w:r w:rsidR="00B46790">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mits aan bepaalde voorwaarden wordt voldaan </w:t>
      </w:r>
      <w:r w:rsidR="00B46790">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kan worden uitgebreid tot </w:t>
      </w:r>
      <w:r w:rsidR="00607905">
        <w:rPr>
          <w:rFonts w:ascii="Arial" w:hAnsi="Arial" w:eastAsia="Times New Roman" w:cs="Times New Roman"/>
          <w:sz w:val="20"/>
          <w:szCs w:val="24"/>
          <w:lang w:val="nl-NL" w:eastAsia="nl-NL"/>
        </w:rPr>
        <w:t xml:space="preserve">elk </w:t>
      </w:r>
      <w:r w:rsidRPr="00393A06">
        <w:rPr>
          <w:rFonts w:ascii="Arial" w:hAnsi="Arial" w:eastAsia="Times New Roman" w:cs="Times New Roman"/>
          <w:sz w:val="20"/>
          <w:szCs w:val="24"/>
          <w:lang w:val="nl-NL" w:eastAsia="nl-NL"/>
        </w:rPr>
        <w:t xml:space="preserve">van de andere </w:t>
      </w:r>
      <w:r w:rsidR="00E14707">
        <w:rPr>
          <w:rFonts w:ascii="Arial" w:hAnsi="Arial" w:eastAsia="Times New Roman" w:cs="Times New Roman"/>
          <w:sz w:val="20"/>
          <w:szCs w:val="24"/>
          <w:lang w:val="nl-NL" w:eastAsia="nl-NL"/>
        </w:rPr>
        <w:t>delen</w:t>
      </w:r>
      <w:r w:rsidRPr="00393A06" w:rsidR="00E14707">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van het Koninkrijk. Ten behoeve van die uitbreiding zou een separaat verdrag gesloten moeten worden dat de goedkeuring van het parlement behoeft.</w:t>
      </w:r>
    </w:p>
    <w:p w:rsidRPr="00393A06" w:rsidR="00393A06" w:rsidP="00393A06" w:rsidRDefault="00393A06" w14:paraId="7A92277B" w14:textId="0B5DC762">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Het tweede lid bepaalt dat als het Verdrag in overeenstemming met het eerste lid is uitgebreid, die uitbreiding niet automatisch wordt beëindigd als het onderhavige Verdrag wordt beëindigd, tenzij anders </w:t>
      </w:r>
      <w:r w:rsidR="000150C8">
        <w:rPr>
          <w:rFonts w:ascii="Arial" w:hAnsi="Arial" w:eastAsia="Times New Roman" w:cs="Times New Roman"/>
          <w:sz w:val="20"/>
          <w:szCs w:val="24"/>
          <w:lang w:val="nl-NL" w:eastAsia="nl-NL"/>
        </w:rPr>
        <w:t xml:space="preserve">wordt </w:t>
      </w:r>
      <w:r w:rsidRPr="00393A06">
        <w:rPr>
          <w:rFonts w:ascii="Arial" w:hAnsi="Arial" w:eastAsia="Times New Roman" w:cs="Times New Roman"/>
          <w:sz w:val="20"/>
          <w:szCs w:val="24"/>
          <w:lang w:val="nl-NL" w:eastAsia="nl-NL"/>
        </w:rPr>
        <w:t>overeengekomen.</w:t>
      </w:r>
    </w:p>
    <w:p w:rsidRPr="00393A06" w:rsidR="00393A06" w:rsidP="00393A06" w:rsidRDefault="00393A06" w14:paraId="54018701" w14:textId="3273A62A">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Inwerkingtreding (artikel 30</w:t>
      </w:r>
      <w:r w:rsidR="00D63B02">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393A06" w:rsidP="003A33D3" w:rsidRDefault="00393A06" w14:paraId="4D1B1B1A" w14:textId="36440C4F">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Artikel 30 regelt de inwerkingtreding van het Verdrag. </w:t>
      </w:r>
      <w:r w:rsidR="00E360F2">
        <w:rPr>
          <w:rFonts w:ascii="Arial" w:hAnsi="Arial" w:eastAsia="Times New Roman" w:cs="Arial"/>
          <w:sz w:val="20"/>
          <w:szCs w:val="20"/>
          <w:lang w:val="nl-NL" w:eastAsia="nl-NL"/>
        </w:rPr>
        <w:t xml:space="preserve">De </w:t>
      </w:r>
      <w:r w:rsidRPr="00393A06">
        <w:rPr>
          <w:rFonts w:ascii="Arial" w:hAnsi="Arial" w:eastAsia="Times New Roman" w:cs="Arial"/>
          <w:sz w:val="20"/>
          <w:szCs w:val="20"/>
          <w:lang w:val="nl-NL" w:eastAsia="nl-NL"/>
        </w:rPr>
        <w:t xml:space="preserve">verdragsluitende staten </w:t>
      </w:r>
      <w:r w:rsidR="00E360F2">
        <w:rPr>
          <w:rFonts w:ascii="Arial" w:hAnsi="Arial" w:eastAsia="Times New Roman" w:cs="Arial"/>
          <w:sz w:val="20"/>
          <w:szCs w:val="20"/>
          <w:lang w:val="nl-NL" w:eastAsia="nl-NL"/>
        </w:rPr>
        <w:t xml:space="preserve">stellen </w:t>
      </w:r>
      <w:r w:rsidRPr="00393A06">
        <w:rPr>
          <w:rFonts w:ascii="Arial" w:hAnsi="Arial" w:eastAsia="Times New Roman" w:cs="Arial"/>
          <w:sz w:val="20"/>
          <w:szCs w:val="20"/>
          <w:lang w:val="nl-NL" w:eastAsia="nl-NL"/>
        </w:rPr>
        <w:t>elkaar via diplomatieke notawisseling ervan in kennis dat de in hun staat vereiste wettelijke procedures voor de inwerkingtreding van het Verdrag zijn vervuld. Het Verdrag treedt dan in werking op de laatste dag van de maand volgend op de maand waarin de laatste van de beide kennisgevingen is ontvangen.</w:t>
      </w:r>
      <w:r w:rsidR="003A33D3">
        <w:rPr>
          <w:rFonts w:ascii="Arial" w:hAnsi="Arial" w:eastAsia="Times New Roman" w:cs="Arial"/>
          <w:sz w:val="20"/>
          <w:szCs w:val="20"/>
          <w:lang w:val="nl-NL" w:eastAsia="nl-NL"/>
        </w:rPr>
        <w:t xml:space="preserve"> De bepalingen </w:t>
      </w:r>
      <w:r w:rsidR="008E5B8B">
        <w:rPr>
          <w:rFonts w:ascii="Arial" w:hAnsi="Arial" w:eastAsia="Times New Roman" w:cs="Arial"/>
          <w:sz w:val="20"/>
          <w:szCs w:val="20"/>
          <w:lang w:val="nl-NL" w:eastAsia="nl-NL"/>
        </w:rPr>
        <w:t>van</w:t>
      </w:r>
      <w:r w:rsidR="003A33D3">
        <w:rPr>
          <w:rFonts w:ascii="Arial" w:hAnsi="Arial" w:eastAsia="Times New Roman" w:cs="Arial"/>
          <w:sz w:val="20"/>
          <w:szCs w:val="20"/>
          <w:lang w:val="nl-NL" w:eastAsia="nl-NL"/>
        </w:rPr>
        <w:t xml:space="preserve"> het Verdrag vinden vervolgens toepassing </w:t>
      </w:r>
      <w:r w:rsidRPr="00393A06">
        <w:rPr>
          <w:rFonts w:ascii="Arial" w:hAnsi="Arial" w:eastAsia="Times New Roman" w:cs="Arial"/>
          <w:sz w:val="20"/>
          <w:szCs w:val="20"/>
          <w:lang w:val="nl-NL" w:eastAsia="nl-NL"/>
        </w:rPr>
        <w:t xml:space="preserve">voor belastingjaren en </w:t>
      </w:r>
      <w:r w:rsidR="00B449B4">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tijdvakken beginnend, en op belastbare gebeurtenissen die zich voordoen, op of na 1 januari van het kalenderjaar dat volgt op het kalenderjaar waarin het Verdrag in werking is getreden</w:t>
      </w:r>
      <w:r w:rsidR="003A33D3">
        <w:rPr>
          <w:rFonts w:ascii="Arial" w:hAnsi="Arial" w:eastAsia="Times New Roman" w:cs="Arial"/>
          <w:sz w:val="20"/>
          <w:szCs w:val="20"/>
          <w:lang w:val="nl-NL" w:eastAsia="nl-NL"/>
        </w:rPr>
        <w:t>.</w:t>
      </w:r>
    </w:p>
    <w:p w:rsidRPr="00D63B02" w:rsidR="00393A06" w:rsidP="00393A06" w:rsidRDefault="00393A06" w14:paraId="23EB9B66" w14:textId="19BA7785">
      <w:pPr>
        <w:keepNext/>
        <w:numPr>
          <w:ilvl w:val="1"/>
          <w:numId w:val="1"/>
        </w:numPr>
        <w:spacing w:before="240" w:after="0" w:line="360" w:lineRule="auto"/>
        <w:ind w:left="0"/>
        <w:outlineLvl w:val="1"/>
        <w:rPr>
          <w:rFonts w:ascii="Arial" w:hAnsi="Arial" w:eastAsia="Times New Roman" w:cs="Times New Roman"/>
          <w:bCs/>
          <w:i/>
          <w:iCs/>
          <w:sz w:val="20"/>
          <w:szCs w:val="28"/>
          <w:lang w:val="nl-NL" w:eastAsia="nl-NL"/>
        </w:rPr>
      </w:pPr>
      <w:r w:rsidRPr="00D63B02">
        <w:rPr>
          <w:rFonts w:ascii="Arial" w:hAnsi="Arial" w:eastAsia="Times New Roman" w:cs="Times New Roman"/>
          <w:bCs/>
          <w:i/>
          <w:iCs/>
          <w:sz w:val="20"/>
          <w:szCs w:val="28"/>
          <w:lang w:val="nl-NL" w:eastAsia="nl-NL"/>
        </w:rPr>
        <w:t>Beëindiging (artikel 31</w:t>
      </w:r>
      <w:r w:rsidR="00D63B02">
        <w:rPr>
          <w:rFonts w:ascii="Arial" w:hAnsi="Arial" w:eastAsia="Times New Roman" w:cs="Times New Roman"/>
          <w:bCs/>
          <w:i/>
          <w:iCs/>
          <w:sz w:val="20"/>
          <w:szCs w:val="28"/>
          <w:lang w:val="nl-NL" w:eastAsia="nl-NL"/>
        </w:rPr>
        <w:t xml:space="preserve"> van het Verdrag</w:t>
      </w:r>
      <w:r w:rsidRPr="00D63B02">
        <w:rPr>
          <w:rFonts w:ascii="Arial" w:hAnsi="Arial" w:eastAsia="Times New Roman" w:cs="Times New Roman"/>
          <w:bCs/>
          <w:i/>
          <w:iCs/>
          <w:sz w:val="20"/>
          <w:szCs w:val="28"/>
          <w:lang w:val="nl-NL" w:eastAsia="nl-NL"/>
        </w:rPr>
        <w:t>)</w:t>
      </w:r>
    </w:p>
    <w:p w:rsidRPr="00393A06" w:rsidR="00393A06" w:rsidP="00393A06" w:rsidRDefault="008E5B8B" w14:paraId="20B56190" w14:textId="6B990258">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31 regelt de beëindiging van het Verdrag.</w:t>
      </w:r>
      <w:r w:rsidR="009461E5">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Volgens het eerste lid kan h</w:t>
      </w:r>
      <w:r w:rsidRPr="00393A06" w:rsidR="00393A06">
        <w:rPr>
          <w:rFonts w:ascii="Arial" w:hAnsi="Arial" w:eastAsia="Times New Roman" w:cs="Arial"/>
          <w:sz w:val="20"/>
          <w:szCs w:val="20"/>
          <w:lang w:val="nl-NL" w:eastAsia="nl-NL"/>
        </w:rPr>
        <w:t xml:space="preserve">et Verdrag na verloop van vijf jaar na de datum van inwerkingtreding door elk van de verdragsluitende staten worden beëindigd. Beëindiging dient langs diplomatieke weg te geschieden door een kennisgeving van </w:t>
      </w:r>
      <w:r w:rsidRPr="00393A06" w:rsidR="00393A06">
        <w:rPr>
          <w:rFonts w:ascii="Arial" w:hAnsi="Arial" w:eastAsia="Times New Roman" w:cs="Arial"/>
          <w:sz w:val="20"/>
          <w:szCs w:val="20"/>
          <w:lang w:val="nl-NL" w:eastAsia="nl-NL"/>
        </w:rPr>
        <w:lastRenderedPageBreak/>
        <w:t xml:space="preserve">beëindiging, met inachtneming van een opzegtermijn van ten minste zes maanden vóór het eind van enig kalenderjaar dat aanvangt na afloop van die </w:t>
      </w:r>
      <w:proofErr w:type="spellStart"/>
      <w:r w:rsidRPr="00393A06" w:rsidR="00393A06">
        <w:rPr>
          <w:rFonts w:ascii="Arial" w:hAnsi="Arial" w:eastAsia="Times New Roman" w:cs="Arial"/>
          <w:sz w:val="20"/>
          <w:szCs w:val="20"/>
          <w:lang w:val="nl-NL" w:eastAsia="nl-NL"/>
        </w:rPr>
        <w:t>vijfjaarsperiode</w:t>
      </w:r>
      <w:proofErr w:type="spellEnd"/>
      <w:r w:rsidRPr="00393A06" w:rsidR="00393A06">
        <w:rPr>
          <w:rFonts w:ascii="Arial" w:hAnsi="Arial" w:eastAsia="Times New Roman" w:cs="Arial"/>
          <w:sz w:val="20"/>
          <w:szCs w:val="20"/>
          <w:lang w:val="nl-NL" w:eastAsia="nl-NL"/>
        </w:rPr>
        <w:t>.</w:t>
      </w:r>
    </w:p>
    <w:p w:rsidR="00C66788" w:rsidP="00C66788" w:rsidRDefault="00393A06" w14:paraId="1DF01891" w14:textId="67FBED64">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Uit onderdeel a volgt dat indien de kennisgeving is gedaan in de eerste zes maanden van een kalenderjaar, het Verdrag wat betreft</w:t>
      </w:r>
      <w:r w:rsidR="00055FE1">
        <w:rPr>
          <w:rFonts w:ascii="Arial" w:hAnsi="Arial" w:eastAsia="Times New Roman" w:cs="Arial"/>
          <w:sz w:val="20"/>
          <w:szCs w:val="20"/>
          <w:lang w:val="nl-NL" w:eastAsia="nl-NL"/>
        </w:rPr>
        <w:t xml:space="preserve"> bronbelastingen </w:t>
      </w:r>
      <w:r w:rsidRPr="00393A06">
        <w:rPr>
          <w:rFonts w:ascii="Arial" w:hAnsi="Arial" w:eastAsia="Times New Roman" w:cs="Arial"/>
          <w:sz w:val="20"/>
          <w:szCs w:val="20"/>
          <w:lang w:val="nl-NL" w:eastAsia="nl-NL"/>
        </w:rPr>
        <w:t xml:space="preserve">ophoudt van toepassing te zijn voor </w:t>
      </w:r>
      <w:r w:rsidR="007B60FF">
        <w:rPr>
          <w:rFonts w:ascii="Arial" w:hAnsi="Arial" w:eastAsia="Times New Roman" w:cs="Arial"/>
          <w:sz w:val="20"/>
          <w:szCs w:val="20"/>
          <w:lang w:val="nl-NL" w:eastAsia="nl-NL"/>
        </w:rPr>
        <w:t>inkomsten</w:t>
      </w:r>
      <w:r w:rsidR="00C66788">
        <w:rPr>
          <w:rFonts w:ascii="Arial" w:hAnsi="Arial" w:eastAsia="Times New Roman" w:cs="Arial"/>
          <w:sz w:val="20"/>
          <w:szCs w:val="20"/>
          <w:lang w:val="nl-NL" w:eastAsia="nl-NL"/>
        </w:rPr>
        <w:t xml:space="preserve"> die</w:t>
      </w:r>
      <w:r w:rsidRPr="00393A06">
        <w:rPr>
          <w:rFonts w:ascii="Arial" w:hAnsi="Arial" w:eastAsia="Times New Roman" w:cs="Arial"/>
          <w:sz w:val="20"/>
          <w:szCs w:val="20"/>
          <w:lang w:val="nl-NL" w:eastAsia="nl-NL"/>
        </w:rPr>
        <w:t xml:space="preserve"> </w:t>
      </w:r>
      <w:r w:rsidR="008E5B8B">
        <w:rPr>
          <w:rFonts w:ascii="Arial" w:hAnsi="Arial" w:eastAsia="Times New Roman" w:cs="Arial"/>
          <w:sz w:val="20"/>
          <w:szCs w:val="20"/>
          <w:lang w:val="nl-NL" w:eastAsia="nl-NL"/>
        </w:rPr>
        <w:t xml:space="preserve">worden verkregen </w:t>
      </w:r>
      <w:r w:rsidRPr="00393A06">
        <w:rPr>
          <w:rFonts w:ascii="Arial" w:hAnsi="Arial" w:eastAsia="Times New Roman" w:cs="Arial"/>
          <w:sz w:val="20"/>
          <w:szCs w:val="20"/>
          <w:lang w:val="nl-NL" w:eastAsia="nl-NL"/>
        </w:rPr>
        <w:t>na het einde van het kalenderjaar waarin de</w:t>
      </w:r>
      <w:r w:rsidR="00C66788">
        <w:rPr>
          <w:rFonts w:ascii="Arial" w:hAnsi="Arial" w:eastAsia="Times New Roman" w:cs="Arial"/>
          <w:sz w:val="20"/>
          <w:szCs w:val="20"/>
          <w:lang w:val="nl-NL" w:eastAsia="nl-NL"/>
        </w:rPr>
        <w:t xml:space="preserve"> kennisgeving van beëindiging </w:t>
      </w:r>
      <w:r w:rsidR="008E5B8B">
        <w:rPr>
          <w:rFonts w:ascii="Arial" w:hAnsi="Arial" w:eastAsia="Times New Roman" w:cs="Arial"/>
          <w:sz w:val="20"/>
          <w:szCs w:val="20"/>
          <w:lang w:val="nl-NL" w:eastAsia="nl-NL"/>
        </w:rPr>
        <w:t>is gedaan</w:t>
      </w:r>
      <w:r w:rsidRPr="00393A06">
        <w:rPr>
          <w:rFonts w:ascii="Arial" w:hAnsi="Arial" w:eastAsia="Times New Roman" w:cs="Arial"/>
          <w:sz w:val="20"/>
          <w:szCs w:val="20"/>
          <w:lang w:val="nl-NL" w:eastAsia="nl-NL"/>
        </w:rPr>
        <w:t xml:space="preserve">. Indien de kennisgeving </w:t>
      </w:r>
      <w:r w:rsidR="007B60FF">
        <w:rPr>
          <w:rFonts w:ascii="Arial" w:hAnsi="Arial" w:eastAsia="Times New Roman" w:cs="Arial"/>
          <w:sz w:val="20"/>
          <w:szCs w:val="20"/>
          <w:lang w:val="nl-NL" w:eastAsia="nl-NL"/>
        </w:rPr>
        <w:t xml:space="preserve">dus </w:t>
      </w:r>
      <w:r w:rsidRPr="00393A06">
        <w:rPr>
          <w:rFonts w:ascii="Arial" w:hAnsi="Arial" w:eastAsia="Times New Roman" w:cs="Arial"/>
          <w:sz w:val="20"/>
          <w:szCs w:val="20"/>
          <w:lang w:val="nl-NL" w:eastAsia="nl-NL"/>
        </w:rPr>
        <w:t>is gedaan in de laatste zes maanden van een kalenderjaar, houdt h</w:t>
      </w:r>
      <w:r w:rsidR="00C66788">
        <w:rPr>
          <w:rFonts w:ascii="Arial" w:hAnsi="Arial" w:eastAsia="Times New Roman" w:cs="Arial"/>
          <w:sz w:val="20"/>
          <w:szCs w:val="20"/>
          <w:lang w:val="nl-NL" w:eastAsia="nl-NL"/>
        </w:rPr>
        <w:t xml:space="preserve">et Verdrag </w:t>
      </w:r>
      <w:r w:rsidR="008E5B8B">
        <w:rPr>
          <w:rFonts w:ascii="Arial" w:hAnsi="Arial" w:eastAsia="Times New Roman" w:cs="Arial"/>
          <w:sz w:val="20"/>
          <w:szCs w:val="20"/>
          <w:lang w:val="nl-NL" w:eastAsia="nl-NL"/>
        </w:rPr>
        <w:t xml:space="preserve">wat betreft bronbelastingen </w:t>
      </w:r>
      <w:r w:rsidRPr="00393A06">
        <w:rPr>
          <w:rFonts w:ascii="Arial" w:hAnsi="Arial" w:eastAsia="Times New Roman" w:cs="Arial"/>
          <w:sz w:val="20"/>
          <w:szCs w:val="20"/>
          <w:lang w:val="nl-NL" w:eastAsia="nl-NL"/>
        </w:rPr>
        <w:t xml:space="preserve">op van toepassing te zijn voor </w:t>
      </w:r>
      <w:r w:rsidR="007B60FF">
        <w:rPr>
          <w:rFonts w:ascii="Arial" w:hAnsi="Arial" w:eastAsia="Times New Roman" w:cs="Arial"/>
          <w:sz w:val="20"/>
          <w:szCs w:val="20"/>
          <w:lang w:val="nl-NL" w:eastAsia="nl-NL"/>
        </w:rPr>
        <w:t>inkomsten</w:t>
      </w:r>
      <w:r w:rsidRPr="00C66788" w:rsidR="00C66788">
        <w:rPr>
          <w:rFonts w:ascii="Arial" w:hAnsi="Arial" w:eastAsia="Times New Roman" w:cs="Arial"/>
          <w:sz w:val="20"/>
          <w:szCs w:val="20"/>
          <w:lang w:val="nl-NL" w:eastAsia="nl-NL"/>
        </w:rPr>
        <w:t xml:space="preserve"> </w:t>
      </w:r>
      <w:r w:rsidR="00C66788">
        <w:rPr>
          <w:rFonts w:ascii="Arial" w:hAnsi="Arial" w:eastAsia="Times New Roman" w:cs="Arial"/>
          <w:sz w:val="20"/>
          <w:szCs w:val="20"/>
          <w:lang w:val="nl-NL" w:eastAsia="nl-NL"/>
        </w:rPr>
        <w:t xml:space="preserve">die </w:t>
      </w:r>
      <w:r w:rsidR="008E5B8B">
        <w:rPr>
          <w:rFonts w:ascii="Arial" w:hAnsi="Arial" w:eastAsia="Times New Roman" w:cs="Arial"/>
          <w:sz w:val="20"/>
          <w:szCs w:val="20"/>
          <w:lang w:val="nl-NL" w:eastAsia="nl-NL"/>
        </w:rPr>
        <w:t xml:space="preserve">worden verkregen </w:t>
      </w:r>
      <w:r w:rsidRPr="00393A06" w:rsidR="00C66788">
        <w:rPr>
          <w:rFonts w:ascii="Arial" w:hAnsi="Arial" w:eastAsia="Times New Roman" w:cs="Arial"/>
          <w:sz w:val="20"/>
          <w:szCs w:val="20"/>
          <w:lang w:val="nl-NL" w:eastAsia="nl-NL"/>
        </w:rPr>
        <w:t>na het einde van het kalenderjaar volgend op het kalenderjaar</w:t>
      </w:r>
      <w:r w:rsidR="007B60FF">
        <w:rPr>
          <w:rFonts w:ascii="Arial" w:hAnsi="Arial" w:eastAsia="Times New Roman" w:cs="Arial"/>
          <w:sz w:val="20"/>
          <w:szCs w:val="20"/>
          <w:lang w:val="nl-NL" w:eastAsia="nl-NL"/>
        </w:rPr>
        <w:t xml:space="preserve"> </w:t>
      </w:r>
      <w:r w:rsidR="008E5B8B">
        <w:rPr>
          <w:rFonts w:ascii="Arial" w:hAnsi="Arial" w:eastAsia="Times New Roman" w:cs="Arial"/>
          <w:sz w:val="20"/>
          <w:szCs w:val="20"/>
          <w:lang w:val="nl-NL" w:eastAsia="nl-NL"/>
        </w:rPr>
        <w:t>waarin de</w:t>
      </w:r>
      <w:r w:rsidR="007B60FF">
        <w:rPr>
          <w:rFonts w:ascii="Arial" w:hAnsi="Arial" w:eastAsia="Times New Roman" w:cs="Arial"/>
          <w:sz w:val="20"/>
          <w:szCs w:val="20"/>
          <w:lang w:val="nl-NL" w:eastAsia="nl-NL"/>
        </w:rPr>
        <w:t xml:space="preserve"> </w:t>
      </w:r>
      <w:r w:rsidRPr="00393A06" w:rsidR="00C66788">
        <w:rPr>
          <w:rFonts w:ascii="Arial" w:hAnsi="Arial" w:eastAsia="Times New Roman" w:cs="Arial"/>
          <w:sz w:val="20"/>
          <w:szCs w:val="20"/>
          <w:lang w:val="nl-NL" w:eastAsia="nl-NL"/>
        </w:rPr>
        <w:t>kennis</w:t>
      </w:r>
      <w:r w:rsidR="007B60FF">
        <w:rPr>
          <w:rFonts w:ascii="Arial" w:hAnsi="Arial" w:eastAsia="Times New Roman" w:cs="Arial"/>
          <w:sz w:val="20"/>
          <w:szCs w:val="20"/>
          <w:lang w:val="nl-NL" w:eastAsia="nl-NL"/>
        </w:rPr>
        <w:t xml:space="preserve">geving van beëindiging </w:t>
      </w:r>
      <w:r w:rsidR="008E5B8B">
        <w:rPr>
          <w:rFonts w:ascii="Arial" w:hAnsi="Arial" w:eastAsia="Times New Roman" w:cs="Arial"/>
          <w:sz w:val="20"/>
          <w:szCs w:val="20"/>
          <w:lang w:val="nl-NL" w:eastAsia="nl-NL"/>
        </w:rPr>
        <w:t>is gedaan</w:t>
      </w:r>
      <w:r w:rsidRPr="00393A06" w:rsidR="00C66788">
        <w:rPr>
          <w:rFonts w:ascii="Arial" w:hAnsi="Arial" w:eastAsia="Times New Roman" w:cs="Arial"/>
          <w:sz w:val="20"/>
          <w:szCs w:val="20"/>
          <w:lang w:val="nl-NL" w:eastAsia="nl-NL"/>
        </w:rPr>
        <w:t>.</w:t>
      </w:r>
    </w:p>
    <w:p w:rsidR="007B60FF" w:rsidP="007B60FF" w:rsidRDefault="00C66788" w14:paraId="45DA62B6" w14:textId="46CF063F">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Uit onderdeel b volgt dat met betrekking tot overige belastingen </w:t>
      </w:r>
      <w:r w:rsidR="008E5B8B">
        <w:rPr>
          <w:rFonts w:ascii="Arial" w:hAnsi="Arial" w:eastAsia="Times New Roman" w:cs="Arial"/>
          <w:sz w:val="20"/>
          <w:szCs w:val="20"/>
          <w:lang w:val="nl-NL" w:eastAsia="nl-NL"/>
        </w:rPr>
        <w:t xml:space="preserve">naar het </w:t>
      </w:r>
      <w:r>
        <w:rPr>
          <w:rFonts w:ascii="Arial" w:hAnsi="Arial" w:eastAsia="Times New Roman" w:cs="Arial"/>
          <w:sz w:val="20"/>
          <w:szCs w:val="20"/>
          <w:lang w:val="nl-NL" w:eastAsia="nl-NL"/>
        </w:rPr>
        <w:t xml:space="preserve">inkomen en </w:t>
      </w:r>
      <w:r w:rsidR="008E5B8B">
        <w:rPr>
          <w:rFonts w:ascii="Arial" w:hAnsi="Arial" w:eastAsia="Times New Roman" w:cs="Arial"/>
          <w:sz w:val="20"/>
          <w:szCs w:val="20"/>
          <w:lang w:val="nl-NL" w:eastAsia="nl-NL"/>
        </w:rPr>
        <w:t xml:space="preserve">het </w:t>
      </w:r>
      <w:r>
        <w:rPr>
          <w:rFonts w:ascii="Arial" w:hAnsi="Arial" w:eastAsia="Times New Roman" w:cs="Arial"/>
          <w:sz w:val="20"/>
          <w:szCs w:val="20"/>
          <w:lang w:val="nl-NL" w:eastAsia="nl-NL"/>
        </w:rPr>
        <w:t xml:space="preserve">vermogen het Verdrag </w:t>
      </w:r>
      <w:r w:rsidRPr="00393A06">
        <w:rPr>
          <w:rFonts w:ascii="Arial" w:hAnsi="Arial" w:eastAsia="Times New Roman" w:cs="Arial"/>
          <w:sz w:val="20"/>
          <w:szCs w:val="20"/>
          <w:lang w:val="nl-NL" w:eastAsia="nl-NL"/>
        </w:rPr>
        <w:t>ophoudt van toepassing te zijn</w:t>
      </w:r>
      <w:r>
        <w:rPr>
          <w:rFonts w:ascii="Arial" w:hAnsi="Arial" w:eastAsia="Times New Roman" w:cs="Arial"/>
          <w:sz w:val="20"/>
          <w:szCs w:val="20"/>
          <w:lang w:val="nl-NL" w:eastAsia="nl-NL"/>
        </w:rPr>
        <w:t xml:space="preserve"> voor belastingjaren </w:t>
      </w:r>
      <w:r w:rsidRPr="007B60FF" w:rsidR="007B60FF">
        <w:rPr>
          <w:rFonts w:ascii="Arial" w:hAnsi="Arial" w:eastAsia="Times New Roman" w:cs="Arial"/>
          <w:sz w:val="20"/>
          <w:szCs w:val="20"/>
          <w:lang w:val="nl-NL" w:eastAsia="nl-NL"/>
        </w:rPr>
        <w:t xml:space="preserve">die aanvangen op of na 1 januari van het kalenderjaar dat volgt op het kalenderjaar waarin de kennisgeving van beëindiging is gedaan. Indien de kennisgeving dus is gedaan in de laatste zes maanden van een kalenderjaar, houdt het Verdrag op van toepassing te zijn voor </w:t>
      </w:r>
      <w:r w:rsidR="007B60FF">
        <w:rPr>
          <w:rFonts w:ascii="Arial" w:hAnsi="Arial" w:eastAsia="Times New Roman" w:cs="Arial"/>
          <w:sz w:val="20"/>
          <w:szCs w:val="20"/>
          <w:lang w:val="nl-NL" w:eastAsia="nl-NL"/>
        </w:rPr>
        <w:t xml:space="preserve">belastingjaren die aanvangen na het einde van </w:t>
      </w:r>
      <w:r w:rsidRPr="007B60FF" w:rsidR="007B60FF">
        <w:rPr>
          <w:rFonts w:ascii="Arial" w:hAnsi="Arial" w:eastAsia="Times New Roman" w:cs="Arial"/>
          <w:sz w:val="20"/>
          <w:szCs w:val="20"/>
          <w:lang w:val="nl-NL" w:eastAsia="nl-NL"/>
        </w:rPr>
        <w:t>het kalenderjaar volgend op het kalenderjaar waarin de kennis</w:t>
      </w:r>
      <w:r w:rsidR="007B60FF">
        <w:rPr>
          <w:rFonts w:ascii="Arial" w:hAnsi="Arial" w:eastAsia="Times New Roman" w:cs="Arial"/>
          <w:sz w:val="20"/>
          <w:szCs w:val="20"/>
          <w:lang w:val="nl-NL" w:eastAsia="nl-NL"/>
        </w:rPr>
        <w:t>geving van beëindiging is</w:t>
      </w:r>
      <w:r w:rsidRPr="007B60FF" w:rsidR="007B60FF">
        <w:rPr>
          <w:rFonts w:ascii="Arial" w:hAnsi="Arial" w:eastAsia="Times New Roman" w:cs="Arial"/>
          <w:sz w:val="20"/>
          <w:szCs w:val="20"/>
          <w:lang w:val="nl-NL" w:eastAsia="nl-NL"/>
        </w:rPr>
        <w:t xml:space="preserve"> </w:t>
      </w:r>
      <w:r w:rsidR="008E5B8B">
        <w:rPr>
          <w:rFonts w:ascii="Arial" w:hAnsi="Arial" w:eastAsia="Times New Roman" w:cs="Arial"/>
          <w:sz w:val="20"/>
          <w:szCs w:val="20"/>
          <w:lang w:val="nl-NL" w:eastAsia="nl-NL"/>
        </w:rPr>
        <w:t>gedaan</w:t>
      </w:r>
      <w:r w:rsidRPr="007B60FF" w:rsidR="007B60FF">
        <w:rPr>
          <w:rFonts w:ascii="Arial" w:hAnsi="Arial" w:eastAsia="Times New Roman" w:cs="Arial"/>
          <w:sz w:val="20"/>
          <w:szCs w:val="20"/>
          <w:lang w:val="nl-NL" w:eastAsia="nl-NL"/>
        </w:rPr>
        <w:t>.</w:t>
      </w:r>
    </w:p>
    <w:p w:rsidR="00BC5706" w:rsidP="00BC5706" w:rsidRDefault="00BC5706" w14:paraId="2CB08CF5" w14:textId="6B1E11D1">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het tweede lid is opgenomen dat de Staten zich na beëindiging van het Verdrag dienen te </w:t>
      </w:r>
      <w:r w:rsidR="00C951E0">
        <w:rPr>
          <w:rFonts w:ascii="Arial" w:hAnsi="Arial" w:eastAsia="Times New Roman" w:cs="Arial"/>
          <w:sz w:val="20"/>
          <w:szCs w:val="20"/>
          <w:lang w:val="nl-NL" w:eastAsia="nl-NL"/>
        </w:rPr>
        <w:t xml:space="preserve">blijven </w:t>
      </w:r>
      <w:r>
        <w:rPr>
          <w:rFonts w:ascii="Arial" w:hAnsi="Arial" w:eastAsia="Times New Roman" w:cs="Arial"/>
          <w:sz w:val="20"/>
          <w:szCs w:val="20"/>
          <w:lang w:val="nl-NL" w:eastAsia="nl-NL"/>
        </w:rPr>
        <w:t xml:space="preserve">houden aan de </w:t>
      </w:r>
      <w:r w:rsidR="008E5B8B">
        <w:rPr>
          <w:rFonts w:ascii="Arial" w:hAnsi="Arial" w:eastAsia="Times New Roman" w:cs="Arial"/>
          <w:sz w:val="20"/>
          <w:szCs w:val="20"/>
          <w:lang w:val="nl-NL" w:eastAsia="nl-NL"/>
        </w:rPr>
        <w:t xml:space="preserve">verplichtingen </w:t>
      </w:r>
      <w:r>
        <w:rPr>
          <w:rFonts w:ascii="Arial" w:hAnsi="Arial" w:eastAsia="Times New Roman" w:cs="Arial"/>
          <w:sz w:val="20"/>
          <w:szCs w:val="20"/>
          <w:lang w:val="nl-NL" w:eastAsia="nl-NL"/>
        </w:rPr>
        <w:t xml:space="preserve">over </w:t>
      </w:r>
      <w:r w:rsidR="008E5B8B">
        <w:rPr>
          <w:rFonts w:ascii="Arial" w:hAnsi="Arial" w:eastAsia="Times New Roman" w:cs="Arial"/>
          <w:sz w:val="20"/>
          <w:szCs w:val="20"/>
          <w:lang w:val="nl-NL" w:eastAsia="nl-NL"/>
        </w:rPr>
        <w:t xml:space="preserve">de </w:t>
      </w:r>
      <w:r>
        <w:rPr>
          <w:rFonts w:ascii="Arial" w:hAnsi="Arial" w:eastAsia="Times New Roman" w:cs="Arial"/>
          <w:sz w:val="20"/>
          <w:szCs w:val="20"/>
          <w:lang w:val="nl-NL" w:eastAsia="nl-NL"/>
        </w:rPr>
        <w:t xml:space="preserve">vertrouwelijkheid </w:t>
      </w:r>
      <w:r w:rsidR="008E5B8B">
        <w:rPr>
          <w:rFonts w:ascii="Arial" w:hAnsi="Arial" w:eastAsia="Times New Roman" w:cs="Arial"/>
          <w:sz w:val="20"/>
          <w:szCs w:val="20"/>
          <w:lang w:val="nl-NL" w:eastAsia="nl-NL"/>
        </w:rPr>
        <w:t xml:space="preserve">van uitgewisselde informatie </w:t>
      </w:r>
      <w:r>
        <w:rPr>
          <w:rFonts w:ascii="Arial" w:hAnsi="Arial" w:eastAsia="Times New Roman" w:cs="Arial"/>
          <w:sz w:val="20"/>
          <w:szCs w:val="20"/>
          <w:lang w:val="nl-NL" w:eastAsia="nl-NL"/>
        </w:rPr>
        <w:t xml:space="preserve">conform het tweede lid van artikel 25 van het Verdrag. </w:t>
      </w:r>
    </w:p>
    <w:p w:rsidRPr="00BC5706" w:rsidR="00BC5706" w:rsidP="00BC5706" w:rsidRDefault="00F55864" w14:paraId="72692B30" w14:textId="6B9B4E90">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het derde lid is bepaald dat de kennisgeving van beëindiging geacht wordt te zijn gedaan op de datum van ontvangst van een dergelijke kennisgeving.  </w:t>
      </w:r>
    </w:p>
    <w:p w:rsidRPr="00393A06" w:rsidR="00393A06" w:rsidP="00393A06" w:rsidRDefault="00393A06" w14:paraId="077610E0"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57720736"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4C8B9867" w14:textId="651D46A0">
      <w:pPr>
        <w:spacing w:after="0" w:line="360" w:lineRule="auto"/>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De </w:t>
      </w:r>
      <w:r w:rsidR="00D63B02">
        <w:rPr>
          <w:rFonts w:ascii="Arial" w:hAnsi="Arial" w:eastAsia="Times New Roman" w:cs="Times New Roman"/>
          <w:sz w:val="20"/>
          <w:szCs w:val="24"/>
          <w:lang w:val="nl-NL" w:eastAsia="nl-NL"/>
        </w:rPr>
        <w:t>S</w:t>
      </w:r>
      <w:r w:rsidRPr="00393A06">
        <w:rPr>
          <w:rFonts w:ascii="Arial" w:hAnsi="Arial" w:eastAsia="Times New Roman" w:cs="Times New Roman"/>
          <w:sz w:val="20"/>
          <w:szCs w:val="24"/>
          <w:lang w:val="nl-NL" w:eastAsia="nl-NL"/>
        </w:rPr>
        <w:t>taatssecretaris van Financiën,</w:t>
      </w:r>
    </w:p>
    <w:p w:rsidRPr="00393A06" w:rsidR="00393A06" w:rsidP="00393A06" w:rsidRDefault="00393A06" w14:paraId="226295F0"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3B1EEEF5"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2CC1ED85"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26C1C9DB"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7369956C" w14:textId="77777777">
      <w:pPr>
        <w:spacing w:after="0" w:line="360" w:lineRule="auto"/>
        <w:rPr>
          <w:rFonts w:ascii="Arial" w:hAnsi="Arial" w:eastAsia="Times New Roman" w:cs="Times New Roman"/>
          <w:sz w:val="20"/>
          <w:szCs w:val="24"/>
          <w:lang w:val="nl-NL" w:eastAsia="nl-NL"/>
        </w:rPr>
      </w:pPr>
    </w:p>
    <w:p w:rsidRPr="00393A06" w:rsidR="00393A06" w:rsidP="00393A06" w:rsidRDefault="00393A06" w14:paraId="34963949" w14:textId="77777777">
      <w:pPr>
        <w:spacing w:after="0" w:line="360" w:lineRule="auto"/>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De Minister van Buitenlandse Zaken,</w:t>
      </w:r>
    </w:p>
    <w:p w:rsidRPr="001C4546" w:rsidR="00B06701" w:rsidRDefault="00B06701" w14:paraId="097E0B09" w14:textId="289800AC">
      <w:pPr>
        <w:rPr>
          <w:lang w:val="nl-NL"/>
        </w:rPr>
      </w:pPr>
    </w:p>
    <w:sectPr w:rsidRPr="001C4546" w:rsidR="00B0670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D9A4" w14:textId="77777777" w:rsidR="007679D4" w:rsidRDefault="007679D4" w:rsidP="001C4546">
      <w:pPr>
        <w:spacing w:after="0" w:line="240" w:lineRule="auto"/>
      </w:pPr>
      <w:r>
        <w:separator/>
      </w:r>
    </w:p>
  </w:endnote>
  <w:endnote w:type="continuationSeparator" w:id="0">
    <w:p w14:paraId="4219FF22" w14:textId="77777777" w:rsidR="007679D4" w:rsidRDefault="007679D4" w:rsidP="001C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0620" w14:textId="77777777" w:rsidR="007679D4" w:rsidRDefault="007679D4" w:rsidP="001C4546">
      <w:pPr>
        <w:spacing w:after="0" w:line="240" w:lineRule="auto"/>
      </w:pPr>
      <w:r>
        <w:separator/>
      </w:r>
    </w:p>
  </w:footnote>
  <w:footnote w:type="continuationSeparator" w:id="0">
    <w:p w14:paraId="00019C89" w14:textId="77777777" w:rsidR="007679D4" w:rsidRDefault="007679D4" w:rsidP="001C4546">
      <w:pPr>
        <w:spacing w:after="0" w:line="240" w:lineRule="auto"/>
      </w:pPr>
      <w:r>
        <w:continuationSeparator/>
      </w:r>
    </w:p>
  </w:footnote>
  <w:footnote w:id="1">
    <w:p w14:paraId="207B8A4F" w14:textId="2F2B48A2" w:rsidR="00C76A22" w:rsidRPr="0065623E" w:rsidRDefault="00C76A22" w:rsidP="006949BC">
      <w:pPr>
        <w:pStyle w:val="FootnoteText"/>
        <w:rPr>
          <w:rFonts w:ascii="Arial" w:hAnsi="Arial" w:cs="Arial"/>
          <w:sz w:val="14"/>
          <w:szCs w:val="14"/>
          <w:lang w:val="nl-NL"/>
        </w:rPr>
      </w:pPr>
      <w:r w:rsidRPr="0065623E">
        <w:rPr>
          <w:rStyle w:val="FootnoteReference"/>
          <w:rFonts w:ascii="Arial" w:hAnsi="Arial" w:cs="Arial"/>
          <w:sz w:val="14"/>
          <w:szCs w:val="14"/>
        </w:rPr>
        <w:footnoteRef/>
      </w:r>
      <w:r w:rsidRPr="0065623E">
        <w:rPr>
          <w:rFonts w:ascii="Arial" w:hAnsi="Arial" w:cs="Arial"/>
          <w:sz w:val="14"/>
          <w:szCs w:val="14"/>
          <w:lang w:val="nl-NL"/>
        </w:rPr>
        <w:t xml:space="preserve"> Bijlage bij Kamerstukken II 2010/11, 25087, nr. 7.</w:t>
      </w:r>
      <w:r>
        <w:rPr>
          <w:rFonts w:ascii="Arial" w:hAnsi="Arial" w:cs="Arial"/>
          <w:sz w:val="14"/>
          <w:szCs w:val="14"/>
          <w:lang w:val="nl-NL"/>
        </w:rPr>
        <w:t xml:space="preserve"> Daarbij blijft het Verdrag overigens ook binnen de kaders van de na afronding van de onderhandelingen met Liechtenstein gepubliceerde </w:t>
      </w:r>
      <w:r w:rsidRPr="00CB13C4">
        <w:rPr>
          <w:rFonts w:ascii="Arial" w:hAnsi="Arial" w:cs="Arial"/>
          <w:sz w:val="14"/>
          <w:szCs w:val="14"/>
          <w:lang w:val="nl-NL"/>
        </w:rPr>
        <w:t>Notitie Fiscaal Verdragsbeleid 2020</w:t>
      </w:r>
      <w:r>
        <w:rPr>
          <w:rFonts w:ascii="Arial" w:hAnsi="Arial" w:cs="Arial"/>
          <w:sz w:val="14"/>
          <w:szCs w:val="14"/>
          <w:lang w:val="nl-NL"/>
        </w:rPr>
        <w:t xml:space="preserve">, </w:t>
      </w:r>
      <w:r w:rsidRPr="00CB13C4">
        <w:rPr>
          <w:rFonts w:ascii="Arial" w:hAnsi="Arial" w:cs="Arial"/>
          <w:sz w:val="14"/>
          <w:szCs w:val="14"/>
          <w:lang w:val="nl-NL"/>
        </w:rPr>
        <w:t>Kamerstuk</w:t>
      </w:r>
      <w:r>
        <w:rPr>
          <w:rFonts w:ascii="Arial" w:hAnsi="Arial" w:cs="Arial"/>
          <w:sz w:val="14"/>
          <w:szCs w:val="14"/>
          <w:lang w:val="nl-NL"/>
        </w:rPr>
        <w:t>ken I 2019/20,</w:t>
      </w:r>
      <w:r w:rsidRPr="00CB13C4">
        <w:rPr>
          <w:rFonts w:ascii="Arial" w:hAnsi="Arial" w:cs="Arial"/>
          <w:sz w:val="14"/>
          <w:szCs w:val="14"/>
          <w:lang w:val="nl-NL"/>
        </w:rPr>
        <w:t xml:space="preserve"> 25087, nr. N</w:t>
      </w:r>
      <w:r>
        <w:rPr>
          <w:rFonts w:ascii="Arial" w:hAnsi="Arial" w:cs="Arial"/>
          <w:sz w:val="14"/>
          <w:szCs w:val="14"/>
          <w:lang w:val="nl-NL"/>
        </w:rPr>
        <w:t>, bijlage.</w:t>
      </w:r>
    </w:p>
  </w:footnote>
  <w:footnote w:id="2">
    <w:p w14:paraId="3E75AF19" w14:textId="2A8E46E5" w:rsidR="00C76A22" w:rsidRPr="0065623E" w:rsidRDefault="00C76A22" w:rsidP="006949BC">
      <w:pPr>
        <w:pStyle w:val="FootnoteText"/>
        <w:rPr>
          <w:rFonts w:ascii="Arial" w:hAnsi="Arial" w:cs="Arial"/>
          <w:sz w:val="14"/>
          <w:szCs w:val="14"/>
          <w:lang w:val="nl-NL"/>
        </w:rPr>
      </w:pPr>
      <w:r w:rsidRPr="0065623E">
        <w:rPr>
          <w:rStyle w:val="FootnoteReference"/>
          <w:rFonts w:ascii="Arial" w:hAnsi="Arial" w:cs="Arial"/>
          <w:sz w:val="14"/>
          <w:szCs w:val="14"/>
        </w:rPr>
        <w:footnoteRef/>
      </w:r>
      <w:r w:rsidRPr="0065623E">
        <w:rPr>
          <w:rFonts w:ascii="Arial" w:hAnsi="Arial" w:cs="Arial"/>
          <w:sz w:val="14"/>
          <w:szCs w:val="14"/>
          <w:lang w:val="nl-NL"/>
        </w:rPr>
        <w:t xml:space="preserve"> Kamerstukken II 2015/16, 25087, nr. 112.</w:t>
      </w:r>
    </w:p>
  </w:footnote>
  <w:footnote w:id="3">
    <w:p w14:paraId="1F94C025" w14:textId="15406499" w:rsidR="00C76A22" w:rsidRPr="0065623E" w:rsidRDefault="00C76A22">
      <w:pPr>
        <w:pStyle w:val="FootnoteText"/>
        <w:rPr>
          <w:rFonts w:ascii="Arial" w:hAnsi="Arial" w:cs="Arial"/>
          <w:sz w:val="14"/>
          <w:szCs w:val="14"/>
          <w:lang w:val="nl-NL"/>
        </w:rPr>
      </w:pPr>
      <w:r w:rsidRPr="0065623E">
        <w:rPr>
          <w:rStyle w:val="FootnoteReference"/>
          <w:rFonts w:ascii="Arial" w:hAnsi="Arial" w:cs="Arial"/>
          <w:sz w:val="14"/>
          <w:szCs w:val="14"/>
        </w:rPr>
        <w:footnoteRef/>
      </w:r>
      <w:r w:rsidRPr="0065623E">
        <w:rPr>
          <w:rFonts w:ascii="Arial" w:hAnsi="Arial" w:cs="Arial"/>
          <w:sz w:val="14"/>
          <w:szCs w:val="14"/>
          <w:lang w:val="nl-NL"/>
        </w:rPr>
        <w:t xml:space="preserve"> Het op 24 november 2016 te Parijs tot stand gekomen Multilateraal Verdrag ter implementatie van aan belastingverdragen gerelateerde maatregelen ter voorkoming van grondslaguitholling en winstverschuiving, </w:t>
      </w:r>
      <w:proofErr w:type="spellStart"/>
      <w:r w:rsidRPr="00477469">
        <w:rPr>
          <w:rFonts w:ascii="Arial" w:hAnsi="Arial" w:cs="Arial"/>
          <w:sz w:val="14"/>
          <w:szCs w:val="14"/>
          <w:lang w:val="nl-NL"/>
        </w:rPr>
        <w:t>Trb</w:t>
      </w:r>
      <w:proofErr w:type="spellEnd"/>
      <w:r w:rsidRPr="0065623E">
        <w:rPr>
          <w:rFonts w:ascii="Arial" w:hAnsi="Arial" w:cs="Arial"/>
          <w:sz w:val="14"/>
          <w:szCs w:val="14"/>
          <w:lang w:val="nl-NL"/>
        </w:rPr>
        <w:t xml:space="preserve">. 2017, 86 en </w:t>
      </w:r>
      <w:proofErr w:type="spellStart"/>
      <w:r w:rsidRPr="00477469">
        <w:rPr>
          <w:rFonts w:ascii="Arial" w:hAnsi="Arial" w:cs="Arial"/>
          <w:sz w:val="14"/>
          <w:szCs w:val="14"/>
          <w:lang w:val="nl-NL"/>
        </w:rPr>
        <w:t>Trb</w:t>
      </w:r>
      <w:proofErr w:type="spellEnd"/>
      <w:r w:rsidRPr="0065623E">
        <w:rPr>
          <w:rFonts w:ascii="Arial" w:hAnsi="Arial" w:cs="Arial"/>
          <w:sz w:val="14"/>
          <w:szCs w:val="14"/>
          <w:lang w:val="nl-NL"/>
        </w:rPr>
        <w:t>. 2017, 194.</w:t>
      </w:r>
    </w:p>
  </w:footnote>
  <w:footnote w:id="4">
    <w:p w14:paraId="43CB26FA" w14:textId="2F428314" w:rsidR="00C76A22" w:rsidRPr="0065623E" w:rsidRDefault="00C76A22" w:rsidP="006949BC">
      <w:pPr>
        <w:pStyle w:val="FootnoteText"/>
        <w:rPr>
          <w:rFonts w:ascii="Arial" w:hAnsi="Arial" w:cs="Arial"/>
          <w:sz w:val="14"/>
          <w:szCs w:val="14"/>
          <w:lang w:val="nl-NL"/>
        </w:rPr>
      </w:pPr>
      <w:r w:rsidRPr="0065623E">
        <w:rPr>
          <w:rStyle w:val="FootnoteReference"/>
          <w:rFonts w:ascii="Arial" w:hAnsi="Arial" w:cs="Arial"/>
          <w:sz w:val="14"/>
          <w:szCs w:val="14"/>
        </w:rPr>
        <w:footnoteRef/>
      </w:r>
      <w:r w:rsidRPr="0065623E">
        <w:rPr>
          <w:rFonts w:ascii="Arial" w:hAnsi="Arial" w:cs="Arial"/>
          <w:sz w:val="14"/>
          <w:szCs w:val="14"/>
          <w:lang w:val="nl-NL"/>
        </w:rPr>
        <w:t xml:space="preserve"> Kamerstukken II 2016/17, 25087, nr. 135. </w:t>
      </w:r>
    </w:p>
  </w:footnote>
  <w:footnote w:id="5">
    <w:p w14:paraId="63A316F1" w14:textId="3A7A6A31" w:rsidR="00C76A22" w:rsidRPr="0065623E" w:rsidRDefault="00C76A22" w:rsidP="006949BC">
      <w:pPr>
        <w:pStyle w:val="FootnoteText"/>
        <w:tabs>
          <w:tab w:val="left" w:pos="0"/>
        </w:tabs>
        <w:rPr>
          <w:rStyle w:val="FootnoteReference"/>
          <w:rFonts w:ascii="Arial" w:hAnsi="Arial" w:cs="Arial"/>
          <w:sz w:val="14"/>
          <w:szCs w:val="14"/>
          <w:lang w:val="nl-NL"/>
        </w:rPr>
      </w:pPr>
      <w:r w:rsidRPr="0065623E">
        <w:rPr>
          <w:rStyle w:val="FootnoteReference"/>
          <w:rFonts w:ascii="Arial" w:hAnsi="Arial" w:cs="Arial"/>
          <w:sz w:val="14"/>
          <w:szCs w:val="14"/>
        </w:rPr>
        <w:footnoteRef/>
      </w:r>
      <w:r w:rsidRPr="0065623E">
        <w:rPr>
          <w:rStyle w:val="FootnoteReference"/>
          <w:rFonts w:ascii="Arial" w:hAnsi="Arial" w:cs="Arial"/>
          <w:sz w:val="14"/>
          <w:szCs w:val="14"/>
          <w:lang w:val="nl-NL"/>
        </w:rPr>
        <w:t xml:space="preserve"> </w:t>
      </w:r>
      <w:r w:rsidRPr="0065623E">
        <w:rPr>
          <w:rFonts w:ascii="Arial" w:hAnsi="Arial" w:cs="Arial"/>
          <w:sz w:val="14"/>
          <w:szCs w:val="14"/>
          <w:lang w:val="nl-NL"/>
        </w:rPr>
        <w:t xml:space="preserve">Bijlage bij </w:t>
      </w:r>
      <w:r w:rsidRPr="00477469">
        <w:rPr>
          <w:rFonts w:ascii="Arial" w:hAnsi="Arial" w:cs="Arial"/>
          <w:sz w:val="14"/>
          <w:szCs w:val="14"/>
          <w:lang w:val="nl-NL"/>
        </w:rPr>
        <w:t>Kamerstukken II</w:t>
      </w:r>
      <w:r w:rsidRPr="0065623E">
        <w:rPr>
          <w:rFonts w:ascii="Arial" w:hAnsi="Arial" w:cs="Arial"/>
          <w:i/>
          <w:sz w:val="14"/>
          <w:szCs w:val="14"/>
          <w:lang w:val="nl-NL"/>
        </w:rPr>
        <w:t xml:space="preserve"> </w:t>
      </w:r>
      <w:r w:rsidRPr="0065623E">
        <w:rPr>
          <w:rFonts w:ascii="Arial" w:hAnsi="Arial" w:cs="Arial"/>
          <w:sz w:val="14"/>
          <w:szCs w:val="14"/>
          <w:lang w:val="nl-NL"/>
        </w:rPr>
        <w:t xml:space="preserve">2010/11, 25087, nr. 27, ter uitvoering van </w:t>
      </w:r>
      <w:r w:rsidRPr="00477469">
        <w:rPr>
          <w:rFonts w:ascii="Arial" w:hAnsi="Arial" w:cs="Arial"/>
          <w:sz w:val="14"/>
          <w:szCs w:val="14"/>
          <w:lang w:val="nl-NL"/>
        </w:rPr>
        <w:t>Kamerstukken II</w:t>
      </w:r>
      <w:r w:rsidRPr="0065623E">
        <w:rPr>
          <w:rFonts w:ascii="Arial" w:hAnsi="Arial" w:cs="Arial"/>
          <w:sz w:val="14"/>
          <w:szCs w:val="14"/>
          <w:lang w:val="nl-NL"/>
        </w:rPr>
        <w:t xml:space="preserve"> 2010/11, 25087, nr. 8 (motie-Van Vliet).</w:t>
      </w:r>
    </w:p>
  </w:footnote>
  <w:footnote w:id="6">
    <w:p w14:paraId="24C91257" w14:textId="267C430F" w:rsidR="00C76A22" w:rsidRPr="00406EF1" w:rsidRDefault="00C76A22">
      <w:pPr>
        <w:pStyle w:val="FootnoteText"/>
        <w:rPr>
          <w:rFonts w:ascii="Arial" w:hAnsi="Arial" w:cs="Arial"/>
          <w:lang w:val="nl-NL"/>
        </w:rPr>
      </w:pPr>
      <w:r w:rsidRPr="00406EF1">
        <w:rPr>
          <w:rStyle w:val="FootnoteReference"/>
          <w:rFonts w:ascii="Arial" w:hAnsi="Arial" w:cs="Arial"/>
          <w:sz w:val="14"/>
          <w:szCs w:val="14"/>
        </w:rPr>
        <w:footnoteRef/>
      </w:r>
      <w:r w:rsidRPr="00406EF1">
        <w:rPr>
          <w:rFonts w:ascii="Arial" w:hAnsi="Arial" w:cs="Arial"/>
          <w:lang w:val="nl-NL"/>
        </w:rPr>
        <w:t xml:space="preserve"> </w:t>
      </w:r>
      <w:r w:rsidRPr="00406EF1">
        <w:rPr>
          <w:rFonts w:ascii="Arial" w:hAnsi="Arial" w:cs="Arial"/>
          <w:sz w:val="14"/>
          <w:szCs w:val="14"/>
          <w:lang w:val="nl-NL"/>
        </w:rPr>
        <w:t>https://www.rijksoverheid.nl/documenten/diplomatieke-verklaringen/2016/09/21/start-onderhandelingen-bilaterale-belastingverdragen.</w:t>
      </w:r>
    </w:p>
  </w:footnote>
  <w:footnote w:id="7">
    <w:p w14:paraId="02B3F864" w14:textId="34CAEDD3" w:rsidR="00C76A22" w:rsidRPr="00BB0979" w:rsidRDefault="00C76A22" w:rsidP="006949BC">
      <w:pPr>
        <w:pStyle w:val="FootnoteText"/>
        <w:rPr>
          <w:rFonts w:cs="Arial"/>
          <w:sz w:val="14"/>
          <w:szCs w:val="14"/>
          <w:lang w:val="nl-NL"/>
        </w:rPr>
      </w:pPr>
      <w:r w:rsidRPr="00406EF1">
        <w:rPr>
          <w:rStyle w:val="FootnoteReference"/>
          <w:rFonts w:ascii="Arial" w:hAnsi="Arial" w:cs="Arial"/>
          <w:sz w:val="14"/>
          <w:szCs w:val="14"/>
        </w:rPr>
        <w:footnoteRef/>
      </w:r>
      <w:r w:rsidRPr="00406EF1">
        <w:rPr>
          <w:rFonts w:ascii="Arial" w:hAnsi="Arial" w:cs="Arial"/>
          <w:sz w:val="14"/>
          <w:szCs w:val="14"/>
          <w:lang w:val="nl-NL"/>
        </w:rPr>
        <w:t xml:space="preserve"> Zie Kamerstukken II 2015/16, 25087, nr. 112</w:t>
      </w:r>
      <w:r>
        <w:rPr>
          <w:rFonts w:ascii="Arial" w:hAnsi="Arial" w:cs="Arial"/>
          <w:sz w:val="14"/>
          <w:szCs w:val="14"/>
          <w:lang w:val="nl-NL"/>
        </w:rPr>
        <w:t>,</w:t>
      </w:r>
      <w:r w:rsidRPr="00406EF1">
        <w:rPr>
          <w:rFonts w:ascii="Arial" w:hAnsi="Arial" w:cs="Arial"/>
          <w:sz w:val="14"/>
          <w:szCs w:val="14"/>
          <w:lang w:val="nl-NL"/>
        </w:rPr>
        <w:t xml:space="preserve"> en Kamerstukken I 2015/16, 25087, nr. K</w:t>
      </w:r>
      <w:r>
        <w:rPr>
          <w:rFonts w:ascii="Arial" w:hAnsi="Arial" w:cs="Arial"/>
          <w:sz w:val="14"/>
          <w:szCs w:val="14"/>
          <w:lang w:val="nl-NL"/>
        </w:rPr>
        <w:t>,</w:t>
      </w:r>
      <w:r w:rsidRPr="00406EF1">
        <w:rPr>
          <w:rFonts w:ascii="Arial" w:hAnsi="Arial" w:cs="Arial"/>
          <w:sz w:val="14"/>
          <w:szCs w:val="14"/>
          <w:lang w:val="nl-NL"/>
        </w:rPr>
        <w:t xml:space="preserve"> waar nader wordt ingegaan op de definitieve rapporten bij de actiepunten van het BEPS-project en Kamerstukken II 2016/17, 25087, nr. 135 waarin wordt ingegaan op </w:t>
      </w:r>
      <w:r>
        <w:rPr>
          <w:rFonts w:ascii="Arial" w:hAnsi="Arial" w:cs="Arial"/>
          <w:sz w:val="14"/>
          <w:szCs w:val="14"/>
          <w:lang w:val="nl-NL"/>
        </w:rPr>
        <w:t>het</w:t>
      </w:r>
      <w:r w:rsidRPr="00406EF1">
        <w:rPr>
          <w:rFonts w:ascii="Arial" w:hAnsi="Arial" w:cs="Arial"/>
          <w:sz w:val="14"/>
          <w:szCs w:val="14"/>
          <w:lang w:val="nl-NL"/>
        </w:rPr>
        <w:t xml:space="preserve"> MLI.</w:t>
      </w:r>
      <w:r w:rsidRPr="00BB0979">
        <w:rPr>
          <w:rFonts w:cs="Arial"/>
          <w:sz w:val="14"/>
          <w:szCs w:val="14"/>
          <w:lang w:val="nl-NL"/>
        </w:rPr>
        <w:t xml:space="preserve"> </w:t>
      </w:r>
    </w:p>
  </w:footnote>
  <w:footnote w:id="8">
    <w:p w14:paraId="1720CE98" w14:textId="319D35A7" w:rsidR="00C76A22" w:rsidRPr="00406EF1" w:rsidRDefault="00C76A22">
      <w:pPr>
        <w:pStyle w:val="FootnoteText"/>
        <w:rPr>
          <w:rFonts w:ascii="Arial" w:hAnsi="Arial" w:cs="Arial"/>
          <w:sz w:val="14"/>
          <w:szCs w:val="14"/>
          <w:lang w:val="nl-NL"/>
        </w:rPr>
      </w:pPr>
      <w:r w:rsidRPr="00406EF1">
        <w:rPr>
          <w:rStyle w:val="FootnoteReference"/>
          <w:rFonts w:ascii="Arial" w:hAnsi="Arial" w:cs="Arial"/>
          <w:sz w:val="14"/>
          <w:szCs w:val="14"/>
        </w:rPr>
        <w:footnoteRef/>
      </w:r>
      <w:r w:rsidRPr="00406EF1">
        <w:rPr>
          <w:rFonts w:ascii="Arial" w:hAnsi="Arial" w:cs="Arial"/>
          <w:sz w:val="14"/>
          <w:szCs w:val="14"/>
          <w:lang w:val="nl-NL"/>
        </w:rPr>
        <w:t xml:space="preserve"> </w:t>
      </w:r>
      <w:r w:rsidRPr="00477469">
        <w:rPr>
          <w:rFonts w:ascii="Arial" w:hAnsi="Arial" w:cs="Arial"/>
          <w:sz w:val="14"/>
          <w:szCs w:val="14"/>
          <w:lang w:val="nl-NL"/>
        </w:rPr>
        <w:t>Stb</w:t>
      </w:r>
      <w:r w:rsidRPr="00272F79">
        <w:rPr>
          <w:rFonts w:ascii="Arial" w:hAnsi="Arial" w:cs="Arial"/>
          <w:sz w:val="14"/>
          <w:szCs w:val="14"/>
          <w:lang w:val="nl-NL"/>
        </w:rPr>
        <w:t>.</w:t>
      </w:r>
      <w:r w:rsidRPr="00406EF1">
        <w:rPr>
          <w:rFonts w:ascii="Arial" w:hAnsi="Arial" w:cs="Arial"/>
          <w:sz w:val="14"/>
          <w:szCs w:val="14"/>
          <w:lang w:val="nl-NL"/>
        </w:rPr>
        <w:t xml:space="preserve"> 2019, 513.</w:t>
      </w:r>
    </w:p>
  </w:footnote>
  <w:footnote w:id="9">
    <w:p w14:paraId="78138E66" w14:textId="62BB0EB6" w:rsidR="00C76A22" w:rsidRPr="00406EF1" w:rsidRDefault="00C76A22">
      <w:pPr>
        <w:pStyle w:val="FootnoteText"/>
        <w:rPr>
          <w:rFonts w:ascii="Arial" w:hAnsi="Arial" w:cs="Arial"/>
          <w:sz w:val="14"/>
          <w:szCs w:val="14"/>
          <w:lang w:val="nl-NL"/>
        </w:rPr>
      </w:pPr>
      <w:r w:rsidRPr="00406EF1">
        <w:rPr>
          <w:rStyle w:val="FootnoteReference"/>
          <w:rFonts w:ascii="Arial" w:hAnsi="Arial" w:cs="Arial"/>
          <w:sz w:val="14"/>
          <w:szCs w:val="14"/>
        </w:rPr>
        <w:footnoteRef/>
      </w:r>
      <w:r w:rsidRPr="00406EF1">
        <w:rPr>
          <w:rFonts w:ascii="Arial" w:hAnsi="Arial" w:cs="Arial"/>
          <w:sz w:val="14"/>
          <w:szCs w:val="14"/>
          <w:lang w:val="nl-NL"/>
        </w:rPr>
        <w:t xml:space="preserve"> https://www.rijksoverheid.nl/documenten/mediateksten/2016/12/09/onderhandelingen-belastingverdragen-in-2017.</w:t>
      </w:r>
    </w:p>
  </w:footnote>
  <w:footnote w:id="10">
    <w:p w14:paraId="4D4CC9D4" w14:textId="68128CC5" w:rsidR="00C76A22" w:rsidRPr="00406EF1" w:rsidRDefault="00C76A22" w:rsidP="006949BC">
      <w:pPr>
        <w:pStyle w:val="FootnoteText"/>
        <w:rPr>
          <w:rFonts w:ascii="Arial" w:hAnsi="Arial" w:cs="Arial"/>
          <w:sz w:val="14"/>
          <w:szCs w:val="14"/>
          <w:lang w:val="nl-NL"/>
        </w:rPr>
      </w:pPr>
      <w:r w:rsidRPr="00406EF1">
        <w:rPr>
          <w:rStyle w:val="FootnoteReference"/>
          <w:rFonts w:ascii="Arial" w:hAnsi="Arial" w:cs="Arial"/>
          <w:sz w:val="14"/>
          <w:szCs w:val="14"/>
        </w:rPr>
        <w:footnoteRef/>
      </w:r>
      <w:r w:rsidRPr="00406EF1">
        <w:rPr>
          <w:rFonts w:ascii="Arial" w:hAnsi="Arial" w:cs="Arial"/>
          <w:sz w:val="14"/>
          <w:szCs w:val="14"/>
          <w:lang w:val="nl-NL"/>
        </w:rPr>
        <w:t xml:space="preserve"> Ter uitvoering van de motie</w:t>
      </w:r>
      <w:r>
        <w:rPr>
          <w:rFonts w:ascii="Arial" w:hAnsi="Arial" w:cs="Arial"/>
          <w:sz w:val="14"/>
          <w:szCs w:val="14"/>
          <w:lang w:val="nl-NL"/>
        </w:rPr>
        <w:t>-V</w:t>
      </w:r>
      <w:r w:rsidRPr="00406EF1">
        <w:rPr>
          <w:rFonts w:ascii="Arial" w:hAnsi="Arial" w:cs="Arial"/>
          <w:sz w:val="14"/>
          <w:szCs w:val="14"/>
          <w:lang w:val="nl-NL"/>
        </w:rPr>
        <w:t>an Vliet, Kamerstukken 2010/11, 25087, nr. 8.</w:t>
      </w:r>
    </w:p>
  </w:footnote>
  <w:footnote w:id="11">
    <w:p w14:paraId="15E79805" w14:textId="2AAF4898" w:rsidR="00C76A22" w:rsidRPr="00986981" w:rsidRDefault="00C76A22" w:rsidP="006949BC">
      <w:pPr>
        <w:pStyle w:val="FootnoteText"/>
        <w:rPr>
          <w:rFonts w:cs="Arial"/>
          <w:sz w:val="14"/>
          <w:szCs w:val="14"/>
          <w:lang w:val="nl-NL"/>
        </w:rPr>
      </w:pPr>
      <w:r w:rsidRPr="00406EF1">
        <w:rPr>
          <w:rStyle w:val="FootnoteReference"/>
          <w:rFonts w:ascii="Arial" w:hAnsi="Arial" w:cs="Arial"/>
          <w:sz w:val="14"/>
          <w:szCs w:val="14"/>
        </w:rPr>
        <w:footnoteRef/>
      </w:r>
      <w:r w:rsidRPr="00406EF1">
        <w:rPr>
          <w:rFonts w:ascii="Arial" w:hAnsi="Arial" w:cs="Arial"/>
          <w:sz w:val="14"/>
          <w:szCs w:val="14"/>
          <w:lang w:val="nl-NL"/>
        </w:rPr>
        <w:t xml:space="preserve"> Kamerstukken II 2010/11, 25087, nr. 13</w:t>
      </w:r>
      <w:r>
        <w:rPr>
          <w:rFonts w:ascii="Arial" w:hAnsi="Arial" w:cs="Arial"/>
          <w:sz w:val="14"/>
          <w:szCs w:val="14"/>
          <w:lang w:val="nl-NL"/>
        </w:rPr>
        <w:t>.</w:t>
      </w:r>
    </w:p>
  </w:footnote>
  <w:footnote w:id="12">
    <w:p w14:paraId="6D58CEAD" w14:textId="77777777" w:rsidR="00C76A22" w:rsidRPr="00891EF7" w:rsidRDefault="00C76A22" w:rsidP="002F1D2A">
      <w:pPr>
        <w:pStyle w:val="FootnoteText"/>
        <w:rPr>
          <w:rFonts w:ascii="Arial" w:hAnsi="Arial" w:cs="Arial"/>
          <w:sz w:val="14"/>
          <w:szCs w:val="14"/>
          <w:lang w:val="nl-NL"/>
        </w:rPr>
      </w:pPr>
      <w:r w:rsidRPr="00891EF7">
        <w:rPr>
          <w:rStyle w:val="FootnoteReference"/>
          <w:rFonts w:ascii="Arial" w:hAnsi="Arial" w:cs="Arial"/>
          <w:sz w:val="14"/>
          <w:szCs w:val="14"/>
        </w:rPr>
        <w:footnoteRef/>
      </w:r>
      <w:r w:rsidRPr="00891EF7">
        <w:rPr>
          <w:rFonts w:ascii="Arial" w:hAnsi="Arial" w:cs="Arial"/>
          <w:sz w:val="14"/>
          <w:szCs w:val="14"/>
          <w:lang w:val="nl-NL"/>
        </w:rPr>
        <w:t xml:space="preserve"> Kamerstukken II 2010/11, 25087, nr. 8 (Van Vliet, PVV).</w:t>
      </w:r>
    </w:p>
  </w:footnote>
  <w:footnote w:id="13">
    <w:p w14:paraId="588117BB" w14:textId="2180BFB2" w:rsidR="00C76A22" w:rsidRPr="00E53651" w:rsidRDefault="00C76A22">
      <w:pPr>
        <w:pStyle w:val="FootnoteText"/>
        <w:rPr>
          <w:lang w:val="nl-NL"/>
        </w:rPr>
      </w:pPr>
      <w:r w:rsidRPr="00E53651">
        <w:rPr>
          <w:rStyle w:val="FootnoteReference"/>
          <w:rFonts w:ascii="Arial" w:hAnsi="Arial" w:cs="Arial"/>
          <w:sz w:val="14"/>
          <w:szCs w:val="14"/>
        </w:rPr>
        <w:footnoteRef/>
      </w:r>
      <w:r w:rsidRPr="00E53651">
        <w:rPr>
          <w:rFonts w:ascii="Arial" w:hAnsi="Arial" w:cs="Arial"/>
          <w:sz w:val="14"/>
          <w:szCs w:val="14"/>
          <w:lang w:val="nl-NL"/>
        </w:rPr>
        <w:t xml:space="preserve"> Kamerstukken II 201</w:t>
      </w:r>
      <w:r>
        <w:rPr>
          <w:rFonts w:ascii="Arial" w:hAnsi="Arial" w:cs="Arial"/>
          <w:sz w:val="14"/>
          <w:szCs w:val="14"/>
          <w:lang w:val="nl-NL"/>
        </w:rPr>
        <w:t>8</w:t>
      </w:r>
      <w:r w:rsidRPr="00E53651">
        <w:rPr>
          <w:rFonts w:ascii="Arial" w:hAnsi="Arial" w:cs="Arial"/>
          <w:sz w:val="14"/>
          <w:szCs w:val="14"/>
          <w:lang w:val="nl-NL"/>
        </w:rPr>
        <w:t>/1</w:t>
      </w:r>
      <w:r>
        <w:rPr>
          <w:rFonts w:ascii="Arial" w:hAnsi="Arial" w:cs="Arial"/>
          <w:sz w:val="14"/>
          <w:szCs w:val="14"/>
          <w:lang w:val="nl-NL"/>
        </w:rPr>
        <w:t>9</w:t>
      </w:r>
      <w:r w:rsidRPr="00E53651">
        <w:rPr>
          <w:rFonts w:ascii="Arial" w:hAnsi="Arial" w:cs="Arial"/>
          <w:sz w:val="14"/>
          <w:szCs w:val="14"/>
          <w:lang w:val="nl-NL"/>
        </w:rPr>
        <w:t xml:space="preserve">, </w:t>
      </w:r>
      <w:r>
        <w:rPr>
          <w:rFonts w:ascii="Arial" w:hAnsi="Arial" w:cs="Arial"/>
          <w:sz w:val="14"/>
          <w:szCs w:val="14"/>
          <w:lang w:val="nl-NL"/>
        </w:rPr>
        <w:t>35030</w:t>
      </w:r>
      <w:r w:rsidRPr="00E53651">
        <w:rPr>
          <w:rFonts w:ascii="Arial" w:hAnsi="Arial" w:cs="Arial"/>
          <w:sz w:val="14"/>
          <w:szCs w:val="14"/>
          <w:lang w:val="nl-NL"/>
        </w:rPr>
        <w:t xml:space="preserve">, nr. </w:t>
      </w:r>
      <w:r>
        <w:rPr>
          <w:rFonts w:ascii="Arial" w:hAnsi="Arial" w:cs="Arial"/>
          <w:sz w:val="14"/>
          <w:szCs w:val="14"/>
          <w:lang w:val="nl-NL"/>
        </w:rPr>
        <w:t>3.</w:t>
      </w:r>
    </w:p>
  </w:footnote>
  <w:footnote w:id="14">
    <w:p w14:paraId="1615366E" w14:textId="6346C649" w:rsidR="00C76A22" w:rsidRPr="00406EF1" w:rsidRDefault="00C76A22">
      <w:pPr>
        <w:pStyle w:val="FootnoteText"/>
        <w:rPr>
          <w:rFonts w:ascii="Arial" w:hAnsi="Arial" w:cs="Arial"/>
          <w:lang w:val="nl-NL"/>
        </w:rPr>
      </w:pPr>
      <w:r w:rsidRPr="00406EF1">
        <w:rPr>
          <w:rStyle w:val="FootnoteReference"/>
          <w:rFonts w:ascii="Arial" w:hAnsi="Arial" w:cs="Arial"/>
          <w:sz w:val="14"/>
          <w:szCs w:val="14"/>
        </w:rPr>
        <w:footnoteRef/>
      </w:r>
      <w:r w:rsidRPr="00406EF1">
        <w:rPr>
          <w:rFonts w:ascii="Arial" w:hAnsi="Arial" w:cs="Arial"/>
          <w:lang w:val="nl-NL"/>
        </w:rPr>
        <w:t xml:space="preserve"> </w:t>
      </w:r>
      <w:r w:rsidRPr="00406EF1">
        <w:rPr>
          <w:rFonts w:ascii="Arial" w:eastAsia="Times New Roman" w:hAnsi="Arial" w:cs="Arial"/>
          <w:sz w:val="14"/>
          <w:szCs w:val="14"/>
          <w:lang w:val="nl-NL" w:eastAsia="nl-NL"/>
        </w:rPr>
        <w:t>Kamerstukken II 2010/11, 25087, nr. 13</w:t>
      </w:r>
      <w:r>
        <w:rPr>
          <w:rFonts w:ascii="Arial" w:eastAsia="Times New Roman" w:hAnsi="Arial" w:cs="Arial"/>
          <w:sz w:val="14"/>
          <w:szCs w:val="14"/>
          <w:lang w:val="nl-NL" w:eastAsia="nl-NL"/>
        </w:rPr>
        <w:t>.</w:t>
      </w:r>
    </w:p>
  </w:footnote>
  <w:footnote w:id="15">
    <w:p w14:paraId="3A696CD2" w14:textId="488C3118" w:rsidR="00C76A22" w:rsidRPr="006966F6" w:rsidRDefault="00C76A22">
      <w:pPr>
        <w:pStyle w:val="FootnoteText"/>
        <w:rPr>
          <w:lang w:val="nl-NL"/>
        </w:rPr>
      </w:pPr>
      <w:r w:rsidRPr="006966F6">
        <w:rPr>
          <w:rStyle w:val="FootnoteReference"/>
          <w:rFonts w:ascii="Arial" w:hAnsi="Arial" w:cs="Arial"/>
          <w:sz w:val="14"/>
          <w:szCs w:val="14"/>
        </w:rPr>
        <w:footnoteRef/>
      </w:r>
      <w:r w:rsidRPr="006966F6">
        <w:rPr>
          <w:lang w:val="nl-NL"/>
        </w:rPr>
        <w:t xml:space="preserve"> </w:t>
      </w:r>
      <w:r w:rsidRPr="006966F6">
        <w:rPr>
          <w:rFonts w:ascii="Arial" w:hAnsi="Arial" w:cs="Arial"/>
          <w:sz w:val="14"/>
          <w:szCs w:val="14"/>
          <w:lang w:val="nl-NL"/>
        </w:rPr>
        <w:t>Ook de belastingverdragen met onder meer Zuid-Afrika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2006, 6), Qatar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2008, 112), het Verenigd Koninkrijk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2008, 201), Zwitserland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2010, 98), Oman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2010, 181), Panama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2011, 11) en China (</w:t>
      </w:r>
      <w:proofErr w:type="spellStart"/>
      <w:r w:rsidRPr="00477469">
        <w:rPr>
          <w:rFonts w:ascii="Arial" w:hAnsi="Arial" w:cs="Arial"/>
          <w:sz w:val="14"/>
          <w:szCs w:val="14"/>
          <w:lang w:val="nl-NL"/>
        </w:rPr>
        <w:t>Trb</w:t>
      </w:r>
      <w:proofErr w:type="spellEnd"/>
      <w:r w:rsidRPr="006966F6">
        <w:rPr>
          <w:rFonts w:ascii="Arial" w:hAnsi="Arial" w:cs="Arial"/>
          <w:sz w:val="14"/>
          <w:szCs w:val="14"/>
          <w:lang w:val="nl-NL"/>
        </w:rPr>
        <w:t>. 2013, 104) bevatten een soortgelijke bepaling.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17"/>
    <w:multiLevelType w:val="hybridMultilevel"/>
    <w:tmpl w:val="E32CD3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5"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C042AC"/>
    <w:multiLevelType w:val="hybridMultilevel"/>
    <w:tmpl w:val="765AD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8239D2"/>
    <w:multiLevelType w:val="hybridMultilevel"/>
    <w:tmpl w:val="017EA26C"/>
    <w:lvl w:ilvl="0" w:tplc="CBC4D34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977D49"/>
    <w:multiLevelType w:val="hybridMultilevel"/>
    <w:tmpl w:val="D5EEB394"/>
    <w:lvl w:ilvl="0" w:tplc="2CF286E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754F44"/>
    <w:multiLevelType w:val="multilevel"/>
    <w:tmpl w:val="BD306616"/>
    <w:lvl w:ilvl="0">
      <w:start w:val="2"/>
      <w:numFmt w:val="upperRoman"/>
      <w:pStyle w:val="Heading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ind w:left="284" w:firstLine="0"/>
      </w:pPr>
      <w:rPr>
        <w:rFonts w:hint="default"/>
        <w:i/>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47443BA3"/>
    <w:multiLevelType w:val="hybridMultilevel"/>
    <w:tmpl w:val="8D64A64C"/>
    <w:lvl w:ilvl="0" w:tplc="EEBC513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5E2853"/>
    <w:multiLevelType w:val="hybridMultilevel"/>
    <w:tmpl w:val="72B03226"/>
    <w:lvl w:ilvl="0" w:tplc="7F94F624">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C8E20EC"/>
    <w:multiLevelType w:val="hybridMultilevel"/>
    <w:tmpl w:val="6E7C0A4C"/>
    <w:lvl w:ilvl="0" w:tplc="04130019">
      <w:start w:val="1"/>
      <w:numFmt w:val="lowerLetter"/>
      <w:lvlText w:val="%1."/>
      <w:lvlJc w:val="left"/>
      <w:pPr>
        <w:ind w:left="567" w:hanging="360"/>
      </w:p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3"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1C3CA1"/>
    <w:multiLevelType w:val="hybridMultilevel"/>
    <w:tmpl w:val="8F4E483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9B65288"/>
    <w:multiLevelType w:val="hybridMultilevel"/>
    <w:tmpl w:val="320A14C6"/>
    <w:lvl w:ilvl="0" w:tplc="C97C4D94">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9"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4"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6"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30"/>
  </w:num>
  <w:num w:numId="8">
    <w:abstractNumId w:val="10"/>
  </w:num>
  <w:num w:numId="9">
    <w:abstractNumId w:val="4"/>
  </w:num>
  <w:num w:numId="10">
    <w:abstractNumId w:val="11"/>
  </w:num>
  <w:num w:numId="11">
    <w:abstractNumId w:val="34"/>
  </w:num>
  <w:num w:numId="12">
    <w:abstractNumId w:val="17"/>
    <w:lvlOverride w:ilvl="0">
      <w:lvl w:ilvl="0">
        <w:start w:val="1"/>
        <w:numFmt w:val="upperRoman"/>
        <w:pStyle w:val="Heading1"/>
        <w:lvlText w:val="%1."/>
        <w:lvlJc w:val="left"/>
        <w:pPr>
          <w:ind w:left="0" w:firstLine="0"/>
        </w:pPr>
        <w:rPr>
          <w:rFonts w:hint="default"/>
        </w:rPr>
      </w:lvl>
    </w:lvlOverride>
    <w:lvlOverride w:ilvl="1">
      <w:lvl w:ilvl="1">
        <w:start w:val="1"/>
        <w:numFmt w:val="decimal"/>
        <w:pStyle w:val="Heading2"/>
        <w:lvlText w:val="%1.%2."/>
        <w:lvlJc w:val="left"/>
        <w:pPr>
          <w:ind w:left="720" w:firstLine="0"/>
        </w:pPr>
        <w:rPr>
          <w:rFonts w:hint="default"/>
        </w:rPr>
      </w:lvl>
    </w:lvlOverride>
    <w:lvlOverride w:ilvl="2">
      <w:lvl w:ilvl="2">
        <w:start w:val="1"/>
        <w:numFmt w:val="decimal"/>
        <w:pStyle w:val="Heading3"/>
        <w:lvlText w:val="%1.%2.%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3">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29"/>
  </w:num>
  <w:num w:numId="19">
    <w:abstractNumId w:val="36"/>
  </w:num>
  <w:num w:numId="20">
    <w:abstractNumId w:val="27"/>
  </w:num>
  <w:num w:numId="21">
    <w:abstractNumId w:val="9"/>
  </w:num>
  <w:num w:numId="22">
    <w:abstractNumId w:val="25"/>
  </w:num>
  <w:num w:numId="23">
    <w:abstractNumId w:val="15"/>
  </w:num>
  <w:num w:numId="24">
    <w:abstractNumId w:val="31"/>
  </w:num>
  <w:num w:numId="25">
    <w:abstractNumId w:val="33"/>
  </w:num>
  <w:num w:numId="26">
    <w:abstractNumId w:val="32"/>
  </w:num>
  <w:num w:numId="27">
    <w:abstractNumId w:val="3"/>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5"/>
  </w:num>
  <w:num w:numId="32">
    <w:abstractNumId w:val="1"/>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 w:numId="37">
    <w:abstractNumId w:val="20"/>
  </w:num>
  <w:num w:numId="38">
    <w:abstractNumId w:val="12"/>
  </w:num>
  <w:num w:numId="39">
    <w:abstractNumId w:val="22"/>
  </w:num>
  <w:num w:numId="40">
    <w:abstractNumId w:val="26"/>
  </w:num>
  <w:num w:numId="41">
    <w:abstractNumId w:val="19"/>
  </w:num>
  <w:num w:numId="42">
    <w:abstractNumId w:val="14"/>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46"/>
    <w:rsid w:val="0000163A"/>
    <w:rsid w:val="00003477"/>
    <w:rsid w:val="0000442C"/>
    <w:rsid w:val="00004D59"/>
    <w:rsid w:val="00007174"/>
    <w:rsid w:val="00012F4F"/>
    <w:rsid w:val="000150C8"/>
    <w:rsid w:val="00017EFF"/>
    <w:rsid w:val="00020E45"/>
    <w:rsid w:val="0002356A"/>
    <w:rsid w:val="00023D53"/>
    <w:rsid w:val="00025334"/>
    <w:rsid w:val="00025482"/>
    <w:rsid w:val="00032735"/>
    <w:rsid w:val="00034198"/>
    <w:rsid w:val="00034C14"/>
    <w:rsid w:val="00037F4A"/>
    <w:rsid w:val="00040C58"/>
    <w:rsid w:val="00042BF8"/>
    <w:rsid w:val="00052605"/>
    <w:rsid w:val="00053A5C"/>
    <w:rsid w:val="00055FE1"/>
    <w:rsid w:val="00056070"/>
    <w:rsid w:val="00056221"/>
    <w:rsid w:val="00056278"/>
    <w:rsid w:val="000606FC"/>
    <w:rsid w:val="000610AA"/>
    <w:rsid w:val="00063D7D"/>
    <w:rsid w:val="000652C6"/>
    <w:rsid w:val="00066664"/>
    <w:rsid w:val="00066B8D"/>
    <w:rsid w:val="000706B0"/>
    <w:rsid w:val="000708C0"/>
    <w:rsid w:val="00073BDF"/>
    <w:rsid w:val="000802B8"/>
    <w:rsid w:val="000841A9"/>
    <w:rsid w:val="0009402F"/>
    <w:rsid w:val="000963EE"/>
    <w:rsid w:val="000B14F4"/>
    <w:rsid w:val="000B1ADB"/>
    <w:rsid w:val="000B21E5"/>
    <w:rsid w:val="000C0CC4"/>
    <w:rsid w:val="000C1F21"/>
    <w:rsid w:val="000C2508"/>
    <w:rsid w:val="000C266E"/>
    <w:rsid w:val="000C2752"/>
    <w:rsid w:val="000C35E6"/>
    <w:rsid w:val="000C3971"/>
    <w:rsid w:val="000C3A41"/>
    <w:rsid w:val="000C615C"/>
    <w:rsid w:val="000C7635"/>
    <w:rsid w:val="000C7A79"/>
    <w:rsid w:val="000D3087"/>
    <w:rsid w:val="000D7A82"/>
    <w:rsid w:val="000E06F0"/>
    <w:rsid w:val="000E4608"/>
    <w:rsid w:val="000F189C"/>
    <w:rsid w:val="000F5C93"/>
    <w:rsid w:val="000F6B25"/>
    <w:rsid w:val="000F6CFB"/>
    <w:rsid w:val="000F7D95"/>
    <w:rsid w:val="001015F4"/>
    <w:rsid w:val="0010493C"/>
    <w:rsid w:val="00106A85"/>
    <w:rsid w:val="00106C09"/>
    <w:rsid w:val="00111EF7"/>
    <w:rsid w:val="0011214B"/>
    <w:rsid w:val="00114B23"/>
    <w:rsid w:val="00115385"/>
    <w:rsid w:val="001165B6"/>
    <w:rsid w:val="001236D1"/>
    <w:rsid w:val="001260F0"/>
    <w:rsid w:val="00130DA4"/>
    <w:rsid w:val="001314D4"/>
    <w:rsid w:val="00133C60"/>
    <w:rsid w:val="0013628D"/>
    <w:rsid w:val="00143536"/>
    <w:rsid w:val="00145016"/>
    <w:rsid w:val="00146355"/>
    <w:rsid w:val="00147CA4"/>
    <w:rsid w:val="00150005"/>
    <w:rsid w:val="0015273F"/>
    <w:rsid w:val="0015339F"/>
    <w:rsid w:val="00153826"/>
    <w:rsid w:val="001555B1"/>
    <w:rsid w:val="00162DEB"/>
    <w:rsid w:val="00167D74"/>
    <w:rsid w:val="00174A1B"/>
    <w:rsid w:val="0017571A"/>
    <w:rsid w:val="00177124"/>
    <w:rsid w:val="0018284D"/>
    <w:rsid w:val="0018371C"/>
    <w:rsid w:val="001838A6"/>
    <w:rsid w:val="001926D9"/>
    <w:rsid w:val="00193C94"/>
    <w:rsid w:val="001A0D2E"/>
    <w:rsid w:val="001A2D71"/>
    <w:rsid w:val="001A792A"/>
    <w:rsid w:val="001B1D53"/>
    <w:rsid w:val="001B26ED"/>
    <w:rsid w:val="001B35AA"/>
    <w:rsid w:val="001B4FE8"/>
    <w:rsid w:val="001B6F34"/>
    <w:rsid w:val="001B7050"/>
    <w:rsid w:val="001C1052"/>
    <w:rsid w:val="001C4546"/>
    <w:rsid w:val="001C4BF6"/>
    <w:rsid w:val="001C584F"/>
    <w:rsid w:val="001D1156"/>
    <w:rsid w:val="001D401F"/>
    <w:rsid w:val="001D7754"/>
    <w:rsid w:val="001E112A"/>
    <w:rsid w:val="001F4E2E"/>
    <w:rsid w:val="001F58FF"/>
    <w:rsid w:val="001F6BBA"/>
    <w:rsid w:val="00201CF4"/>
    <w:rsid w:val="00202644"/>
    <w:rsid w:val="00202FB8"/>
    <w:rsid w:val="002055F6"/>
    <w:rsid w:val="002077EC"/>
    <w:rsid w:val="00215DD9"/>
    <w:rsid w:val="00217095"/>
    <w:rsid w:val="00224CDA"/>
    <w:rsid w:val="002307C0"/>
    <w:rsid w:val="002320B4"/>
    <w:rsid w:val="002373F9"/>
    <w:rsid w:val="00241DA0"/>
    <w:rsid w:val="00242449"/>
    <w:rsid w:val="00242BE1"/>
    <w:rsid w:val="00244943"/>
    <w:rsid w:val="0024670C"/>
    <w:rsid w:val="00251D53"/>
    <w:rsid w:val="00256FC3"/>
    <w:rsid w:val="00257B5B"/>
    <w:rsid w:val="00257E12"/>
    <w:rsid w:val="00261743"/>
    <w:rsid w:val="002649DF"/>
    <w:rsid w:val="0027136B"/>
    <w:rsid w:val="0027227E"/>
    <w:rsid w:val="00272F79"/>
    <w:rsid w:val="002821AF"/>
    <w:rsid w:val="00282CFA"/>
    <w:rsid w:val="00285336"/>
    <w:rsid w:val="00285A84"/>
    <w:rsid w:val="00286069"/>
    <w:rsid w:val="002866C2"/>
    <w:rsid w:val="0029761C"/>
    <w:rsid w:val="00297A9F"/>
    <w:rsid w:val="002A39C4"/>
    <w:rsid w:val="002A3CD8"/>
    <w:rsid w:val="002A3DE5"/>
    <w:rsid w:val="002B2DB0"/>
    <w:rsid w:val="002B5982"/>
    <w:rsid w:val="002B7026"/>
    <w:rsid w:val="002C3789"/>
    <w:rsid w:val="002C4A51"/>
    <w:rsid w:val="002C533C"/>
    <w:rsid w:val="002C5F69"/>
    <w:rsid w:val="002D06F8"/>
    <w:rsid w:val="002D1F28"/>
    <w:rsid w:val="002D217F"/>
    <w:rsid w:val="002D239E"/>
    <w:rsid w:val="002D3F60"/>
    <w:rsid w:val="002D56BC"/>
    <w:rsid w:val="002E1AA5"/>
    <w:rsid w:val="002E6830"/>
    <w:rsid w:val="002E7375"/>
    <w:rsid w:val="002E791F"/>
    <w:rsid w:val="002F0D7E"/>
    <w:rsid w:val="002F1D2A"/>
    <w:rsid w:val="002F26F7"/>
    <w:rsid w:val="002F3308"/>
    <w:rsid w:val="002F3651"/>
    <w:rsid w:val="002F37B3"/>
    <w:rsid w:val="002F5589"/>
    <w:rsid w:val="002F571B"/>
    <w:rsid w:val="002F6C2C"/>
    <w:rsid w:val="002F7A6E"/>
    <w:rsid w:val="003022E2"/>
    <w:rsid w:val="00307268"/>
    <w:rsid w:val="0031075F"/>
    <w:rsid w:val="00310F60"/>
    <w:rsid w:val="00311D43"/>
    <w:rsid w:val="00314DCA"/>
    <w:rsid w:val="003164E4"/>
    <w:rsid w:val="00316B8C"/>
    <w:rsid w:val="003211A5"/>
    <w:rsid w:val="00321CD3"/>
    <w:rsid w:val="00327033"/>
    <w:rsid w:val="00332171"/>
    <w:rsid w:val="00332797"/>
    <w:rsid w:val="00334D99"/>
    <w:rsid w:val="003353CB"/>
    <w:rsid w:val="00341229"/>
    <w:rsid w:val="00342C9D"/>
    <w:rsid w:val="00343312"/>
    <w:rsid w:val="003441AF"/>
    <w:rsid w:val="00346BF7"/>
    <w:rsid w:val="003515F1"/>
    <w:rsid w:val="00356A28"/>
    <w:rsid w:val="00356F9A"/>
    <w:rsid w:val="00360960"/>
    <w:rsid w:val="00362421"/>
    <w:rsid w:val="003649B4"/>
    <w:rsid w:val="00367531"/>
    <w:rsid w:val="0037280B"/>
    <w:rsid w:val="00380D0E"/>
    <w:rsid w:val="00384EE8"/>
    <w:rsid w:val="003861AE"/>
    <w:rsid w:val="00393839"/>
    <w:rsid w:val="00393A06"/>
    <w:rsid w:val="00393ED7"/>
    <w:rsid w:val="00395949"/>
    <w:rsid w:val="00397D0A"/>
    <w:rsid w:val="003A33D3"/>
    <w:rsid w:val="003A60AD"/>
    <w:rsid w:val="003B010E"/>
    <w:rsid w:val="003B09BF"/>
    <w:rsid w:val="003B0CA0"/>
    <w:rsid w:val="003B11FF"/>
    <w:rsid w:val="003B4471"/>
    <w:rsid w:val="003C0667"/>
    <w:rsid w:val="003C1AF1"/>
    <w:rsid w:val="003C3B2D"/>
    <w:rsid w:val="003C4662"/>
    <w:rsid w:val="003C71EA"/>
    <w:rsid w:val="003D3081"/>
    <w:rsid w:val="003D397A"/>
    <w:rsid w:val="003D6365"/>
    <w:rsid w:val="003D6434"/>
    <w:rsid w:val="003E345B"/>
    <w:rsid w:val="003F1566"/>
    <w:rsid w:val="003F1FBC"/>
    <w:rsid w:val="003F21BC"/>
    <w:rsid w:val="003F325A"/>
    <w:rsid w:val="003F3EEF"/>
    <w:rsid w:val="0040420A"/>
    <w:rsid w:val="00406E98"/>
    <w:rsid w:val="00406EF1"/>
    <w:rsid w:val="00414388"/>
    <w:rsid w:val="0041744B"/>
    <w:rsid w:val="004175EA"/>
    <w:rsid w:val="0042195A"/>
    <w:rsid w:val="00421DA8"/>
    <w:rsid w:val="0042290D"/>
    <w:rsid w:val="004238BE"/>
    <w:rsid w:val="00423CE7"/>
    <w:rsid w:val="00430F2D"/>
    <w:rsid w:val="00433AA7"/>
    <w:rsid w:val="00451B06"/>
    <w:rsid w:val="0045364C"/>
    <w:rsid w:val="0045516F"/>
    <w:rsid w:val="00457593"/>
    <w:rsid w:val="00457CEB"/>
    <w:rsid w:val="0046137B"/>
    <w:rsid w:val="004647CC"/>
    <w:rsid w:val="004659F3"/>
    <w:rsid w:val="004736E2"/>
    <w:rsid w:val="004758AD"/>
    <w:rsid w:val="0047681D"/>
    <w:rsid w:val="00477469"/>
    <w:rsid w:val="00484880"/>
    <w:rsid w:val="004858F0"/>
    <w:rsid w:val="004864E0"/>
    <w:rsid w:val="00486A57"/>
    <w:rsid w:val="00491285"/>
    <w:rsid w:val="00493F75"/>
    <w:rsid w:val="00495236"/>
    <w:rsid w:val="004965C1"/>
    <w:rsid w:val="00497E71"/>
    <w:rsid w:val="004A072D"/>
    <w:rsid w:val="004A3E4E"/>
    <w:rsid w:val="004A44A2"/>
    <w:rsid w:val="004A6524"/>
    <w:rsid w:val="004B07A9"/>
    <w:rsid w:val="004B1F2B"/>
    <w:rsid w:val="004B3162"/>
    <w:rsid w:val="004B45C9"/>
    <w:rsid w:val="004B532A"/>
    <w:rsid w:val="004B6DFB"/>
    <w:rsid w:val="004C04C8"/>
    <w:rsid w:val="004C04FD"/>
    <w:rsid w:val="004C276B"/>
    <w:rsid w:val="004D102B"/>
    <w:rsid w:val="004D30AD"/>
    <w:rsid w:val="004D3140"/>
    <w:rsid w:val="004D6CEB"/>
    <w:rsid w:val="004E0310"/>
    <w:rsid w:val="004E24C2"/>
    <w:rsid w:val="004E6844"/>
    <w:rsid w:val="004F2BF9"/>
    <w:rsid w:val="004F2CD3"/>
    <w:rsid w:val="004F6A21"/>
    <w:rsid w:val="005012AF"/>
    <w:rsid w:val="00502344"/>
    <w:rsid w:val="005069F6"/>
    <w:rsid w:val="00506E4D"/>
    <w:rsid w:val="0051018D"/>
    <w:rsid w:val="005103EB"/>
    <w:rsid w:val="00512D4D"/>
    <w:rsid w:val="0051379A"/>
    <w:rsid w:val="00520F0D"/>
    <w:rsid w:val="00525BF5"/>
    <w:rsid w:val="00527C17"/>
    <w:rsid w:val="005302FA"/>
    <w:rsid w:val="005315A3"/>
    <w:rsid w:val="00535E5F"/>
    <w:rsid w:val="005378D6"/>
    <w:rsid w:val="0054025B"/>
    <w:rsid w:val="00541FBE"/>
    <w:rsid w:val="0054291E"/>
    <w:rsid w:val="00543A63"/>
    <w:rsid w:val="00544353"/>
    <w:rsid w:val="005509E7"/>
    <w:rsid w:val="00555315"/>
    <w:rsid w:val="00556E8F"/>
    <w:rsid w:val="0056003B"/>
    <w:rsid w:val="00560C77"/>
    <w:rsid w:val="00563090"/>
    <w:rsid w:val="0056659A"/>
    <w:rsid w:val="005666E4"/>
    <w:rsid w:val="00570A06"/>
    <w:rsid w:val="005761D8"/>
    <w:rsid w:val="00577FA0"/>
    <w:rsid w:val="00582113"/>
    <w:rsid w:val="005A12B2"/>
    <w:rsid w:val="005A4305"/>
    <w:rsid w:val="005B290D"/>
    <w:rsid w:val="005B5556"/>
    <w:rsid w:val="005B73F3"/>
    <w:rsid w:val="005B7F22"/>
    <w:rsid w:val="005C2456"/>
    <w:rsid w:val="005C603D"/>
    <w:rsid w:val="005D0364"/>
    <w:rsid w:val="005D11C4"/>
    <w:rsid w:val="005D25A4"/>
    <w:rsid w:val="005E0BAA"/>
    <w:rsid w:val="005E1157"/>
    <w:rsid w:val="005E51D6"/>
    <w:rsid w:val="005E571B"/>
    <w:rsid w:val="005E738C"/>
    <w:rsid w:val="005F55C7"/>
    <w:rsid w:val="00604AA2"/>
    <w:rsid w:val="00604BA1"/>
    <w:rsid w:val="00607503"/>
    <w:rsid w:val="00607905"/>
    <w:rsid w:val="0061193C"/>
    <w:rsid w:val="00615B57"/>
    <w:rsid w:val="0062043C"/>
    <w:rsid w:val="006213AE"/>
    <w:rsid w:val="00623A5F"/>
    <w:rsid w:val="00623CAA"/>
    <w:rsid w:val="006317E0"/>
    <w:rsid w:val="00632491"/>
    <w:rsid w:val="006358FD"/>
    <w:rsid w:val="00635FEF"/>
    <w:rsid w:val="006372FA"/>
    <w:rsid w:val="006416E6"/>
    <w:rsid w:val="00645F7A"/>
    <w:rsid w:val="006472C0"/>
    <w:rsid w:val="00651BD5"/>
    <w:rsid w:val="00653716"/>
    <w:rsid w:val="00654446"/>
    <w:rsid w:val="0065623E"/>
    <w:rsid w:val="00656558"/>
    <w:rsid w:val="0066207D"/>
    <w:rsid w:val="0066527A"/>
    <w:rsid w:val="0066670D"/>
    <w:rsid w:val="00666926"/>
    <w:rsid w:val="006674A8"/>
    <w:rsid w:val="00677167"/>
    <w:rsid w:val="00677930"/>
    <w:rsid w:val="0068060C"/>
    <w:rsid w:val="006828AE"/>
    <w:rsid w:val="0068337C"/>
    <w:rsid w:val="00683C96"/>
    <w:rsid w:val="00691D81"/>
    <w:rsid w:val="006931E6"/>
    <w:rsid w:val="0069415D"/>
    <w:rsid w:val="006949BC"/>
    <w:rsid w:val="006966F6"/>
    <w:rsid w:val="006971A8"/>
    <w:rsid w:val="00697C33"/>
    <w:rsid w:val="006A1EC6"/>
    <w:rsid w:val="006A222F"/>
    <w:rsid w:val="006A51CE"/>
    <w:rsid w:val="006A5E05"/>
    <w:rsid w:val="006B0F66"/>
    <w:rsid w:val="006B1F64"/>
    <w:rsid w:val="006B2EB0"/>
    <w:rsid w:val="006B3CE4"/>
    <w:rsid w:val="006B4042"/>
    <w:rsid w:val="006B561A"/>
    <w:rsid w:val="006B5C71"/>
    <w:rsid w:val="006B65CA"/>
    <w:rsid w:val="006C5DFE"/>
    <w:rsid w:val="006D7A15"/>
    <w:rsid w:val="006E12EF"/>
    <w:rsid w:val="006E146C"/>
    <w:rsid w:val="006F159B"/>
    <w:rsid w:val="006F2CF2"/>
    <w:rsid w:val="006F35F0"/>
    <w:rsid w:val="006F4D7B"/>
    <w:rsid w:val="00704C9E"/>
    <w:rsid w:val="00710C22"/>
    <w:rsid w:val="007274D6"/>
    <w:rsid w:val="00731506"/>
    <w:rsid w:val="007318E3"/>
    <w:rsid w:val="00731D5A"/>
    <w:rsid w:val="00732A1A"/>
    <w:rsid w:val="00732C0F"/>
    <w:rsid w:val="007359F4"/>
    <w:rsid w:val="00740F4A"/>
    <w:rsid w:val="00742AD2"/>
    <w:rsid w:val="00742D7B"/>
    <w:rsid w:val="00743F9A"/>
    <w:rsid w:val="00745218"/>
    <w:rsid w:val="007455FE"/>
    <w:rsid w:val="00745AE7"/>
    <w:rsid w:val="00747EBA"/>
    <w:rsid w:val="00750CED"/>
    <w:rsid w:val="007515F0"/>
    <w:rsid w:val="00760B59"/>
    <w:rsid w:val="0076253A"/>
    <w:rsid w:val="00766C22"/>
    <w:rsid w:val="007679D4"/>
    <w:rsid w:val="007746F6"/>
    <w:rsid w:val="00777141"/>
    <w:rsid w:val="00791AA0"/>
    <w:rsid w:val="00791B57"/>
    <w:rsid w:val="007939E9"/>
    <w:rsid w:val="00794848"/>
    <w:rsid w:val="00797814"/>
    <w:rsid w:val="007A321C"/>
    <w:rsid w:val="007B1663"/>
    <w:rsid w:val="007B4E9C"/>
    <w:rsid w:val="007B54AA"/>
    <w:rsid w:val="007B60FF"/>
    <w:rsid w:val="007C34DD"/>
    <w:rsid w:val="007C3A13"/>
    <w:rsid w:val="007C492C"/>
    <w:rsid w:val="007C6A63"/>
    <w:rsid w:val="007C7867"/>
    <w:rsid w:val="007D1FE3"/>
    <w:rsid w:val="007D4A0A"/>
    <w:rsid w:val="007D5B2D"/>
    <w:rsid w:val="007D71B2"/>
    <w:rsid w:val="007E1E6F"/>
    <w:rsid w:val="007E2CFC"/>
    <w:rsid w:val="007E73BA"/>
    <w:rsid w:val="007F4631"/>
    <w:rsid w:val="007F7640"/>
    <w:rsid w:val="0080183A"/>
    <w:rsid w:val="00806A7B"/>
    <w:rsid w:val="00811BEA"/>
    <w:rsid w:val="00812623"/>
    <w:rsid w:val="008137CB"/>
    <w:rsid w:val="00815A5E"/>
    <w:rsid w:val="00817743"/>
    <w:rsid w:val="0082174F"/>
    <w:rsid w:val="0082676E"/>
    <w:rsid w:val="00826EE5"/>
    <w:rsid w:val="00840F9D"/>
    <w:rsid w:val="008417DE"/>
    <w:rsid w:val="00844347"/>
    <w:rsid w:val="008447D6"/>
    <w:rsid w:val="00845566"/>
    <w:rsid w:val="00851310"/>
    <w:rsid w:val="00852810"/>
    <w:rsid w:val="008529C6"/>
    <w:rsid w:val="00852AB1"/>
    <w:rsid w:val="00860B27"/>
    <w:rsid w:val="00864F55"/>
    <w:rsid w:val="00865C4C"/>
    <w:rsid w:val="008701CC"/>
    <w:rsid w:val="00870CDD"/>
    <w:rsid w:val="00871A0B"/>
    <w:rsid w:val="00876378"/>
    <w:rsid w:val="0087670A"/>
    <w:rsid w:val="008800E0"/>
    <w:rsid w:val="00882243"/>
    <w:rsid w:val="0088481D"/>
    <w:rsid w:val="0088770A"/>
    <w:rsid w:val="00891EF7"/>
    <w:rsid w:val="00896902"/>
    <w:rsid w:val="0089709D"/>
    <w:rsid w:val="0089723A"/>
    <w:rsid w:val="008978AF"/>
    <w:rsid w:val="008A0E50"/>
    <w:rsid w:val="008A1902"/>
    <w:rsid w:val="008A6250"/>
    <w:rsid w:val="008A62E1"/>
    <w:rsid w:val="008A6D3E"/>
    <w:rsid w:val="008B0C90"/>
    <w:rsid w:val="008C1998"/>
    <w:rsid w:val="008C2615"/>
    <w:rsid w:val="008C7C3B"/>
    <w:rsid w:val="008D2CBF"/>
    <w:rsid w:val="008E4367"/>
    <w:rsid w:val="008E5B8B"/>
    <w:rsid w:val="008F1A26"/>
    <w:rsid w:val="008F2A23"/>
    <w:rsid w:val="008F6756"/>
    <w:rsid w:val="008F7726"/>
    <w:rsid w:val="00900544"/>
    <w:rsid w:val="009055C3"/>
    <w:rsid w:val="009066AE"/>
    <w:rsid w:val="00906C06"/>
    <w:rsid w:val="00914935"/>
    <w:rsid w:val="00921091"/>
    <w:rsid w:val="0092705C"/>
    <w:rsid w:val="009271BF"/>
    <w:rsid w:val="00934C0A"/>
    <w:rsid w:val="00935F4E"/>
    <w:rsid w:val="00936638"/>
    <w:rsid w:val="00940761"/>
    <w:rsid w:val="0094092A"/>
    <w:rsid w:val="009429E3"/>
    <w:rsid w:val="00945E87"/>
    <w:rsid w:val="009461E5"/>
    <w:rsid w:val="0094644C"/>
    <w:rsid w:val="00947EB4"/>
    <w:rsid w:val="00952308"/>
    <w:rsid w:val="0095550D"/>
    <w:rsid w:val="00957BE2"/>
    <w:rsid w:val="00957CA7"/>
    <w:rsid w:val="009620E2"/>
    <w:rsid w:val="00962658"/>
    <w:rsid w:val="0096326F"/>
    <w:rsid w:val="00970FB7"/>
    <w:rsid w:val="00971628"/>
    <w:rsid w:val="009752D2"/>
    <w:rsid w:val="00976DA9"/>
    <w:rsid w:val="00980B55"/>
    <w:rsid w:val="00986981"/>
    <w:rsid w:val="009904A0"/>
    <w:rsid w:val="009907E5"/>
    <w:rsid w:val="00990F79"/>
    <w:rsid w:val="009926A7"/>
    <w:rsid w:val="00995D8E"/>
    <w:rsid w:val="009962A3"/>
    <w:rsid w:val="009A1AEA"/>
    <w:rsid w:val="009A2E2A"/>
    <w:rsid w:val="009A4CFE"/>
    <w:rsid w:val="009B20C4"/>
    <w:rsid w:val="009B4259"/>
    <w:rsid w:val="009B6187"/>
    <w:rsid w:val="009B6749"/>
    <w:rsid w:val="009C2E54"/>
    <w:rsid w:val="009C5FF5"/>
    <w:rsid w:val="009C6BB9"/>
    <w:rsid w:val="009C7858"/>
    <w:rsid w:val="009D1D1D"/>
    <w:rsid w:val="009D435E"/>
    <w:rsid w:val="009D7588"/>
    <w:rsid w:val="009E043A"/>
    <w:rsid w:val="009E662B"/>
    <w:rsid w:val="009F2465"/>
    <w:rsid w:val="009F4E21"/>
    <w:rsid w:val="009F62DB"/>
    <w:rsid w:val="009F7112"/>
    <w:rsid w:val="00A01970"/>
    <w:rsid w:val="00A03C95"/>
    <w:rsid w:val="00A06215"/>
    <w:rsid w:val="00A06C6E"/>
    <w:rsid w:val="00A106E4"/>
    <w:rsid w:val="00A125AE"/>
    <w:rsid w:val="00A1379A"/>
    <w:rsid w:val="00A14C1C"/>
    <w:rsid w:val="00A22A17"/>
    <w:rsid w:val="00A24F7E"/>
    <w:rsid w:val="00A24FB6"/>
    <w:rsid w:val="00A30A52"/>
    <w:rsid w:val="00A326BF"/>
    <w:rsid w:val="00A36D0A"/>
    <w:rsid w:val="00A3706F"/>
    <w:rsid w:val="00A3747D"/>
    <w:rsid w:val="00A4421A"/>
    <w:rsid w:val="00A459CB"/>
    <w:rsid w:val="00A45B8B"/>
    <w:rsid w:val="00A46367"/>
    <w:rsid w:val="00A525B8"/>
    <w:rsid w:val="00A53DF8"/>
    <w:rsid w:val="00A54114"/>
    <w:rsid w:val="00A62709"/>
    <w:rsid w:val="00A670EE"/>
    <w:rsid w:val="00A72FAF"/>
    <w:rsid w:val="00A7310D"/>
    <w:rsid w:val="00A74BBB"/>
    <w:rsid w:val="00A87ABD"/>
    <w:rsid w:val="00A92271"/>
    <w:rsid w:val="00A958A6"/>
    <w:rsid w:val="00AA0B76"/>
    <w:rsid w:val="00AA1BF2"/>
    <w:rsid w:val="00AA48DC"/>
    <w:rsid w:val="00AC1791"/>
    <w:rsid w:val="00AD0FAF"/>
    <w:rsid w:val="00AD2569"/>
    <w:rsid w:val="00AD621E"/>
    <w:rsid w:val="00AD7C73"/>
    <w:rsid w:val="00AE4FB0"/>
    <w:rsid w:val="00AE6914"/>
    <w:rsid w:val="00AF1116"/>
    <w:rsid w:val="00AF3456"/>
    <w:rsid w:val="00AF75E8"/>
    <w:rsid w:val="00B01B34"/>
    <w:rsid w:val="00B020D9"/>
    <w:rsid w:val="00B051D2"/>
    <w:rsid w:val="00B052E2"/>
    <w:rsid w:val="00B06701"/>
    <w:rsid w:val="00B07791"/>
    <w:rsid w:val="00B10D44"/>
    <w:rsid w:val="00B119AF"/>
    <w:rsid w:val="00B12A93"/>
    <w:rsid w:val="00B14853"/>
    <w:rsid w:val="00B15C42"/>
    <w:rsid w:val="00B17C86"/>
    <w:rsid w:val="00B20DA2"/>
    <w:rsid w:val="00B21FC1"/>
    <w:rsid w:val="00B3029D"/>
    <w:rsid w:val="00B34643"/>
    <w:rsid w:val="00B35260"/>
    <w:rsid w:val="00B36E65"/>
    <w:rsid w:val="00B40921"/>
    <w:rsid w:val="00B42BC6"/>
    <w:rsid w:val="00B449B4"/>
    <w:rsid w:val="00B46790"/>
    <w:rsid w:val="00B46A29"/>
    <w:rsid w:val="00B471CB"/>
    <w:rsid w:val="00B47FC3"/>
    <w:rsid w:val="00B50E0D"/>
    <w:rsid w:val="00B52994"/>
    <w:rsid w:val="00B538B0"/>
    <w:rsid w:val="00B545A6"/>
    <w:rsid w:val="00B5652F"/>
    <w:rsid w:val="00B60D1D"/>
    <w:rsid w:val="00B61AEC"/>
    <w:rsid w:val="00B639C0"/>
    <w:rsid w:val="00B64B97"/>
    <w:rsid w:val="00B70E83"/>
    <w:rsid w:val="00B72980"/>
    <w:rsid w:val="00B76609"/>
    <w:rsid w:val="00B807E3"/>
    <w:rsid w:val="00B807FA"/>
    <w:rsid w:val="00B83CC4"/>
    <w:rsid w:val="00B86DC6"/>
    <w:rsid w:val="00B9638F"/>
    <w:rsid w:val="00B9754E"/>
    <w:rsid w:val="00BA0873"/>
    <w:rsid w:val="00BA0E2A"/>
    <w:rsid w:val="00BA1E7F"/>
    <w:rsid w:val="00BB0D48"/>
    <w:rsid w:val="00BB146E"/>
    <w:rsid w:val="00BB320F"/>
    <w:rsid w:val="00BB4AA2"/>
    <w:rsid w:val="00BC5706"/>
    <w:rsid w:val="00BC6727"/>
    <w:rsid w:val="00BC67E4"/>
    <w:rsid w:val="00BD152F"/>
    <w:rsid w:val="00BD4B21"/>
    <w:rsid w:val="00BD6CA7"/>
    <w:rsid w:val="00BD716A"/>
    <w:rsid w:val="00BE0AE2"/>
    <w:rsid w:val="00BE51B1"/>
    <w:rsid w:val="00BF1545"/>
    <w:rsid w:val="00BF5B94"/>
    <w:rsid w:val="00C02FF1"/>
    <w:rsid w:val="00C046F6"/>
    <w:rsid w:val="00C05C95"/>
    <w:rsid w:val="00C07063"/>
    <w:rsid w:val="00C11003"/>
    <w:rsid w:val="00C1191D"/>
    <w:rsid w:val="00C14FF5"/>
    <w:rsid w:val="00C151C9"/>
    <w:rsid w:val="00C1630F"/>
    <w:rsid w:val="00C17E12"/>
    <w:rsid w:val="00C229A7"/>
    <w:rsid w:val="00C35A8F"/>
    <w:rsid w:val="00C448A2"/>
    <w:rsid w:val="00C459AE"/>
    <w:rsid w:val="00C53EB8"/>
    <w:rsid w:val="00C557DD"/>
    <w:rsid w:val="00C61EBD"/>
    <w:rsid w:val="00C66788"/>
    <w:rsid w:val="00C70601"/>
    <w:rsid w:val="00C7688D"/>
    <w:rsid w:val="00C76A22"/>
    <w:rsid w:val="00C77F35"/>
    <w:rsid w:val="00C8046A"/>
    <w:rsid w:val="00C82ED8"/>
    <w:rsid w:val="00C844FA"/>
    <w:rsid w:val="00C85ED6"/>
    <w:rsid w:val="00C86B63"/>
    <w:rsid w:val="00C87090"/>
    <w:rsid w:val="00C91F25"/>
    <w:rsid w:val="00C929F7"/>
    <w:rsid w:val="00C951E0"/>
    <w:rsid w:val="00CA4CEC"/>
    <w:rsid w:val="00CB13C4"/>
    <w:rsid w:val="00CB1727"/>
    <w:rsid w:val="00CB3620"/>
    <w:rsid w:val="00CC0A0F"/>
    <w:rsid w:val="00CC7EA1"/>
    <w:rsid w:val="00CD4964"/>
    <w:rsid w:val="00CD4F55"/>
    <w:rsid w:val="00CE0964"/>
    <w:rsid w:val="00CE49EF"/>
    <w:rsid w:val="00CE4FC8"/>
    <w:rsid w:val="00CE5E07"/>
    <w:rsid w:val="00CF0FDC"/>
    <w:rsid w:val="00CF3E8F"/>
    <w:rsid w:val="00CF4441"/>
    <w:rsid w:val="00CF4928"/>
    <w:rsid w:val="00CF67D5"/>
    <w:rsid w:val="00D01AFB"/>
    <w:rsid w:val="00D03A21"/>
    <w:rsid w:val="00D07CDD"/>
    <w:rsid w:val="00D105CE"/>
    <w:rsid w:val="00D142EE"/>
    <w:rsid w:val="00D15A8E"/>
    <w:rsid w:val="00D167FB"/>
    <w:rsid w:val="00D1750C"/>
    <w:rsid w:val="00D17CBA"/>
    <w:rsid w:val="00D208D0"/>
    <w:rsid w:val="00D21154"/>
    <w:rsid w:val="00D23551"/>
    <w:rsid w:val="00D24A5C"/>
    <w:rsid w:val="00D25681"/>
    <w:rsid w:val="00D26ECB"/>
    <w:rsid w:val="00D43883"/>
    <w:rsid w:val="00D45257"/>
    <w:rsid w:val="00D4663D"/>
    <w:rsid w:val="00D52F6A"/>
    <w:rsid w:val="00D537AC"/>
    <w:rsid w:val="00D60135"/>
    <w:rsid w:val="00D62D75"/>
    <w:rsid w:val="00D63B02"/>
    <w:rsid w:val="00D67D02"/>
    <w:rsid w:val="00D70577"/>
    <w:rsid w:val="00D7098F"/>
    <w:rsid w:val="00D74A45"/>
    <w:rsid w:val="00D755AD"/>
    <w:rsid w:val="00D7590D"/>
    <w:rsid w:val="00D7688F"/>
    <w:rsid w:val="00D77954"/>
    <w:rsid w:val="00D86E5C"/>
    <w:rsid w:val="00DA1FDE"/>
    <w:rsid w:val="00DA5416"/>
    <w:rsid w:val="00DB1A38"/>
    <w:rsid w:val="00DB359A"/>
    <w:rsid w:val="00DC1764"/>
    <w:rsid w:val="00DC20F8"/>
    <w:rsid w:val="00DC267C"/>
    <w:rsid w:val="00DC2CB3"/>
    <w:rsid w:val="00DC34C2"/>
    <w:rsid w:val="00DC741E"/>
    <w:rsid w:val="00DD0419"/>
    <w:rsid w:val="00DD092B"/>
    <w:rsid w:val="00DD0BF1"/>
    <w:rsid w:val="00DD0F8B"/>
    <w:rsid w:val="00DD10A2"/>
    <w:rsid w:val="00DE1AAA"/>
    <w:rsid w:val="00DE5A71"/>
    <w:rsid w:val="00DF646F"/>
    <w:rsid w:val="00E0091C"/>
    <w:rsid w:val="00E062A5"/>
    <w:rsid w:val="00E068FE"/>
    <w:rsid w:val="00E07407"/>
    <w:rsid w:val="00E10A89"/>
    <w:rsid w:val="00E130D8"/>
    <w:rsid w:val="00E14707"/>
    <w:rsid w:val="00E14D5A"/>
    <w:rsid w:val="00E166AA"/>
    <w:rsid w:val="00E23CC7"/>
    <w:rsid w:val="00E23EF9"/>
    <w:rsid w:val="00E329B7"/>
    <w:rsid w:val="00E334D0"/>
    <w:rsid w:val="00E33EAE"/>
    <w:rsid w:val="00E34321"/>
    <w:rsid w:val="00E34AAA"/>
    <w:rsid w:val="00E360F2"/>
    <w:rsid w:val="00E401E5"/>
    <w:rsid w:val="00E407AC"/>
    <w:rsid w:val="00E528F4"/>
    <w:rsid w:val="00E53651"/>
    <w:rsid w:val="00E53CF9"/>
    <w:rsid w:val="00E555AC"/>
    <w:rsid w:val="00E571E9"/>
    <w:rsid w:val="00E575CE"/>
    <w:rsid w:val="00E62567"/>
    <w:rsid w:val="00E62662"/>
    <w:rsid w:val="00E636B2"/>
    <w:rsid w:val="00E6624B"/>
    <w:rsid w:val="00E67C4F"/>
    <w:rsid w:val="00E70BDF"/>
    <w:rsid w:val="00E72C58"/>
    <w:rsid w:val="00E843DC"/>
    <w:rsid w:val="00E85352"/>
    <w:rsid w:val="00E8690D"/>
    <w:rsid w:val="00E93782"/>
    <w:rsid w:val="00E94DCC"/>
    <w:rsid w:val="00E965A1"/>
    <w:rsid w:val="00EA1622"/>
    <w:rsid w:val="00EA42E0"/>
    <w:rsid w:val="00EA4696"/>
    <w:rsid w:val="00EB087A"/>
    <w:rsid w:val="00EB3B38"/>
    <w:rsid w:val="00EB6D1D"/>
    <w:rsid w:val="00EB77CC"/>
    <w:rsid w:val="00EB77DD"/>
    <w:rsid w:val="00EC0262"/>
    <w:rsid w:val="00EC3CCE"/>
    <w:rsid w:val="00ED4E71"/>
    <w:rsid w:val="00ED6397"/>
    <w:rsid w:val="00EE16C2"/>
    <w:rsid w:val="00EE3497"/>
    <w:rsid w:val="00EE4347"/>
    <w:rsid w:val="00EE5A9D"/>
    <w:rsid w:val="00EF6AD0"/>
    <w:rsid w:val="00F01214"/>
    <w:rsid w:val="00F11075"/>
    <w:rsid w:val="00F12ED3"/>
    <w:rsid w:val="00F208FE"/>
    <w:rsid w:val="00F2230C"/>
    <w:rsid w:val="00F23C51"/>
    <w:rsid w:val="00F23CA5"/>
    <w:rsid w:val="00F24263"/>
    <w:rsid w:val="00F2751F"/>
    <w:rsid w:val="00F35F2A"/>
    <w:rsid w:val="00F41ADF"/>
    <w:rsid w:val="00F501B8"/>
    <w:rsid w:val="00F52569"/>
    <w:rsid w:val="00F53092"/>
    <w:rsid w:val="00F53E38"/>
    <w:rsid w:val="00F55864"/>
    <w:rsid w:val="00F624B9"/>
    <w:rsid w:val="00F77F73"/>
    <w:rsid w:val="00F808B8"/>
    <w:rsid w:val="00F815E4"/>
    <w:rsid w:val="00F85AED"/>
    <w:rsid w:val="00F928B1"/>
    <w:rsid w:val="00F968F0"/>
    <w:rsid w:val="00FA00AD"/>
    <w:rsid w:val="00FA287C"/>
    <w:rsid w:val="00FA44DC"/>
    <w:rsid w:val="00FA47DF"/>
    <w:rsid w:val="00FA579A"/>
    <w:rsid w:val="00FB20CA"/>
    <w:rsid w:val="00FC4871"/>
    <w:rsid w:val="00FC7CAE"/>
    <w:rsid w:val="00FD1BAF"/>
    <w:rsid w:val="00FD3F99"/>
    <w:rsid w:val="00FE1448"/>
    <w:rsid w:val="00FE34EC"/>
    <w:rsid w:val="00FE3A57"/>
    <w:rsid w:val="00FE4FC7"/>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3BA6"/>
  <w15:docId w15:val="{F47B730B-7E2D-4066-A177-9D429368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95"/>
  </w:style>
  <w:style w:type="paragraph" w:styleId="Heading1">
    <w:name w:val="heading 1"/>
    <w:basedOn w:val="Normal"/>
    <w:next w:val="Normal"/>
    <w:link w:val="Heading1Char"/>
    <w:uiPriority w:val="9"/>
    <w:qFormat/>
    <w:rsid w:val="001C4546"/>
    <w:pPr>
      <w:numPr>
        <w:numId w:val="1"/>
      </w:numPr>
      <w:spacing w:after="0" w:line="360" w:lineRule="auto"/>
      <w:outlineLvl w:val="0"/>
    </w:pPr>
    <w:rPr>
      <w:rFonts w:ascii="Arial" w:eastAsia="Times New Roman" w:hAnsi="Arial" w:cs="Times New Roman"/>
      <w:b/>
      <w:sz w:val="20"/>
      <w:szCs w:val="24"/>
      <w:lang w:val="en-GB" w:eastAsia="nl-NL"/>
    </w:rPr>
  </w:style>
  <w:style w:type="paragraph" w:styleId="Heading2">
    <w:name w:val="heading 2"/>
    <w:basedOn w:val="Heading1"/>
    <w:next w:val="Normal"/>
    <w:link w:val="Heading2Char"/>
    <w:uiPriority w:val="9"/>
    <w:qFormat/>
    <w:rsid w:val="001C4546"/>
    <w:pPr>
      <w:keepNext/>
      <w:numPr>
        <w:ilvl w:val="1"/>
      </w:numPr>
      <w:spacing w:before="240" w:after="60"/>
      <w:outlineLvl w:val="1"/>
    </w:pPr>
    <w:rPr>
      <w:bCs/>
      <w:iCs/>
      <w:szCs w:val="28"/>
    </w:rPr>
  </w:style>
  <w:style w:type="paragraph" w:styleId="Heading3">
    <w:name w:val="heading 3"/>
    <w:basedOn w:val="Normal"/>
    <w:next w:val="Normal"/>
    <w:link w:val="Heading3Char"/>
    <w:uiPriority w:val="9"/>
    <w:qFormat/>
    <w:rsid w:val="001C4546"/>
    <w:pPr>
      <w:keepNext/>
      <w:numPr>
        <w:ilvl w:val="2"/>
        <w:numId w:val="1"/>
      </w:numPr>
      <w:spacing w:before="240" w:after="60" w:line="360" w:lineRule="auto"/>
      <w:outlineLvl w:val="2"/>
    </w:pPr>
    <w:rPr>
      <w:rFonts w:ascii="Arial" w:eastAsia="Times New Roman" w:hAnsi="Arial" w:cs="Times New Roman"/>
      <w:b/>
      <w:bCs/>
      <w:sz w:val="20"/>
      <w:szCs w:val="20"/>
      <w:lang w:val="en-GB" w:eastAsia="nl-NL"/>
    </w:rPr>
  </w:style>
  <w:style w:type="paragraph" w:styleId="Heading4">
    <w:name w:val="heading 4"/>
    <w:basedOn w:val="Normal"/>
    <w:next w:val="Normal"/>
    <w:link w:val="Heading4Char"/>
    <w:uiPriority w:val="9"/>
    <w:qFormat/>
    <w:rsid w:val="001C4546"/>
    <w:pPr>
      <w:keepNext/>
      <w:numPr>
        <w:ilvl w:val="3"/>
        <w:numId w:val="1"/>
      </w:numPr>
      <w:spacing w:before="240" w:after="60" w:line="360" w:lineRule="auto"/>
      <w:outlineLvl w:val="3"/>
    </w:pPr>
    <w:rPr>
      <w:rFonts w:ascii="Calibri" w:eastAsia="Times New Roman" w:hAnsi="Calibri" w:cs="Times New Roman"/>
      <w:b/>
      <w:bCs/>
      <w:sz w:val="28"/>
      <w:szCs w:val="28"/>
      <w:lang w:val="en-GB" w:eastAsia="nl-NL"/>
    </w:rPr>
  </w:style>
  <w:style w:type="paragraph" w:styleId="Heading5">
    <w:name w:val="heading 5"/>
    <w:basedOn w:val="Normal"/>
    <w:next w:val="Normal"/>
    <w:link w:val="Heading5Char"/>
    <w:uiPriority w:val="9"/>
    <w:qFormat/>
    <w:rsid w:val="001C4546"/>
    <w:pPr>
      <w:numPr>
        <w:ilvl w:val="4"/>
        <w:numId w:val="1"/>
      </w:numPr>
      <w:spacing w:before="240" w:after="60" w:line="360" w:lineRule="auto"/>
      <w:outlineLvl w:val="4"/>
    </w:pPr>
    <w:rPr>
      <w:rFonts w:ascii="Calibri" w:eastAsia="Times New Roman" w:hAnsi="Calibri" w:cs="Times New Roman"/>
      <w:b/>
      <w:bCs/>
      <w:i/>
      <w:iCs/>
      <w:sz w:val="26"/>
      <w:szCs w:val="26"/>
      <w:lang w:val="en-GB" w:eastAsia="nl-NL"/>
    </w:rPr>
  </w:style>
  <w:style w:type="paragraph" w:styleId="Heading6">
    <w:name w:val="heading 6"/>
    <w:basedOn w:val="Normal"/>
    <w:next w:val="Normal"/>
    <w:link w:val="Heading6Char"/>
    <w:uiPriority w:val="9"/>
    <w:qFormat/>
    <w:rsid w:val="001C4546"/>
    <w:pPr>
      <w:numPr>
        <w:ilvl w:val="5"/>
        <w:numId w:val="1"/>
      </w:numPr>
      <w:spacing w:before="240" w:after="60" w:line="360" w:lineRule="auto"/>
      <w:outlineLvl w:val="5"/>
    </w:pPr>
    <w:rPr>
      <w:rFonts w:ascii="Calibri" w:eastAsia="Times New Roman" w:hAnsi="Calibri" w:cs="Times New Roman"/>
      <w:b/>
      <w:bCs/>
      <w:sz w:val="22"/>
      <w:lang w:val="en-GB" w:eastAsia="nl-NL"/>
    </w:rPr>
  </w:style>
  <w:style w:type="paragraph" w:styleId="Heading7">
    <w:name w:val="heading 7"/>
    <w:basedOn w:val="Normal"/>
    <w:next w:val="Normal"/>
    <w:link w:val="Heading7Char"/>
    <w:uiPriority w:val="9"/>
    <w:qFormat/>
    <w:rsid w:val="001C4546"/>
    <w:pPr>
      <w:numPr>
        <w:ilvl w:val="6"/>
        <w:numId w:val="1"/>
      </w:numPr>
      <w:spacing w:before="240" w:after="60" w:line="360" w:lineRule="auto"/>
      <w:outlineLvl w:val="6"/>
    </w:pPr>
    <w:rPr>
      <w:rFonts w:ascii="Calibri" w:eastAsia="Times New Roman" w:hAnsi="Calibri" w:cs="Times New Roman"/>
      <w:sz w:val="24"/>
      <w:szCs w:val="24"/>
      <w:lang w:val="en-GB" w:eastAsia="nl-NL"/>
    </w:rPr>
  </w:style>
  <w:style w:type="paragraph" w:styleId="Heading8">
    <w:name w:val="heading 8"/>
    <w:basedOn w:val="Normal"/>
    <w:next w:val="Normal"/>
    <w:link w:val="Heading8Char"/>
    <w:uiPriority w:val="9"/>
    <w:qFormat/>
    <w:rsid w:val="001C4546"/>
    <w:pPr>
      <w:numPr>
        <w:ilvl w:val="7"/>
        <w:numId w:val="1"/>
      </w:numPr>
      <w:spacing w:before="240" w:after="60" w:line="360" w:lineRule="auto"/>
      <w:outlineLvl w:val="7"/>
    </w:pPr>
    <w:rPr>
      <w:rFonts w:ascii="Calibri" w:eastAsia="Times New Roman" w:hAnsi="Calibri" w:cs="Times New Roman"/>
      <w:i/>
      <w:iCs/>
      <w:sz w:val="24"/>
      <w:szCs w:val="24"/>
      <w:lang w:val="en-GB" w:eastAsia="nl-NL"/>
    </w:rPr>
  </w:style>
  <w:style w:type="paragraph" w:styleId="Heading9">
    <w:name w:val="heading 9"/>
    <w:basedOn w:val="Normal"/>
    <w:next w:val="Normal"/>
    <w:link w:val="Heading9Char"/>
    <w:uiPriority w:val="9"/>
    <w:qFormat/>
    <w:rsid w:val="001C4546"/>
    <w:pPr>
      <w:numPr>
        <w:ilvl w:val="8"/>
        <w:numId w:val="1"/>
      </w:numPr>
      <w:spacing w:before="240" w:after="60" w:line="360" w:lineRule="auto"/>
      <w:outlineLvl w:val="8"/>
    </w:pPr>
    <w:rPr>
      <w:rFonts w:ascii="Cambria" w:eastAsia="Times New Roman" w:hAnsi="Cambria" w:cs="Times New Roman"/>
      <w:sz w:val="22"/>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45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546"/>
  </w:style>
  <w:style w:type="paragraph" w:styleId="Footer">
    <w:name w:val="footer"/>
    <w:basedOn w:val="Normal"/>
    <w:link w:val="FooterChar"/>
    <w:unhideWhenUsed/>
    <w:rsid w:val="001C45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546"/>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unhideWhenUsed/>
    <w:rsid w:val="001C4546"/>
    <w:pPr>
      <w:spacing w:after="0" w:line="240" w:lineRule="auto"/>
    </w:pPr>
    <w:rPr>
      <w:sz w:val="20"/>
      <w:szCs w:val="20"/>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basedOn w:val="DefaultParagraphFont"/>
    <w:link w:val="FootnoteText"/>
    <w:rsid w:val="001C4546"/>
    <w:rPr>
      <w:sz w:val="20"/>
      <w:szCs w:val="20"/>
    </w:rPr>
  </w:style>
  <w:style w:type="character" w:customStyle="1" w:styleId="Heading1Char">
    <w:name w:val="Heading 1 Char"/>
    <w:basedOn w:val="DefaultParagraphFont"/>
    <w:link w:val="Heading1"/>
    <w:uiPriority w:val="9"/>
    <w:rsid w:val="001C4546"/>
    <w:rPr>
      <w:rFonts w:ascii="Arial" w:eastAsia="Times New Roman" w:hAnsi="Arial" w:cs="Times New Roman"/>
      <w:b/>
      <w:sz w:val="20"/>
      <w:szCs w:val="24"/>
      <w:lang w:val="en-GB" w:eastAsia="nl-NL"/>
    </w:rPr>
  </w:style>
  <w:style w:type="character" w:customStyle="1" w:styleId="Heading2Char">
    <w:name w:val="Heading 2 Char"/>
    <w:basedOn w:val="DefaultParagraphFont"/>
    <w:link w:val="Heading2"/>
    <w:uiPriority w:val="9"/>
    <w:rsid w:val="001C4546"/>
    <w:rPr>
      <w:rFonts w:ascii="Arial" w:eastAsia="Times New Roman" w:hAnsi="Arial" w:cs="Times New Roman"/>
      <w:b/>
      <w:bCs/>
      <w:iCs/>
      <w:sz w:val="20"/>
      <w:szCs w:val="28"/>
      <w:lang w:val="en-GB" w:eastAsia="nl-NL"/>
    </w:rPr>
  </w:style>
  <w:style w:type="character" w:customStyle="1" w:styleId="Heading3Char">
    <w:name w:val="Heading 3 Char"/>
    <w:basedOn w:val="DefaultParagraphFont"/>
    <w:link w:val="Heading3"/>
    <w:uiPriority w:val="9"/>
    <w:rsid w:val="001C4546"/>
    <w:rPr>
      <w:rFonts w:ascii="Arial" w:eastAsia="Times New Roman" w:hAnsi="Arial" w:cs="Times New Roman"/>
      <w:b/>
      <w:bCs/>
      <w:sz w:val="20"/>
      <w:szCs w:val="20"/>
      <w:lang w:val="en-GB" w:eastAsia="nl-NL"/>
    </w:rPr>
  </w:style>
  <w:style w:type="character" w:customStyle="1" w:styleId="Heading4Char">
    <w:name w:val="Heading 4 Char"/>
    <w:basedOn w:val="DefaultParagraphFont"/>
    <w:link w:val="Heading4"/>
    <w:uiPriority w:val="9"/>
    <w:rsid w:val="001C4546"/>
    <w:rPr>
      <w:rFonts w:ascii="Calibri" w:eastAsia="Times New Roman" w:hAnsi="Calibri" w:cs="Times New Roman"/>
      <w:b/>
      <w:bCs/>
      <w:sz w:val="28"/>
      <w:szCs w:val="28"/>
      <w:lang w:val="en-GB" w:eastAsia="nl-NL"/>
    </w:rPr>
  </w:style>
  <w:style w:type="character" w:customStyle="1" w:styleId="Heading5Char">
    <w:name w:val="Heading 5 Char"/>
    <w:basedOn w:val="DefaultParagraphFont"/>
    <w:link w:val="Heading5"/>
    <w:uiPriority w:val="9"/>
    <w:rsid w:val="001C4546"/>
    <w:rPr>
      <w:rFonts w:ascii="Calibri" w:eastAsia="Times New Roman" w:hAnsi="Calibri" w:cs="Times New Roman"/>
      <w:b/>
      <w:bCs/>
      <w:i/>
      <w:iCs/>
      <w:sz w:val="26"/>
      <w:szCs w:val="26"/>
      <w:lang w:val="en-GB" w:eastAsia="nl-NL"/>
    </w:rPr>
  </w:style>
  <w:style w:type="character" w:customStyle="1" w:styleId="Heading6Char">
    <w:name w:val="Heading 6 Char"/>
    <w:basedOn w:val="DefaultParagraphFont"/>
    <w:link w:val="Heading6"/>
    <w:uiPriority w:val="9"/>
    <w:rsid w:val="001C4546"/>
    <w:rPr>
      <w:rFonts w:ascii="Calibri" w:eastAsia="Times New Roman" w:hAnsi="Calibri" w:cs="Times New Roman"/>
      <w:b/>
      <w:bCs/>
      <w:sz w:val="22"/>
      <w:lang w:val="en-GB" w:eastAsia="nl-NL"/>
    </w:rPr>
  </w:style>
  <w:style w:type="character" w:customStyle="1" w:styleId="Heading7Char">
    <w:name w:val="Heading 7 Char"/>
    <w:basedOn w:val="DefaultParagraphFont"/>
    <w:link w:val="Heading7"/>
    <w:uiPriority w:val="9"/>
    <w:rsid w:val="001C4546"/>
    <w:rPr>
      <w:rFonts w:ascii="Calibri" w:eastAsia="Times New Roman" w:hAnsi="Calibri" w:cs="Times New Roman"/>
      <w:sz w:val="24"/>
      <w:szCs w:val="24"/>
      <w:lang w:val="en-GB" w:eastAsia="nl-NL"/>
    </w:rPr>
  </w:style>
  <w:style w:type="character" w:customStyle="1" w:styleId="Heading8Char">
    <w:name w:val="Heading 8 Char"/>
    <w:basedOn w:val="DefaultParagraphFont"/>
    <w:link w:val="Heading8"/>
    <w:uiPriority w:val="9"/>
    <w:rsid w:val="001C4546"/>
    <w:rPr>
      <w:rFonts w:ascii="Calibri" w:eastAsia="Times New Roman" w:hAnsi="Calibri" w:cs="Times New Roman"/>
      <w:i/>
      <w:iCs/>
      <w:sz w:val="24"/>
      <w:szCs w:val="24"/>
      <w:lang w:val="en-GB" w:eastAsia="nl-NL"/>
    </w:rPr>
  </w:style>
  <w:style w:type="character" w:customStyle="1" w:styleId="Heading9Char">
    <w:name w:val="Heading 9 Char"/>
    <w:basedOn w:val="DefaultParagraphFont"/>
    <w:link w:val="Heading9"/>
    <w:uiPriority w:val="9"/>
    <w:rsid w:val="001C4546"/>
    <w:rPr>
      <w:rFonts w:ascii="Cambria" w:eastAsia="Times New Roman" w:hAnsi="Cambria" w:cs="Times New Roman"/>
      <w:sz w:val="22"/>
      <w:lang w:val="en-GB" w:eastAsia="nl-N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1C4546"/>
    <w:rPr>
      <w:vertAlign w:val="superscript"/>
    </w:rPr>
  </w:style>
  <w:style w:type="numbering" w:customStyle="1" w:styleId="Geenlijst1">
    <w:name w:val="Geen lijst1"/>
    <w:next w:val="NoList"/>
    <w:uiPriority w:val="99"/>
    <w:semiHidden/>
    <w:unhideWhenUsed/>
    <w:rsid w:val="00A72FAF"/>
  </w:style>
  <w:style w:type="character" w:styleId="Hyperlink">
    <w:name w:val="Hyperlink"/>
    <w:rsid w:val="00A72FAF"/>
    <w:rPr>
      <w:color w:val="0000FF"/>
      <w:u w:val="single"/>
    </w:rPr>
  </w:style>
  <w:style w:type="character" w:customStyle="1" w:styleId="CommentTextChar1">
    <w:name w:val="Comment Text Char1"/>
    <w:link w:val="CommentText"/>
    <w:uiPriority w:val="99"/>
    <w:semiHidden/>
    <w:rsid w:val="00A72FAF"/>
    <w:rPr>
      <w:rFonts w:ascii="Arial" w:hAnsi="Arial"/>
      <w:szCs w:val="24"/>
      <w:lang w:val="en-GB" w:eastAsia="nl-NL"/>
    </w:rPr>
  </w:style>
  <w:style w:type="paragraph" w:styleId="CommentText">
    <w:name w:val="annotation text"/>
    <w:basedOn w:val="Normal"/>
    <w:link w:val="CommentTextChar1"/>
    <w:uiPriority w:val="99"/>
    <w:semiHidden/>
    <w:rsid w:val="00A72FAF"/>
    <w:pPr>
      <w:spacing w:after="0" w:line="360" w:lineRule="auto"/>
      <w:ind w:firstLine="709"/>
    </w:pPr>
    <w:rPr>
      <w:rFonts w:ascii="Arial" w:hAnsi="Arial"/>
      <w:szCs w:val="24"/>
      <w:lang w:val="en-GB" w:eastAsia="nl-NL"/>
    </w:rPr>
  </w:style>
  <w:style w:type="character" w:customStyle="1" w:styleId="TekstopmerkingChar1">
    <w:name w:val="Tekst opmerking Char1"/>
    <w:basedOn w:val="DefaultParagraphFont"/>
    <w:uiPriority w:val="99"/>
    <w:semiHidden/>
    <w:rsid w:val="00A72FAF"/>
    <w:rPr>
      <w:sz w:val="20"/>
      <w:szCs w:val="20"/>
    </w:rPr>
  </w:style>
  <w:style w:type="character" w:customStyle="1" w:styleId="BodyTextChar">
    <w:name w:val="Body Text Char"/>
    <w:link w:val="BodyText"/>
    <w:rsid w:val="00A72FAF"/>
    <w:rPr>
      <w:szCs w:val="24"/>
      <w:lang w:val="en-GB"/>
    </w:rPr>
  </w:style>
  <w:style w:type="paragraph" w:styleId="BodyText">
    <w:name w:val="Body Text"/>
    <w:basedOn w:val="Normal"/>
    <w:link w:val="BodyTextChar"/>
    <w:rsid w:val="00A72FAF"/>
    <w:pPr>
      <w:spacing w:after="0" w:line="240" w:lineRule="exact"/>
    </w:pPr>
    <w:rPr>
      <w:szCs w:val="24"/>
      <w:lang w:val="en-GB"/>
    </w:rPr>
  </w:style>
  <w:style w:type="character" w:customStyle="1" w:styleId="PlattetekstChar1">
    <w:name w:val="Platte tekst Char1"/>
    <w:basedOn w:val="DefaultParagraphFont"/>
    <w:uiPriority w:val="99"/>
    <w:semiHidden/>
    <w:rsid w:val="00A72FAF"/>
  </w:style>
  <w:style w:type="character" w:styleId="CommentReference">
    <w:name w:val="annotation reference"/>
    <w:uiPriority w:val="99"/>
    <w:semiHidden/>
    <w:rsid w:val="00A72FAF"/>
    <w:rPr>
      <w:sz w:val="16"/>
      <w:szCs w:val="16"/>
    </w:rPr>
  </w:style>
  <w:style w:type="paragraph" w:styleId="BalloonText">
    <w:name w:val="Balloon Text"/>
    <w:basedOn w:val="Normal"/>
    <w:link w:val="BalloonTextChar"/>
    <w:semiHidden/>
    <w:rsid w:val="00A72FAF"/>
    <w:pPr>
      <w:spacing w:after="0" w:line="360" w:lineRule="auto"/>
      <w:ind w:firstLine="709"/>
    </w:pPr>
    <w:rPr>
      <w:rFonts w:ascii="Tahoma" w:eastAsia="Times New Roman" w:hAnsi="Tahoma" w:cs="Tahoma"/>
      <w:sz w:val="16"/>
      <w:szCs w:val="16"/>
      <w:lang w:val="en-GB" w:eastAsia="nl-NL"/>
    </w:rPr>
  </w:style>
  <w:style w:type="character" w:customStyle="1" w:styleId="BalloonTextChar">
    <w:name w:val="Balloon Text Char"/>
    <w:basedOn w:val="DefaultParagraphFont"/>
    <w:link w:val="BalloonText"/>
    <w:semiHidden/>
    <w:rsid w:val="00A72FAF"/>
    <w:rPr>
      <w:rFonts w:ascii="Tahoma" w:eastAsia="Times New Roman" w:hAnsi="Tahoma" w:cs="Tahoma"/>
      <w:sz w:val="16"/>
      <w:szCs w:val="16"/>
      <w:lang w:val="en-GB" w:eastAsia="nl-NL"/>
    </w:rPr>
  </w:style>
  <w:style w:type="paragraph" w:customStyle="1" w:styleId="CharCharCharCharChar">
    <w:name w:val="Char Char Char Char Char"/>
    <w:basedOn w:val="Normal"/>
    <w:rsid w:val="00A72FAF"/>
    <w:pPr>
      <w:spacing w:line="240" w:lineRule="exact"/>
    </w:pPr>
    <w:rPr>
      <w:rFonts w:ascii="Tahoma" w:eastAsia="Times New Roman" w:hAnsi="Tahoma" w:cs="Times New Roman"/>
      <w:sz w:val="20"/>
      <w:szCs w:val="20"/>
    </w:rPr>
  </w:style>
  <w:style w:type="paragraph" w:styleId="CommentSubject">
    <w:name w:val="annotation subject"/>
    <w:basedOn w:val="CommentText"/>
    <w:next w:val="CommentText"/>
    <w:link w:val="CommentSubjectChar"/>
    <w:semiHidden/>
    <w:unhideWhenUsed/>
    <w:rsid w:val="00A72FAF"/>
    <w:rPr>
      <w:b/>
      <w:bCs/>
    </w:rPr>
  </w:style>
  <w:style w:type="character" w:customStyle="1" w:styleId="CommentSubjectChar">
    <w:name w:val="Comment Subject Char"/>
    <w:basedOn w:val="TekstopmerkingChar1"/>
    <w:link w:val="CommentSubject"/>
    <w:semiHidden/>
    <w:rsid w:val="00A72FAF"/>
    <w:rPr>
      <w:rFonts w:ascii="Arial" w:hAnsi="Arial"/>
      <w:b/>
      <w:bCs/>
      <w:sz w:val="20"/>
      <w:szCs w:val="24"/>
      <w:lang w:val="en-GB" w:eastAsia="nl-NL"/>
    </w:rPr>
  </w:style>
  <w:style w:type="character" w:styleId="PageNumber">
    <w:name w:val="page number"/>
    <w:basedOn w:val="DefaultParagraphFont"/>
    <w:rsid w:val="00A72FAF"/>
  </w:style>
  <w:style w:type="paragraph" w:styleId="Title">
    <w:name w:val="Title"/>
    <w:basedOn w:val="Normal"/>
    <w:next w:val="Normal"/>
    <w:link w:val="TitleChar"/>
    <w:qFormat/>
    <w:rsid w:val="00A72FAF"/>
    <w:pPr>
      <w:spacing w:after="0" w:line="360" w:lineRule="auto"/>
    </w:pPr>
    <w:rPr>
      <w:rFonts w:ascii="Arial" w:eastAsia="Times New Roman" w:hAnsi="Arial" w:cs="Times New Roman"/>
      <w:sz w:val="20"/>
      <w:szCs w:val="24"/>
      <w:u w:val="single"/>
      <w:lang w:val="en-GB" w:eastAsia="nl-NL"/>
    </w:rPr>
  </w:style>
  <w:style w:type="character" w:customStyle="1" w:styleId="TitleChar">
    <w:name w:val="Title Char"/>
    <w:basedOn w:val="DefaultParagraphFont"/>
    <w:link w:val="Title"/>
    <w:rsid w:val="00A72FAF"/>
    <w:rPr>
      <w:rFonts w:ascii="Arial" w:eastAsia="Times New Roman" w:hAnsi="Arial" w:cs="Times New Roman"/>
      <w:sz w:val="20"/>
      <w:szCs w:val="24"/>
      <w:u w:val="single"/>
      <w:lang w:val="en-GB" w:eastAsia="nl-NL"/>
    </w:rPr>
  </w:style>
  <w:style w:type="character" w:styleId="FollowedHyperlink">
    <w:name w:val="FollowedHyperlink"/>
    <w:semiHidden/>
    <w:unhideWhenUsed/>
    <w:rsid w:val="00A72FAF"/>
    <w:rPr>
      <w:color w:val="800080"/>
      <w:u w:val="single"/>
    </w:rPr>
  </w:style>
  <w:style w:type="character" w:styleId="Emphasis">
    <w:name w:val="Emphasis"/>
    <w:basedOn w:val="DefaultParagraphFont"/>
    <w:uiPriority w:val="20"/>
    <w:qFormat/>
    <w:rsid w:val="00A72FAF"/>
    <w:rPr>
      <w:i/>
      <w:iCs/>
    </w:rPr>
  </w:style>
  <w:style w:type="character" w:customStyle="1" w:styleId="ol1">
    <w:name w:val="ol1"/>
    <w:basedOn w:val="DefaultParagraphFont"/>
    <w:rsid w:val="00A72FAF"/>
  </w:style>
  <w:style w:type="paragraph" w:customStyle="1" w:styleId="labeled2">
    <w:name w:val="labeled2"/>
    <w:basedOn w:val="Normal"/>
    <w:rsid w:val="00A72FAF"/>
    <w:pPr>
      <w:spacing w:after="0" w:line="240" w:lineRule="auto"/>
      <w:ind w:left="1200"/>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A72FAF"/>
    <w:pPr>
      <w:spacing w:after="200" w:line="276" w:lineRule="auto"/>
      <w:ind w:left="720"/>
      <w:contextualSpacing/>
    </w:pPr>
    <w:rPr>
      <w:rFonts w:ascii="Calibri" w:eastAsia="Times New Roman" w:hAnsi="Calibri" w:cs="Times New Roman"/>
      <w:sz w:val="22"/>
      <w:lang w:val="nl-NL" w:eastAsia="nl-NL"/>
    </w:rPr>
  </w:style>
  <w:style w:type="character" w:customStyle="1" w:styleId="emph-i">
    <w:name w:val="emph-i"/>
    <w:basedOn w:val="DefaultParagraphFont"/>
    <w:rsid w:val="00A72FAF"/>
  </w:style>
  <w:style w:type="character" w:customStyle="1" w:styleId="apple-converted-space">
    <w:name w:val="apple-converted-space"/>
    <w:basedOn w:val="DefaultParagraphFont"/>
    <w:rsid w:val="00A72FAF"/>
  </w:style>
  <w:style w:type="character" w:customStyle="1" w:styleId="st1">
    <w:name w:val="st1"/>
    <w:basedOn w:val="DefaultParagraphFont"/>
    <w:rsid w:val="00A72FAF"/>
  </w:style>
  <w:style w:type="paragraph" w:styleId="Revision">
    <w:name w:val="Revision"/>
    <w:hidden/>
    <w:uiPriority w:val="99"/>
    <w:semiHidden/>
    <w:rsid w:val="00A72FAF"/>
    <w:pPr>
      <w:spacing w:after="0" w:line="240" w:lineRule="auto"/>
    </w:pPr>
    <w:rPr>
      <w:rFonts w:ascii="Arial" w:eastAsia="Times New Roman" w:hAnsi="Arial" w:cs="Times New Roman"/>
      <w:sz w:val="20"/>
      <w:szCs w:val="24"/>
      <w:lang w:val="en-GB" w:eastAsia="nl-NL"/>
    </w:rPr>
  </w:style>
  <w:style w:type="character" w:customStyle="1" w:styleId="CommentTextChar">
    <w:name w:val="Comment Text Char"/>
    <w:uiPriority w:val="99"/>
    <w:semiHidden/>
    <w:rsid w:val="00A72FAF"/>
    <w:rPr>
      <w:rFonts w:ascii="Arial" w:hAnsi="Arial"/>
      <w:szCs w:val="24"/>
      <w:lang w:val="en-GB" w:eastAsia="nl-NL" w:bidi="ar-SA"/>
    </w:rPr>
  </w:style>
  <w:style w:type="paragraph" w:customStyle="1" w:styleId="Standard">
    <w:name w:val="Standard"/>
    <w:rsid w:val="00A72FAF"/>
    <w:pPr>
      <w:widowControl w:val="0"/>
      <w:suppressAutoHyphens/>
      <w:autoSpaceDN w:val="0"/>
      <w:spacing w:after="0" w:line="240" w:lineRule="auto"/>
      <w:textAlignment w:val="baseline"/>
    </w:pPr>
    <w:rPr>
      <w:rFonts w:ascii="Times New Roman" w:eastAsia="SimSun" w:hAnsi="Times New Roman" w:cs="Mangal"/>
      <w:kern w:val="3"/>
      <w:sz w:val="24"/>
      <w:szCs w:val="24"/>
      <w:lang w:val="nl-NL" w:eastAsia="zh-CN" w:bidi="hi-IN"/>
    </w:rPr>
  </w:style>
  <w:style w:type="paragraph" w:styleId="BodyTextIndent">
    <w:name w:val="Body Text Indent"/>
    <w:basedOn w:val="Normal"/>
    <w:link w:val="BodyTextIndentChar"/>
    <w:semiHidden/>
    <w:rsid w:val="00A72FAF"/>
    <w:pPr>
      <w:spacing w:after="0" w:line="360" w:lineRule="auto"/>
      <w:ind w:firstLine="708"/>
    </w:pPr>
    <w:rPr>
      <w:rFonts w:ascii="Arial" w:eastAsia="Times New Roman" w:hAnsi="Arial" w:cs="Times New Roman"/>
      <w:sz w:val="20"/>
      <w:szCs w:val="24"/>
      <w:lang w:val="nl-NL" w:eastAsia="nl-NL"/>
    </w:rPr>
  </w:style>
  <w:style w:type="character" w:customStyle="1" w:styleId="BodyTextIndentChar">
    <w:name w:val="Body Text Indent Char"/>
    <w:basedOn w:val="DefaultParagraphFont"/>
    <w:link w:val="BodyTextIndent"/>
    <w:semiHidden/>
    <w:rsid w:val="00A72FAF"/>
    <w:rPr>
      <w:rFonts w:ascii="Arial" w:eastAsia="Times New Roman" w:hAnsi="Arial" w:cs="Times New Roman"/>
      <w:sz w:val="20"/>
      <w:szCs w:val="24"/>
      <w:lang w:val="nl-NL" w:eastAsia="nl-NL"/>
    </w:rPr>
  </w:style>
  <w:style w:type="paragraph" w:styleId="NormalWeb">
    <w:name w:val="Normal (Web)"/>
    <w:basedOn w:val="Normal"/>
    <w:unhideWhenUsed/>
    <w:rsid w:val="00A72F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wknlverwijzing">
    <w:name w:val="wknl_verwijzing"/>
    <w:basedOn w:val="DefaultParagraphFont"/>
    <w:rsid w:val="00A72FAF"/>
  </w:style>
  <w:style w:type="paragraph" w:styleId="BodyTextIndent2">
    <w:name w:val="Body Text Indent 2"/>
    <w:basedOn w:val="Normal"/>
    <w:link w:val="BodyTextIndent2Char"/>
    <w:semiHidden/>
    <w:rsid w:val="00A72FAF"/>
    <w:pPr>
      <w:spacing w:after="0" w:line="360" w:lineRule="auto"/>
      <w:ind w:firstLine="900"/>
    </w:pPr>
    <w:rPr>
      <w:rFonts w:ascii="Arial" w:eastAsia="Times New Roman" w:hAnsi="Arial" w:cs="Times New Roman"/>
      <w:sz w:val="20"/>
      <w:szCs w:val="24"/>
      <w:lang w:val="nl-NL" w:eastAsia="nl-NL"/>
    </w:rPr>
  </w:style>
  <w:style w:type="character" w:customStyle="1" w:styleId="BodyTextIndent2Char">
    <w:name w:val="Body Text Indent 2 Char"/>
    <w:basedOn w:val="DefaultParagraphFont"/>
    <w:link w:val="BodyTextIndent2"/>
    <w:semiHidden/>
    <w:rsid w:val="00A72FAF"/>
    <w:rPr>
      <w:rFonts w:ascii="Arial" w:eastAsia="Times New Roman" w:hAnsi="Arial" w:cs="Times New Roman"/>
      <w:sz w:val="20"/>
      <w:szCs w:val="24"/>
      <w:lang w:val="nl-NL" w:eastAsia="nl-NL"/>
    </w:rPr>
  </w:style>
  <w:style w:type="paragraph" w:styleId="BodyTextIndent3">
    <w:name w:val="Body Text Indent 3"/>
    <w:basedOn w:val="Normal"/>
    <w:link w:val="BodyTextIndent3Char"/>
    <w:semiHidden/>
    <w:rsid w:val="00A72FAF"/>
    <w:pPr>
      <w:spacing w:after="0" w:line="360" w:lineRule="auto"/>
      <w:ind w:firstLine="709"/>
    </w:pPr>
    <w:rPr>
      <w:rFonts w:ascii="Arial" w:eastAsia="Times New Roman" w:hAnsi="Arial" w:cs="Times New Roman"/>
      <w:sz w:val="20"/>
      <w:szCs w:val="24"/>
      <w:lang w:val="nl-NL" w:eastAsia="nl-NL"/>
    </w:rPr>
  </w:style>
  <w:style w:type="character" w:customStyle="1" w:styleId="BodyTextIndent3Char">
    <w:name w:val="Body Text Indent 3 Char"/>
    <w:basedOn w:val="DefaultParagraphFont"/>
    <w:link w:val="BodyTextIndent3"/>
    <w:semiHidden/>
    <w:rsid w:val="00A72FAF"/>
    <w:rPr>
      <w:rFonts w:ascii="Arial" w:eastAsia="Times New Roman" w:hAnsi="Arial" w:cs="Times New Roman"/>
      <w:sz w:val="20"/>
      <w:szCs w:val="24"/>
      <w:lang w:val="nl-NL" w:eastAsia="nl-NL"/>
    </w:rPr>
  </w:style>
  <w:style w:type="paragraph" w:customStyle="1" w:styleId="Default">
    <w:name w:val="Default"/>
    <w:rsid w:val="00A72FAF"/>
    <w:pPr>
      <w:autoSpaceDE w:val="0"/>
      <w:autoSpaceDN w:val="0"/>
      <w:adjustRightInd w:val="0"/>
      <w:spacing w:after="0" w:line="240" w:lineRule="auto"/>
    </w:pPr>
    <w:rPr>
      <w:rFonts w:ascii="HICEL A+ Univers" w:eastAsia="Times New Roman" w:hAnsi="HICEL A+ Univers" w:cs="HICEL A+ Univers"/>
      <w:color w:val="000000"/>
      <w:sz w:val="24"/>
      <w:szCs w:val="24"/>
      <w:lang w:val="nl-NL" w:eastAsia="nl-NL"/>
    </w:rPr>
  </w:style>
  <w:style w:type="paragraph" w:styleId="DocumentMap">
    <w:name w:val="Document Map"/>
    <w:basedOn w:val="Normal"/>
    <w:link w:val="DocumentMapChar"/>
    <w:uiPriority w:val="99"/>
    <w:semiHidden/>
    <w:unhideWhenUsed/>
    <w:rsid w:val="00A72FAF"/>
    <w:pPr>
      <w:spacing w:after="0" w:line="360" w:lineRule="auto"/>
      <w:ind w:firstLine="709"/>
    </w:pPr>
    <w:rPr>
      <w:rFonts w:ascii="Tahoma" w:eastAsia="Times New Roman" w:hAnsi="Tahoma" w:cs="Tahoma"/>
      <w:sz w:val="16"/>
      <w:szCs w:val="16"/>
      <w:lang w:val="en-GB" w:eastAsia="nl-NL"/>
    </w:rPr>
  </w:style>
  <w:style w:type="character" w:customStyle="1" w:styleId="DocumentMapChar">
    <w:name w:val="Document Map Char"/>
    <w:basedOn w:val="DefaultParagraphFont"/>
    <w:link w:val="DocumentMap"/>
    <w:uiPriority w:val="99"/>
    <w:semiHidden/>
    <w:rsid w:val="00A72FAF"/>
    <w:rPr>
      <w:rFonts w:ascii="Tahoma" w:eastAsia="Times New Roman" w:hAnsi="Tahoma" w:cs="Tahoma"/>
      <w:sz w:val="16"/>
      <w:szCs w:val="16"/>
      <w:lang w:val="en-GB" w:eastAsia="nl-NL"/>
    </w:rPr>
  </w:style>
  <w:style w:type="paragraph" w:customStyle="1" w:styleId="Geenafstand1">
    <w:name w:val="Geen afstand1"/>
    <w:next w:val="NoSpacing"/>
    <w:uiPriority w:val="1"/>
    <w:qFormat/>
    <w:rsid w:val="00A72FAF"/>
    <w:pPr>
      <w:spacing w:after="0" w:line="240" w:lineRule="auto"/>
    </w:pPr>
    <w:rPr>
      <w:rFonts w:ascii="Calibri" w:hAnsi="Calibri"/>
      <w:sz w:val="22"/>
      <w:lang w:val="nl-NL"/>
    </w:rPr>
  </w:style>
  <w:style w:type="paragraph" w:customStyle="1" w:styleId="hoofdtekst1">
    <w:name w:val="hoofdtekst 1"/>
    <w:basedOn w:val="Normal"/>
    <w:link w:val="hoofdtekst1Char"/>
    <w:qFormat/>
    <w:rsid w:val="00A72FAF"/>
    <w:pPr>
      <w:spacing w:after="0" w:line="360" w:lineRule="auto"/>
      <w:ind w:firstLine="708"/>
    </w:pPr>
    <w:rPr>
      <w:rFonts w:ascii="Cambria" w:hAnsi="Cambria" w:cs="Arial"/>
      <w:szCs w:val="18"/>
      <w:lang w:val="nl-NL" w:eastAsia="nl-NL"/>
    </w:rPr>
  </w:style>
  <w:style w:type="character" w:customStyle="1" w:styleId="hoofdtekst1Char">
    <w:name w:val="hoofdtekst 1 Char"/>
    <w:basedOn w:val="DefaultParagraphFont"/>
    <w:link w:val="hoofdtekst1"/>
    <w:rsid w:val="00A72FAF"/>
    <w:rPr>
      <w:rFonts w:ascii="Cambria" w:hAnsi="Cambria" w:cs="Arial"/>
      <w:szCs w:val="18"/>
      <w:lang w:val="nl-NL" w:eastAsia="nl-NL"/>
    </w:rPr>
  </w:style>
  <w:style w:type="paragraph" w:customStyle="1" w:styleId="norm3">
    <w:name w:val="norm3"/>
    <w:basedOn w:val="Normal"/>
    <w:rsid w:val="00A72FAF"/>
    <w:pPr>
      <w:spacing w:before="120" w:after="0" w:line="312" w:lineRule="atLeast"/>
      <w:jc w:val="both"/>
    </w:pPr>
    <w:rPr>
      <w:rFonts w:ascii="Times New Roman" w:eastAsia="Times New Roman" w:hAnsi="Times New Roman" w:cs="Times New Roman"/>
      <w:sz w:val="24"/>
      <w:szCs w:val="24"/>
      <w:lang w:val="nl-NL" w:eastAsia="nl-NL"/>
    </w:rPr>
  </w:style>
  <w:style w:type="paragraph" w:styleId="NoSpacing">
    <w:name w:val="No Spacing"/>
    <w:uiPriority w:val="1"/>
    <w:qFormat/>
    <w:rsid w:val="00A72FAF"/>
    <w:pPr>
      <w:spacing w:after="0" w:line="240" w:lineRule="auto"/>
    </w:pPr>
  </w:style>
  <w:style w:type="numbering" w:customStyle="1" w:styleId="Geenlijst2">
    <w:name w:val="Geen lijst2"/>
    <w:next w:val="NoList"/>
    <w:uiPriority w:val="99"/>
    <w:semiHidden/>
    <w:unhideWhenUsed/>
    <w:rsid w:val="00393A06"/>
  </w:style>
  <w:style w:type="paragraph" w:customStyle="1" w:styleId="Char1CharCharCarCarCarCarCarCarCarCarCarCar">
    <w:name w:val="Char1 Char Char Car Car Car Car Car Car Car Car Car Car"/>
    <w:basedOn w:val="Normal"/>
    <w:next w:val="Normal"/>
    <w:link w:val="FootnoteReference"/>
    <w:uiPriority w:val="99"/>
    <w:rsid w:val="006966F6"/>
    <w:pPr>
      <w:spacing w:line="240" w:lineRule="exact"/>
    </w:pPr>
    <w:rPr>
      <w:vertAlign w:val="superscript"/>
    </w:rPr>
  </w:style>
  <w:style w:type="character" w:customStyle="1" w:styleId="preformatted">
    <w:name w:val="preformatted"/>
    <w:rsid w:val="00B1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6557">
      <w:bodyDiv w:val="1"/>
      <w:marLeft w:val="0"/>
      <w:marRight w:val="0"/>
      <w:marTop w:val="0"/>
      <w:marBottom w:val="0"/>
      <w:divBdr>
        <w:top w:val="none" w:sz="0" w:space="0" w:color="auto"/>
        <w:left w:val="none" w:sz="0" w:space="0" w:color="auto"/>
        <w:bottom w:val="none" w:sz="0" w:space="0" w:color="auto"/>
        <w:right w:val="none" w:sz="0" w:space="0" w:color="auto"/>
      </w:divBdr>
    </w:div>
    <w:div w:id="593901158">
      <w:bodyDiv w:val="1"/>
      <w:marLeft w:val="0"/>
      <w:marRight w:val="0"/>
      <w:marTop w:val="0"/>
      <w:marBottom w:val="0"/>
      <w:divBdr>
        <w:top w:val="none" w:sz="0" w:space="0" w:color="auto"/>
        <w:left w:val="none" w:sz="0" w:space="0" w:color="auto"/>
        <w:bottom w:val="none" w:sz="0" w:space="0" w:color="auto"/>
        <w:right w:val="none" w:sz="0" w:space="0" w:color="auto"/>
      </w:divBdr>
    </w:div>
    <w:div w:id="677657338">
      <w:bodyDiv w:val="1"/>
      <w:marLeft w:val="0"/>
      <w:marRight w:val="0"/>
      <w:marTop w:val="0"/>
      <w:marBottom w:val="0"/>
      <w:divBdr>
        <w:top w:val="none" w:sz="0" w:space="0" w:color="auto"/>
        <w:left w:val="none" w:sz="0" w:space="0" w:color="auto"/>
        <w:bottom w:val="none" w:sz="0" w:space="0" w:color="auto"/>
        <w:right w:val="none" w:sz="0" w:space="0" w:color="auto"/>
      </w:divBdr>
    </w:div>
    <w:div w:id="685524226">
      <w:bodyDiv w:val="1"/>
      <w:marLeft w:val="0"/>
      <w:marRight w:val="0"/>
      <w:marTop w:val="0"/>
      <w:marBottom w:val="0"/>
      <w:divBdr>
        <w:top w:val="none" w:sz="0" w:space="0" w:color="auto"/>
        <w:left w:val="none" w:sz="0" w:space="0" w:color="auto"/>
        <w:bottom w:val="none" w:sz="0" w:space="0" w:color="auto"/>
        <w:right w:val="none" w:sz="0" w:space="0" w:color="auto"/>
      </w:divBdr>
    </w:div>
    <w:div w:id="933394174">
      <w:bodyDiv w:val="1"/>
      <w:marLeft w:val="0"/>
      <w:marRight w:val="0"/>
      <w:marTop w:val="0"/>
      <w:marBottom w:val="0"/>
      <w:divBdr>
        <w:top w:val="none" w:sz="0" w:space="0" w:color="auto"/>
        <w:left w:val="none" w:sz="0" w:space="0" w:color="auto"/>
        <w:bottom w:val="none" w:sz="0" w:space="0" w:color="auto"/>
        <w:right w:val="none" w:sz="0" w:space="0" w:color="auto"/>
      </w:divBdr>
      <w:divsChild>
        <w:div w:id="650598074">
          <w:marLeft w:val="0"/>
          <w:marRight w:val="0"/>
          <w:marTop w:val="0"/>
          <w:marBottom w:val="0"/>
          <w:divBdr>
            <w:top w:val="none" w:sz="0" w:space="0" w:color="auto"/>
            <w:left w:val="none" w:sz="0" w:space="0" w:color="auto"/>
            <w:bottom w:val="none" w:sz="0" w:space="0" w:color="auto"/>
            <w:right w:val="none" w:sz="0" w:space="0" w:color="auto"/>
          </w:divBdr>
          <w:divsChild>
            <w:div w:id="269973787">
              <w:marLeft w:val="0"/>
              <w:marRight w:val="0"/>
              <w:marTop w:val="0"/>
              <w:marBottom w:val="0"/>
              <w:divBdr>
                <w:top w:val="none" w:sz="0" w:space="0" w:color="auto"/>
                <w:left w:val="none" w:sz="0" w:space="0" w:color="auto"/>
                <w:bottom w:val="none" w:sz="0" w:space="0" w:color="auto"/>
                <w:right w:val="none" w:sz="0" w:space="0" w:color="auto"/>
              </w:divBdr>
              <w:divsChild>
                <w:div w:id="1733846617">
                  <w:marLeft w:val="0"/>
                  <w:marRight w:val="0"/>
                  <w:marTop w:val="0"/>
                  <w:marBottom w:val="0"/>
                  <w:divBdr>
                    <w:top w:val="none" w:sz="0" w:space="0" w:color="auto"/>
                    <w:left w:val="none" w:sz="0" w:space="0" w:color="auto"/>
                    <w:bottom w:val="none" w:sz="0" w:space="0" w:color="auto"/>
                    <w:right w:val="none" w:sz="0" w:space="0" w:color="auto"/>
                  </w:divBdr>
                  <w:divsChild>
                    <w:div w:id="71851411">
                      <w:marLeft w:val="0"/>
                      <w:marRight w:val="0"/>
                      <w:marTop w:val="0"/>
                      <w:marBottom w:val="0"/>
                      <w:divBdr>
                        <w:top w:val="none" w:sz="0" w:space="0" w:color="auto"/>
                        <w:left w:val="none" w:sz="0" w:space="0" w:color="auto"/>
                        <w:bottom w:val="none" w:sz="0" w:space="0" w:color="auto"/>
                        <w:right w:val="none" w:sz="0" w:space="0" w:color="auto"/>
                      </w:divBdr>
                      <w:divsChild>
                        <w:div w:id="1102844185">
                          <w:marLeft w:val="0"/>
                          <w:marRight w:val="0"/>
                          <w:marTop w:val="0"/>
                          <w:marBottom w:val="0"/>
                          <w:divBdr>
                            <w:top w:val="none" w:sz="0" w:space="0" w:color="auto"/>
                            <w:left w:val="none" w:sz="0" w:space="0" w:color="auto"/>
                            <w:bottom w:val="none" w:sz="0" w:space="0" w:color="auto"/>
                            <w:right w:val="none" w:sz="0" w:space="0" w:color="auto"/>
                          </w:divBdr>
                          <w:divsChild>
                            <w:div w:id="1601060450">
                              <w:marLeft w:val="0"/>
                              <w:marRight w:val="0"/>
                              <w:marTop w:val="0"/>
                              <w:marBottom w:val="0"/>
                              <w:divBdr>
                                <w:top w:val="none" w:sz="0" w:space="0" w:color="auto"/>
                                <w:left w:val="none" w:sz="0" w:space="0" w:color="auto"/>
                                <w:bottom w:val="none" w:sz="0" w:space="0" w:color="auto"/>
                                <w:right w:val="none" w:sz="0" w:space="0" w:color="auto"/>
                              </w:divBdr>
                              <w:divsChild>
                                <w:div w:id="632755417">
                                  <w:marLeft w:val="0"/>
                                  <w:marRight w:val="0"/>
                                  <w:marTop w:val="0"/>
                                  <w:marBottom w:val="0"/>
                                  <w:divBdr>
                                    <w:top w:val="none" w:sz="0" w:space="0" w:color="auto"/>
                                    <w:left w:val="none" w:sz="0" w:space="0" w:color="auto"/>
                                    <w:bottom w:val="none" w:sz="0" w:space="0" w:color="auto"/>
                                    <w:right w:val="none" w:sz="0" w:space="0" w:color="auto"/>
                                  </w:divBdr>
                                  <w:divsChild>
                                    <w:div w:id="2034569932">
                                      <w:marLeft w:val="0"/>
                                      <w:marRight w:val="0"/>
                                      <w:marTop w:val="0"/>
                                      <w:marBottom w:val="0"/>
                                      <w:divBdr>
                                        <w:top w:val="none" w:sz="0" w:space="0" w:color="auto"/>
                                        <w:left w:val="none" w:sz="0" w:space="0" w:color="auto"/>
                                        <w:bottom w:val="none" w:sz="0" w:space="0" w:color="auto"/>
                                        <w:right w:val="none" w:sz="0" w:space="0" w:color="auto"/>
                                      </w:divBdr>
                                      <w:divsChild>
                                        <w:div w:id="2143813875">
                                          <w:marLeft w:val="0"/>
                                          <w:marRight w:val="0"/>
                                          <w:marTop w:val="0"/>
                                          <w:marBottom w:val="0"/>
                                          <w:divBdr>
                                            <w:top w:val="none" w:sz="0" w:space="0" w:color="auto"/>
                                            <w:left w:val="none" w:sz="0" w:space="0" w:color="auto"/>
                                            <w:bottom w:val="none" w:sz="0" w:space="0" w:color="auto"/>
                                            <w:right w:val="none" w:sz="0" w:space="0" w:color="auto"/>
                                          </w:divBdr>
                                          <w:divsChild>
                                            <w:div w:id="257182999">
                                              <w:marLeft w:val="0"/>
                                              <w:marRight w:val="0"/>
                                              <w:marTop w:val="0"/>
                                              <w:marBottom w:val="495"/>
                                              <w:divBdr>
                                                <w:top w:val="none" w:sz="0" w:space="0" w:color="auto"/>
                                                <w:left w:val="none" w:sz="0" w:space="0" w:color="auto"/>
                                                <w:bottom w:val="none" w:sz="0" w:space="0" w:color="auto"/>
                                                <w:right w:val="none" w:sz="0" w:space="0" w:color="auto"/>
                                              </w:divBdr>
                                              <w:divsChild>
                                                <w:div w:id="1060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570282">
      <w:bodyDiv w:val="1"/>
      <w:marLeft w:val="0"/>
      <w:marRight w:val="0"/>
      <w:marTop w:val="0"/>
      <w:marBottom w:val="0"/>
      <w:divBdr>
        <w:top w:val="none" w:sz="0" w:space="0" w:color="auto"/>
        <w:left w:val="none" w:sz="0" w:space="0" w:color="auto"/>
        <w:bottom w:val="none" w:sz="0" w:space="0" w:color="auto"/>
        <w:right w:val="none" w:sz="0" w:space="0" w:color="auto"/>
      </w:divBdr>
      <w:divsChild>
        <w:div w:id="116725296">
          <w:marLeft w:val="0"/>
          <w:marRight w:val="0"/>
          <w:marTop w:val="0"/>
          <w:marBottom w:val="0"/>
          <w:divBdr>
            <w:top w:val="none" w:sz="0" w:space="0" w:color="auto"/>
            <w:left w:val="none" w:sz="0" w:space="0" w:color="auto"/>
            <w:bottom w:val="none" w:sz="0" w:space="0" w:color="auto"/>
            <w:right w:val="none" w:sz="0" w:space="0" w:color="auto"/>
          </w:divBdr>
          <w:divsChild>
            <w:div w:id="1474367920">
              <w:marLeft w:val="0"/>
              <w:marRight w:val="0"/>
              <w:marTop w:val="0"/>
              <w:marBottom w:val="0"/>
              <w:divBdr>
                <w:top w:val="none" w:sz="0" w:space="0" w:color="auto"/>
                <w:left w:val="none" w:sz="0" w:space="0" w:color="auto"/>
                <w:bottom w:val="none" w:sz="0" w:space="0" w:color="auto"/>
                <w:right w:val="none" w:sz="0" w:space="0" w:color="auto"/>
              </w:divBdr>
              <w:divsChild>
                <w:div w:id="1466973637">
                  <w:marLeft w:val="0"/>
                  <w:marRight w:val="0"/>
                  <w:marTop w:val="0"/>
                  <w:marBottom w:val="0"/>
                  <w:divBdr>
                    <w:top w:val="none" w:sz="0" w:space="0" w:color="auto"/>
                    <w:left w:val="none" w:sz="0" w:space="0" w:color="auto"/>
                    <w:bottom w:val="none" w:sz="0" w:space="0" w:color="auto"/>
                    <w:right w:val="none" w:sz="0" w:space="0" w:color="auto"/>
                  </w:divBdr>
                  <w:divsChild>
                    <w:div w:id="1567300575">
                      <w:marLeft w:val="-150"/>
                      <w:marRight w:val="-150"/>
                      <w:marTop w:val="0"/>
                      <w:marBottom w:val="0"/>
                      <w:divBdr>
                        <w:top w:val="none" w:sz="0" w:space="0" w:color="auto"/>
                        <w:left w:val="none" w:sz="0" w:space="0" w:color="auto"/>
                        <w:bottom w:val="none" w:sz="0" w:space="0" w:color="auto"/>
                        <w:right w:val="none" w:sz="0" w:space="0" w:color="auto"/>
                      </w:divBdr>
                      <w:divsChild>
                        <w:div w:id="364258242">
                          <w:marLeft w:val="0"/>
                          <w:marRight w:val="0"/>
                          <w:marTop w:val="0"/>
                          <w:marBottom w:val="0"/>
                          <w:divBdr>
                            <w:top w:val="none" w:sz="0" w:space="0" w:color="auto"/>
                            <w:left w:val="none" w:sz="0" w:space="0" w:color="auto"/>
                            <w:bottom w:val="none" w:sz="0" w:space="0" w:color="auto"/>
                            <w:right w:val="none" w:sz="0" w:space="0" w:color="auto"/>
                          </w:divBdr>
                          <w:divsChild>
                            <w:div w:id="364722000">
                              <w:marLeft w:val="0"/>
                              <w:marRight w:val="0"/>
                              <w:marTop w:val="0"/>
                              <w:marBottom w:val="0"/>
                              <w:divBdr>
                                <w:top w:val="none" w:sz="0" w:space="0" w:color="auto"/>
                                <w:left w:val="none" w:sz="0" w:space="0" w:color="auto"/>
                                <w:bottom w:val="none" w:sz="0" w:space="0" w:color="auto"/>
                                <w:right w:val="none" w:sz="0" w:space="0" w:color="auto"/>
                              </w:divBdr>
                              <w:divsChild>
                                <w:div w:id="920797396">
                                  <w:marLeft w:val="0"/>
                                  <w:marRight w:val="0"/>
                                  <w:marTop w:val="0"/>
                                  <w:marBottom w:val="300"/>
                                  <w:divBdr>
                                    <w:top w:val="none" w:sz="0" w:space="0" w:color="auto"/>
                                    <w:left w:val="none" w:sz="0" w:space="0" w:color="auto"/>
                                    <w:bottom w:val="none" w:sz="0" w:space="0" w:color="auto"/>
                                    <w:right w:val="none" w:sz="0" w:space="0" w:color="auto"/>
                                  </w:divBdr>
                                  <w:divsChild>
                                    <w:div w:id="1296253708">
                                      <w:marLeft w:val="0"/>
                                      <w:marRight w:val="0"/>
                                      <w:marTop w:val="0"/>
                                      <w:marBottom w:val="0"/>
                                      <w:divBdr>
                                        <w:top w:val="none" w:sz="0" w:space="0" w:color="auto"/>
                                        <w:left w:val="none" w:sz="0" w:space="0" w:color="auto"/>
                                        <w:bottom w:val="none" w:sz="0" w:space="0" w:color="auto"/>
                                        <w:right w:val="none" w:sz="0" w:space="0" w:color="auto"/>
                                      </w:divBdr>
                                      <w:divsChild>
                                        <w:div w:id="1508859472">
                                          <w:marLeft w:val="0"/>
                                          <w:marRight w:val="0"/>
                                          <w:marTop w:val="0"/>
                                          <w:marBottom w:val="0"/>
                                          <w:divBdr>
                                            <w:top w:val="none" w:sz="0" w:space="0" w:color="auto"/>
                                            <w:left w:val="none" w:sz="0" w:space="0" w:color="auto"/>
                                            <w:bottom w:val="none" w:sz="0" w:space="0" w:color="auto"/>
                                            <w:right w:val="none" w:sz="0" w:space="0" w:color="auto"/>
                                          </w:divBdr>
                                          <w:divsChild>
                                            <w:div w:id="755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54769">
      <w:bodyDiv w:val="1"/>
      <w:marLeft w:val="0"/>
      <w:marRight w:val="0"/>
      <w:marTop w:val="0"/>
      <w:marBottom w:val="0"/>
      <w:divBdr>
        <w:top w:val="none" w:sz="0" w:space="0" w:color="auto"/>
        <w:left w:val="none" w:sz="0" w:space="0" w:color="auto"/>
        <w:bottom w:val="none" w:sz="0" w:space="0" w:color="auto"/>
        <w:right w:val="none" w:sz="0" w:space="0" w:color="auto"/>
      </w:divBdr>
    </w:div>
    <w:div w:id="1433669994">
      <w:bodyDiv w:val="1"/>
      <w:marLeft w:val="0"/>
      <w:marRight w:val="0"/>
      <w:marTop w:val="0"/>
      <w:marBottom w:val="0"/>
      <w:divBdr>
        <w:top w:val="none" w:sz="0" w:space="0" w:color="auto"/>
        <w:left w:val="none" w:sz="0" w:space="0" w:color="auto"/>
        <w:bottom w:val="none" w:sz="0" w:space="0" w:color="auto"/>
        <w:right w:val="none" w:sz="0" w:space="0" w:color="auto"/>
      </w:divBdr>
      <w:divsChild>
        <w:div w:id="1724061293">
          <w:marLeft w:val="0"/>
          <w:marRight w:val="0"/>
          <w:marTop w:val="0"/>
          <w:marBottom w:val="0"/>
          <w:divBdr>
            <w:top w:val="none" w:sz="0" w:space="0" w:color="auto"/>
            <w:left w:val="none" w:sz="0" w:space="0" w:color="auto"/>
            <w:bottom w:val="none" w:sz="0" w:space="0" w:color="auto"/>
            <w:right w:val="none" w:sz="0" w:space="0" w:color="auto"/>
          </w:divBdr>
          <w:divsChild>
            <w:div w:id="1579486962">
              <w:marLeft w:val="0"/>
              <w:marRight w:val="0"/>
              <w:marTop w:val="0"/>
              <w:marBottom w:val="0"/>
              <w:divBdr>
                <w:top w:val="none" w:sz="0" w:space="0" w:color="auto"/>
                <w:left w:val="none" w:sz="0" w:space="0" w:color="auto"/>
                <w:bottom w:val="none" w:sz="0" w:space="0" w:color="auto"/>
                <w:right w:val="none" w:sz="0" w:space="0" w:color="auto"/>
              </w:divBdr>
              <w:divsChild>
                <w:div w:id="576013122">
                  <w:marLeft w:val="0"/>
                  <w:marRight w:val="0"/>
                  <w:marTop w:val="0"/>
                  <w:marBottom w:val="0"/>
                  <w:divBdr>
                    <w:top w:val="none" w:sz="0" w:space="0" w:color="auto"/>
                    <w:left w:val="none" w:sz="0" w:space="0" w:color="auto"/>
                    <w:bottom w:val="none" w:sz="0" w:space="0" w:color="auto"/>
                    <w:right w:val="none" w:sz="0" w:space="0" w:color="auto"/>
                  </w:divBdr>
                  <w:divsChild>
                    <w:div w:id="1462505017">
                      <w:marLeft w:val="0"/>
                      <w:marRight w:val="0"/>
                      <w:marTop w:val="0"/>
                      <w:marBottom w:val="0"/>
                      <w:divBdr>
                        <w:top w:val="none" w:sz="0" w:space="0" w:color="auto"/>
                        <w:left w:val="none" w:sz="0" w:space="0" w:color="auto"/>
                        <w:bottom w:val="none" w:sz="0" w:space="0" w:color="auto"/>
                        <w:right w:val="none" w:sz="0" w:space="0" w:color="auto"/>
                      </w:divBdr>
                      <w:divsChild>
                        <w:div w:id="866411225">
                          <w:marLeft w:val="0"/>
                          <w:marRight w:val="0"/>
                          <w:marTop w:val="0"/>
                          <w:marBottom w:val="0"/>
                          <w:divBdr>
                            <w:top w:val="none" w:sz="0" w:space="0" w:color="auto"/>
                            <w:left w:val="none" w:sz="0" w:space="0" w:color="auto"/>
                            <w:bottom w:val="none" w:sz="0" w:space="0" w:color="auto"/>
                            <w:right w:val="none" w:sz="0" w:space="0" w:color="auto"/>
                          </w:divBdr>
                          <w:divsChild>
                            <w:div w:id="1678001542">
                              <w:marLeft w:val="0"/>
                              <w:marRight w:val="0"/>
                              <w:marTop w:val="0"/>
                              <w:marBottom w:val="0"/>
                              <w:divBdr>
                                <w:top w:val="none" w:sz="0" w:space="0" w:color="auto"/>
                                <w:left w:val="none" w:sz="0" w:space="0" w:color="auto"/>
                                <w:bottom w:val="none" w:sz="0" w:space="0" w:color="auto"/>
                                <w:right w:val="none" w:sz="0" w:space="0" w:color="auto"/>
                              </w:divBdr>
                              <w:divsChild>
                                <w:div w:id="460154860">
                                  <w:marLeft w:val="0"/>
                                  <w:marRight w:val="0"/>
                                  <w:marTop w:val="0"/>
                                  <w:marBottom w:val="0"/>
                                  <w:divBdr>
                                    <w:top w:val="none" w:sz="0" w:space="0" w:color="auto"/>
                                    <w:left w:val="none" w:sz="0" w:space="0" w:color="auto"/>
                                    <w:bottom w:val="none" w:sz="0" w:space="0" w:color="auto"/>
                                    <w:right w:val="none" w:sz="0" w:space="0" w:color="auto"/>
                                  </w:divBdr>
                                  <w:divsChild>
                                    <w:div w:id="1737557433">
                                      <w:marLeft w:val="0"/>
                                      <w:marRight w:val="0"/>
                                      <w:marTop w:val="0"/>
                                      <w:marBottom w:val="0"/>
                                      <w:divBdr>
                                        <w:top w:val="none" w:sz="0" w:space="0" w:color="auto"/>
                                        <w:left w:val="none" w:sz="0" w:space="0" w:color="auto"/>
                                        <w:bottom w:val="none" w:sz="0" w:space="0" w:color="auto"/>
                                        <w:right w:val="none" w:sz="0" w:space="0" w:color="auto"/>
                                      </w:divBdr>
                                      <w:divsChild>
                                        <w:div w:id="1295789305">
                                          <w:marLeft w:val="0"/>
                                          <w:marRight w:val="0"/>
                                          <w:marTop w:val="0"/>
                                          <w:marBottom w:val="0"/>
                                          <w:divBdr>
                                            <w:top w:val="none" w:sz="0" w:space="0" w:color="auto"/>
                                            <w:left w:val="none" w:sz="0" w:space="0" w:color="auto"/>
                                            <w:bottom w:val="none" w:sz="0" w:space="0" w:color="auto"/>
                                            <w:right w:val="none" w:sz="0" w:space="0" w:color="auto"/>
                                          </w:divBdr>
                                          <w:divsChild>
                                            <w:div w:id="1544518923">
                                              <w:marLeft w:val="0"/>
                                              <w:marRight w:val="0"/>
                                              <w:marTop w:val="0"/>
                                              <w:marBottom w:val="495"/>
                                              <w:divBdr>
                                                <w:top w:val="none" w:sz="0" w:space="0" w:color="auto"/>
                                                <w:left w:val="none" w:sz="0" w:space="0" w:color="auto"/>
                                                <w:bottom w:val="none" w:sz="0" w:space="0" w:color="auto"/>
                                                <w:right w:val="none" w:sz="0" w:space="0" w:color="auto"/>
                                              </w:divBdr>
                                              <w:divsChild>
                                                <w:div w:id="11122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22433">
      <w:bodyDiv w:val="1"/>
      <w:marLeft w:val="0"/>
      <w:marRight w:val="0"/>
      <w:marTop w:val="0"/>
      <w:marBottom w:val="0"/>
      <w:divBdr>
        <w:top w:val="none" w:sz="0" w:space="0" w:color="auto"/>
        <w:left w:val="none" w:sz="0" w:space="0" w:color="auto"/>
        <w:bottom w:val="none" w:sz="0" w:space="0" w:color="auto"/>
        <w:right w:val="none" w:sz="0" w:space="0" w:color="auto"/>
      </w:divBdr>
      <w:divsChild>
        <w:div w:id="74714859">
          <w:marLeft w:val="0"/>
          <w:marRight w:val="0"/>
          <w:marTop w:val="0"/>
          <w:marBottom w:val="0"/>
          <w:divBdr>
            <w:top w:val="none" w:sz="0" w:space="0" w:color="auto"/>
            <w:left w:val="none" w:sz="0" w:space="0" w:color="auto"/>
            <w:bottom w:val="none" w:sz="0" w:space="0" w:color="auto"/>
            <w:right w:val="none" w:sz="0" w:space="0" w:color="auto"/>
          </w:divBdr>
          <w:divsChild>
            <w:div w:id="1548570700">
              <w:marLeft w:val="0"/>
              <w:marRight w:val="0"/>
              <w:marTop w:val="0"/>
              <w:marBottom w:val="0"/>
              <w:divBdr>
                <w:top w:val="none" w:sz="0" w:space="0" w:color="auto"/>
                <w:left w:val="none" w:sz="0" w:space="0" w:color="auto"/>
                <w:bottom w:val="none" w:sz="0" w:space="0" w:color="auto"/>
                <w:right w:val="none" w:sz="0" w:space="0" w:color="auto"/>
              </w:divBdr>
              <w:divsChild>
                <w:div w:id="234900961">
                  <w:marLeft w:val="0"/>
                  <w:marRight w:val="0"/>
                  <w:marTop w:val="0"/>
                  <w:marBottom w:val="0"/>
                  <w:divBdr>
                    <w:top w:val="none" w:sz="0" w:space="0" w:color="auto"/>
                    <w:left w:val="none" w:sz="0" w:space="0" w:color="auto"/>
                    <w:bottom w:val="none" w:sz="0" w:space="0" w:color="auto"/>
                    <w:right w:val="none" w:sz="0" w:space="0" w:color="auto"/>
                  </w:divBdr>
                  <w:divsChild>
                    <w:div w:id="550120681">
                      <w:marLeft w:val="0"/>
                      <w:marRight w:val="0"/>
                      <w:marTop w:val="0"/>
                      <w:marBottom w:val="0"/>
                      <w:divBdr>
                        <w:top w:val="none" w:sz="0" w:space="0" w:color="auto"/>
                        <w:left w:val="none" w:sz="0" w:space="0" w:color="auto"/>
                        <w:bottom w:val="none" w:sz="0" w:space="0" w:color="auto"/>
                        <w:right w:val="none" w:sz="0" w:space="0" w:color="auto"/>
                      </w:divBdr>
                      <w:divsChild>
                        <w:div w:id="1847672684">
                          <w:marLeft w:val="0"/>
                          <w:marRight w:val="0"/>
                          <w:marTop w:val="0"/>
                          <w:marBottom w:val="0"/>
                          <w:divBdr>
                            <w:top w:val="none" w:sz="0" w:space="0" w:color="auto"/>
                            <w:left w:val="none" w:sz="0" w:space="0" w:color="auto"/>
                            <w:bottom w:val="none" w:sz="0" w:space="0" w:color="auto"/>
                            <w:right w:val="none" w:sz="0" w:space="0" w:color="auto"/>
                          </w:divBdr>
                          <w:divsChild>
                            <w:div w:id="1134952704">
                              <w:marLeft w:val="0"/>
                              <w:marRight w:val="0"/>
                              <w:marTop w:val="0"/>
                              <w:marBottom w:val="0"/>
                              <w:divBdr>
                                <w:top w:val="none" w:sz="0" w:space="0" w:color="auto"/>
                                <w:left w:val="none" w:sz="0" w:space="0" w:color="auto"/>
                                <w:bottom w:val="none" w:sz="0" w:space="0" w:color="auto"/>
                                <w:right w:val="none" w:sz="0" w:space="0" w:color="auto"/>
                              </w:divBdr>
                              <w:divsChild>
                                <w:div w:id="2040010562">
                                  <w:marLeft w:val="0"/>
                                  <w:marRight w:val="0"/>
                                  <w:marTop w:val="0"/>
                                  <w:marBottom w:val="0"/>
                                  <w:divBdr>
                                    <w:top w:val="none" w:sz="0" w:space="0" w:color="auto"/>
                                    <w:left w:val="none" w:sz="0" w:space="0" w:color="auto"/>
                                    <w:bottom w:val="none" w:sz="0" w:space="0" w:color="auto"/>
                                    <w:right w:val="none" w:sz="0" w:space="0" w:color="auto"/>
                                  </w:divBdr>
                                  <w:divsChild>
                                    <w:div w:id="432215151">
                                      <w:marLeft w:val="0"/>
                                      <w:marRight w:val="0"/>
                                      <w:marTop w:val="0"/>
                                      <w:marBottom w:val="0"/>
                                      <w:divBdr>
                                        <w:top w:val="none" w:sz="0" w:space="0" w:color="auto"/>
                                        <w:left w:val="none" w:sz="0" w:space="0" w:color="auto"/>
                                        <w:bottom w:val="none" w:sz="0" w:space="0" w:color="auto"/>
                                        <w:right w:val="none" w:sz="0" w:space="0" w:color="auto"/>
                                      </w:divBdr>
                                      <w:divsChild>
                                        <w:div w:id="598877524">
                                          <w:marLeft w:val="0"/>
                                          <w:marRight w:val="0"/>
                                          <w:marTop w:val="0"/>
                                          <w:marBottom w:val="0"/>
                                          <w:divBdr>
                                            <w:top w:val="none" w:sz="0" w:space="0" w:color="auto"/>
                                            <w:left w:val="none" w:sz="0" w:space="0" w:color="auto"/>
                                            <w:bottom w:val="none" w:sz="0" w:space="0" w:color="auto"/>
                                            <w:right w:val="none" w:sz="0" w:space="0" w:color="auto"/>
                                          </w:divBdr>
                                          <w:divsChild>
                                            <w:div w:id="1408041708">
                                              <w:marLeft w:val="0"/>
                                              <w:marRight w:val="0"/>
                                              <w:marTop w:val="0"/>
                                              <w:marBottom w:val="495"/>
                                              <w:divBdr>
                                                <w:top w:val="none" w:sz="0" w:space="0" w:color="auto"/>
                                                <w:left w:val="none" w:sz="0" w:space="0" w:color="auto"/>
                                                <w:bottom w:val="none" w:sz="0" w:space="0" w:color="auto"/>
                                                <w:right w:val="none" w:sz="0" w:space="0" w:color="auto"/>
                                              </w:divBdr>
                                              <w:divsChild>
                                                <w:div w:id="2525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63966">
      <w:bodyDiv w:val="1"/>
      <w:marLeft w:val="0"/>
      <w:marRight w:val="0"/>
      <w:marTop w:val="0"/>
      <w:marBottom w:val="0"/>
      <w:divBdr>
        <w:top w:val="none" w:sz="0" w:space="0" w:color="auto"/>
        <w:left w:val="none" w:sz="0" w:space="0" w:color="auto"/>
        <w:bottom w:val="none" w:sz="0" w:space="0" w:color="auto"/>
        <w:right w:val="none" w:sz="0" w:space="0" w:color="auto"/>
      </w:divBdr>
    </w:div>
    <w:div w:id="20679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16811</ap:Words>
  <ap:Characters>92465</ap:Characters>
  <ap:DocSecurity>0</ap:DocSecurity>
  <ap:Lines>770</ap:Lines>
  <ap:Paragraphs>218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109058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2019-02-18T08:50:00.0000000Z</lastPrinted>
  <dcterms:created xsi:type="dcterms:W3CDTF">2021-01-12T07:27:00.0000000Z</dcterms:created>
  <dcterms:modified xsi:type="dcterms:W3CDTF">2021-01-12T07:27:00.0000000Z</dcterms:modified>
  <version/>
  <category/>
</coreProperties>
</file>