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6E69" w:rsidR="00000376" w:rsidP="009F0056" w:rsidRDefault="00000376" w14:paraId="75BC1BBC" w14:textId="309B21B4">
      <w:pPr>
        <w:pStyle w:val="Geenafstand"/>
        <w:spacing w:line="240" w:lineRule="atLeast"/>
        <w:rPr>
          <w:rFonts w:ascii="Verdana" w:hAnsi="Verdana"/>
          <w:b/>
          <w:bCs/>
          <w:sz w:val="18"/>
          <w:szCs w:val="18"/>
        </w:rPr>
      </w:pPr>
      <w:r w:rsidRPr="00626E69">
        <w:rPr>
          <w:rFonts w:ascii="Verdana" w:hAnsi="Verdana"/>
          <w:b/>
          <w:bCs/>
          <w:sz w:val="18"/>
          <w:szCs w:val="18"/>
        </w:rPr>
        <w:t xml:space="preserve">Verslag van de Energieraad (videoconference) d.d. </w:t>
      </w:r>
      <w:r w:rsidR="00B5575C">
        <w:rPr>
          <w:rFonts w:ascii="Verdana" w:hAnsi="Verdana"/>
          <w:b/>
          <w:bCs/>
          <w:sz w:val="18"/>
          <w:szCs w:val="18"/>
        </w:rPr>
        <w:t>14 december</w:t>
      </w:r>
      <w:r w:rsidRPr="00626E69">
        <w:rPr>
          <w:rFonts w:ascii="Verdana" w:hAnsi="Verdana"/>
          <w:b/>
          <w:bCs/>
          <w:sz w:val="18"/>
          <w:szCs w:val="18"/>
        </w:rPr>
        <w:t xml:space="preserve"> 2020</w:t>
      </w:r>
    </w:p>
    <w:p w:rsidRPr="00626E69" w:rsidR="00000376" w:rsidP="009F0056" w:rsidRDefault="00000376" w14:paraId="4C80DEE0" w14:textId="77777777">
      <w:pPr>
        <w:pStyle w:val="Geenafstand"/>
        <w:spacing w:line="240" w:lineRule="atLeast"/>
        <w:rPr>
          <w:rFonts w:ascii="Verdana" w:hAnsi="Verdana"/>
          <w:b/>
          <w:bCs/>
          <w:sz w:val="18"/>
          <w:szCs w:val="18"/>
        </w:rPr>
      </w:pPr>
    </w:p>
    <w:p w:rsidRPr="00626E69" w:rsidR="006D556E" w:rsidP="009F0056" w:rsidRDefault="006D556E" w14:paraId="06F320A7" w14:textId="77777777">
      <w:pPr>
        <w:pStyle w:val="Geenafstand"/>
        <w:spacing w:line="240" w:lineRule="atLeast"/>
        <w:rPr>
          <w:rFonts w:ascii="Verdana" w:hAnsi="Verdana"/>
          <w:b/>
          <w:bCs/>
          <w:sz w:val="18"/>
          <w:szCs w:val="18"/>
          <w:u w:val="single"/>
        </w:rPr>
      </w:pPr>
      <w:r w:rsidRPr="00626E69">
        <w:rPr>
          <w:rFonts w:ascii="Verdana" w:hAnsi="Verdana"/>
          <w:b/>
          <w:bCs/>
          <w:sz w:val="18"/>
          <w:szCs w:val="18"/>
          <w:u w:val="single"/>
        </w:rPr>
        <w:t>Beleidsdebat Energiesysteemintegratie</w:t>
      </w:r>
    </w:p>
    <w:p w:rsidR="009F0056" w:rsidP="009F0056" w:rsidRDefault="009F0056" w14:paraId="3D9F09E0" w14:textId="77777777">
      <w:pPr>
        <w:pStyle w:val="Geenafstand"/>
        <w:spacing w:line="240" w:lineRule="atLeast"/>
        <w:rPr>
          <w:rFonts w:ascii="Verdana" w:hAnsi="Verdana"/>
          <w:i/>
          <w:iCs/>
          <w:sz w:val="18"/>
          <w:szCs w:val="18"/>
        </w:rPr>
      </w:pPr>
    </w:p>
    <w:p w:rsidRPr="00626E69" w:rsidR="006D556E" w:rsidP="009F0056" w:rsidRDefault="006D556E" w14:paraId="38386203" w14:textId="738482E9">
      <w:pPr>
        <w:pStyle w:val="Geenafstand"/>
        <w:spacing w:line="240" w:lineRule="atLeast"/>
        <w:rPr>
          <w:rFonts w:ascii="Verdana" w:hAnsi="Verdana"/>
          <w:i/>
          <w:iCs/>
          <w:sz w:val="18"/>
          <w:szCs w:val="18"/>
        </w:rPr>
      </w:pPr>
      <w:r w:rsidRPr="00626E69">
        <w:rPr>
          <w:rFonts w:ascii="Verdana" w:hAnsi="Verdana"/>
          <w:i/>
          <w:iCs/>
          <w:sz w:val="18"/>
          <w:szCs w:val="18"/>
        </w:rPr>
        <w:t>Gedachtenwisseling</w:t>
      </w:r>
    </w:p>
    <w:p w:rsidR="00000376" w:rsidP="009F0056" w:rsidRDefault="00BF082A" w14:paraId="6614E188" w14:textId="194A9924">
      <w:pPr>
        <w:pStyle w:val="Normaalweb"/>
        <w:spacing w:before="0" w:beforeAutospacing="0" w:after="0" w:afterAutospacing="0" w:line="240" w:lineRule="atLeast"/>
        <w:rPr>
          <w:rFonts w:ascii="Verdana" w:hAnsi="Verdana"/>
          <w:sz w:val="18"/>
          <w:szCs w:val="18"/>
        </w:rPr>
      </w:pPr>
      <w:r w:rsidRPr="00626E69">
        <w:rPr>
          <w:rFonts w:ascii="Verdana" w:hAnsi="Verdana"/>
          <w:sz w:val="18"/>
          <w:szCs w:val="18"/>
        </w:rPr>
        <w:t xml:space="preserve">De </w:t>
      </w:r>
      <w:r w:rsidR="004D0582">
        <w:rPr>
          <w:rFonts w:ascii="Verdana" w:hAnsi="Verdana"/>
          <w:sz w:val="18"/>
          <w:szCs w:val="18"/>
        </w:rPr>
        <w:t xml:space="preserve">Europese </w:t>
      </w:r>
      <w:r w:rsidRPr="00626E69">
        <w:rPr>
          <w:rFonts w:ascii="Verdana" w:hAnsi="Verdana"/>
          <w:sz w:val="18"/>
          <w:szCs w:val="18"/>
        </w:rPr>
        <w:t xml:space="preserve">Commissie gaf aan dat 2021 een belangrijk jaar wordt om de </w:t>
      </w:r>
      <w:r w:rsidRPr="00626E69" w:rsidR="003512EF">
        <w:rPr>
          <w:rFonts w:ascii="Verdana" w:hAnsi="Verdana"/>
          <w:sz w:val="18"/>
          <w:szCs w:val="18"/>
        </w:rPr>
        <w:t>strategie</w:t>
      </w:r>
      <w:r w:rsidRPr="00626E69">
        <w:rPr>
          <w:rFonts w:ascii="Verdana" w:hAnsi="Verdana"/>
          <w:sz w:val="18"/>
          <w:szCs w:val="18"/>
        </w:rPr>
        <w:t xml:space="preserve"> voor energiesysteemintegratie te implementeren. </w:t>
      </w:r>
      <w:r w:rsidR="00E87844">
        <w:rPr>
          <w:rFonts w:ascii="Verdana" w:hAnsi="Verdana"/>
          <w:sz w:val="18"/>
          <w:szCs w:val="18"/>
        </w:rPr>
        <w:t xml:space="preserve">Eind 2020 en in </w:t>
      </w:r>
      <w:r w:rsidRPr="00626E69">
        <w:rPr>
          <w:rFonts w:ascii="Verdana" w:hAnsi="Verdana"/>
          <w:sz w:val="18"/>
          <w:szCs w:val="18"/>
        </w:rPr>
        <w:t>2021 zal de Commissie met de volgende wetgevende voorstellen</w:t>
      </w:r>
      <w:r w:rsidR="00F8112D">
        <w:rPr>
          <w:rFonts w:ascii="Verdana" w:hAnsi="Verdana"/>
          <w:sz w:val="18"/>
          <w:szCs w:val="18"/>
        </w:rPr>
        <w:t xml:space="preserve"> op het gebied van energie</w:t>
      </w:r>
      <w:r w:rsidRPr="00626E69">
        <w:rPr>
          <w:rFonts w:ascii="Verdana" w:hAnsi="Verdana"/>
          <w:sz w:val="18"/>
          <w:szCs w:val="18"/>
        </w:rPr>
        <w:t xml:space="preserve"> komen: herziening </w:t>
      </w:r>
      <w:r w:rsidRPr="00626E69" w:rsidR="003512EF">
        <w:rPr>
          <w:rFonts w:ascii="Verdana" w:hAnsi="Verdana"/>
          <w:sz w:val="18"/>
          <w:szCs w:val="18"/>
        </w:rPr>
        <w:t>Trans-Europese Energienetwerk (TEN-E)</w:t>
      </w:r>
      <w:r w:rsidRPr="00626E69" w:rsidR="006D556E">
        <w:rPr>
          <w:rStyle w:val="Voetnootmarkering"/>
          <w:rFonts w:ascii="Verdana" w:hAnsi="Verdana"/>
          <w:sz w:val="18"/>
          <w:szCs w:val="18"/>
        </w:rPr>
        <w:footnoteReference w:id="1"/>
      </w:r>
      <w:r w:rsidRPr="00626E69" w:rsidR="006D556E">
        <w:rPr>
          <w:rFonts w:ascii="Verdana" w:hAnsi="Verdana"/>
          <w:sz w:val="18"/>
          <w:szCs w:val="18"/>
        </w:rPr>
        <w:t>, herziening energie-efficiëntierichtlijn (EED), herziening hernieuwbare energierichtlijn (REDII)</w:t>
      </w:r>
      <w:r w:rsidRPr="00626E69" w:rsidR="006D556E">
        <w:rPr>
          <w:rStyle w:val="Voetnootmarkering"/>
          <w:rFonts w:ascii="Verdana" w:hAnsi="Verdana"/>
          <w:sz w:val="18"/>
          <w:szCs w:val="18"/>
        </w:rPr>
        <w:footnoteReference w:id="2"/>
      </w:r>
      <w:r w:rsidR="009C6BAF">
        <w:rPr>
          <w:rFonts w:ascii="Verdana" w:hAnsi="Verdana"/>
          <w:sz w:val="18"/>
          <w:szCs w:val="18"/>
        </w:rPr>
        <w:t>, herziening energiebelastingrichtlijn</w:t>
      </w:r>
      <w:r w:rsidRPr="00626E69" w:rsidR="006D556E">
        <w:rPr>
          <w:rFonts w:ascii="Verdana" w:hAnsi="Verdana"/>
          <w:sz w:val="18"/>
          <w:szCs w:val="18"/>
        </w:rPr>
        <w:t xml:space="preserve"> en de herziening van de interne gasmarktregelgeving</w:t>
      </w:r>
      <w:r w:rsidRPr="00626E69" w:rsidR="006D556E">
        <w:rPr>
          <w:rStyle w:val="Voetnootmarkering"/>
          <w:rFonts w:ascii="Verdana" w:hAnsi="Verdana"/>
          <w:sz w:val="18"/>
          <w:szCs w:val="18"/>
        </w:rPr>
        <w:footnoteReference w:id="3"/>
      </w:r>
      <w:r w:rsidRPr="00626E69" w:rsidR="006D556E">
        <w:rPr>
          <w:rFonts w:ascii="Verdana" w:hAnsi="Verdana"/>
          <w:sz w:val="18"/>
          <w:szCs w:val="18"/>
        </w:rPr>
        <w:t xml:space="preserve">. De Commissie gaf aan de in december aangenomen Raadsconclusies over Waterstof en Hernieuwbare Energie op zee </w:t>
      </w:r>
      <w:r w:rsidR="004D0582">
        <w:rPr>
          <w:rFonts w:ascii="Verdana" w:hAnsi="Verdana"/>
          <w:sz w:val="18"/>
          <w:szCs w:val="18"/>
        </w:rPr>
        <w:t xml:space="preserve">hierin </w:t>
      </w:r>
      <w:r w:rsidRPr="00626E69" w:rsidR="006D556E">
        <w:rPr>
          <w:rFonts w:ascii="Verdana" w:hAnsi="Verdana"/>
          <w:sz w:val="18"/>
          <w:szCs w:val="18"/>
        </w:rPr>
        <w:t>als ondersteunend te beschouwen.</w:t>
      </w:r>
    </w:p>
    <w:p w:rsidRPr="00626E69" w:rsidR="009F0056" w:rsidP="009F0056" w:rsidRDefault="009F0056" w14:paraId="5DE1A77C" w14:textId="77777777">
      <w:pPr>
        <w:pStyle w:val="Normaalweb"/>
        <w:spacing w:before="0" w:beforeAutospacing="0" w:after="0" w:afterAutospacing="0" w:line="240" w:lineRule="atLeast"/>
        <w:rPr>
          <w:rFonts w:ascii="Verdana" w:hAnsi="Verdana"/>
          <w:sz w:val="18"/>
          <w:szCs w:val="18"/>
        </w:rPr>
      </w:pPr>
    </w:p>
    <w:p w:rsidR="00622CC6" w:rsidP="009F0056" w:rsidRDefault="006D556E" w14:paraId="4A1D1372" w14:textId="34E31CBC">
      <w:pPr>
        <w:pStyle w:val="Normaalweb"/>
        <w:spacing w:before="0" w:beforeAutospacing="0" w:after="0" w:afterAutospacing="0" w:line="240" w:lineRule="atLeast"/>
        <w:rPr>
          <w:rFonts w:ascii="Verdana" w:hAnsi="Verdana"/>
          <w:sz w:val="18"/>
          <w:szCs w:val="18"/>
        </w:rPr>
      </w:pPr>
      <w:r w:rsidRPr="00626E69">
        <w:rPr>
          <w:rFonts w:ascii="Verdana" w:hAnsi="Verdana"/>
          <w:sz w:val="18"/>
          <w:szCs w:val="18"/>
        </w:rPr>
        <w:t xml:space="preserve">De </w:t>
      </w:r>
      <w:r w:rsidR="004D0582">
        <w:rPr>
          <w:rFonts w:ascii="Verdana" w:hAnsi="Verdana"/>
          <w:sz w:val="18"/>
          <w:szCs w:val="18"/>
        </w:rPr>
        <w:t>R</w:t>
      </w:r>
      <w:r w:rsidRPr="00626E69">
        <w:rPr>
          <w:rFonts w:ascii="Verdana" w:hAnsi="Verdana"/>
          <w:sz w:val="18"/>
          <w:szCs w:val="18"/>
        </w:rPr>
        <w:t xml:space="preserve">aad heeft gesproken over </w:t>
      </w:r>
      <w:r w:rsidRPr="00626E69" w:rsidR="007D7238">
        <w:rPr>
          <w:rFonts w:ascii="Verdana" w:hAnsi="Verdana"/>
          <w:sz w:val="18"/>
          <w:szCs w:val="18"/>
        </w:rPr>
        <w:t xml:space="preserve">de implementatie van de strategie voor energiesysteemintegratie. Tijdens de raad gaven lidstaten algemene uitgangspunten mee die moeten worden meegenomen in de herziening van bovenstaande regelgeving. </w:t>
      </w:r>
    </w:p>
    <w:p w:rsidRPr="00626E69" w:rsidR="009F0056" w:rsidP="009F0056" w:rsidRDefault="009F0056" w14:paraId="07D2263A" w14:textId="77777777">
      <w:pPr>
        <w:pStyle w:val="Normaalweb"/>
        <w:spacing w:before="0" w:beforeAutospacing="0" w:after="0" w:afterAutospacing="0" w:line="240" w:lineRule="atLeast"/>
        <w:rPr>
          <w:rFonts w:ascii="Verdana" w:hAnsi="Verdana"/>
          <w:sz w:val="18"/>
          <w:szCs w:val="18"/>
        </w:rPr>
      </w:pPr>
    </w:p>
    <w:p w:rsidR="009C6BAF" w:rsidP="009F0056" w:rsidRDefault="009C6BAF" w14:paraId="2411FBAC" w14:textId="449846A2">
      <w:pPr>
        <w:spacing w:line="240" w:lineRule="atLeast"/>
        <w:rPr>
          <w:rFonts w:ascii="Verdana" w:hAnsi="Verdana" w:eastAsia="Times New Roman"/>
          <w:sz w:val="18"/>
          <w:szCs w:val="18"/>
        </w:rPr>
      </w:pPr>
      <w:r w:rsidRPr="00626E69">
        <w:rPr>
          <w:rFonts w:ascii="Verdana" w:hAnsi="Verdana" w:eastAsia="Times New Roman"/>
          <w:sz w:val="18"/>
          <w:szCs w:val="18"/>
        </w:rPr>
        <w:t>Veel lidstaten, waaronder Nederland</w:t>
      </w:r>
      <w:r>
        <w:rPr>
          <w:rFonts w:ascii="Verdana" w:hAnsi="Verdana" w:eastAsia="Times New Roman"/>
          <w:sz w:val="18"/>
          <w:szCs w:val="18"/>
        </w:rPr>
        <w:t>,</w:t>
      </w:r>
      <w:r w:rsidRPr="00626E69">
        <w:rPr>
          <w:rFonts w:ascii="Verdana" w:hAnsi="Verdana" w:eastAsia="Times New Roman"/>
          <w:sz w:val="18"/>
          <w:szCs w:val="18"/>
        </w:rPr>
        <w:t xml:space="preserve"> benoemden dat lidstaten ruimte moeten </w:t>
      </w:r>
      <w:r>
        <w:rPr>
          <w:rFonts w:ascii="Verdana" w:hAnsi="Verdana" w:eastAsia="Times New Roman"/>
          <w:sz w:val="18"/>
          <w:szCs w:val="18"/>
        </w:rPr>
        <w:t>hebben</w:t>
      </w:r>
      <w:r w:rsidRPr="00626E69">
        <w:rPr>
          <w:rFonts w:ascii="Verdana" w:hAnsi="Verdana" w:eastAsia="Times New Roman"/>
          <w:sz w:val="18"/>
          <w:szCs w:val="18"/>
        </w:rPr>
        <w:t xml:space="preserve"> voor kosteneffectieve invulling van het CO</w:t>
      </w:r>
      <w:r w:rsidRPr="004D0582">
        <w:rPr>
          <w:rFonts w:ascii="Verdana" w:hAnsi="Verdana" w:eastAsia="Times New Roman"/>
          <w:sz w:val="18"/>
          <w:szCs w:val="18"/>
          <w:vertAlign w:val="subscript"/>
        </w:rPr>
        <w:t>2</w:t>
      </w:r>
      <w:r w:rsidRPr="00626E69">
        <w:rPr>
          <w:rFonts w:ascii="Verdana" w:hAnsi="Verdana" w:eastAsia="Times New Roman"/>
          <w:sz w:val="18"/>
          <w:szCs w:val="18"/>
        </w:rPr>
        <w:t xml:space="preserve">-reductiepad. Hierbij horen volgens deze lidstaten niet-bindende doelen </w:t>
      </w:r>
      <w:r>
        <w:rPr>
          <w:rFonts w:ascii="Verdana" w:hAnsi="Verdana" w:eastAsia="Times New Roman"/>
          <w:sz w:val="18"/>
          <w:szCs w:val="18"/>
        </w:rPr>
        <w:t xml:space="preserve">voor hernieuwbare energie en voor energie-efficiëntie </w:t>
      </w:r>
      <w:r w:rsidRPr="00626E69">
        <w:rPr>
          <w:rFonts w:ascii="Verdana" w:hAnsi="Verdana" w:eastAsia="Times New Roman"/>
          <w:sz w:val="18"/>
          <w:szCs w:val="18"/>
        </w:rPr>
        <w:t>op EU</w:t>
      </w:r>
      <w:r w:rsidR="009F0056">
        <w:rPr>
          <w:rFonts w:ascii="Verdana" w:hAnsi="Verdana" w:eastAsia="Times New Roman"/>
          <w:sz w:val="18"/>
          <w:szCs w:val="18"/>
        </w:rPr>
        <w:t>-</w:t>
      </w:r>
      <w:bookmarkStart w:name="_GoBack" w:id="0"/>
      <w:bookmarkEnd w:id="0"/>
      <w:r w:rsidRPr="00626E69">
        <w:rPr>
          <w:rFonts w:ascii="Verdana" w:hAnsi="Verdana" w:eastAsia="Times New Roman"/>
          <w:sz w:val="18"/>
          <w:szCs w:val="18"/>
        </w:rPr>
        <w:t xml:space="preserve">niveau. Met name enkele Oost-Europese lidstaten waren kritisch of een ophoging </w:t>
      </w:r>
      <w:r>
        <w:rPr>
          <w:rFonts w:ascii="Verdana" w:hAnsi="Verdana" w:eastAsia="Times New Roman"/>
          <w:sz w:val="18"/>
          <w:szCs w:val="18"/>
        </w:rPr>
        <w:t xml:space="preserve">van deze doelen </w:t>
      </w:r>
      <w:r w:rsidRPr="00626E69">
        <w:rPr>
          <w:rFonts w:ascii="Verdana" w:hAnsi="Verdana" w:eastAsia="Times New Roman"/>
          <w:sz w:val="18"/>
          <w:szCs w:val="18"/>
        </w:rPr>
        <w:t>wenselijk is. Een aantal andere lidstaten pleitte juist voor hogere doelen voor zowel energie</w:t>
      </w:r>
      <w:r>
        <w:rPr>
          <w:rFonts w:ascii="Verdana" w:hAnsi="Verdana" w:eastAsia="Times New Roman"/>
          <w:sz w:val="18"/>
          <w:szCs w:val="18"/>
        </w:rPr>
        <w:t>-efficiëntie</w:t>
      </w:r>
      <w:r w:rsidRPr="00626E69">
        <w:rPr>
          <w:rFonts w:ascii="Verdana" w:hAnsi="Verdana" w:eastAsia="Times New Roman"/>
          <w:sz w:val="18"/>
          <w:szCs w:val="18"/>
        </w:rPr>
        <w:t xml:space="preserve"> als hernieuwbare energie. Hierbij was met name één lidstaat uitgesproken over </w:t>
      </w:r>
      <w:r w:rsidR="00256212">
        <w:rPr>
          <w:rFonts w:ascii="Verdana" w:hAnsi="Verdana" w:eastAsia="Times New Roman"/>
          <w:sz w:val="18"/>
          <w:szCs w:val="18"/>
        </w:rPr>
        <w:t xml:space="preserve">het standpunt </w:t>
      </w:r>
      <w:r w:rsidRPr="00626E69">
        <w:rPr>
          <w:rFonts w:ascii="Verdana" w:hAnsi="Verdana" w:eastAsia="Times New Roman"/>
          <w:sz w:val="18"/>
          <w:szCs w:val="18"/>
        </w:rPr>
        <w:t xml:space="preserve">dat doelen ook op nationaal niveau bindend moeten zijn. Enkele van deze lidstaten waren uitgesproken over de noodzaak van de uitfasering van </w:t>
      </w:r>
      <w:r w:rsidR="00256212">
        <w:rPr>
          <w:rFonts w:ascii="Verdana" w:hAnsi="Verdana" w:eastAsia="Times New Roman"/>
          <w:sz w:val="18"/>
          <w:szCs w:val="18"/>
        </w:rPr>
        <w:t xml:space="preserve">fossiel </w:t>
      </w:r>
      <w:r w:rsidRPr="00626E69">
        <w:rPr>
          <w:rFonts w:ascii="Verdana" w:hAnsi="Verdana" w:eastAsia="Times New Roman"/>
          <w:sz w:val="18"/>
          <w:szCs w:val="18"/>
        </w:rPr>
        <w:t xml:space="preserve">gas met name in het kader van de herziening van de TEN-E verordening. Tevens gaven deze lidstaten aan exclusief te willen focussen op hernieuwbare waterstof. </w:t>
      </w:r>
    </w:p>
    <w:p w:rsidRPr="00626E69" w:rsidR="009F0056" w:rsidP="009F0056" w:rsidRDefault="009F0056" w14:paraId="4242FCBD" w14:textId="77777777">
      <w:pPr>
        <w:spacing w:line="240" w:lineRule="atLeast"/>
        <w:rPr>
          <w:rFonts w:ascii="Verdana" w:hAnsi="Verdana" w:eastAsia="Times New Roman"/>
          <w:sz w:val="18"/>
          <w:szCs w:val="18"/>
        </w:rPr>
      </w:pPr>
    </w:p>
    <w:p w:rsidR="006D556E" w:rsidP="009F0056" w:rsidRDefault="00622CC6" w14:paraId="587FCB9D" w14:textId="1EE6BE0C">
      <w:pPr>
        <w:pStyle w:val="Normaalweb"/>
        <w:spacing w:before="0" w:beforeAutospacing="0" w:after="0" w:afterAutospacing="0" w:line="240" w:lineRule="atLeast"/>
        <w:rPr>
          <w:rFonts w:ascii="Verdana" w:hAnsi="Verdana" w:eastAsia="Times New Roman"/>
          <w:sz w:val="18"/>
          <w:szCs w:val="18"/>
        </w:rPr>
      </w:pPr>
      <w:r w:rsidRPr="00626E69">
        <w:rPr>
          <w:rFonts w:ascii="Verdana" w:hAnsi="Verdana"/>
          <w:sz w:val="18"/>
          <w:szCs w:val="18"/>
        </w:rPr>
        <w:t>Meerdere lidstaten gaven aan dat er</w:t>
      </w:r>
      <w:r w:rsidR="009C6BAF">
        <w:rPr>
          <w:rFonts w:ascii="Verdana" w:hAnsi="Verdana"/>
          <w:sz w:val="18"/>
          <w:szCs w:val="18"/>
        </w:rPr>
        <w:t xml:space="preserve"> bij de aangekondigde herziening van wetgeving</w:t>
      </w:r>
      <w:r w:rsidRPr="00626E69">
        <w:rPr>
          <w:rFonts w:ascii="Verdana" w:hAnsi="Verdana"/>
          <w:sz w:val="18"/>
          <w:szCs w:val="18"/>
        </w:rPr>
        <w:t xml:space="preserve"> rekening moet worden gehouden met de verschillende startpunten van lidstaten op het gebied van energie</w:t>
      </w:r>
      <w:r w:rsidR="00256212">
        <w:rPr>
          <w:rFonts w:ascii="Verdana" w:hAnsi="Verdana"/>
          <w:sz w:val="18"/>
          <w:szCs w:val="18"/>
        </w:rPr>
        <w:t>. M</w:t>
      </w:r>
      <w:r w:rsidRPr="00626E69">
        <w:rPr>
          <w:rFonts w:ascii="Verdana" w:hAnsi="Verdana"/>
          <w:sz w:val="18"/>
          <w:szCs w:val="18"/>
        </w:rPr>
        <w:t xml:space="preserve">et name in de herziening van de </w:t>
      </w:r>
      <w:r w:rsidRPr="00626E69" w:rsidR="00B432E7">
        <w:rPr>
          <w:rFonts w:ascii="Verdana" w:hAnsi="Verdana" w:eastAsia="Times New Roman"/>
          <w:sz w:val="18"/>
          <w:szCs w:val="18"/>
        </w:rPr>
        <w:t xml:space="preserve">REDII en de EED moet ruimte blijven voor een eerlijke transitie. Enkele Oost-Europese lidstaten gaven aan dat deze nieuwe voorstellen een gedetailleerde beoordeling moeten bevatten </w:t>
      </w:r>
      <w:r w:rsidR="00AB7346">
        <w:rPr>
          <w:rFonts w:ascii="Verdana" w:hAnsi="Verdana" w:eastAsia="Times New Roman"/>
          <w:sz w:val="18"/>
          <w:szCs w:val="18"/>
        </w:rPr>
        <w:t xml:space="preserve">van de </w:t>
      </w:r>
      <w:r w:rsidRPr="00626E69" w:rsidR="00B432E7">
        <w:rPr>
          <w:rFonts w:ascii="Verdana" w:hAnsi="Verdana" w:eastAsia="Times New Roman"/>
          <w:sz w:val="18"/>
          <w:szCs w:val="18"/>
        </w:rPr>
        <w:t xml:space="preserve">effecten op nationaal niveau. </w:t>
      </w:r>
    </w:p>
    <w:p w:rsidRPr="00626E69" w:rsidR="009F0056" w:rsidP="009F0056" w:rsidRDefault="009F0056" w14:paraId="15158E9B" w14:textId="77777777">
      <w:pPr>
        <w:pStyle w:val="Normaalweb"/>
        <w:spacing w:before="0" w:beforeAutospacing="0" w:after="0" w:afterAutospacing="0" w:line="240" w:lineRule="atLeast"/>
        <w:rPr>
          <w:rFonts w:ascii="Verdana" w:hAnsi="Verdana" w:eastAsia="Times New Roman"/>
          <w:sz w:val="18"/>
          <w:szCs w:val="18"/>
        </w:rPr>
      </w:pPr>
    </w:p>
    <w:p w:rsidR="008D77F8" w:rsidP="009F0056" w:rsidRDefault="00B432E7" w14:paraId="39B31FA6" w14:textId="770C8548">
      <w:pPr>
        <w:spacing w:line="240" w:lineRule="atLeast"/>
        <w:rPr>
          <w:rFonts w:ascii="Verdana" w:hAnsi="Verdana" w:eastAsia="Times New Roman"/>
          <w:sz w:val="18"/>
          <w:szCs w:val="18"/>
        </w:rPr>
      </w:pPr>
      <w:r w:rsidRPr="00626E69">
        <w:rPr>
          <w:rFonts w:ascii="Verdana" w:hAnsi="Verdana" w:eastAsia="Times New Roman"/>
          <w:sz w:val="18"/>
          <w:szCs w:val="18"/>
        </w:rPr>
        <w:t>Een aantal lidstaten ga</w:t>
      </w:r>
      <w:r w:rsidR="00256212">
        <w:rPr>
          <w:rFonts w:ascii="Verdana" w:hAnsi="Verdana" w:eastAsia="Times New Roman"/>
          <w:sz w:val="18"/>
          <w:szCs w:val="18"/>
        </w:rPr>
        <w:t>f</w:t>
      </w:r>
      <w:r w:rsidRPr="00626E69">
        <w:rPr>
          <w:rFonts w:ascii="Verdana" w:hAnsi="Verdana" w:eastAsia="Times New Roman"/>
          <w:sz w:val="18"/>
          <w:szCs w:val="18"/>
        </w:rPr>
        <w:t xml:space="preserve"> aan dat technologieneutraliteit het uitgangspunt moet zijn. Zij benadrukten daarnaast de rol van aardgas als transitiebrandstof voor de uitfasering van het gebruik van kolen.</w:t>
      </w:r>
      <w:r w:rsidRPr="00626E69" w:rsidR="008D77F8">
        <w:rPr>
          <w:rFonts w:ascii="Verdana" w:hAnsi="Verdana" w:eastAsia="Times New Roman"/>
          <w:sz w:val="18"/>
          <w:szCs w:val="18"/>
        </w:rPr>
        <w:t xml:space="preserve"> Opvallend is dat deze lidstaten tevens nadruk legden op de </w:t>
      </w:r>
      <w:r w:rsidR="009C6BAF">
        <w:rPr>
          <w:rFonts w:ascii="Verdana" w:hAnsi="Verdana" w:eastAsia="Times New Roman"/>
          <w:sz w:val="18"/>
          <w:szCs w:val="18"/>
        </w:rPr>
        <w:t>mogelijkheden</w:t>
      </w:r>
      <w:r w:rsidRPr="00626E69" w:rsidR="009C6BAF">
        <w:rPr>
          <w:rFonts w:ascii="Verdana" w:hAnsi="Verdana" w:eastAsia="Times New Roman"/>
          <w:sz w:val="18"/>
          <w:szCs w:val="18"/>
        </w:rPr>
        <w:t xml:space="preserve"> </w:t>
      </w:r>
      <w:r w:rsidRPr="00626E69" w:rsidR="008D77F8">
        <w:rPr>
          <w:rFonts w:ascii="Verdana" w:hAnsi="Verdana" w:eastAsia="Times New Roman"/>
          <w:sz w:val="18"/>
          <w:szCs w:val="18"/>
        </w:rPr>
        <w:t xml:space="preserve">van energie-efficiëntie, met name in de gebouwde omgeving </w:t>
      </w:r>
      <w:r w:rsidR="009C6BAF">
        <w:rPr>
          <w:rFonts w:ascii="Verdana" w:hAnsi="Verdana" w:eastAsia="Times New Roman"/>
          <w:sz w:val="18"/>
          <w:szCs w:val="18"/>
        </w:rPr>
        <w:t>om kosten voor consumenten te beperken.</w:t>
      </w:r>
      <w:r w:rsidRPr="00626E69" w:rsidR="009C6BAF">
        <w:rPr>
          <w:rFonts w:ascii="Verdana" w:hAnsi="Verdana" w:eastAsia="Times New Roman"/>
          <w:sz w:val="18"/>
          <w:szCs w:val="18"/>
        </w:rPr>
        <w:t xml:space="preserve"> </w:t>
      </w:r>
    </w:p>
    <w:p w:rsidRPr="00626E69" w:rsidR="009F0056" w:rsidP="009F0056" w:rsidRDefault="009F0056" w14:paraId="3662051B" w14:textId="77777777">
      <w:pPr>
        <w:spacing w:line="240" w:lineRule="atLeast"/>
        <w:rPr>
          <w:rFonts w:ascii="Verdana" w:hAnsi="Verdana" w:eastAsia="Times New Roman"/>
          <w:sz w:val="18"/>
          <w:szCs w:val="18"/>
        </w:rPr>
      </w:pPr>
    </w:p>
    <w:p w:rsidR="00DE3DD0" w:rsidP="009F0056" w:rsidRDefault="00DE3DD0" w14:paraId="3F4DB614" w14:textId="696AB0A7">
      <w:pPr>
        <w:spacing w:line="240" w:lineRule="atLeast"/>
        <w:rPr>
          <w:rFonts w:ascii="Verdana" w:hAnsi="Verdana" w:eastAsia="Times New Roman"/>
          <w:sz w:val="18"/>
          <w:szCs w:val="18"/>
        </w:rPr>
      </w:pPr>
      <w:r w:rsidRPr="00626E69">
        <w:rPr>
          <w:rFonts w:ascii="Verdana" w:hAnsi="Verdana" w:eastAsia="Times New Roman"/>
          <w:sz w:val="18"/>
          <w:szCs w:val="18"/>
        </w:rPr>
        <w:t>Een aantal lidstaten, waaronder Nederland, vroeg</w:t>
      </w:r>
      <w:r w:rsidR="00256212">
        <w:rPr>
          <w:rFonts w:ascii="Verdana" w:hAnsi="Verdana" w:eastAsia="Times New Roman"/>
          <w:sz w:val="18"/>
          <w:szCs w:val="18"/>
        </w:rPr>
        <w:t xml:space="preserve"> </w:t>
      </w:r>
      <w:r w:rsidRPr="00626E69">
        <w:rPr>
          <w:rFonts w:ascii="Verdana" w:hAnsi="Verdana" w:eastAsia="Times New Roman"/>
          <w:sz w:val="18"/>
          <w:szCs w:val="18"/>
        </w:rPr>
        <w:t xml:space="preserve">aandacht voor herziening van </w:t>
      </w:r>
      <w:r w:rsidR="009C6BAF">
        <w:rPr>
          <w:rFonts w:ascii="Verdana" w:hAnsi="Verdana" w:eastAsia="Times New Roman"/>
          <w:sz w:val="18"/>
          <w:szCs w:val="18"/>
        </w:rPr>
        <w:t>het</w:t>
      </w:r>
      <w:r w:rsidRPr="00626E69" w:rsidR="009C6BAF">
        <w:rPr>
          <w:rFonts w:ascii="Verdana" w:hAnsi="Verdana" w:eastAsia="Times New Roman"/>
          <w:sz w:val="18"/>
          <w:szCs w:val="18"/>
        </w:rPr>
        <w:t xml:space="preserve"> </w:t>
      </w:r>
      <w:r w:rsidR="009C6BAF">
        <w:rPr>
          <w:rFonts w:ascii="Verdana" w:hAnsi="Verdana" w:eastAsia="Times New Roman"/>
          <w:sz w:val="18"/>
          <w:szCs w:val="18"/>
        </w:rPr>
        <w:t xml:space="preserve">milieu- en energiesteunkader die in 2021 gepland staat, om opschaling van </w:t>
      </w:r>
      <w:r w:rsidR="00CB1FD7">
        <w:rPr>
          <w:rFonts w:ascii="Verdana" w:hAnsi="Verdana" w:eastAsia="Times New Roman"/>
          <w:sz w:val="18"/>
          <w:szCs w:val="18"/>
        </w:rPr>
        <w:t>technologieën</w:t>
      </w:r>
      <w:r w:rsidR="009C6BAF">
        <w:rPr>
          <w:rFonts w:ascii="Verdana" w:hAnsi="Verdana" w:eastAsia="Times New Roman"/>
          <w:sz w:val="18"/>
          <w:szCs w:val="18"/>
        </w:rPr>
        <w:t xml:space="preserve"> te stimuleren die </w:t>
      </w:r>
      <w:r w:rsidR="00CB1FD7">
        <w:rPr>
          <w:rFonts w:ascii="Verdana" w:hAnsi="Verdana" w:eastAsia="Times New Roman"/>
          <w:sz w:val="18"/>
          <w:szCs w:val="18"/>
        </w:rPr>
        <w:t xml:space="preserve">een rol spelen bij het </w:t>
      </w:r>
      <w:proofErr w:type="spellStart"/>
      <w:r w:rsidR="00CB1FD7">
        <w:rPr>
          <w:rFonts w:ascii="Verdana" w:hAnsi="Verdana" w:eastAsia="Times New Roman"/>
          <w:sz w:val="18"/>
          <w:szCs w:val="18"/>
        </w:rPr>
        <w:t>decarboniseren</w:t>
      </w:r>
      <w:proofErr w:type="spellEnd"/>
      <w:r w:rsidR="00CB1FD7">
        <w:rPr>
          <w:rFonts w:ascii="Verdana" w:hAnsi="Verdana" w:eastAsia="Times New Roman"/>
          <w:sz w:val="18"/>
          <w:szCs w:val="18"/>
        </w:rPr>
        <w:t xml:space="preserve"> van de energie-intensieve industrie</w:t>
      </w:r>
      <w:r w:rsidRPr="00626E69">
        <w:rPr>
          <w:rFonts w:ascii="Verdana" w:hAnsi="Verdana" w:eastAsia="Times New Roman"/>
          <w:sz w:val="18"/>
          <w:szCs w:val="18"/>
        </w:rPr>
        <w:t>. Tot slot was er vanuit een aantal lidstaten aandacht voor bescherming van het concurrentievermogen van de energiesector ten aanzien van goedkopere alternatieven uit derde landen</w:t>
      </w:r>
      <w:r w:rsidR="00256212">
        <w:rPr>
          <w:rFonts w:ascii="Verdana" w:hAnsi="Verdana" w:eastAsia="Times New Roman"/>
          <w:sz w:val="18"/>
          <w:szCs w:val="18"/>
        </w:rPr>
        <w:t>. Zij n</w:t>
      </w:r>
      <w:r w:rsidR="00AB7346">
        <w:rPr>
          <w:rFonts w:ascii="Verdana" w:hAnsi="Verdana" w:eastAsia="Times New Roman"/>
          <w:sz w:val="18"/>
          <w:szCs w:val="18"/>
        </w:rPr>
        <w:t xml:space="preserve">oemden hierbij </w:t>
      </w:r>
      <w:r w:rsidRPr="00626E69">
        <w:rPr>
          <w:rFonts w:ascii="Verdana" w:hAnsi="Verdana" w:eastAsia="Times New Roman"/>
          <w:sz w:val="18"/>
          <w:szCs w:val="18"/>
        </w:rPr>
        <w:t xml:space="preserve">een mogelijke </w:t>
      </w:r>
      <w:r w:rsidRPr="00626E69">
        <w:rPr>
          <w:rFonts w:ascii="Verdana" w:hAnsi="Verdana" w:eastAsia="Times New Roman"/>
          <w:i/>
          <w:iCs/>
          <w:sz w:val="18"/>
          <w:szCs w:val="18"/>
        </w:rPr>
        <w:t xml:space="preserve">Carbon Border </w:t>
      </w:r>
      <w:proofErr w:type="spellStart"/>
      <w:r w:rsidRPr="00626E69">
        <w:rPr>
          <w:rFonts w:ascii="Verdana" w:hAnsi="Verdana" w:eastAsia="Times New Roman"/>
          <w:i/>
          <w:iCs/>
          <w:sz w:val="18"/>
          <w:szCs w:val="18"/>
        </w:rPr>
        <w:t>Adjustment</w:t>
      </w:r>
      <w:proofErr w:type="spellEnd"/>
      <w:r w:rsidRPr="00626E69">
        <w:rPr>
          <w:rFonts w:ascii="Verdana" w:hAnsi="Verdana" w:eastAsia="Times New Roman"/>
          <w:i/>
          <w:iCs/>
          <w:sz w:val="18"/>
          <w:szCs w:val="18"/>
        </w:rPr>
        <w:t xml:space="preserve"> </w:t>
      </w:r>
      <w:proofErr w:type="spellStart"/>
      <w:r w:rsidRPr="00626E69">
        <w:rPr>
          <w:rFonts w:ascii="Verdana" w:hAnsi="Verdana" w:eastAsia="Times New Roman"/>
          <w:i/>
          <w:iCs/>
          <w:sz w:val="18"/>
          <w:szCs w:val="18"/>
        </w:rPr>
        <w:t>Mechanism</w:t>
      </w:r>
      <w:proofErr w:type="spellEnd"/>
      <w:r w:rsidRPr="00626E69">
        <w:rPr>
          <w:rFonts w:ascii="Verdana" w:hAnsi="Verdana" w:eastAsia="Times New Roman"/>
          <w:sz w:val="18"/>
          <w:szCs w:val="18"/>
        </w:rPr>
        <w:t xml:space="preserve"> (CBAM). </w:t>
      </w:r>
    </w:p>
    <w:p w:rsidRPr="00626E69" w:rsidR="009F0056" w:rsidP="009F0056" w:rsidRDefault="009F0056" w14:paraId="3D07DA53" w14:textId="77777777">
      <w:pPr>
        <w:spacing w:line="240" w:lineRule="atLeast"/>
        <w:rPr>
          <w:rFonts w:ascii="Verdana" w:hAnsi="Verdana" w:eastAsia="Times New Roman"/>
          <w:sz w:val="18"/>
          <w:szCs w:val="18"/>
        </w:rPr>
      </w:pPr>
    </w:p>
    <w:p w:rsidRPr="00626E69" w:rsidR="00DE3DD0" w:rsidP="009F0056" w:rsidRDefault="00DE3DD0" w14:paraId="234EEA5E" w14:textId="77777777">
      <w:pPr>
        <w:pStyle w:val="Geenafstand"/>
        <w:spacing w:line="240" w:lineRule="atLeast"/>
        <w:rPr>
          <w:rFonts w:ascii="Verdana" w:hAnsi="Verdana"/>
          <w:b/>
          <w:bCs/>
          <w:sz w:val="18"/>
          <w:szCs w:val="18"/>
          <w:u w:val="single"/>
        </w:rPr>
      </w:pPr>
      <w:r w:rsidRPr="00626E69">
        <w:rPr>
          <w:rFonts w:ascii="Verdana" w:hAnsi="Verdana"/>
          <w:b/>
          <w:bCs/>
          <w:sz w:val="18"/>
          <w:szCs w:val="18"/>
          <w:u w:val="single"/>
        </w:rPr>
        <w:t>Externe energie</w:t>
      </w:r>
      <w:r w:rsidRPr="00626E69" w:rsidR="00914AEF">
        <w:rPr>
          <w:rFonts w:ascii="Verdana" w:hAnsi="Verdana"/>
          <w:b/>
          <w:bCs/>
          <w:sz w:val="18"/>
          <w:szCs w:val="18"/>
          <w:u w:val="single"/>
        </w:rPr>
        <w:t>betrekkingen</w:t>
      </w:r>
    </w:p>
    <w:p w:rsidR="009F0056" w:rsidP="009F0056" w:rsidRDefault="009F0056" w14:paraId="0EED6CA0" w14:textId="77777777">
      <w:pPr>
        <w:pStyle w:val="Geenafstand"/>
        <w:spacing w:line="240" w:lineRule="atLeast"/>
        <w:rPr>
          <w:rFonts w:ascii="Verdana" w:hAnsi="Verdana"/>
          <w:sz w:val="18"/>
          <w:szCs w:val="18"/>
        </w:rPr>
      </w:pPr>
    </w:p>
    <w:p w:rsidRPr="00626E69" w:rsidR="00E51054" w:rsidP="009F0056" w:rsidRDefault="00F43A4E" w14:paraId="7658E4A7" w14:textId="456CE8B4">
      <w:pPr>
        <w:pStyle w:val="Geenafstand"/>
        <w:spacing w:line="240" w:lineRule="atLeast"/>
        <w:rPr>
          <w:rFonts w:ascii="Verdana" w:hAnsi="Verdana"/>
          <w:b/>
          <w:bCs/>
          <w:sz w:val="18"/>
          <w:szCs w:val="18"/>
          <w:u w:val="single"/>
        </w:rPr>
      </w:pPr>
      <w:r w:rsidRPr="00626E69">
        <w:rPr>
          <w:rFonts w:ascii="Verdana" w:hAnsi="Verdana"/>
          <w:sz w:val="18"/>
          <w:szCs w:val="18"/>
        </w:rPr>
        <w:t xml:space="preserve">Na het beleidsdebat heeft de Europese Commissie de ministers geïnformeerd over de recente ontwikkelingen op het gebied van externe energiebetrekkingen. De Commissie onderstreepte het belang van een sterke en operationele externe dimensie van de Green Deal en de Energie-unie, die een relevante voorwaarde zijn om de ambitieuze doelstellingen van de EU op het gebied van klimaat en energie te halen. De Commissie informeerde de lidstaten over de high-level bijeenkomsten over energiebeleidskwesties van de Commissie met vertegenwoordigers van derde </w:t>
      </w:r>
      <w:r w:rsidRPr="00626E69">
        <w:rPr>
          <w:rFonts w:ascii="Verdana" w:hAnsi="Verdana"/>
          <w:sz w:val="18"/>
          <w:szCs w:val="18"/>
        </w:rPr>
        <w:lastRenderedPageBreak/>
        <w:t xml:space="preserve">landen en internationale organisaties. De Commissie benadrukte ook het belang van een geslaagde modernisering van </w:t>
      </w:r>
      <w:r w:rsidR="009C6BAF">
        <w:rPr>
          <w:rFonts w:ascii="Verdana" w:hAnsi="Verdana"/>
          <w:sz w:val="18"/>
          <w:szCs w:val="18"/>
        </w:rPr>
        <w:t>het Energiehandvestverdrag</w:t>
      </w:r>
      <w:r w:rsidRPr="00626E69">
        <w:rPr>
          <w:rFonts w:ascii="Verdana" w:hAnsi="Verdana"/>
          <w:i/>
          <w:iCs/>
          <w:sz w:val="18"/>
          <w:szCs w:val="18"/>
        </w:rPr>
        <w:t>.</w:t>
      </w:r>
      <w:r w:rsidRPr="00626E69">
        <w:rPr>
          <w:rFonts w:ascii="Verdana" w:hAnsi="Verdana"/>
          <w:sz w:val="18"/>
          <w:szCs w:val="18"/>
        </w:rPr>
        <w:t xml:space="preserve"> </w:t>
      </w:r>
    </w:p>
    <w:p w:rsidR="006D2021" w:rsidP="009F0056" w:rsidRDefault="006D2021" w14:paraId="4AEA8C54" w14:textId="77777777">
      <w:pPr>
        <w:pStyle w:val="Geenafstand"/>
        <w:spacing w:line="240" w:lineRule="atLeast"/>
        <w:rPr>
          <w:rFonts w:ascii="Verdana" w:hAnsi="Verdana"/>
          <w:b/>
          <w:bCs/>
          <w:sz w:val="18"/>
          <w:szCs w:val="18"/>
          <w:u w:val="single"/>
        </w:rPr>
      </w:pPr>
    </w:p>
    <w:p w:rsidRPr="00626E69" w:rsidR="00E51054" w:rsidP="009F0056" w:rsidRDefault="00F43A4E" w14:paraId="4B48E403" w14:textId="6D5E04C9">
      <w:pPr>
        <w:pStyle w:val="Geenafstand"/>
        <w:spacing w:line="240" w:lineRule="atLeast"/>
        <w:rPr>
          <w:rFonts w:ascii="Verdana" w:hAnsi="Verdana"/>
          <w:b/>
          <w:bCs/>
          <w:sz w:val="18"/>
          <w:szCs w:val="18"/>
          <w:u w:val="single"/>
        </w:rPr>
      </w:pPr>
      <w:r w:rsidRPr="00626E69">
        <w:rPr>
          <w:rFonts w:ascii="Verdana" w:hAnsi="Verdana"/>
          <w:b/>
          <w:bCs/>
          <w:sz w:val="18"/>
          <w:szCs w:val="18"/>
          <w:u w:val="single"/>
        </w:rPr>
        <w:t xml:space="preserve">Presentatie Litouwen Wit-Russische Kerncentrale </w:t>
      </w:r>
      <w:proofErr w:type="spellStart"/>
      <w:r w:rsidRPr="00626E69">
        <w:rPr>
          <w:rFonts w:ascii="Verdana" w:hAnsi="Verdana"/>
          <w:b/>
          <w:bCs/>
          <w:sz w:val="18"/>
          <w:szCs w:val="18"/>
          <w:u w:val="single"/>
        </w:rPr>
        <w:t>Ostr</w:t>
      </w:r>
      <w:r w:rsidRPr="00626E69" w:rsidR="00E51054">
        <w:rPr>
          <w:rFonts w:ascii="Verdana" w:hAnsi="Verdana"/>
          <w:b/>
          <w:bCs/>
          <w:sz w:val="18"/>
          <w:szCs w:val="18"/>
          <w:u w:val="single"/>
        </w:rPr>
        <w:t>o</w:t>
      </w:r>
      <w:r w:rsidRPr="00626E69">
        <w:rPr>
          <w:rFonts w:ascii="Verdana" w:hAnsi="Verdana"/>
          <w:b/>
          <w:bCs/>
          <w:sz w:val="18"/>
          <w:szCs w:val="18"/>
          <w:u w:val="single"/>
        </w:rPr>
        <w:t>vets</w:t>
      </w:r>
      <w:proofErr w:type="spellEnd"/>
    </w:p>
    <w:p w:rsidR="009F0056" w:rsidP="009F0056" w:rsidRDefault="009F0056" w14:paraId="6167B219" w14:textId="77777777">
      <w:pPr>
        <w:pStyle w:val="Geenafstand"/>
        <w:spacing w:line="240" w:lineRule="atLeast"/>
        <w:rPr>
          <w:rFonts w:ascii="Verdana" w:hAnsi="Verdana"/>
          <w:sz w:val="18"/>
          <w:szCs w:val="18"/>
        </w:rPr>
      </w:pPr>
    </w:p>
    <w:p w:rsidRPr="00626E69" w:rsidR="00E51054" w:rsidP="009F0056" w:rsidRDefault="00E51054" w14:paraId="46601EFB" w14:textId="7E280C2A">
      <w:pPr>
        <w:pStyle w:val="Geenafstand"/>
        <w:spacing w:line="240" w:lineRule="atLeast"/>
        <w:rPr>
          <w:rFonts w:ascii="Verdana" w:hAnsi="Verdana"/>
          <w:sz w:val="18"/>
          <w:szCs w:val="18"/>
        </w:rPr>
      </w:pPr>
      <w:r w:rsidRPr="00626E69">
        <w:rPr>
          <w:rFonts w:ascii="Verdana" w:hAnsi="Verdana"/>
          <w:sz w:val="18"/>
          <w:szCs w:val="18"/>
        </w:rPr>
        <w:t xml:space="preserve">De Litouwse delegatie lichtte de lidstaten in over </w:t>
      </w:r>
      <w:r w:rsidR="009C6BAF">
        <w:rPr>
          <w:rFonts w:ascii="Verdana" w:hAnsi="Verdana"/>
          <w:sz w:val="18"/>
          <w:szCs w:val="18"/>
        </w:rPr>
        <w:t>de Litouwse</w:t>
      </w:r>
      <w:r w:rsidRPr="00626E69" w:rsidR="009C6BAF">
        <w:rPr>
          <w:rFonts w:ascii="Verdana" w:hAnsi="Verdana"/>
          <w:sz w:val="18"/>
          <w:szCs w:val="18"/>
        </w:rPr>
        <w:t xml:space="preserve"> </w:t>
      </w:r>
      <w:r w:rsidR="009C6BAF">
        <w:rPr>
          <w:rFonts w:ascii="Verdana" w:hAnsi="Verdana"/>
          <w:sz w:val="18"/>
          <w:szCs w:val="18"/>
        </w:rPr>
        <w:t>zorgen</w:t>
      </w:r>
      <w:r w:rsidRPr="00626E69" w:rsidR="009C6BAF">
        <w:rPr>
          <w:rFonts w:ascii="Verdana" w:hAnsi="Verdana"/>
          <w:sz w:val="18"/>
          <w:szCs w:val="18"/>
        </w:rPr>
        <w:t xml:space="preserve"> </w:t>
      </w:r>
      <w:r w:rsidRPr="00626E69">
        <w:rPr>
          <w:rFonts w:ascii="Verdana" w:hAnsi="Verdana"/>
          <w:sz w:val="18"/>
          <w:szCs w:val="18"/>
        </w:rPr>
        <w:t xml:space="preserve">over de ingebruikname van de kerncentrale van </w:t>
      </w:r>
      <w:proofErr w:type="spellStart"/>
      <w:r w:rsidRPr="00626E69">
        <w:rPr>
          <w:rFonts w:ascii="Verdana" w:hAnsi="Verdana"/>
          <w:sz w:val="18"/>
          <w:szCs w:val="18"/>
        </w:rPr>
        <w:t>Ostrovets</w:t>
      </w:r>
      <w:proofErr w:type="spellEnd"/>
      <w:r w:rsidRPr="00626E69">
        <w:rPr>
          <w:rFonts w:ascii="Verdana" w:hAnsi="Verdana"/>
          <w:sz w:val="18"/>
          <w:szCs w:val="18"/>
        </w:rPr>
        <w:t xml:space="preserve"> in Wit-Rusland en benadrukte de noodzaak om te voldoen aan de aanbevelingen voor nucleaire veiligheid en om te zorgen voor continu EU-toezicht op het proces.</w:t>
      </w:r>
    </w:p>
    <w:p w:rsidRPr="00626E69" w:rsidR="00E51054" w:rsidP="009F0056" w:rsidRDefault="00E51054" w14:paraId="70915F7E" w14:textId="77777777">
      <w:pPr>
        <w:pStyle w:val="Geenafstand"/>
        <w:spacing w:line="240" w:lineRule="atLeast"/>
        <w:rPr>
          <w:rFonts w:ascii="Verdana" w:hAnsi="Verdana"/>
          <w:sz w:val="18"/>
          <w:szCs w:val="18"/>
        </w:rPr>
      </w:pPr>
    </w:p>
    <w:p w:rsidRPr="00626E69" w:rsidR="00E51054" w:rsidP="009F0056" w:rsidRDefault="00E51054" w14:paraId="14095C96" w14:textId="77777777">
      <w:pPr>
        <w:pStyle w:val="Geenafstand"/>
        <w:spacing w:line="240" w:lineRule="atLeast"/>
        <w:rPr>
          <w:rFonts w:ascii="Verdana" w:hAnsi="Verdana"/>
          <w:b/>
          <w:bCs/>
          <w:sz w:val="18"/>
          <w:szCs w:val="18"/>
          <w:u w:val="single"/>
        </w:rPr>
      </w:pPr>
      <w:r w:rsidRPr="00626E69">
        <w:rPr>
          <w:rFonts w:ascii="Verdana" w:hAnsi="Verdana"/>
          <w:b/>
          <w:bCs/>
          <w:sz w:val="18"/>
          <w:szCs w:val="18"/>
          <w:u w:val="single"/>
        </w:rPr>
        <w:t>Presentatie werkprogramma aa</w:t>
      </w:r>
      <w:r w:rsidRPr="00626E69" w:rsidR="00626E69">
        <w:rPr>
          <w:rFonts w:ascii="Verdana" w:hAnsi="Verdana"/>
          <w:b/>
          <w:bCs/>
          <w:sz w:val="18"/>
          <w:szCs w:val="18"/>
          <w:u w:val="single"/>
        </w:rPr>
        <w:t>ntredende</w:t>
      </w:r>
      <w:r w:rsidRPr="00626E69">
        <w:rPr>
          <w:rFonts w:ascii="Verdana" w:hAnsi="Verdana"/>
          <w:b/>
          <w:bCs/>
          <w:sz w:val="18"/>
          <w:szCs w:val="18"/>
          <w:u w:val="single"/>
        </w:rPr>
        <w:t xml:space="preserve"> Portugese voorzitterschap</w:t>
      </w:r>
    </w:p>
    <w:p w:rsidR="009F0056" w:rsidP="009F0056" w:rsidRDefault="009F0056" w14:paraId="40F4C2DE" w14:textId="77777777">
      <w:pPr>
        <w:pStyle w:val="Geenafstand"/>
        <w:spacing w:line="240" w:lineRule="atLeast"/>
        <w:rPr>
          <w:rFonts w:ascii="Verdana" w:hAnsi="Verdana"/>
          <w:sz w:val="18"/>
          <w:szCs w:val="18"/>
        </w:rPr>
      </w:pPr>
    </w:p>
    <w:p w:rsidRPr="00626E69" w:rsidR="00626E69" w:rsidP="009F0056" w:rsidRDefault="00626E69" w14:paraId="4631AB0D" w14:textId="6228593F">
      <w:pPr>
        <w:pStyle w:val="Geenafstand"/>
        <w:spacing w:line="240" w:lineRule="atLeast"/>
        <w:rPr>
          <w:rFonts w:ascii="Verdana" w:hAnsi="Verdana"/>
          <w:sz w:val="18"/>
          <w:szCs w:val="18"/>
        </w:rPr>
      </w:pPr>
      <w:r w:rsidRPr="00626E69">
        <w:rPr>
          <w:rFonts w:ascii="Verdana" w:hAnsi="Verdana"/>
          <w:sz w:val="18"/>
          <w:szCs w:val="18"/>
        </w:rPr>
        <w:t>Tot slot presenteerde het aantredende Portugese voorzitterschap zijn werkprogramma op het gebied van energie voor de eerste helft van 2021. Portugal gaf aan onder het voorzitterschap te willen werken aan een efficiënte, klimaat-neutrale en concurrerende energiemarkt, met goede bescherming voor consumenten.</w:t>
      </w:r>
    </w:p>
    <w:p w:rsidRPr="00626E69" w:rsidR="00626E69" w:rsidP="009F0056" w:rsidRDefault="00626E69" w14:paraId="7A7BF347" w14:textId="77777777">
      <w:pPr>
        <w:pStyle w:val="Geenafstand"/>
        <w:spacing w:line="240" w:lineRule="atLeast"/>
        <w:rPr>
          <w:rFonts w:ascii="Verdana" w:hAnsi="Verdana"/>
          <w:sz w:val="18"/>
          <w:szCs w:val="18"/>
        </w:rPr>
      </w:pPr>
    </w:p>
    <w:p w:rsidRPr="00626E69" w:rsidR="000E4A82" w:rsidP="009F0056" w:rsidRDefault="000E4A82" w14:paraId="0030D7AB" w14:textId="77777777">
      <w:pPr>
        <w:spacing w:line="240" w:lineRule="atLeast"/>
        <w:rPr>
          <w:rFonts w:ascii="Verdana" w:hAnsi="Verdana"/>
          <w:sz w:val="18"/>
          <w:szCs w:val="18"/>
        </w:rPr>
      </w:pPr>
    </w:p>
    <w:sectPr w:rsidRPr="00626E69" w:rsidR="000E4A8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12E19" w14:textId="77777777" w:rsidR="004D0582" w:rsidRDefault="004D0582" w:rsidP="006D556E">
      <w:r>
        <w:separator/>
      </w:r>
    </w:p>
  </w:endnote>
  <w:endnote w:type="continuationSeparator" w:id="0">
    <w:p w14:paraId="40682E38" w14:textId="77777777" w:rsidR="004D0582" w:rsidRDefault="004D0582" w:rsidP="006D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89594" w14:textId="77777777" w:rsidR="004D0582" w:rsidRDefault="004D0582" w:rsidP="006D556E">
      <w:r>
        <w:separator/>
      </w:r>
    </w:p>
  </w:footnote>
  <w:footnote w:type="continuationSeparator" w:id="0">
    <w:p w14:paraId="44E94B80" w14:textId="77777777" w:rsidR="004D0582" w:rsidRDefault="004D0582" w:rsidP="006D556E">
      <w:r>
        <w:continuationSeparator/>
      </w:r>
    </w:p>
  </w:footnote>
  <w:footnote w:id="1">
    <w:p w14:paraId="7F8B6367" w14:textId="79BA1A01" w:rsidR="004D0582" w:rsidRPr="009F0056" w:rsidRDefault="004D0582" w:rsidP="009F0056">
      <w:pPr>
        <w:pStyle w:val="Voetnoottekst"/>
        <w:spacing w:line="180" w:lineRule="atLeast"/>
        <w:rPr>
          <w:rFonts w:ascii="Verdana" w:hAnsi="Verdana"/>
          <w:sz w:val="13"/>
          <w:szCs w:val="13"/>
        </w:rPr>
      </w:pPr>
      <w:r w:rsidRPr="009F0056">
        <w:rPr>
          <w:rStyle w:val="Voetnootmarkering"/>
          <w:rFonts w:ascii="Verdana" w:hAnsi="Verdana"/>
          <w:sz w:val="13"/>
          <w:szCs w:val="13"/>
        </w:rPr>
        <w:footnoteRef/>
      </w:r>
      <w:r w:rsidRPr="009F0056">
        <w:rPr>
          <w:rFonts w:ascii="Verdana" w:hAnsi="Verdana"/>
          <w:sz w:val="13"/>
          <w:szCs w:val="13"/>
        </w:rPr>
        <w:t xml:space="preserve"> Uitgekomen op 15 december</w:t>
      </w:r>
      <w:r w:rsidR="009F0056">
        <w:rPr>
          <w:rFonts w:ascii="Verdana" w:hAnsi="Verdana"/>
          <w:sz w:val="13"/>
          <w:szCs w:val="13"/>
        </w:rPr>
        <w:t xml:space="preserve"> 2020</w:t>
      </w:r>
    </w:p>
  </w:footnote>
  <w:footnote w:id="2">
    <w:p w14:paraId="217150AB" w14:textId="77777777" w:rsidR="004D0582" w:rsidRPr="009F0056" w:rsidRDefault="004D0582" w:rsidP="009F0056">
      <w:pPr>
        <w:pStyle w:val="Voetnoottekst"/>
        <w:spacing w:line="180" w:lineRule="atLeast"/>
        <w:rPr>
          <w:rFonts w:ascii="Verdana" w:hAnsi="Verdana"/>
          <w:sz w:val="13"/>
          <w:szCs w:val="13"/>
        </w:rPr>
      </w:pPr>
      <w:r w:rsidRPr="009F0056">
        <w:rPr>
          <w:rStyle w:val="Voetnootmarkering"/>
          <w:rFonts w:ascii="Verdana" w:hAnsi="Verdana"/>
          <w:sz w:val="13"/>
          <w:szCs w:val="13"/>
        </w:rPr>
        <w:footnoteRef/>
      </w:r>
      <w:r w:rsidRPr="009F0056">
        <w:rPr>
          <w:rFonts w:ascii="Verdana" w:hAnsi="Verdana"/>
          <w:sz w:val="13"/>
          <w:szCs w:val="13"/>
        </w:rPr>
        <w:t xml:space="preserve"> Beide staan gepland voor juni 2021</w:t>
      </w:r>
    </w:p>
  </w:footnote>
  <w:footnote w:id="3">
    <w:p w14:paraId="1330797B" w14:textId="77777777" w:rsidR="004D0582" w:rsidRPr="009F0056" w:rsidRDefault="004D0582" w:rsidP="009F0056">
      <w:pPr>
        <w:pStyle w:val="Voetnoottekst"/>
        <w:spacing w:line="180" w:lineRule="atLeast"/>
        <w:rPr>
          <w:rFonts w:ascii="Verdana" w:hAnsi="Verdana"/>
          <w:sz w:val="13"/>
          <w:szCs w:val="13"/>
        </w:rPr>
      </w:pPr>
      <w:r w:rsidRPr="009F0056">
        <w:rPr>
          <w:rStyle w:val="Voetnootmarkering"/>
          <w:rFonts w:ascii="Verdana" w:hAnsi="Verdana"/>
          <w:sz w:val="13"/>
          <w:szCs w:val="13"/>
        </w:rPr>
        <w:footnoteRef/>
      </w:r>
      <w:r w:rsidRPr="009F0056">
        <w:rPr>
          <w:rFonts w:ascii="Verdana" w:hAnsi="Verdana"/>
          <w:sz w:val="13"/>
          <w:szCs w:val="13"/>
        </w:rPr>
        <w:t xml:space="preserve"> Staat gepland voor het vierde kwartaal in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F5379"/>
    <w:multiLevelType w:val="multilevel"/>
    <w:tmpl w:val="09DEE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124BB"/>
    <w:multiLevelType w:val="multilevel"/>
    <w:tmpl w:val="99A8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55ECF"/>
    <w:multiLevelType w:val="multilevel"/>
    <w:tmpl w:val="109C8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133C5"/>
    <w:multiLevelType w:val="multilevel"/>
    <w:tmpl w:val="97D44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43931"/>
    <w:multiLevelType w:val="multilevel"/>
    <w:tmpl w:val="91F86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055D4A"/>
    <w:multiLevelType w:val="multilevel"/>
    <w:tmpl w:val="6922C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34C8E"/>
    <w:multiLevelType w:val="multilevel"/>
    <w:tmpl w:val="2FAE7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7A49EE"/>
    <w:multiLevelType w:val="multilevel"/>
    <w:tmpl w:val="C44A0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72893"/>
    <w:multiLevelType w:val="multilevel"/>
    <w:tmpl w:val="94226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261BB"/>
    <w:multiLevelType w:val="multilevel"/>
    <w:tmpl w:val="26FA9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9"/>
  </w:num>
  <w:num w:numId="5">
    <w:abstractNumId w:val="8"/>
  </w:num>
  <w:num w:numId="6">
    <w:abstractNumId w:val="1"/>
  </w:num>
  <w:num w:numId="7">
    <w:abstractNumId w:val="5"/>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76"/>
    <w:rsid w:val="00000376"/>
    <w:rsid w:val="000E4A82"/>
    <w:rsid w:val="00256212"/>
    <w:rsid w:val="003512EF"/>
    <w:rsid w:val="0035253C"/>
    <w:rsid w:val="00393405"/>
    <w:rsid w:val="004D0582"/>
    <w:rsid w:val="00622CC6"/>
    <w:rsid w:val="00626E69"/>
    <w:rsid w:val="006D2021"/>
    <w:rsid w:val="006D556E"/>
    <w:rsid w:val="006F2088"/>
    <w:rsid w:val="007951FC"/>
    <w:rsid w:val="007B49B9"/>
    <w:rsid w:val="007C560C"/>
    <w:rsid w:val="007D7238"/>
    <w:rsid w:val="00822728"/>
    <w:rsid w:val="008D77F8"/>
    <w:rsid w:val="00914AEF"/>
    <w:rsid w:val="009C6BAF"/>
    <w:rsid w:val="009F0056"/>
    <w:rsid w:val="00AB7346"/>
    <w:rsid w:val="00B432E7"/>
    <w:rsid w:val="00B5575C"/>
    <w:rsid w:val="00BF082A"/>
    <w:rsid w:val="00C37108"/>
    <w:rsid w:val="00CB1FD7"/>
    <w:rsid w:val="00CB6E1C"/>
    <w:rsid w:val="00D6402A"/>
    <w:rsid w:val="00DE3DD0"/>
    <w:rsid w:val="00E51054"/>
    <w:rsid w:val="00E84290"/>
    <w:rsid w:val="00E87844"/>
    <w:rsid w:val="00F43A4E"/>
    <w:rsid w:val="00F81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4958"/>
  <w15:chartTrackingRefBased/>
  <w15:docId w15:val="{50D64474-BD7B-4E2C-85DE-27010A2A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0376"/>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00376"/>
    <w:pPr>
      <w:spacing w:before="100" w:beforeAutospacing="1" w:after="100" w:afterAutospacing="1"/>
    </w:pPr>
  </w:style>
  <w:style w:type="character" w:styleId="Zwaar">
    <w:name w:val="Strong"/>
    <w:basedOn w:val="Standaardalinea-lettertype"/>
    <w:uiPriority w:val="22"/>
    <w:qFormat/>
    <w:rsid w:val="00000376"/>
    <w:rPr>
      <w:b/>
      <w:bCs/>
    </w:rPr>
  </w:style>
  <w:style w:type="character" w:styleId="Nadruk">
    <w:name w:val="Emphasis"/>
    <w:basedOn w:val="Standaardalinea-lettertype"/>
    <w:uiPriority w:val="20"/>
    <w:qFormat/>
    <w:rsid w:val="00000376"/>
    <w:rPr>
      <w:i/>
      <w:iCs/>
    </w:rPr>
  </w:style>
  <w:style w:type="paragraph" w:styleId="Geenafstand">
    <w:name w:val="No Spacing"/>
    <w:uiPriority w:val="1"/>
    <w:qFormat/>
    <w:rsid w:val="00000376"/>
    <w:pPr>
      <w:spacing w:after="0" w:line="240" w:lineRule="auto"/>
    </w:pPr>
  </w:style>
  <w:style w:type="paragraph" w:styleId="Voetnoottekst">
    <w:name w:val="footnote text"/>
    <w:basedOn w:val="Standaard"/>
    <w:link w:val="VoetnoottekstChar"/>
    <w:uiPriority w:val="99"/>
    <w:semiHidden/>
    <w:unhideWhenUsed/>
    <w:rsid w:val="006D556E"/>
    <w:rPr>
      <w:sz w:val="20"/>
      <w:szCs w:val="20"/>
    </w:rPr>
  </w:style>
  <w:style w:type="character" w:customStyle="1" w:styleId="VoetnoottekstChar">
    <w:name w:val="Voetnoottekst Char"/>
    <w:basedOn w:val="Standaardalinea-lettertype"/>
    <w:link w:val="Voetnoottekst"/>
    <w:uiPriority w:val="99"/>
    <w:semiHidden/>
    <w:rsid w:val="006D556E"/>
    <w:rPr>
      <w:rFonts w:ascii="Calibri" w:hAnsi="Calibri" w:cs="Calibri"/>
      <w:sz w:val="20"/>
      <w:szCs w:val="20"/>
      <w:lang w:eastAsia="nl-NL"/>
    </w:rPr>
  </w:style>
  <w:style w:type="character" w:styleId="Voetnootmarkering">
    <w:name w:val="footnote reference"/>
    <w:basedOn w:val="Standaardalinea-lettertype"/>
    <w:uiPriority w:val="99"/>
    <w:semiHidden/>
    <w:unhideWhenUsed/>
    <w:rsid w:val="006D556E"/>
    <w:rPr>
      <w:vertAlign w:val="superscript"/>
    </w:rPr>
  </w:style>
  <w:style w:type="paragraph" w:styleId="Ballontekst">
    <w:name w:val="Balloon Text"/>
    <w:basedOn w:val="Standaard"/>
    <w:link w:val="BallontekstChar"/>
    <w:uiPriority w:val="99"/>
    <w:semiHidden/>
    <w:unhideWhenUsed/>
    <w:rsid w:val="006D556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556E"/>
    <w:rPr>
      <w:rFonts w:ascii="Segoe UI" w:hAnsi="Segoe UI" w:cs="Segoe UI"/>
      <w:sz w:val="18"/>
      <w:szCs w:val="18"/>
      <w:lang w:eastAsia="nl-NL"/>
    </w:rPr>
  </w:style>
  <w:style w:type="character" w:styleId="Verwijzingopmerking">
    <w:name w:val="annotation reference"/>
    <w:basedOn w:val="Standaardalinea-lettertype"/>
    <w:uiPriority w:val="99"/>
    <w:semiHidden/>
    <w:unhideWhenUsed/>
    <w:rsid w:val="00F43A4E"/>
    <w:rPr>
      <w:sz w:val="16"/>
      <w:szCs w:val="16"/>
    </w:rPr>
  </w:style>
  <w:style w:type="paragraph" w:styleId="Tekstopmerking">
    <w:name w:val="annotation text"/>
    <w:basedOn w:val="Standaard"/>
    <w:link w:val="TekstopmerkingChar"/>
    <w:uiPriority w:val="99"/>
    <w:semiHidden/>
    <w:unhideWhenUsed/>
    <w:rsid w:val="00F43A4E"/>
    <w:rPr>
      <w:sz w:val="20"/>
      <w:szCs w:val="20"/>
    </w:rPr>
  </w:style>
  <w:style w:type="character" w:customStyle="1" w:styleId="TekstopmerkingChar">
    <w:name w:val="Tekst opmerking Char"/>
    <w:basedOn w:val="Standaardalinea-lettertype"/>
    <w:link w:val="Tekstopmerking"/>
    <w:uiPriority w:val="99"/>
    <w:semiHidden/>
    <w:rsid w:val="00F43A4E"/>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43A4E"/>
    <w:rPr>
      <w:b/>
      <w:bCs/>
    </w:rPr>
  </w:style>
  <w:style w:type="character" w:customStyle="1" w:styleId="OnderwerpvanopmerkingChar">
    <w:name w:val="Onderwerp van opmerking Char"/>
    <w:basedOn w:val="TekstopmerkingChar"/>
    <w:link w:val="Onderwerpvanopmerking"/>
    <w:uiPriority w:val="99"/>
    <w:semiHidden/>
    <w:rsid w:val="00F43A4E"/>
    <w:rPr>
      <w:rFonts w:ascii="Calibri" w:hAnsi="Calibri" w:cs="Calibri"/>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710</ap:Words>
  <ap:Characters>3909</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2021-01-07T16:32:00.0000000Z</dcterms:created>
  <dcterms:modified xsi:type="dcterms:W3CDTF">2021-01-07T16:32:00.0000000Z</dcterms:modified>
  <version/>
  <category/>
</coreProperties>
</file>