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30E0F41A" wp14:anchorId="38D7263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C39A57A" wp14:anchorId="41015C2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W16.20.0438/II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20 januari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77CB0" w:rsidRDefault="00332D15">
              <w:r>
                <w:t>Bij Kabinetsmissive van 27 november 2020, no.2020002429, heeft Uwe Majesteit, op voordracht van de Minister van Justitie en Veiligheid, bij de Afdeling advisering van de Raad van State ter overweging aanhangig gemaakt het voorstel van wet tot wijziging van de Wet ter Bescherming Koopvaardij houdende aanpassingen in verband met het certificerings- en vergunningstelsel, de positie van particuliere maritieme beveiligers, de scheepsbeheerder en de kapitein, de verwerking van bijzondere persoonsgegevens en herstel van enkele onvolkomenheden (Reparatiewet WtBK), met memorie van toelichting.</w:t>
              </w:r>
            </w:p>
          </w:sdtContent>
        </w:sdt>
        <w:p w:rsidR="0071031E" w:rsidRDefault="0071031E"/>
        <w:sdt>
          <w:sdtPr>
            <w:alias w:val="VrijeTekst1"/>
            <w:tag w:val="VrijeTekst1"/>
            <w:id w:val="-437221631"/>
          </w:sdtPr>
          <w:sdtEndPr/>
          <w:sdtContent>
            <w:p w:rsidR="00856FB0" w:rsidP="00954004" w:rsidRDefault="00332D15">
              <w:r w:rsidRPr="00E27A83">
                <w:t>Op 15 mei 2019 is de Wet ter Bescherming Koopvaardij tot stand gekomen (WtBK).</w:t>
              </w:r>
              <w:r>
                <w:rPr>
                  <w:rStyle w:val="FootnoteReference"/>
                </w:rPr>
                <w:footnoteReference w:id="1"/>
              </w:r>
              <w:r w:rsidRPr="00E27A83">
                <w:t xml:space="preserve"> Deze wet ziet op de inzet van gewapende particuliere bescherming in zeegebieden waar piraterijgevaar is te duchten en waarbij van overheidswege geen bescherming aan koopvaardijschepen kan worden geboden. Bij de totstandkoming van het Besluit bescherming koopvaardij</w:t>
              </w:r>
              <w:r>
                <w:t xml:space="preserve">, </w:t>
              </w:r>
              <w:r w:rsidRPr="00E27A83">
                <w:t>d</w:t>
              </w:r>
              <w:r>
                <w:t>at</w:t>
              </w:r>
              <w:r w:rsidRPr="00E27A83">
                <w:t xml:space="preserve"> nodig is voor de inwerkingtreding van deze wet</w:t>
              </w:r>
              <w:r>
                <w:t>,</w:t>
              </w:r>
              <w:r w:rsidRPr="00E27A83">
                <w:t xml:space="preserve"> zijn enkele knelpunten in de wet aan het licht gekomen die aan de beoogde werking van de wet in de weg staan. Ook is een aanvullende grondslag noodzakelijk met het oog op de verwerking van bijzondere persoonsgegevens bij de uitvoering van de wet. Daarom voorziet het voorstel in een aantal aanpassingen in de WtBK. Verder worden enkele wetstechnische onvolkomenheden hersteld.</w:t>
              </w:r>
            </w:p>
            <w:p w:rsidR="004F07FC" w:rsidP="00954004" w:rsidRDefault="00733360"/>
            <w:p w:rsidR="00B10A7E" w:rsidP="00954004" w:rsidRDefault="00332D15">
              <w:r w:rsidRPr="00B10A7E">
                <w:t>De Afdeling advisering van de Raad van State maakt opmerkingen over</w:t>
              </w:r>
              <w:r>
                <w:t xml:space="preserve"> de grondslag voor de verwerking van persoonsgegevens bij de uitvoering van de wet en over de samenwerking met buitenlandse instanties</w:t>
              </w:r>
              <w:r w:rsidRPr="00B10A7E">
                <w:t xml:space="preserve">. In verband daarmee is aanpassing </w:t>
              </w:r>
              <w:r>
                <w:t xml:space="preserve">wenselijk </w:t>
              </w:r>
              <w:r w:rsidRPr="00B10A7E">
                <w:t xml:space="preserve">van </w:t>
              </w:r>
              <w:r>
                <w:t xml:space="preserve">de </w:t>
              </w:r>
              <w:r w:rsidRPr="00B10A7E">
                <w:t xml:space="preserve">toelichting </w:t>
              </w:r>
              <w:r>
                <w:t>en zo nodig van het wetsvoorstel</w:t>
              </w:r>
              <w:r w:rsidRPr="00B10A7E">
                <w:t>.</w:t>
              </w:r>
            </w:p>
            <w:p w:rsidR="004F07FC" w:rsidP="00954004" w:rsidRDefault="00733360"/>
            <w:p w:rsidR="00BF1840" w:rsidP="00954004" w:rsidRDefault="00332D15">
              <w:r>
                <w:t>1.</w:t>
              </w:r>
              <w:r>
                <w:tab/>
              </w:r>
              <w:r>
                <w:rPr>
                  <w:u w:val="single"/>
                </w:rPr>
                <w:t>V</w:t>
              </w:r>
              <w:r w:rsidRPr="00BF1840">
                <w:rPr>
                  <w:u w:val="single"/>
                </w:rPr>
                <w:t>erwerking</w:t>
              </w:r>
              <w:r>
                <w:rPr>
                  <w:u w:val="single"/>
                </w:rPr>
                <w:t xml:space="preserve"> van persoonsgegevens</w:t>
              </w:r>
            </w:p>
            <w:p w:rsidR="00BF1840" w:rsidP="00954004" w:rsidRDefault="00733360"/>
            <w:p w:rsidR="00C52CE8" w:rsidP="00E102EE" w:rsidRDefault="00332D15">
              <w:r>
                <w:t>Het wetsvoorstel voorziet in een aanvullende grondslag voor de verwerking van persoonsgegevens bij de uitvoering van de wet. Dit betreft de verwerking van persoonsgegevens van strafrechtelijke aard en gezondheidsgegevens door de Inspectie Leefomgeving en Transport (ILT), voor zover deze noodzakelijk is in het kader van de vergunningverlening, het toezicht en de handhaving van de bij en krachtens de wet gestelde regels.</w:t>
              </w:r>
              <w:r>
                <w:rPr>
                  <w:rStyle w:val="FootnoteReference"/>
                </w:rPr>
                <w:footnoteReference w:id="2"/>
              </w:r>
              <w:r>
                <w:t xml:space="preserve"> Ten aanzien van deze bepaling heeft de Autoriteit Persoonsgegevens (AP)</w:t>
              </w:r>
              <w:r>
                <w:rPr>
                  <w:rStyle w:val="FootnoteReference"/>
                </w:rPr>
                <w:footnoteReference w:id="3"/>
              </w:r>
              <w:r>
                <w:t xml:space="preserve"> onder meer gewezen op de passende en specifieke maatregelen die moeten worden getroffen ter bescherming van de grondrechten en de fundamentele belangen van de betrokkenen.</w:t>
              </w:r>
              <w:r>
                <w:rPr>
                  <w:rStyle w:val="FootnoteReference"/>
                </w:rPr>
                <w:footnoteReference w:id="4"/>
              </w:r>
              <w:r>
                <w:t xml:space="preserve"> Naar aanleiding van deze opmerking wijst de toelichting op de geheimhoudingsplicht van artikel 2:5 van de Algemene wet bestuursrecht en op de privacyverklaring waarover de ILT beschikt. In deze privacyverklaring wordt onder meer opgenomen </w:t>
              </w:r>
              <w:r w:rsidRPr="007F1224">
                <w:t>welke gegevens hoe lang worden bewaard</w:t>
              </w:r>
              <w:r>
                <w:t>.</w:t>
              </w:r>
              <w:r>
                <w:rPr>
                  <w:rStyle w:val="FootnoteReference"/>
                </w:rPr>
                <w:footnoteReference w:id="5"/>
              </w:r>
            </w:p>
            <w:p w:rsidR="00C52CE8" w:rsidP="00E102EE" w:rsidRDefault="00733360"/>
            <w:p w:rsidRPr="00586F7A" w:rsidR="00DF6586" w:rsidP="009C2D90" w:rsidRDefault="00332D15">
              <w:r w:rsidRPr="009C2D90">
                <w:lastRenderedPageBreak/>
                <w:t>De Afdeling stelt vast dat hiermee in overeenstemming met de A</w:t>
              </w:r>
              <w:r>
                <w:t>lgemene Verordening Gegevensbescherming (A</w:t>
              </w:r>
              <w:r w:rsidRPr="009C2D90">
                <w:t>VG</w:t>
              </w:r>
              <w:r>
                <w:t>)</w:t>
              </w:r>
              <w:r w:rsidRPr="009C2D90">
                <w:t xml:space="preserve"> een aantal waarborgen wordt geboden. Echter, met uitzondering van de geheimhoudingsplicht, zijn de waarborgen niet opgenomen in een lidstaatrechtelijke bepaling, zoals wel vereist wordt door de AVG.</w:t>
              </w:r>
              <w:r w:rsidRPr="009C2D90">
                <w:rPr>
                  <w:vertAlign w:val="superscript"/>
                </w:rPr>
                <w:footnoteReference w:id="6"/>
              </w:r>
              <w:r w:rsidRPr="009C2D90">
                <w:t xml:space="preserve"> Zo worden in het voorstel </w:t>
              </w:r>
              <w:r>
                <w:t xml:space="preserve">en het daarop gebaseerde Besluit bescherming koopvaardij </w:t>
              </w:r>
              <w:r w:rsidRPr="009C2D90">
                <w:t>geen regels gesteld over de uitoefening van de rechten van betrokkenen</w:t>
              </w:r>
              <w:r>
                <w:t xml:space="preserve"> en de bewaartermijn</w:t>
              </w:r>
              <w:r w:rsidRPr="009C2D90">
                <w:t xml:space="preserve">. </w:t>
              </w:r>
              <w:r w:rsidRPr="00586F7A">
                <w:t xml:space="preserve">Daarmee verzekert het voorstel in onvoldoende mate de </w:t>
              </w:r>
              <w:r>
                <w:t>op grond van de AVG vereiste passende en specifieke maatregelen bij de</w:t>
              </w:r>
              <w:r w:rsidRPr="00586F7A">
                <w:t xml:space="preserve"> verwerking van bijzondere en strafrechtelijke gegevens.</w:t>
              </w:r>
            </w:p>
            <w:p w:rsidRPr="00586F7A" w:rsidR="00DF6586" w:rsidP="009C2D90" w:rsidRDefault="00733360"/>
            <w:p w:rsidR="00DF6586" w:rsidP="009C2D90" w:rsidRDefault="00332D15">
              <w:r w:rsidRPr="00586F7A">
                <w:t xml:space="preserve">De Afdeling adviseert in de toelichting op het voorgaande in te gaan en het </w:t>
              </w:r>
              <w:r>
                <w:t>wets</w:t>
              </w:r>
              <w:r w:rsidRPr="00586F7A">
                <w:t>voorstel zo nodig aan te passen.</w:t>
              </w:r>
            </w:p>
            <w:p w:rsidR="00DF6586" w:rsidP="009C2D90" w:rsidRDefault="00733360"/>
            <w:p w:rsidR="00707C2A" w:rsidP="00E102EE" w:rsidRDefault="00332D15">
              <w:r>
                <w:t>2.</w:t>
              </w:r>
              <w:r>
                <w:tab/>
              </w:r>
              <w:r w:rsidRPr="007E0AB0">
                <w:rPr>
                  <w:u w:val="single"/>
                </w:rPr>
                <w:t>Internationale samenwerking</w:t>
              </w:r>
            </w:p>
            <w:p w:rsidR="00707C2A" w:rsidP="00E102EE" w:rsidRDefault="00733360"/>
            <w:p w:rsidR="004F20CC" w:rsidP="00E102EE" w:rsidRDefault="00332D15">
              <w:r>
                <w:t xml:space="preserve">Het voorgestelde artikel 17b bevat een grondslag voor internationale samenwerking en uitwisseling van gegevens met buitenlandse instanties in het kader van vergunningverlening, toezicht en handhaving. De Autoriteit Persoonsgegevens (AP) heeft in dit verband geadviseerd in de toelichting te vermelden voor welke landen en buitenlandse instanties doorgifte van persoonsgegevens noodzakelijk is. Indien en voor zover het daarbij gaat om derde landen in de zin van de AVG, adviseert de AP in te gaan op de wijze waarop wordt voldaan aan de relevante eisen van de AVG daaromtrent. </w:t>
              </w:r>
            </w:p>
            <w:p w:rsidR="004F20CC" w:rsidP="00E102EE" w:rsidRDefault="00733360"/>
            <w:p w:rsidR="00D142A1" w:rsidP="00E102EE" w:rsidRDefault="00332D15">
              <w:r>
                <w:t>In reactie hierop vermeldt de toelichting dat de betreffende instanties zich vooral binnen de Europese Unie (EU) zullen bevinden.</w:t>
              </w:r>
              <w:r>
                <w:rPr>
                  <w:rStyle w:val="FootnoteReference"/>
                </w:rPr>
                <w:footnoteReference w:id="7"/>
              </w:r>
              <w:r>
                <w:t xml:space="preserve"> Indien en voor zover sprake zou zijn van doorgifte van persoonsgegevens aan derde landen, geldt volgens de toelichting uiteraard Hoofdstuk V van de AVG.</w:t>
              </w:r>
              <w:r>
                <w:rPr>
                  <w:rStyle w:val="FootnoteReference"/>
                </w:rPr>
                <w:footnoteReference w:id="8"/>
              </w:r>
            </w:p>
            <w:p w:rsidR="00D142A1" w:rsidP="00E102EE" w:rsidRDefault="00733360"/>
            <w:p w:rsidR="004F20CC" w:rsidP="0073724C" w:rsidRDefault="00332D15">
              <w:r>
                <w:t xml:space="preserve">De Afdeling acht deze toelichting ontoereikend. </w:t>
              </w:r>
              <w:r w:rsidRPr="0073724C">
                <w:t>Uitwisseling van persoonsgegevens met derde landen is onder de AVG slechts in een beperkt aantal gevallen mogelijk.</w:t>
              </w:r>
              <w:r w:rsidRPr="0073724C">
                <w:rPr>
                  <w:vertAlign w:val="superscript"/>
                </w:rPr>
                <w:footnoteReference w:id="9"/>
              </w:r>
              <w:r w:rsidRPr="0073724C">
                <w:t xml:space="preserve"> </w:t>
              </w:r>
              <w:r>
                <w:t>Zonder adequaatheidsbesluit van de Europese Commissie is g</w:t>
              </w:r>
              <w:r w:rsidRPr="0073724C">
                <w:t xml:space="preserve">egevensuitwisseling met derde landen </w:t>
              </w:r>
              <w:r>
                <w:t>in beginsel slechts</w:t>
              </w:r>
              <w:r w:rsidRPr="0073724C">
                <w:t xml:space="preserve"> toegestaan indien </w:t>
              </w:r>
              <w:r>
                <w:t>de verwerkingsverantwoordelijke</w:t>
              </w:r>
              <w:r w:rsidRPr="0073724C">
                <w:t xml:space="preserve"> passende waarborgen biedt</w:t>
              </w:r>
              <w:r>
                <w:t xml:space="preserve"> </w:t>
              </w:r>
              <w:r w:rsidRPr="00605BDE">
                <w:t>en betrokkenen over afdwingbare rechten en doeltreffende rechtsmiddelen beschikken</w:t>
              </w:r>
              <w:r w:rsidRPr="0073724C">
                <w:t>.</w:t>
              </w:r>
              <w:r w:rsidRPr="0073724C">
                <w:rPr>
                  <w:vertAlign w:val="superscript"/>
                </w:rPr>
                <w:footnoteReference w:id="10"/>
              </w:r>
              <w:r w:rsidRPr="0073724C">
                <w:t xml:space="preserve"> </w:t>
              </w:r>
            </w:p>
            <w:p w:rsidR="004F20CC" w:rsidP="0073724C" w:rsidRDefault="00733360"/>
            <w:p w:rsidR="008F1C06" w:rsidP="0073724C" w:rsidRDefault="00332D15">
              <w:r w:rsidRPr="00536DE3">
                <w:t>De AVG noemt een aantal instrumenten die deze passende waarborgen kunnen bieden.</w:t>
              </w:r>
              <w:r w:rsidRPr="00605BDE">
                <w:rPr>
                  <w:vertAlign w:val="superscript"/>
                </w:rPr>
                <w:footnoteReference w:id="11"/>
              </w:r>
              <w:r w:rsidRPr="00605BDE">
                <w:t xml:space="preserve"> Met betrekking tot overheidsinstanties </w:t>
              </w:r>
              <w:r>
                <w:t>kunnen dit</w:t>
              </w:r>
              <w:r w:rsidRPr="00605BDE">
                <w:t xml:space="preserve"> enerzijds juridisch bindende en afdwingbare instrumenten tussen overheidsinstanties of -organen</w:t>
              </w:r>
              <w:r>
                <w:t xml:space="preserve"> zijn</w:t>
              </w:r>
              <w:r w:rsidRPr="00605BDE">
                <w:t>,</w:t>
              </w:r>
              <w:r w:rsidRPr="00605BDE">
                <w:rPr>
                  <w:vertAlign w:val="superscript"/>
                </w:rPr>
                <w:footnoteReference w:id="12"/>
              </w:r>
              <w:r w:rsidRPr="00605BDE">
                <w:t xml:space="preserve"> en anderzijds bepalingen in administratieve regelingen tussen overheidsinstanties of -organen, mits toestemming van de AP is verkregen.</w:t>
              </w:r>
              <w:r w:rsidRPr="00605BDE">
                <w:rPr>
                  <w:vertAlign w:val="superscript"/>
                </w:rPr>
                <w:footnoteReference w:id="13"/>
              </w:r>
              <w:r>
                <w:t xml:space="preserve"> </w:t>
              </w:r>
              <w:r w:rsidRPr="00215E6B">
                <w:t xml:space="preserve">Uit de toelichting blijkt echter niet </w:t>
              </w:r>
              <w:r>
                <w:t>welke concrete</w:t>
              </w:r>
              <w:r w:rsidRPr="00215E6B">
                <w:t xml:space="preserve"> passende waarborgen, toegesneden op deze specifieke gegevensuitwisseling en gelet op de vereisten </w:t>
              </w:r>
              <w:r>
                <w:t xml:space="preserve">en opties </w:t>
              </w:r>
              <w:r w:rsidRPr="00215E6B">
                <w:t xml:space="preserve">van artikel 46 </w:t>
              </w:r>
              <w:bookmarkStart w:name="HiLite-d36147e268" w:id="1"/>
              <w:r w:rsidRPr="00215E6B">
                <w:t>AVG</w:t>
              </w:r>
              <w:bookmarkEnd w:id="1"/>
              <w:r w:rsidRPr="00215E6B">
                <w:t>, worden geboden.</w:t>
              </w:r>
            </w:p>
            <w:p w:rsidR="00F05C2F" w:rsidP="0073724C" w:rsidRDefault="00733360"/>
            <w:p w:rsidR="00E13490" w:rsidP="00856FB0" w:rsidRDefault="00332D15">
              <w:r w:rsidRPr="00F05C2F">
                <w:t>De Afdeling adviseert in de toelichting op het voorgaande in te gaan.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177CB0" w:rsidRDefault="00332D15">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177CB0"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332D15" w:rsidP="005B3E03">
      <w:r>
        <w:separator/>
      </w:r>
    </w:p>
  </w:endnote>
  <w:endnote w:type="continuationSeparator" w:id="0">
    <w:p w:rsidR="00954004" w:rsidRDefault="00332D1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0C244C5" wp14:editId="77D506E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332D15" w:rsidP="005B3E03">
      <w:r>
        <w:separator/>
      </w:r>
    </w:p>
  </w:footnote>
  <w:footnote w:type="continuationSeparator" w:id="0">
    <w:p w:rsidR="00954004" w:rsidRDefault="00332D15" w:rsidP="005B3E03">
      <w:r>
        <w:continuationSeparator/>
      </w:r>
    </w:p>
  </w:footnote>
  <w:footnote w:id="1">
    <w:p w:rsidR="004F20CC" w:rsidRDefault="00332D15">
      <w:pPr>
        <w:pStyle w:val="FootnoteText"/>
      </w:pPr>
      <w:r>
        <w:rPr>
          <w:rStyle w:val="FootnoteReference"/>
        </w:rPr>
        <w:footnoteRef/>
      </w:r>
      <w:r>
        <w:t xml:space="preserve"> </w:t>
      </w:r>
      <w:r>
        <w:tab/>
      </w:r>
      <w:r w:rsidRPr="004F20CC">
        <w:t>Stb. 2019, 186</w:t>
      </w:r>
      <w:r>
        <w:t>.</w:t>
      </w:r>
    </w:p>
  </w:footnote>
  <w:footnote w:id="2">
    <w:p w:rsidR="001C65ED" w:rsidRDefault="00332D15">
      <w:pPr>
        <w:pStyle w:val="FootnoteText"/>
      </w:pPr>
      <w:r>
        <w:rPr>
          <w:rStyle w:val="FootnoteReference"/>
        </w:rPr>
        <w:footnoteRef/>
      </w:r>
      <w:r>
        <w:t xml:space="preserve"> </w:t>
      </w:r>
      <w:r>
        <w:tab/>
        <w:t xml:space="preserve">Zie </w:t>
      </w:r>
      <w:r w:rsidRPr="001C65ED">
        <w:t>het voorgestelde artikel 14a</w:t>
      </w:r>
      <w:r>
        <w:t xml:space="preserve"> WtBK.</w:t>
      </w:r>
    </w:p>
  </w:footnote>
  <w:footnote w:id="3">
    <w:p w:rsidR="003F7539" w:rsidRDefault="00332D15">
      <w:pPr>
        <w:pStyle w:val="FootnoteText"/>
      </w:pPr>
      <w:r>
        <w:rPr>
          <w:rStyle w:val="FootnoteReference"/>
        </w:rPr>
        <w:footnoteRef/>
      </w:r>
      <w:r>
        <w:t xml:space="preserve"> </w:t>
      </w:r>
      <w:r>
        <w:tab/>
        <w:t>Autoriteit Persoonsgegevens, Advies over het concept wijziging van de Wet ter Bescherming Koopvaardij d.d. 13 mei 2020, p. 2.</w:t>
      </w:r>
    </w:p>
  </w:footnote>
  <w:footnote w:id="4">
    <w:p w:rsidR="000767F4" w:rsidRDefault="00332D15">
      <w:pPr>
        <w:pStyle w:val="FootnoteText"/>
      </w:pPr>
      <w:r>
        <w:rPr>
          <w:rStyle w:val="FootnoteReference"/>
        </w:rPr>
        <w:footnoteRef/>
      </w:r>
      <w:r>
        <w:t xml:space="preserve"> </w:t>
      </w:r>
      <w:r>
        <w:tab/>
        <w:t>Zie artikel 9, tweede lid, onderdeel g, en artikel 10 AVG.</w:t>
      </w:r>
    </w:p>
  </w:footnote>
  <w:footnote w:id="5">
    <w:p w:rsidR="000336C9" w:rsidRDefault="00332D15">
      <w:pPr>
        <w:pStyle w:val="FootnoteText"/>
      </w:pPr>
      <w:r>
        <w:rPr>
          <w:rStyle w:val="FootnoteReference"/>
        </w:rPr>
        <w:footnoteRef/>
      </w:r>
      <w:r>
        <w:t xml:space="preserve"> </w:t>
      </w:r>
      <w:r>
        <w:tab/>
        <w:t>Artikelsgewijze toelichting bij artikel I.</w:t>
      </w:r>
    </w:p>
  </w:footnote>
  <w:footnote w:id="6">
    <w:p w:rsidR="009C2D90" w:rsidRDefault="00332D15" w:rsidP="009C2D90">
      <w:pPr>
        <w:pStyle w:val="FootnoteText"/>
      </w:pPr>
      <w:r>
        <w:rPr>
          <w:rStyle w:val="FootnoteReference"/>
        </w:rPr>
        <w:footnoteRef/>
      </w:r>
      <w:r>
        <w:t xml:space="preserve"> </w:t>
      </w:r>
      <w:r>
        <w:tab/>
        <w:t xml:space="preserve">Artikel 10 AVG. </w:t>
      </w:r>
      <w:r w:rsidRPr="00536DE3">
        <w:t>De privacyverklaring van de ILT is geen lidstatelijk recht.</w:t>
      </w:r>
    </w:p>
  </w:footnote>
  <w:footnote w:id="7">
    <w:p w:rsidR="00C4447B" w:rsidRDefault="00332D15">
      <w:pPr>
        <w:pStyle w:val="FootnoteText"/>
      </w:pPr>
      <w:r>
        <w:rPr>
          <w:rStyle w:val="FootnoteReference"/>
        </w:rPr>
        <w:footnoteRef/>
      </w:r>
      <w:r>
        <w:t xml:space="preserve"> </w:t>
      </w:r>
      <w:r>
        <w:tab/>
      </w:r>
      <w:r w:rsidRPr="00C4447B">
        <w:t xml:space="preserve">Autoriteit persoonsgegevens, Advies over het concept wijziging van de Wet ter Bescherming Koopvaardij d.d. 13 mei 2020, p. </w:t>
      </w:r>
      <w:r>
        <w:t>3.</w:t>
      </w:r>
    </w:p>
  </w:footnote>
  <w:footnote w:id="8">
    <w:p w:rsidR="00BB10D9" w:rsidRDefault="00332D15">
      <w:pPr>
        <w:pStyle w:val="FootnoteText"/>
      </w:pPr>
      <w:r>
        <w:rPr>
          <w:rStyle w:val="FootnoteReference"/>
        </w:rPr>
        <w:footnoteRef/>
      </w:r>
      <w:r>
        <w:t xml:space="preserve"> </w:t>
      </w:r>
      <w:r>
        <w:tab/>
        <w:t>Artikelsgewijze toelichting bij artikel L.</w:t>
      </w:r>
    </w:p>
  </w:footnote>
  <w:footnote w:id="9">
    <w:p w:rsidR="0073724C" w:rsidRDefault="00332D15" w:rsidP="0073724C">
      <w:pPr>
        <w:pStyle w:val="FootnoteText"/>
      </w:pPr>
      <w:r>
        <w:rPr>
          <w:rStyle w:val="FootnoteReference"/>
        </w:rPr>
        <w:footnoteRef/>
      </w:r>
      <w:r>
        <w:t xml:space="preserve"> </w:t>
      </w:r>
      <w:r>
        <w:tab/>
        <w:t>Artikel 45, 46, 47, 49 AVG.</w:t>
      </w:r>
    </w:p>
  </w:footnote>
  <w:footnote w:id="10">
    <w:p w:rsidR="0073724C" w:rsidRDefault="00332D15" w:rsidP="0073724C">
      <w:pPr>
        <w:pStyle w:val="FootnoteText"/>
      </w:pPr>
      <w:r>
        <w:rPr>
          <w:rStyle w:val="FootnoteReference"/>
        </w:rPr>
        <w:footnoteRef/>
      </w:r>
      <w:r>
        <w:t xml:space="preserve"> </w:t>
      </w:r>
      <w:r>
        <w:tab/>
        <w:t>Artikel 46 AVG.</w:t>
      </w:r>
    </w:p>
  </w:footnote>
  <w:footnote w:id="11">
    <w:p w:rsidR="00605BDE" w:rsidRDefault="00332D15" w:rsidP="00605BDE">
      <w:pPr>
        <w:pStyle w:val="FootnoteText"/>
      </w:pPr>
      <w:r>
        <w:rPr>
          <w:rStyle w:val="FootnoteReference"/>
        </w:rPr>
        <w:footnoteRef/>
      </w:r>
      <w:r>
        <w:t xml:space="preserve"> </w:t>
      </w:r>
      <w:r>
        <w:tab/>
        <w:t>Artikel 46, tweede en derde lid, AVG.</w:t>
      </w:r>
    </w:p>
  </w:footnote>
  <w:footnote w:id="12">
    <w:p w:rsidR="00605BDE" w:rsidRDefault="00332D15" w:rsidP="00605BDE">
      <w:pPr>
        <w:pStyle w:val="FootnoteText"/>
      </w:pPr>
      <w:r>
        <w:rPr>
          <w:rStyle w:val="FootnoteReference"/>
        </w:rPr>
        <w:footnoteRef/>
      </w:r>
      <w:r>
        <w:t xml:space="preserve"> </w:t>
      </w:r>
      <w:r>
        <w:tab/>
        <w:t>Artikel 46, tweede lid, onder a, AVG.</w:t>
      </w:r>
    </w:p>
  </w:footnote>
  <w:footnote w:id="13">
    <w:p w:rsidR="00605BDE" w:rsidRDefault="00332D15" w:rsidP="00605BDE">
      <w:pPr>
        <w:pStyle w:val="FootnoteText"/>
      </w:pPr>
      <w:r>
        <w:rPr>
          <w:rStyle w:val="FootnoteReference"/>
        </w:rPr>
        <w:footnoteRef/>
      </w:r>
      <w:r>
        <w:t xml:space="preserve"> </w:t>
      </w:r>
      <w:r>
        <w:tab/>
        <w:t>Artikel 46, derde lid, onder b, AVG.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332D15">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727E1"/>
    <w:multiLevelType w:val="hybridMultilevel"/>
    <w:tmpl w:val="BBF4064A"/>
    <w:lvl w:ilvl="0" w:tplc="A85079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5FE771DA"/>
    <w:multiLevelType w:val="hybridMultilevel"/>
    <w:tmpl w:val="B8368AC6"/>
    <w:lvl w:ilvl="0" w:tplc="16C631C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77CB0"/>
    <w:rsid w:val="002656A3"/>
    <w:rsid w:val="0027703A"/>
    <w:rsid w:val="002A16F1"/>
    <w:rsid w:val="002C6867"/>
    <w:rsid w:val="002D0875"/>
    <w:rsid w:val="00303CA7"/>
    <w:rsid w:val="00322CB5"/>
    <w:rsid w:val="00332D15"/>
    <w:rsid w:val="003A1FC7"/>
    <w:rsid w:val="004421C1"/>
    <w:rsid w:val="004C120D"/>
    <w:rsid w:val="00503044"/>
    <w:rsid w:val="006D3E6B"/>
    <w:rsid w:val="0071031E"/>
    <w:rsid w:val="00724C4B"/>
    <w:rsid w:val="00733360"/>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9B628C"/>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DefaultParagraphFont"/>
    <w:unhideWhenUsed/>
    <w:rsid w:val="00E102EE"/>
    <w:rPr>
      <w:color w:val="0000FF" w:themeColor="hyperlink"/>
      <w:u w:val="single"/>
    </w:rPr>
  </w:style>
  <w:style w:type="character" w:customStyle="1" w:styleId="UnresolvedMention">
    <w:name w:val="Unresolved Mention"/>
    <w:basedOn w:val="DefaultParagraphFont"/>
    <w:uiPriority w:val="99"/>
    <w:semiHidden/>
    <w:unhideWhenUsed/>
    <w:rsid w:val="00E102EE"/>
    <w:rPr>
      <w:color w:val="605E5C"/>
      <w:shd w:val="clear" w:color="auto" w:fill="E1DFDD"/>
    </w:rPr>
  </w:style>
  <w:style w:type="character" w:styleId="FollowedHyperlink">
    <w:name w:val="FollowedHyperlink"/>
    <w:basedOn w:val="DefaultParagraphFont"/>
    <w:semiHidden/>
    <w:unhideWhenUsed/>
    <w:rsid w:val="00A769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9B628C"/>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DefaultParagraphFont"/>
    <w:unhideWhenUsed/>
    <w:rsid w:val="00E102EE"/>
    <w:rPr>
      <w:color w:val="0000FF" w:themeColor="hyperlink"/>
      <w:u w:val="single"/>
    </w:rPr>
  </w:style>
  <w:style w:type="character" w:customStyle="1" w:styleId="UnresolvedMention">
    <w:name w:val="Unresolved Mention"/>
    <w:basedOn w:val="DefaultParagraphFont"/>
    <w:uiPriority w:val="99"/>
    <w:semiHidden/>
    <w:unhideWhenUsed/>
    <w:rsid w:val="00E102EE"/>
    <w:rPr>
      <w:color w:val="605E5C"/>
      <w:shd w:val="clear" w:color="auto" w:fill="E1DFDD"/>
    </w:rPr>
  </w:style>
  <w:style w:type="character" w:styleId="FollowedHyperlink">
    <w:name w:val="FollowedHyperlink"/>
    <w:basedOn w:val="DefaultParagraphFont"/>
    <w:semiHidden/>
    <w:unhideWhenUsed/>
    <w:rsid w:val="00A769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882</ap:Words>
  <ap:Characters>4853</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2021-04-20T13:19:00.0000000Z</dcterms:created>
  <dcterms:modified xsi:type="dcterms:W3CDTF">2021-04-20T13:19:00.0000000Z</dcterms:modified>
  <dc:description>------------------------</dc:description>
  <dc:subject/>
  <dc:title/>
  <keywords/>
  <version/>
  <category/>
</coreProperties>
</file>