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0EF245DA" w14:textId="77777777">
          <w:pPr>
            <w:tabs>
              <w:tab w:val="left" w:pos="3686"/>
            </w:tabs>
          </w:pPr>
          <w:r>
            <w:rPr>
              <w:noProof/>
            </w:rPr>
            <mc:AlternateContent>
              <mc:Choice Requires="wps">
                <w:drawing>
                  <wp:anchor distT="0" distB="0" distL="114300" distR="114300" simplePos="0" relativeHeight="251657728" behindDoc="0" locked="0" layoutInCell="1" allowOverlap="1" wp14:editId="0074CA6D" wp14:anchorId="46C4A18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1C01943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1C01943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044D861" wp14:anchorId="1B86750B">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W16.21.0057/II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12 mei 2021</w:t>
              </w:r>
            </w:sdtContent>
          </w:sdt>
        </w:p>
        <w:p w:rsidR="00503044" w:rsidP="00503044" w:rsidRDefault="00503044" w14:paraId="7F6E6ED8" w14:textId="77777777">
          <w:pPr>
            <w:tabs>
              <w:tab w:val="left" w:pos="3685"/>
            </w:tabs>
          </w:pPr>
        </w:p>
        <w:p w:rsidR="00503044" w:rsidP="00503044" w:rsidRDefault="00503044" w14:paraId="4A9F4C94"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0A43F9" w:rsidRDefault="00420165" w14:paraId="5C49AA32" w14:textId="77777777">
              <w:r>
                <w:t>Bij Kabinetsmissive van 9 maart 2021, no.2021000420, heeft Uwe Majesteit, op voordracht van de Minister van Justitie en Veiligheid, mede namens de Minister voor Rechtsbescherming, bij de Afdeling advisering van de Raad van State ter overweging aanhangig gemaakt het voorstel van wet tot wijziging van het Wetboek van Strafrecht in verband met de verhoging van het wettelijk strafmaximum van doodslag (verhoging wettelijk strafmaximum doodslag), met memorie van toelichting.</w:t>
              </w:r>
            </w:p>
          </w:sdtContent>
        </w:sdt>
        <w:p w:rsidR="0071031E" w:rsidRDefault="0071031E" w14:paraId="1113379A" w14:textId="77777777"/>
        <w:sdt>
          <w:sdtPr>
            <w:alias w:val="VrijeTekst1"/>
            <w:tag w:val="VrijeTekst1"/>
            <w:id w:val="-437221631"/>
            <w:lock w:val="sdtLocked"/>
          </w:sdtPr>
          <w:sdtEndPr/>
          <w:sdtContent>
            <w:p w:rsidRPr="00D53284" w:rsidR="002F2484" w:rsidP="002F2484" w:rsidRDefault="00420165" w14:paraId="2948D6F4" w14:textId="77777777">
              <w:r w:rsidRPr="00D53284">
                <w:t xml:space="preserve">Het </w:t>
              </w:r>
              <w:r>
                <w:t>wets</w:t>
              </w:r>
              <w:r w:rsidRPr="00D53284">
                <w:t xml:space="preserve">voorstel beoogt het wettelijk strafmaximum van doodslag te verhogen </w:t>
              </w:r>
              <w:r>
                <w:t xml:space="preserve">van vijftien </w:t>
              </w:r>
              <w:r w:rsidRPr="00D53284">
                <w:t>naar vijfentwintig ja</w:t>
              </w:r>
              <w:r>
                <w:t>a</w:t>
              </w:r>
              <w:r w:rsidRPr="00D53284">
                <w:t xml:space="preserve">r gevangenisstraf. </w:t>
              </w:r>
            </w:p>
            <w:p w:rsidRPr="00D53284" w:rsidR="002F2484" w:rsidP="002F2484" w:rsidRDefault="0073277F" w14:paraId="6A6B1778" w14:textId="77777777"/>
            <w:p w:rsidR="002F2484" w:rsidP="002F2484" w:rsidRDefault="00420165" w14:paraId="297045B7" w14:textId="77777777">
              <w:pPr>
                <w:rPr>
                  <w:rFonts w:cstheme="minorHAnsi"/>
                  <w:color w:val="000000"/>
                  <w:szCs w:val="22"/>
                </w:rPr>
              </w:pPr>
              <w:r w:rsidRPr="00D53284">
                <w:t xml:space="preserve">De Afdeling advisering van de Raad van State </w:t>
              </w:r>
              <w:r w:rsidRPr="00D53284">
                <w:rPr>
                  <w:rFonts w:cstheme="minorHAnsi"/>
                  <w:color w:val="000000"/>
                  <w:szCs w:val="22"/>
                </w:rPr>
                <w:t>maakt opmerking</w:t>
              </w:r>
              <w:r>
                <w:rPr>
                  <w:rFonts w:cstheme="minorHAnsi"/>
                  <w:color w:val="000000"/>
                  <w:szCs w:val="22"/>
                </w:rPr>
                <w:t>en</w:t>
              </w:r>
              <w:r w:rsidRPr="00D53284">
                <w:rPr>
                  <w:rFonts w:cstheme="minorHAnsi"/>
                  <w:color w:val="000000"/>
                  <w:szCs w:val="22"/>
                </w:rPr>
                <w:t xml:space="preserve"> over de </w:t>
              </w:r>
              <w:r>
                <w:rPr>
                  <w:rFonts w:cstheme="minorHAnsi"/>
                  <w:color w:val="000000"/>
                  <w:szCs w:val="22"/>
                </w:rPr>
                <w:t xml:space="preserve">verhouding tussen het voorstel en de wettelijke systematiek en over de samenhang tussen het voorstel en de (nog in werking te treden) Wet straffen en beschermen. </w:t>
              </w:r>
              <w:r w:rsidRPr="00662E1B">
                <w:rPr>
                  <w:rFonts w:cstheme="minorHAnsi"/>
                  <w:color w:val="000000"/>
                  <w:szCs w:val="22"/>
                </w:rPr>
                <w:t>In verband daarmee is aan</w:t>
              </w:r>
              <w:r>
                <w:rPr>
                  <w:rFonts w:cstheme="minorHAnsi"/>
                  <w:color w:val="000000"/>
                  <w:szCs w:val="22"/>
                </w:rPr>
                <w:t xml:space="preserve">vulling </w:t>
              </w:r>
              <w:r w:rsidRPr="00662E1B">
                <w:rPr>
                  <w:rFonts w:cstheme="minorHAnsi"/>
                  <w:color w:val="000000"/>
                  <w:szCs w:val="22"/>
                </w:rPr>
                <w:t xml:space="preserve">van de toelichting </w:t>
              </w:r>
              <w:r>
                <w:rPr>
                  <w:rFonts w:cstheme="minorHAnsi"/>
                  <w:color w:val="000000"/>
                  <w:szCs w:val="22"/>
                </w:rPr>
                <w:t>wenselijk</w:t>
              </w:r>
              <w:r w:rsidRPr="00662E1B">
                <w:rPr>
                  <w:rFonts w:cstheme="minorHAnsi"/>
                  <w:color w:val="000000"/>
                  <w:szCs w:val="22"/>
                </w:rPr>
                <w:t>.</w:t>
              </w:r>
            </w:p>
            <w:p w:rsidR="002F2484" w:rsidP="002F2484" w:rsidRDefault="0073277F" w14:paraId="532F3F44" w14:textId="77777777">
              <w:pPr>
                <w:rPr>
                  <w:rFonts w:cstheme="minorHAnsi"/>
                  <w:color w:val="000000"/>
                  <w:szCs w:val="22"/>
                </w:rPr>
              </w:pPr>
            </w:p>
            <w:p w:rsidRPr="00E773E3" w:rsidR="002F2484" w:rsidP="002F2484" w:rsidRDefault="00420165" w14:paraId="569AFFF9" w14:textId="77777777">
              <w:pPr>
                <w:rPr>
                  <w:rFonts w:cstheme="minorHAnsi"/>
                  <w:color w:val="000000"/>
                  <w:szCs w:val="22"/>
                </w:rPr>
              </w:pPr>
              <w:r>
                <w:rPr>
                  <w:rFonts w:cstheme="minorHAnsi"/>
                  <w:color w:val="000000"/>
                  <w:szCs w:val="22"/>
                </w:rPr>
                <w:t xml:space="preserve">1. </w:t>
              </w:r>
              <w:r>
                <w:rPr>
                  <w:rFonts w:cstheme="minorHAnsi"/>
                  <w:color w:val="000000"/>
                  <w:szCs w:val="22"/>
                </w:rPr>
                <w:tab/>
              </w:r>
              <w:r>
                <w:rPr>
                  <w:rFonts w:cstheme="minorHAnsi"/>
                  <w:color w:val="000000"/>
                  <w:szCs w:val="22"/>
                  <w:u w:val="single"/>
                </w:rPr>
                <w:t>Het wetsvoorstel</w:t>
              </w:r>
              <w:r w:rsidRPr="00E773E3">
                <w:rPr>
                  <w:rFonts w:cstheme="minorHAnsi"/>
                  <w:color w:val="000000"/>
                  <w:szCs w:val="22"/>
                  <w:u w:val="single"/>
                </w:rPr>
                <w:t xml:space="preserve"> </w:t>
              </w:r>
            </w:p>
            <w:p w:rsidR="002F2484" w:rsidP="002F2484" w:rsidRDefault="0073277F" w14:paraId="135ADF5B" w14:textId="77777777">
              <w:pPr>
                <w:rPr>
                  <w:rFonts w:cstheme="minorHAnsi"/>
                  <w:color w:val="000000"/>
                  <w:szCs w:val="22"/>
                </w:rPr>
              </w:pPr>
            </w:p>
            <w:p w:rsidR="002F2484" w:rsidP="002F2484" w:rsidRDefault="00420165" w14:paraId="20376F1E" w14:textId="77777777">
              <w:pPr>
                <w:rPr>
                  <w:szCs w:val="22"/>
                </w:rPr>
              </w:pPr>
              <w:r>
                <w:t>Met de verhoging van het wettelijk strafmaximum van doodslag van vijftien naar vijfentwintig jaar gevangenisstraf komt de regering tegemoet aan een al langer bestaande wens.</w:t>
              </w:r>
              <w:r>
                <w:rPr>
                  <w:rStyle w:val="FootnoteReference"/>
                </w:rPr>
                <w:footnoteReference w:id="1"/>
              </w:r>
              <w:r>
                <w:t xml:space="preserve"> Zo zijn er </w:t>
              </w:r>
              <w:r>
                <w:rPr>
                  <w:szCs w:val="22"/>
                </w:rPr>
                <w:t>s</w:t>
              </w:r>
              <w:r w:rsidRPr="00E773E3">
                <w:rPr>
                  <w:iCs/>
                  <w:szCs w:val="22"/>
                </w:rPr>
                <w:t>ignalen dat het strafmaximum bij zeer ernstige gevallen van doodslag als knellend wordt ervaren</w:t>
              </w:r>
              <w:r w:rsidRPr="007925EE">
                <w:rPr>
                  <w:iCs/>
                  <w:szCs w:val="22"/>
                </w:rPr>
                <w:t>.</w:t>
              </w:r>
              <w:r w:rsidRPr="007925EE">
                <w:rPr>
                  <w:rStyle w:val="FootnoteReference"/>
                  <w:iCs/>
                  <w:szCs w:val="22"/>
                </w:rPr>
                <w:footnoteReference w:id="2"/>
              </w:r>
              <w:r>
                <w:rPr>
                  <w:iCs/>
                  <w:szCs w:val="22"/>
                </w:rPr>
                <w:t xml:space="preserve"> Ook brengt de verhoging </w:t>
              </w:r>
              <w:r>
                <w:t>de verhouding tussen de ernst van dit delict en sommige andere, minder strafwaardig geachte delicten beter tot uitdrukking.</w:t>
              </w:r>
              <w:r>
                <w:rPr>
                  <w:rStyle w:val="FootnoteReference"/>
                  <w:szCs w:val="22"/>
                </w:rPr>
                <w:footnoteReference w:id="3"/>
              </w:r>
              <w:r>
                <w:t xml:space="preserve"> Daarnaast</w:t>
              </w:r>
              <w:r>
                <w:rPr>
                  <w:szCs w:val="22"/>
                </w:rPr>
                <w:t xml:space="preserve"> wordt met de verhoging het in de loop der tijd ontstane ‘strafgat’ tussen de maximale duur van de gevangenisstraf voor doodslag en de maximale duur van de tijdelijke gevangenisstraf voor moord verkleind. Moord wordt bedreigd met een levenslange gevangenisstraf of een tijdelijke gevangenisstraf van ten hoogste dertig jaar.</w:t>
              </w:r>
              <w:r>
                <w:rPr>
                  <w:rStyle w:val="FootnoteReference"/>
                  <w:szCs w:val="22"/>
                </w:rPr>
                <w:footnoteReference w:id="4"/>
              </w:r>
            </w:p>
            <w:p w:rsidR="002F2484" w:rsidP="002F2484" w:rsidRDefault="0073277F" w14:paraId="09AE8933" w14:textId="77777777">
              <w:pPr>
                <w:rPr>
                  <w:szCs w:val="22"/>
                </w:rPr>
              </w:pPr>
            </w:p>
            <w:p w:rsidR="00420165" w:rsidRDefault="00420165" w14:paraId="3CADAD35" w14:textId="77777777">
              <w:r>
                <w:br w:type="page"/>
              </w:r>
            </w:p>
            <w:p w:rsidR="002F2484" w:rsidP="002F2484" w:rsidRDefault="00420165" w14:paraId="07D21EF4" w14:textId="10C04F44">
              <w:pPr>
                <w:rPr>
                  <w:u w:val="single"/>
                </w:rPr>
              </w:pPr>
              <w:r>
                <w:lastRenderedPageBreak/>
                <w:t xml:space="preserve">2. </w:t>
              </w:r>
              <w:r>
                <w:tab/>
              </w:r>
              <w:r>
                <w:rPr>
                  <w:u w:val="single"/>
                </w:rPr>
                <w:t>Systematiek</w:t>
              </w:r>
            </w:p>
            <w:p w:rsidRPr="00332C60" w:rsidR="002F2484" w:rsidP="002F2484" w:rsidRDefault="0073277F" w14:paraId="22FA3DAD" w14:textId="77777777">
              <w:pPr>
                <w:rPr>
                  <w:u w:val="single"/>
                </w:rPr>
              </w:pPr>
            </w:p>
            <w:p w:rsidRPr="00797D45" w:rsidR="002F2484" w:rsidP="002F2484" w:rsidRDefault="00420165" w14:paraId="751CD0D0" w14:textId="77777777">
              <w:pPr>
                <w:rPr>
                  <w:highlight w:val="yellow"/>
                </w:rPr>
              </w:pPr>
              <w:r w:rsidRPr="008676C7">
                <w:t xml:space="preserve">Het Wetboek van Strafrecht verhoogt de gegeven maximumstraf voor een delict met een derde </w:t>
              </w:r>
              <w:r w:rsidRPr="008C78AF">
                <w:t>in geval van herhaling of samenloop met andere delicten.</w:t>
              </w:r>
              <w:r w:rsidRPr="008676C7">
                <w:rPr>
                  <w:rStyle w:val="FootnoteReference"/>
                </w:rPr>
                <w:footnoteReference w:id="5"/>
              </w:r>
              <w:r w:rsidRPr="008676C7">
                <w:t xml:space="preserve"> Ook bepaalt het dat een tijdelijke gevangenisstraf in geen geval meer dan dertig jaar kan bedragen.</w:t>
              </w:r>
              <w:r w:rsidRPr="008676C7">
                <w:rPr>
                  <w:rStyle w:val="FootnoteReference"/>
                </w:rPr>
                <w:footnoteReference w:id="6"/>
              </w:r>
              <w:r w:rsidRPr="008676C7">
                <w:t xml:space="preserve"> Bij een strafmaximum van vijfentwintig jaar is een verhoging met een derde dus niet mogelijk. De </w:t>
              </w:r>
              <w:r w:rsidRPr="008676C7">
                <w:rPr>
                  <w:rFonts w:cstheme="minorHAnsi"/>
                  <w:color w:val="000000"/>
                  <w:szCs w:val="22"/>
                </w:rPr>
                <w:t xml:space="preserve">Nederlandse Vereniging voor Rechtspraak (NVvR) </w:t>
              </w:r>
              <w:r w:rsidRPr="008676C7">
                <w:t xml:space="preserve">stelt dat een strafmaximum van vijfentwintig jaar daarmee niet </w:t>
              </w:r>
              <w:r>
                <w:t>overeenkomstig</w:t>
              </w:r>
              <w:r w:rsidRPr="008C78AF">
                <w:t xml:space="preserve"> de wettelijke systematiek is.</w:t>
              </w:r>
              <w:r>
                <w:rPr>
                  <w:rStyle w:val="FootnoteReference"/>
                </w:rPr>
                <w:footnoteReference w:id="7"/>
              </w:r>
              <w:r w:rsidRPr="00797D45">
                <w:rPr>
                  <w:highlight w:val="yellow"/>
                </w:rPr>
                <w:t xml:space="preserve"> </w:t>
              </w:r>
            </w:p>
            <w:p w:rsidR="002F2484" w:rsidP="002F2484" w:rsidRDefault="0073277F" w14:paraId="6D83B9E4" w14:textId="77777777">
              <w:pPr>
                <w:rPr>
                  <w:highlight w:val="yellow"/>
                </w:rPr>
              </w:pPr>
            </w:p>
            <w:p w:rsidR="00AE612A" w:rsidP="002F2484" w:rsidRDefault="00420165" w14:paraId="717F4341" w14:textId="77777777">
              <w:pPr>
                <w:rPr>
                  <w:rFonts w:cstheme="minorHAnsi"/>
                  <w:color w:val="000000"/>
                  <w:szCs w:val="22"/>
                </w:rPr>
              </w:pPr>
              <w:r>
                <w:rPr>
                  <w:rFonts w:cstheme="minorHAnsi"/>
                  <w:color w:val="000000"/>
                  <w:szCs w:val="22"/>
                </w:rPr>
                <w:t xml:space="preserve">In reactie daarop heeft de regering in de toelichting gesteld </w:t>
              </w:r>
              <w:r w:rsidRPr="005C344C">
                <w:rPr>
                  <w:rFonts w:cstheme="minorHAnsi"/>
                  <w:color w:val="000000"/>
                  <w:szCs w:val="22"/>
                </w:rPr>
                <w:t xml:space="preserve">dat </w:t>
              </w:r>
              <w:r>
                <w:rPr>
                  <w:rFonts w:cstheme="minorHAnsi"/>
                  <w:color w:val="000000"/>
                  <w:szCs w:val="22"/>
                </w:rPr>
                <w:t>de verzwaring van de straf in gevallen waarin</w:t>
              </w:r>
              <w:r w:rsidRPr="008676C7">
                <w:rPr>
                  <w:rFonts w:cstheme="minorHAnsi"/>
                  <w:color w:val="000000"/>
                  <w:szCs w:val="22"/>
                </w:rPr>
                <w:t xml:space="preserve"> </w:t>
              </w:r>
              <w:r>
                <w:rPr>
                  <w:iCs/>
                  <w:szCs w:val="22"/>
                </w:rPr>
                <w:t>een</w:t>
              </w:r>
              <w:r w:rsidRPr="00797D45">
                <w:rPr>
                  <w:iCs/>
                  <w:szCs w:val="22"/>
                </w:rPr>
                <w:t xml:space="preserve"> gepleegde doodslag in verband staat met het plegen van een of meer andere misdrijve</w:t>
              </w:r>
              <w:r>
                <w:rPr>
                  <w:iCs/>
                  <w:szCs w:val="22"/>
                </w:rPr>
                <w:t xml:space="preserve">n </w:t>
              </w:r>
              <w:r>
                <w:rPr>
                  <w:rFonts w:cstheme="minorHAnsi"/>
                  <w:color w:val="000000"/>
                  <w:szCs w:val="22"/>
                </w:rPr>
                <w:t xml:space="preserve">haar oorsprong heeft in de samenloop van meerdere misdrijven. </w:t>
              </w:r>
              <w:r>
                <w:rPr>
                  <w:iCs/>
                  <w:szCs w:val="22"/>
                </w:rPr>
                <w:t>Die verzwaring betreft niet de strafwaardigheid van doodslag, aldus de regering</w:t>
              </w:r>
              <w:r>
                <w:rPr>
                  <w:rFonts w:cstheme="minorHAnsi"/>
                  <w:color w:val="000000"/>
                  <w:szCs w:val="22"/>
                </w:rPr>
                <w:t>.</w:t>
              </w:r>
              <w:r>
                <w:rPr>
                  <w:rStyle w:val="FootnoteReference"/>
                  <w:rFonts w:cstheme="minorHAnsi"/>
                  <w:color w:val="000000"/>
                  <w:szCs w:val="22"/>
                </w:rPr>
                <w:footnoteReference w:id="8"/>
              </w:r>
              <w:r>
                <w:rPr>
                  <w:rFonts w:cstheme="minorHAnsi"/>
                  <w:color w:val="000000"/>
                  <w:szCs w:val="22"/>
                </w:rPr>
                <w:t xml:space="preserve"> De verhouding tussen het voorstel en </w:t>
              </w:r>
              <w:r w:rsidRPr="005C344C">
                <w:rPr>
                  <w:rFonts w:cstheme="minorHAnsi"/>
                  <w:color w:val="000000"/>
                  <w:szCs w:val="22"/>
                </w:rPr>
                <w:t>de wettelijke systematiek</w:t>
              </w:r>
              <w:r>
                <w:rPr>
                  <w:rFonts w:cstheme="minorHAnsi"/>
                  <w:color w:val="000000"/>
                  <w:szCs w:val="22"/>
                </w:rPr>
                <w:t xml:space="preserve"> blijft daarmee in de toelichting </w:t>
              </w:r>
              <w:r w:rsidRPr="008676C7">
                <w:rPr>
                  <w:rFonts w:cstheme="minorHAnsi"/>
                  <w:color w:val="000000"/>
                  <w:szCs w:val="22"/>
                </w:rPr>
                <w:t xml:space="preserve">evenwel buiten beschouwing. </w:t>
              </w:r>
              <w:r>
                <w:t xml:space="preserve">Daarbij komt dat de verhoging van de tijdelijke gevangenisstraf voor moord met de helft van de oorspronkelijke 20 jaar eerder zou leiden tot een verhoging van de maximale straf voor doodslag met de helft van de huidige 15 jaar dan met een verhoging van 2/3 van de huidige maximumstraf. </w:t>
              </w:r>
            </w:p>
            <w:p w:rsidR="00AE612A" w:rsidP="002F2484" w:rsidRDefault="0073277F" w14:paraId="3A441651" w14:textId="77777777">
              <w:pPr>
                <w:rPr>
                  <w:rFonts w:cstheme="minorHAnsi"/>
                  <w:color w:val="000000"/>
                  <w:szCs w:val="22"/>
                </w:rPr>
              </w:pPr>
            </w:p>
            <w:p w:rsidRPr="008676C7" w:rsidR="002F2484" w:rsidP="002F2484" w:rsidRDefault="00420165" w14:paraId="6118E516" w14:textId="77777777">
              <w:pPr>
                <w:rPr>
                  <w:szCs w:val="22"/>
                </w:rPr>
              </w:pPr>
              <w:r w:rsidRPr="008676C7">
                <w:rPr>
                  <w:rFonts w:cstheme="minorHAnsi"/>
                  <w:color w:val="000000"/>
                  <w:szCs w:val="22"/>
                </w:rPr>
                <w:t xml:space="preserve">De Afdeling adviseert </w:t>
              </w:r>
              <w:r w:rsidRPr="00AE612A">
                <w:rPr>
                  <w:rFonts w:cstheme="minorHAnsi"/>
                  <w:color w:val="000000"/>
                  <w:szCs w:val="22"/>
                </w:rPr>
                <w:t>daarom voorgestelde verhoging tot 25 jaar dragend te motiveren</w:t>
              </w:r>
              <w:r>
                <w:rPr>
                  <w:rFonts w:cstheme="minorHAnsi"/>
                  <w:color w:val="000000"/>
                  <w:szCs w:val="22"/>
                </w:rPr>
                <w:t xml:space="preserve"> en de toelichting in het licht van het voorgaande aan te vullen. </w:t>
              </w:r>
            </w:p>
            <w:p w:rsidR="002F2484" w:rsidP="002F2484" w:rsidRDefault="0073277F" w14:paraId="131957A9" w14:textId="77777777"/>
            <w:p w:rsidRPr="00DE470A" w:rsidR="002F2484" w:rsidP="002F2484" w:rsidRDefault="00420165" w14:paraId="4E4499A1" w14:textId="77777777">
              <w:pPr>
                <w:rPr>
                  <w:u w:val="single"/>
                </w:rPr>
              </w:pPr>
              <w:r>
                <w:t xml:space="preserve">3. </w:t>
              </w:r>
              <w:r>
                <w:tab/>
              </w:r>
              <w:r w:rsidRPr="00DE470A">
                <w:rPr>
                  <w:u w:val="single"/>
                </w:rPr>
                <w:t>Wet straffen en beschermen</w:t>
              </w:r>
            </w:p>
            <w:p w:rsidR="002F2484" w:rsidP="002F2484" w:rsidRDefault="0073277F" w14:paraId="38C687E9" w14:textId="77777777"/>
            <w:p w:rsidR="002F2484" w:rsidP="002F2484" w:rsidRDefault="00420165" w14:paraId="3358C7FE" w14:textId="77777777">
              <w:pPr>
                <w:rPr>
                  <w:rFonts w:cstheme="minorHAnsi"/>
                  <w:color w:val="000000"/>
                  <w:szCs w:val="22"/>
                </w:rPr>
              </w:pPr>
              <w:r>
                <w:rPr>
                  <w:rFonts w:cstheme="minorHAnsi"/>
                  <w:color w:val="000000"/>
                  <w:szCs w:val="22"/>
                </w:rPr>
                <w:t>De Wet straffen en beschermen brengt de periode van voorwaardelijke invrijheidsstelling terug van een derde deel van de oplegde gevangenisstraf tot maximaal de laatste twee jaar daarvan.</w:t>
              </w:r>
              <w:r>
                <w:rPr>
                  <w:rStyle w:val="FootnoteReference"/>
                  <w:rFonts w:cstheme="minorHAnsi"/>
                  <w:color w:val="000000"/>
                  <w:szCs w:val="22"/>
                </w:rPr>
                <w:footnoteReference w:id="9"/>
              </w:r>
              <w:r>
                <w:rPr>
                  <w:rFonts w:cstheme="minorHAnsi"/>
                  <w:color w:val="000000"/>
                  <w:szCs w:val="22"/>
                </w:rPr>
                <w:t xml:space="preserve"> De NVvR wijst erop dat de meeste veroordeelden voor doodslag daarmee een aanzienlijk groter gedeelte van hun straf in detentie zullen doorbrengen dan nu het geval is. Het is volgens de NVvR aannemelijk dat de rechter hiermee rekening zal houden bij het vaststellen van de hoogte van de gevangenisstraf. Zij trekt de effectiviteit van het wetsvoorstel dan ook in twijfel.</w:t>
              </w:r>
              <w:r>
                <w:rPr>
                  <w:rStyle w:val="FootnoteReference"/>
                  <w:rFonts w:cstheme="minorHAnsi"/>
                  <w:color w:val="000000"/>
                  <w:szCs w:val="22"/>
                </w:rPr>
                <w:footnoteReference w:id="10"/>
              </w:r>
              <w:r>
                <w:rPr>
                  <w:rFonts w:cstheme="minorHAnsi"/>
                  <w:color w:val="000000"/>
                  <w:szCs w:val="22"/>
                </w:rPr>
                <w:t xml:space="preserve"> </w:t>
              </w:r>
            </w:p>
            <w:p w:rsidR="002F2484" w:rsidP="002F2484" w:rsidRDefault="0073277F" w14:paraId="6FFD26A6" w14:textId="77777777">
              <w:pPr>
                <w:rPr>
                  <w:rFonts w:cstheme="minorHAnsi"/>
                  <w:color w:val="000000"/>
                  <w:szCs w:val="22"/>
                </w:rPr>
              </w:pPr>
            </w:p>
            <w:p w:rsidR="002F2484" w:rsidP="002F2484" w:rsidRDefault="00420165" w14:paraId="5DC0A42A" w14:textId="77777777">
              <w:pPr>
                <w:rPr>
                  <w:rFonts w:cstheme="minorHAnsi"/>
                  <w:color w:val="000000"/>
                  <w:szCs w:val="22"/>
                </w:rPr>
              </w:pPr>
              <w:r>
                <w:rPr>
                  <w:rFonts w:cstheme="minorHAnsi"/>
                  <w:color w:val="000000"/>
                  <w:szCs w:val="22"/>
                </w:rPr>
                <w:t>In reactie daarop stelt de regering in de toelichting dat de tenuitvoerlegging van een straf gescheiden moet worden gezien van de oplegging daarvan. Daarnaast verwacht de regering dat het signaal dat het voorstel afgeeft over de strafwaardigheid van doodslag wel degelijk zal leiden tot zwaardere straffen.</w:t>
              </w:r>
              <w:r>
                <w:rPr>
                  <w:rStyle w:val="FootnoteReference"/>
                  <w:rFonts w:cstheme="minorHAnsi"/>
                  <w:color w:val="000000"/>
                  <w:szCs w:val="22"/>
                </w:rPr>
                <w:footnoteReference w:id="11"/>
              </w:r>
            </w:p>
            <w:p w:rsidR="002F2484" w:rsidP="002F2484" w:rsidRDefault="0073277F" w14:paraId="4266D4D2" w14:textId="77777777">
              <w:pPr>
                <w:rPr>
                  <w:rFonts w:cstheme="minorHAnsi"/>
                  <w:color w:val="000000"/>
                  <w:szCs w:val="22"/>
                </w:rPr>
              </w:pPr>
            </w:p>
            <w:p w:rsidRPr="00797D45" w:rsidR="0031089B" w:rsidP="00CA79CC" w:rsidRDefault="00420165" w14:paraId="7DFF55E6" w14:textId="77777777">
              <w:pPr>
                <w:rPr>
                  <w:rFonts w:cstheme="minorHAnsi"/>
                  <w:color w:val="000000"/>
                  <w:szCs w:val="22"/>
                </w:rPr>
              </w:pPr>
              <w:r>
                <w:rPr>
                  <w:rFonts w:cstheme="minorHAnsi"/>
                  <w:color w:val="000000"/>
                  <w:szCs w:val="22"/>
                </w:rPr>
                <w:lastRenderedPageBreak/>
                <w:t xml:space="preserve">De Afdeling erkent dat het de wetgever vrij staat </w:t>
              </w:r>
              <w:r w:rsidRPr="002908AB">
                <w:rPr>
                  <w:iCs/>
                  <w:szCs w:val="22"/>
                </w:rPr>
                <w:t>een signaal af te geven over de (relatieve) ernst van doodslag</w:t>
              </w:r>
              <w:r>
                <w:rPr>
                  <w:rFonts w:cstheme="minorHAnsi"/>
                  <w:color w:val="000000"/>
                  <w:szCs w:val="22"/>
                </w:rPr>
                <w:t xml:space="preserve">. De reactie van de regering met betrekking tot de twijfel over de effectiviteit vindt de Afdeling niet overtuigend. Het is juist dat de tenuitvoerlegging van een straf moet worden gescheiden van de oplegging daarvan. Dit geeft evenwel niet aan waarom de voorgestelde verhoging effectief zou zijn, mede in het licht van de vrijheid die aan de rechter toekomt bij de strafoplegging. </w:t>
              </w:r>
              <w:r>
                <w:t xml:space="preserve">De Afdeling ziet niet in dat de effectiviteit van de voorgestelde wet zou volgen uit de scheiding tussen de tenuitvoerlegging en de oplegging van een straf. Zij </w:t>
              </w:r>
              <w:r>
                <w:rPr>
                  <w:rFonts w:cstheme="minorHAnsi"/>
                  <w:color w:val="000000"/>
                  <w:szCs w:val="22"/>
                </w:rPr>
                <w:t>adviseert in de toelichting nader in te gaan op de effectiviteit van het wetsvoorstel.</w:t>
              </w:r>
            </w:p>
          </w:sdtContent>
        </w:sdt>
        <w:p w:rsidR="003A1FC7" w:rsidRDefault="003A1FC7" w14:paraId="478F620C" w14:textId="77777777"/>
        <w:sdt>
          <w:sdtPr>
            <w:alias w:val="Dictum"/>
            <w:tag w:val="Dictum"/>
            <w:id w:val="1621489950"/>
            <w:lock w:val="sdtContentLocked"/>
            <w:placeholder>
              <w:docPart w:val="DefaultPlaceholder_1082065158"/>
            </w:placeholder>
            <w:text w:multiLine="1"/>
          </w:sdtPr>
          <w:sdtEndPr/>
          <w:sdtContent>
            <w:p w:rsidR="000A43F9" w:rsidRDefault="00420165" w14:paraId="62B14C2F"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0A43F9"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29F50" w14:textId="77777777" w:rsidR="00847094" w:rsidRDefault="00420165" w:rsidP="005B3E03">
      <w:r>
        <w:separator/>
      </w:r>
    </w:p>
    <w:p w14:paraId="1DB66D9F" w14:textId="77777777" w:rsidR="002D0ACF" w:rsidRDefault="0073277F"/>
  </w:endnote>
  <w:endnote w:type="continuationSeparator" w:id="0">
    <w:p w14:paraId="3B9D78DD" w14:textId="77777777" w:rsidR="00847094" w:rsidRDefault="00420165" w:rsidP="005B3E03">
      <w:r>
        <w:continuationSeparator/>
      </w:r>
    </w:p>
    <w:p w14:paraId="23328D6E" w14:textId="77777777" w:rsidR="002D0ACF" w:rsidRDefault="00732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A8F8A" w14:textId="77777777"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795B8EDF" wp14:editId="4884F7B3">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4E450"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6534E450"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DB4C1" w14:textId="77777777" w:rsidR="00847094" w:rsidRDefault="00420165" w:rsidP="005B3E03">
      <w:r>
        <w:separator/>
      </w:r>
    </w:p>
    <w:p w14:paraId="407C1217" w14:textId="77777777" w:rsidR="002D0ACF" w:rsidRDefault="0073277F"/>
  </w:footnote>
  <w:footnote w:type="continuationSeparator" w:id="0">
    <w:p w14:paraId="00BD5337" w14:textId="77777777" w:rsidR="00847094" w:rsidRDefault="00420165" w:rsidP="005B3E03">
      <w:r>
        <w:continuationSeparator/>
      </w:r>
    </w:p>
    <w:p w14:paraId="7A2E19CD" w14:textId="77777777" w:rsidR="002D0ACF" w:rsidRDefault="0073277F"/>
  </w:footnote>
  <w:footnote w:id="1">
    <w:p w14:paraId="301F5D14" w14:textId="77777777" w:rsidR="002F2484" w:rsidRDefault="00420165" w:rsidP="002F2484">
      <w:pPr>
        <w:pStyle w:val="FootnoteText"/>
      </w:pPr>
      <w:r>
        <w:rPr>
          <w:rStyle w:val="FootnoteReference"/>
        </w:rPr>
        <w:footnoteRef/>
      </w:r>
      <w:r>
        <w:t xml:space="preserve"> </w:t>
      </w:r>
      <w:r>
        <w:tab/>
      </w:r>
      <w:r w:rsidRPr="007925EE">
        <w:rPr>
          <w:szCs w:val="18"/>
        </w:rPr>
        <w:t xml:space="preserve">Artikel 287 Wetboek van Strafrecht. Daarnaast worden het tweede en </w:t>
      </w:r>
      <w:r w:rsidRPr="005C344C">
        <w:rPr>
          <w:szCs w:val="18"/>
        </w:rPr>
        <w:t>derde lid van artikel 10 Wetboek van Strafrecht met deze strafbedreiging in overeenstemming gebracht.</w:t>
      </w:r>
      <w:r>
        <w:rPr>
          <w:szCs w:val="18"/>
        </w:rPr>
        <w:t xml:space="preserve"> </w:t>
      </w:r>
    </w:p>
  </w:footnote>
  <w:footnote w:id="2">
    <w:p w14:paraId="3E4293F2" w14:textId="77777777" w:rsidR="002F2484" w:rsidRPr="005C344C" w:rsidRDefault="00420165" w:rsidP="002F2484">
      <w:pPr>
        <w:pStyle w:val="FootnoteText"/>
      </w:pPr>
      <w:r>
        <w:rPr>
          <w:rStyle w:val="FootnoteReference"/>
        </w:rPr>
        <w:footnoteRef/>
      </w:r>
      <w:r>
        <w:t xml:space="preserve"> </w:t>
      </w:r>
      <w:r>
        <w:tab/>
      </w:r>
      <w:r w:rsidRPr="007925EE">
        <w:rPr>
          <w:szCs w:val="18"/>
        </w:rPr>
        <w:t>Toelichting, paragrafen 1 (Inleiding) en 2 (</w:t>
      </w:r>
      <w:r w:rsidRPr="007925EE">
        <w:rPr>
          <w:iCs/>
          <w:szCs w:val="18"/>
        </w:rPr>
        <w:t>Veranderde verhouding tussen d</w:t>
      </w:r>
      <w:r w:rsidRPr="005C344C">
        <w:rPr>
          <w:iCs/>
          <w:szCs w:val="18"/>
        </w:rPr>
        <w:t>oodslag en moord).</w:t>
      </w:r>
    </w:p>
  </w:footnote>
  <w:footnote w:id="3">
    <w:p w14:paraId="1B326FED" w14:textId="77777777" w:rsidR="002F2484" w:rsidRPr="005932F3" w:rsidRDefault="00420165" w:rsidP="002F2484">
      <w:pPr>
        <w:pStyle w:val="FootnoteText"/>
        <w:rPr>
          <w:szCs w:val="18"/>
        </w:rPr>
      </w:pPr>
      <w:r w:rsidRPr="007925EE">
        <w:rPr>
          <w:rStyle w:val="FootnoteReference"/>
        </w:rPr>
        <w:footnoteRef/>
      </w:r>
      <w:r w:rsidRPr="007925EE">
        <w:t xml:space="preserve"> </w:t>
      </w:r>
      <w:r w:rsidRPr="007925EE">
        <w:tab/>
      </w:r>
      <w:r w:rsidRPr="008676C7">
        <w:rPr>
          <w:szCs w:val="18"/>
        </w:rPr>
        <w:t>Toelichting, paragrafen 1 (Inleiding), 2 (</w:t>
      </w:r>
      <w:r w:rsidRPr="008676C7">
        <w:rPr>
          <w:iCs/>
          <w:szCs w:val="18"/>
        </w:rPr>
        <w:t>Veranderde verhouding tussen doodslag en moord) en 3 (</w:t>
      </w:r>
      <w:r w:rsidRPr="005932F3">
        <w:rPr>
          <w:iCs/>
          <w:szCs w:val="18"/>
        </w:rPr>
        <w:t>Doodslag en het algemene strafmaximum).</w:t>
      </w:r>
    </w:p>
  </w:footnote>
  <w:footnote w:id="4">
    <w:p w14:paraId="78FC95BC" w14:textId="77777777" w:rsidR="002F2484" w:rsidRDefault="00420165" w:rsidP="002F2484">
      <w:pPr>
        <w:pStyle w:val="FootnoteText"/>
      </w:pPr>
      <w:r>
        <w:rPr>
          <w:rStyle w:val="FootnoteReference"/>
        </w:rPr>
        <w:footnoteRef/>
      </w:r>
      <w:r>
        <w:t xml:space="preserve"> </w:t>
      </w:r>
      <w:r>
        <w:tab/>
      </w:r>
      <w:r w:rsidRPr="002908AB">
        <w:rPr>
          <w:szCs w:val="18"/>
        </w:rPr>
        <w:t xml:space="preserve">Artikel 289 Wetboek van Strafrecht. Moord is doodslag met voorbedachte raad begaan. </w:t>
      </w:r>
      <w:r>
        <w:rPr>
          <w:szCs w:val="18"/>
        </w:rPr>
        <w:t xml:space="preserve">Bij </w:t>
      </w:r>
      <w:r w:rsidRPr="002908AB">
        <w:rPr>
          <w:szCs w:val="18"/>
        </w:rPr>
        <w:t>gekwalificeerde doodslag is</w:t>
      </w:r>
      <w:r>
        <w:rPr>
          <w:szCs w:val="18"/>
        </w:rPr>
        <w:t xml:space="preserve"> </w:t>
      </w:r>
      <w:r w:rsidRPr="002908AB">
        <w:rPr>
          <w:szCs w:val="18"/>
        </w:rPr>
        <w:t>de strafmaat gelijk aan die van moord, dus levenslang of dertig j</w:t>
      </w:r>
      <w:r>
        <w:rPr>
          <w:szCs w:val="18"/>
        </w:rPr>
        <w:t>a</w:t>
      </w:r>
      <w:r w:rsidRPr="002908AB">
        <w:rPr>
          <w:szCs w:val="18"/>
        </w:rPr>
        <w:t>a</w:t>
      </w:r>
      <w:r>
        <w:rPr>
          <w:szCs w:val="18"/>
        </w:rPr>
        <w:t>r</w:t>
      </w:r>
      <w:r w:rsidRPr="002908AB">
        <w:rPr>
          <w:szCs w:val="18"/>
        </w:rPr>
        <w:t xml:space="preserve"> (artikel 288 Wetboek van Strafrecht).</w:t>
      </w:r>
      <w:r>
        <w:rPr>
          <w:szCs w:val="18"/>
        </w:rPr>
        <w:t xml:space="preserve"> Daarvan is sprake als, kort gezegd, d</w:t>
      </w:r>
      <w:r w:rsidRPr="002908AB">
        <w:rPr>
          <w:rFonts w:cs="Arial"/>
          <w:szCs w:val="18"/>
        </w:rPr>
        <w:t xml:space="preserve">e doodslag </w:t>
      </w:r>
      <w:r>
        <w:rPr>
          <w:rFonts w:cs="Arial"/>
          <w:szCs w:val="18"/>
        </w:rPr>
        <w:t xml:space="preserve">wordt </w:t>
      </w:r>
      <w:r w:rsidRPr="002908AB">
        <w:rPr>
          <w:rFonts w:cs="Arial"/>
          <w:szCs w:val="18"/>
        </w:rPr>
        <w:t>gepleegd met het oogmerk om een ander strafbaar feit gemakkelijk of mogelijk te maken</w:t>
      </w:r>
      <w:r>
        <w:rPr>
          <w:rFonts w:cs="Arial"/>
          <w:szCs w:val="18"/>
        </w:rPr>
        <w:t xml:space="preserve"> </w:t>
      </w:r>
      <w:r w:rsidRPr="002908AB">
        <w:rPr>
          <w:rFonts w:cs="Arial"/>
          <w:szCs w:val="18"/>
        </w:rPr>
        <w:t>of om</w:t>
      </w:r>
      <w:r>
        <w:rPr>
          <w:rFonts w:cs="Arial"/>
          <w:szCs w:val="18"/>
        </w:rPr>
        <w:t xml:space="preserve"> d</w:t>
      </w:r>
      <w:r w:rsidRPr="002908AB">
        <w:rPr>
          <w:rFonts w:cs="Arial"/>
          <w:szCs w:val="18"/>
        </w:rPr>
        <w:t>aarvoor straffeloos te blijven.</w:t>
      </w:r>
      <w:r w:rsidRPr="002908AB">
        <w:rPr>
          <w:szCs w:val="18"/>
        </w:rPr>
        <w:t xml:space="preserve"> Het voorstel ziet </w:t>
      </w:r>
      <w:r>
        <w:rPr>
          <w:szCs w:val="18"/>
        </w:rPr>
        <w:t xml:space="preserve">enkel op de ‘kale’ doodslag en dus </w:t>
      </w:r>
      <w:r w:rsidRPr="002908AB">
        <w:rPr>
          <w:szCs w:val="18"/>
        </w:rPr>
        <w:t>niet op gekwalificeerde doodslag.</w:t>
      </w:r>
    </w:p>
  </w:footnote>
  <w:footnote w:id="5">
    <w:p w14:paraId="0D0947CF" w14:textId="77777777" w:rsidR="002F2484" w:rsidRDefault="00420165" w:rsidP="002F2484">
      <w:pPr>
        <w:pStyle w:val="FootnoteText"/>
      </w:pPr>
      <w:r w:rsidRPr="008676C7">
        <w:rPr>
          <w:rStyle w:val="FootnoteReference"/>
          <w:szCs w:val="18"/>
        </w:rPr>
        <w:footnoteRef/>
      </w:r>
      <w:r w:rsidRPr="008676C7">
        <w:rPr>
          <w:szCs w:val="18"/>
        </w:rPr>
        <w:t xml:space="preserve"> </w:t>
      </w:r>
      <w:r w:rsidRPr="008676C7">
        <w:rPr>
          <w:szCs w:val="18"/>
        </w:rPr>
        <w:tab/>
      </w:r>
      <w:r w:rsidRPr="008676C7">
        <w:rPr>
          <w:rFonts w:cstheme="minorHAnsi"/>
          <w:color w:val="000000"/>
          <w:szCs w:val="18"/>
        </w:rPr>
        <w:t>Artikel 43a</w:t>
      </w:r>
      <w:r>
        <w:rPr>
          <w:rFonts w:cstheme="minorHAnsi"/>
          <w:color w:val="000000"/>
          <w:szCs w:val="22"/>
        </w:rPr>
        <w:t xml:space="preserve"> en 57 Wetboek van Strafrecht.</w:t>
      </w:r>
    </w:p>
  </w:footnote>
  <w:footnote w:id="6">
    <w:p w14:paraId="38148314" w14:textId="77777777" w:rsidR="002F2484" w:rsidRDefault="00420165" w:rsidP="002F2484">
      <w:pPr>
        <w:pStyle w:val="FootnoteText"/>
      </w:pPr>
      <w:r>
        <w:rPr>
          <w:rStyle w:val="FootnoteReference"/>
        </w:rPr>
        <w:footnoteRef/>
      </w:r>
      <w:r>
        <w:t xml:space="preserve"> </w:t>
      </w:r>
      <w:r>
        <w:tab/>
        <w:t>Artikel 10, vierde lid, Wetboek van Strafrecht.</w:t>
      </w:r>
    </w:p>
  </w:footnote>
  <w:footnote w:id="7">
    <w:p w14:paraId="05F5568F" w14:textId="77777777" w:rsidR="002F2484" w:rsidRDefault="00420165" w:rsidP="002F2484">
      <w:pPr>
        <w:pStyle w:val="FootnoteText"/>
      </w:pPr>
      <w:r>
        <w:rPr>
          <w:rStyle w:val="FootnoteReference"/>
        </w:rPr>
        <w:footnoteRef/>
      </w:r>
      <w:r>
        <w:t xml:space="preserve"> </w:t>
      </w:r>
      <w:r>
        <w:tab/>
        <w:t>Zie p. 2 van de consultatiereactie van de NVvR van 16 november 2020.</w:t>
      </w:r>
    </w:p>
  </w:footnote>
  <w:footnote w:id="8">
    <w:p w14:paraId="30065995" w14:textId="77777777" w:rsidR="002F2484" w:rsidRDefault="00420165" w:rsidP="002F2484">
      <w:pPr>
        <w:pStyle w:val="FootnoteText"/>
      </w:pPr>
      <w:r>
        <w:rPr>
          <w:rStyle w:val="FootnoteReference"/>
        </w:rPr>
        <w:footnoteRef/>
      </w:r>
      <w:r>
        <w:t xml:space="preserve"> </w:t>
      </w:r>
      <w:r>
        <w:tab/>
        <w:t>Toelichting, paragraaf 6.2 (Veranderde verhouding tussen doodslag en moord).</w:t>
      </w:r>
    </w:p>
  </w:footnote>
  <w:footnote w:id="9">
    <w:p w14:paraId="7EA7745A" w14:textId="77777777" w:rsidR="00685FD6" w:rsidRDefault="00420165" w:rsidP="00685FD6">
      <w:pPr>
        <w:pStyle w:val="FootnoteText"/>
        <w:rPr>
          <w:szCs w:val="18"/>
        </w:rPr>
      </w:pPr>
      <w:r>
        <w:rPr>
          <w:rStyle w:val="FootnoteReference"/>
        </w:rPr>
        <w:footnoteRef/>
      </w:r>
      <w:r>
        <w:t xml:space="preserve"> </w:t>
      </w:r>
      <w:r>
        <w:tab/>
      </w:r>
      <w:r>
        <w:rPr>
          <w:szCs w:val="18"/>
        </w:rPr>
        <w:t>Wet van 24 juni 2020 tot wijziging van de Penitentiaire beginselenwet, het Wetboek van</w:t>
      </w:r>
    </w:p>
    <w:p w14:paraId="7927AEFB" w14:textId="77777777" w:rsidR="00685FD6" w:rsidRDefault="00420165" w:rsidP="00685FD6">
      <w:pPr>
        <w:pStyle w:val="FootnoteText"/>
        <w:rPr>
          <w:szCs w:val="18"/>
        </w:rPr>
      </w:pPr>
      <w:r>
        <w:rPr>
          <w:szCs w:val="18"/>
        </w:rPr>
        <w:tab/>
        <w:t>Strafrecht en enige andere wetten in verband met de wijziging van de regeling inzake</w:t>
      </w:r>
    </w:p>
    <w:p w14:paraId="0270D0FE" w14:textId="77777777" w:rsidR="00685FD6" w:rsidRDefault="00420165" w:rsidP="00685FD6">
      <w:pPr>
        <w:pStyle w:val="FootnoteText"/>
        <w:rPr>
          <w:szCs w:val="18"/>
        </w:rPr>
      </w:pPr>
      <w:r>
        <w:rPr>
          <w:szCs w:val="18"/>
        </w:rPr>
        <w:tab/>
        <w:t xml:space="preserve">detentiefasering en voorwaardelijke invrijheidstelling (Wet straffen en beschermen), Stb. 2020, 224. </w:t>
      </w:r>
      <w:r>
        <w:rPr>
          <w:rFonts w:cstheme="minorHAnsi"/>
          <w:color w:val="000000"/>
          <w:szCs w:val="22"/>
        </w:rPr>
        <w:t>Naar verwachting zal de Wet straffen en beschermen op 1 juli van dit jaar in werking treden</w:t>
      </w:r>
      <w:r>
        <w:t>.</w:t>
      </w:r>
    </w:p>
  </w:footnote>
  <w:footnote w:id="10">
    <w:p w14:paraId="3D0E52DA" w14:textId="77777777" w:rsidR="002F2484" w:rsidRDefault="00420165" w:rsidP="002F2484">
      <w:pPr>
        <w:pStyle w:val="FootnoteText"/>
      </w:pPr>
      <w:r>
        <w:rPr>
          <w:rStyle w:val="FootnoteReference"/>
        </w:rPr>
        <w:footnoteRef/>
      </w:r>
      <w:r>
        <w:t xml:space="preserve"> </w:t>
      </w:r>
      <w:r>
        <w:tab/>
        <w:t>Zie p. 2 van de consultatiereactie van de NVvR van 16 november 2020</w:t>
      </w:r>
      <w:r>
        <w:rPr>
          <w:rFonts w:cstheme="minorHAnsi"/>
          <w:color w:val="000000"/>
          <w:szCs w:val="22"/>
        </w:rPr>
        <w:t>. De Nederlandse Orde van Advocaten (NOvA) komt tot een zelfde conclusie. Zie p. 3 van de consultatiereactie van de NOvA van 18 november 2020.</w:t>
      </w:r>
    </w:p>
  </w:footnote>
  <w:footnote w:id="11">
    <w:p w14:paraId="698D3FF9" w14:textId="77777777" w:rsidR="002F2484" w:rsidRDefault="00420165" w:rsidP="002F2484">
      <w:pPr>
        <w:pStyle w:val="FootnoteText"/>
      </w:pPr>
      <w:r>
        <w:rPr>
          <w:rStyle w:val="FootnoteReference"/>
        </w:rPr>
        <w:footnoteRef/>
      </w:r>
      <w:r>
        <w:t xml:space="preserve"> </w:t>
      </w:r>
      <w:r>
        <w:tab/>
        <w:t>Toelichting, paragraaf 6.3 (</w:t>
      </w:r>
      <w:r>
        <w:rPr>
          <w:szCs w:val="18"/>
        </w:rPr>
        <w:t>Wijziging regeling van de tenuitvoerlegging van vrijheidsstraffen)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871EF" w14:textId="0D7789DA"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73277F">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5A42"/>
    <w:multiLevelType w:val="hybridMultilevel"/>
    <w:tmpl w:val="765894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A43F9"/>
    <w:rsid w:val="000B50DC"/>
    <w:rsid w:val="00156F0B"/>
    <w:rsid w:val="0017188E"/>
    <w:rsid w:val="002656A3"/>
    <w:rsid w:val="0027703A"/>
    <w:rsid w:val="002A16F1"/>
    <w:rsid w:val="002C6867"/>
    <w:rsid w:val="002D0875"/>
    <w:rsid w:val="00303CA7"/>
    <w:rsid w:val="00322CB5"/>
    <w:rsid w:val="003A1FC7"/>
    <w:rsid w:val="00420165"/>
    <w:rsid w:val="004421C1"/>
    <w:rsid w:val="004C120D"/>
    <w:rsid w:val="00503044"/>
    <w:rsid w:val="006D3E6B"/>
    <w:rsid w:val="0071031E"/>
    <w:rsid w:val="00724C4B"/>
    <w:rsid w:val="0073277F"/>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17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CD21A5"/>
    <w:rPr>
      <w:vertAlign w:val="superscript"/>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semiHidden/>
    <w:unhideWhenUsed/>
    <w:rsid w:val="005C344C"/>
    <w:rPr>
      <w:sz w:val="16"/>
      <w:szCs w:val="16"/>
    </w:rPr>
  </w:style>
  <w:style w:type="paragraph" w:styleId="CommentText">
    <w:name w:val="annotation text"/>
    <w:basedOn w:val="Normal"/>
    <w:link w:val="CommentTextChar"/>
    <w:semiHidden/>
    <w:unhideWhenUsed/>
    <w:rsid w:val="005C344C"/>
    <w:rPr>
      <w:sz w:val="20"/>
      <w:szCs w:val="20"/>
    </w:rPr>
  </w:style>
  <w:style w:type="character" w:customStyle="1" w:styleId="CommentTextChar">
    <w:name w:val="Comment Text Char"/>
    <w:basedOn w:val="DefaultParagraphFont"/>
    <w:link w:val="CommentText"/>
    <w:semiHidden/>
    <w:rsid w:val="005C344C"/>
    <w:rPr>
      <w:rFonts w:ascii="Univers" w:hAnsi="Univers"/>
    </w:rPr>
  </w:style>
  <w:style w:type="paragraph" w:styleId="CommentSubject">
    <w:name w:val="annotation subject"/>
    <w:basedOn w:val="CommentText"/>
    <w:next w:val="CommentText"/>
    <w:link w:val="CommentSubjectChar"/>
    <w:semiHidden/>
    <w:unhideWhenUsed/>
    <w:rsid w:val="005C344C"/>
    <w:rPr>
      <w:b/>
      <w:bCs/>
    </w:rPr>
  </w:style>
  <w:style w:type="character" w:customStyle="1" w:styleId="CommentSubjectChar">
    <w:name w:val="Comment Subject Char"/>
    <w:basedOn w:val="CommentTextChar"/>
    <w:link w:val="CommentSubject"/>
    <w:semiHidden/>
    <w:rsid w:val="005C344C"/>
    <w:rPr>
      <w:rFonts w:ascii="Univers" w:hAnsi="Univers"/>
      <w:b/>
      <w:bCs/>
    </w:rPr>
  </w:style>
  <w:style w:type="paragraph" w:styleId="Revision">
    <w:name w:val="Revision"/>
    <w:hidden/>
    <w:uiPriority w:val="99"/>
    <w:semiHidden/>
    <w:rsid w:val="005C344C"/>
    <w:rPr>
      <w:rFonts w:ascii="Univers" w:hAnsi="Univers"/>
      <w:sz w:val="22"/>
      <w:szCs w:val="24"/>
    </w:rPr>
  </w:style>
  <w:style w:type="paragraph" w:customStyle="1" w:styleId="Default">
    <w:name w:val="Default"/>
    <w:rsid w:val="00C77EAE"/>
    <w:pPr>
      <w:autoSpaceDE w:val="0"/>
      <w:autoSpaceDN w:val="0"/>
      <w:adjustRightInd w:val="0"/>
    </w:pPr>
    <w:rPr>
      <w:rFonts w:ascii="Gill Sans MT" w:hAnsi="Gill Sans MT" w:cs="Gill Sans MT"/>
      <w:color w:val="000000"/>
      <w:sz w:val="24"/>
      <w:szCs w:val="24"/>
    </w:rPr>
  </w:style>
  <w:style w:type="character" w:customStyle="1" w:styleId="hl3">
    <w:name w:val="hl3"/>
    <w:basedOn w:val="DefaultParagraphFont"/>
    <w:rsid w:val="005D3A70"/>
  </w:style>
  <w:style w:type="character" w:customStyle="1" w:styleId="hl1">
    <w:name w:val="hl1"/>
    <w:basedOn w:val="DefaultParagraphFont"/>
    <w:rsid w:val="005D3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CD21A5"/>
    <w:rPr>
      <w:vertAlign w:val="superscript"/>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semiHidden/>
    <w:unhideWhenUsed/>
    <w:rsid w:val="005C344C"/>
    <w:rPr>
      <w:sz w:val="16"/>
      <w:szCs w:val="16"/>
    </w:rPr>
  </w:style>
  <w:style w:type="paragraph" w:styleId="CommentText">
    <w:name w:val="annotation text"/>
    <w:basedOn w:val="Normal"/>
    <w:link w:val="CommentTextChar"/>
    <w:semiHidden/>
    <w:unhideWhenUsed/>
    <w:rsid w:val="005C344C"/>
    <w:rPr>
      <w:sz w:val="20"/>
      <w:szCs w:val="20"/>
    </w:rPr>
  </w:style>
  <w:style w:type="character" w:customStyle="1" w:styleId="CommentTextChar">
    <w:name w:val="Comment Text Char"/>
    <w:basedOn w:val="DefaultParagraphFont"/>
    <w:link w:val="CommentText"/>
    <w:semiHidden/>
    <w:rsid w:val="005C344C"/>
    <w:rPr>
      <w:rFonts w:ascii="Univers" w:hAnsi="Univers"/>
    </w:rPr>
  </w:style>
  <w:style w:type="paragraph" w:styleId="CommentSubject">
    <w:name w:val="annotation subject"/>
    <w:basedOn w:val="CommentText"/>
    <w:next w:val="CommentText"/>
    <w:link w:val="CommentSubjectChar"/>
    <w:semiHidden/>
    <w:unhideWhenUsed/>
    <w:rsid w:val="005C344C"/>
    <w:rPr>
      <w:b/>
      <w:bCs/>
    </w:rPr>
  </w:style>
  <w:style w:type="character" w:customStyle="1" w:styleId="CommentSubjectChar">
    <w:name w:val="Comment Subject Char"/>
    <w:basedOn w:val="CommentTextChar"/>
    <w:link w:val="CommentSubject"/>
    <w:semiHidden/>
    <w:rsid w:val="005C344C"/>
    <w:rPr>
      <w:rFonts w:ascii="Univers" w:hAnsi="Univers"/>
      <w:b/>
      <w:bCs/>
    </w:rPr>
  </w:style>
  <w:style w:type="paragraph" w:styleId="Revision">
    <w:name w:val="Revision"/>
    <w:hidden/>
    <w:uiPriority w:val="99"/>
    <w:semiHidden/>
    <w:rsid w:val="005C344C"/>
    <w:rPr>
      <w:rFonts w:ascii="Univers" w:hAnsi="Univers"/>
      <w:sz w:val="22"/>
      <w:szCs w:val="24"/>
    </w:rPr>
  </w:style>
  <w:style w:type="paragraph" w:customStyle="1" w:styleId="Default">
    <w:name w:val="Default"/>
    <w:rsid w:val="00C77EAE"/>
    <w:pPr>
      <w:autoSpaceDE w:val="0"/>
      <w:autoSpaceDN w:val="0"/>
      <w:adjustRightInd w:val="0"/>
    </w:pPr>
    <w:rPr>
      <w:rFonts w:ascii="Gill Sans MT" w:hAnsi="Gill Sans MT" w:cs="Gill Sans MT"/>
      <w:color w:val="000000"/>
      <w:sz w:val="24"/>
      <w:szCs w:val="24"/>
    </w:rPr>
  </w:style>
  <w:style w:type="character" w:customStyle="1" w:styleId="hl3">
    <w:name w:val="hl3"/>
    <w:basedOn w:val="DefaultParagraphFont"/>
    <w:rsid w:val="005D3A70"/>
  </w:style>
  <w:style w:type="character" w:customStyle="1" w:styleId="hl1">
    <w:name w:val="hl1"/>
    <w:basedOn w:val="DefaultParagraphFont"/>
    <w:rsid w:val="005D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782</ap:Words>
  <ap:Characters>4307</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2021-06-24T11:24:00.0000000Z</dcterms:created>
  <dcterms:modified xsi:type="dcterms:W3CDTF">2021-06-24T11:24:00.0000000Z</dcterms:modified>
  <dc:description>------------------------</dc:description>
  <dc:subject/>
  <dc:title/>
  <keywords/>
  <version/>
  <category/>
</coreProperties>
</file>