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23BC9DA7" w14:textId="77777777">
          <w:pPr>
            <w:tabs>
              <w:tab w:val="left" w:pos="3686"/>
            </w:tabs>
          </w:pPr>
          <w:r>
            <w:rPr>
              <w:noProof/>
            </w:rPr>
            <mc:AlternateContent>
              <mc:Choice Requires="wps">
                <w:drawing>
                  <wp:anchor distT="0" distB="0" distL="114300" distR="114300" simplePos="0" relativeHeight="251657728" behindDoc="0" locked="0" layoutInCell="1" allowOverlap="1" wp14:editId="7F9B9CF1" wp14:anchorId="4BD9DA6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0673031F"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BD9DA61">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0673031F"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CD9CC2C" wp14:anchorId="0FE0C45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W16.21.0138/II/K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11 augustus 2021</w:t>
              </w:r>
            </w:sdtContent>
          </w:sdt>
        </w:p>
        <w:p w:rsidR="00503044" w:rsidP="00503044" w:rsidRDefault="00503044" w14:paraId="15F8D128" w14:textId="77777777">
          <w:pPr>
            <w:tabs>
              <w:tab w:val="left" w:pos="3685"/>
            </w:tabs>
          </w:pPr>
        </w:p>
        <w:p w:rsidR="00503044" w:rsidP="00503044" w:rsidRDefault="00503044" w14:paraId="057CBBEF"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515DC9" w:rsidRDefault="00681092" w14:paraId="1D426F7B" w14:textId="77777777">
              <w:r>
                <w:t>Bij Kabinetsmissive van 18 mei 2021, no.2021000922, heeft Uwe Majesteit, op voordracht van de Staatssecretaris van Justitie en Veiligheid, bij de Afdeling advisering van de Raad van State van het Koninkrijk ter overweging aanhangig gemaakt het voorstel van wet tot wijziging van de Rijkswet op het Nederlanderschap en de Wet op de inlichtingen- en veiligheidsdiensten 2017, alsmede intrekking van de Rijkswet van 10 februari 2017, houdende wijziging van de Rijkswet op het Nederlanderschap in verband met het intrekken van het Nederlanderschap in het belang van de nationale veiligheid (Stb. 2017, 52), met memorie van toelichting.</w:t>
              </w:r>
            </w:p>
          </w:sdtContent>
        </w:sdt>
        <w:p w:rsidR="0071031E" w:rsidRDefault="0071031E" w14:paraId="18BB893E" w14:textId="77777777"/>
        <w:sdt>
          <w:sdtPr>
            <w:alias w:val="VrijeTekst1"/>
            <w:tag w:val="VrijeTekst1"/>
            <w:id w:val="-437221631"/>
            <w:lock w:val="sdtLocked"/>
          </w:sdtPr>
          <w:sdtEndPr/>
          <w:sdtContent>
            <w:sdt>
              <w:sdtPr>
                <w:alias w:val="VrijeTekst1"/>
                <w:tag w:val="VrijeTekst1"/>
                <w:id w:val="144406439"/>
              </w:sdtPr>
              <w:sdtEndPr/>
              <w:sdtContent>
                <w:p w:rsidR="00701EA0" w:rsidP="00E878A3" w:rsidRDefault="00681092" w14:paraId="6D8CD4E8" w14:textId="77777777">
                  <w:r>
                    <w:t>Krachtens artikel 14, vierde lid, van de Rijkswet op het Nederlanderschap (RWN) heeft de Minister van Justitie en Veiligheid thans de bevoegdheid het Nederlanderschap in te trekken van een Nederlander die zich in het buitenland heeft aangesloten bij een terroristische organisatie. Een voorafgaande strafrechtelijke veroordeling is in dit verband niet vereist. Deze bevoegdheid vervalt op 1 maart 2022 van rechtswege als gevolg van een horizonbepaling.</w:t>
                  </w:r>
                </w:p>
                <w:p w:rsidR="00701EA0" w:rsidP="003E3878" w:rsidRDefault="00E81F70" w14:paraId="4ED0A9C3" w14:textId="77777777"/>
                <w:p w:rsidR="00701EA0" w:rsidRDefault="00681092" w14:paraId="360D83D1" w14:textId="77777777">
                  <w:r>
                    <w:t xml:space="preserve">Dit wetsvoorstel strekt tot schrapping van de horizonbepaling, waardoor de voornoemde bevoegdheid tot intrekking van het Nederlanderschap permanent wordt. Inhoudelijk wordt deze bevoegdheid niet gewijzigd. Wel schrapt het voorstel de toezichthoudende taak van de Commissie van Toezicht op de Inlichtingen- en Veiligheidsdiensten (CTIVD) en creëert het een grondslag voor de </w:t>
                  </w:r>
                  <w:r w:rsidRPr="002C69F4">
                    <w:t xml:space="preserve">verwerking </w:t>
                  </w:r>
                  <w:r>
                    <w:t xml:space="preserve">van </w:t>
                  </w:r>
                  <w:r w:rsidRPr="002C69F4">
                    <w:t>bijzondere persoonsgegevens</w:t>
                  </w:r>
                  <w:r>
                    <w:t xml:space="preserve"> en persoonsgegevens van strafrechtelijke aard.</w:t>
                  </w:r>
                </w:p>
                <w:p w:rsidR="00701EA0" w:rsidRDefault="00E81F70" w14:paraId="3F86CAEF" w14:textId="77777777"/>
                <w:p w:rsidR="00E65131" w:rsidRDefault="00681092" w14:paraId="3123FCC8" w14:textId="77777777">
                  <w:r>
                    <w:t xml:space="preserve">De Afdeling advisering van de Raad van State van het Koninkrijk begrijpt de wens van de regering om op te treden tegen Nederlanders die zich hebben aangesloten bij een terroristische organisatie in het buitenland en daarmee een potentiële bedreiging voor de veiligheid van het Koninkrijk vormen. Mede tegen de achtergrond van de uitgevoerde onderzoeken naar de werking van artikel 14, vierde lid, van de RWN, doet het wetsvoorstel evenwel vragen rijzen. </w:t>
                  </w:r>
                </w:p>
                <w:p w:rsidRPr="00BA5469" w:rsidR="00E65131" w:rsidRDefault="00E81F70" w14:paraId="4CA542D9" w14:textId="77777777">
                  <w:pPr>
                    <w:rPr>
                      <w:color w:val="0070C0"/>
                    </w:rPr>
                  </w:pPr>
                </w:p>
                <w:p w:rsidR="00701EA0" w:rsidP="00E878A3" w:rsidRDefault="00681092" w14:paraId="7B024F87" w14:textId="77777777">
                  <w:r>
                    <w:t xml:space="preserve">De Afdeling maakt naar aanleiding van het voorstel van rijkswet allereerst opmerkingen over de noodzaak van een </w:t>
                  </w:r>
                  <w:r w:rsidRPr="00AE6566">
                    <w:t>permanente</w:t>
                  </w:r>
                  <w:r>
                    <w:t xml:space="preserve"> bevoegdheid tot intrekking van het Nederlanderschap. Voor de introductie van een </w:t>
                  </w:r>
                  <w:r w:rsidRPr="00BA5469">
                    <w:rPr>
                      <w:i/>
                      <w:iCs/>
                    </w:rPr>
                    <w:t>permanente</w:t>
                  </w:r>
                  <w:r>
                    <w:t xml:space="preserve"> bevoegdheid bestaan op dit moment onvoldoende zwaarwegende argumenten (punt 2). Voorts maakt de Afdeling opmerkingen over de voorgestelde grondslag voor de verwerking van bijzondere categorieën persoonsgegevens en persoonsgegevens van strafrechtelijke aard. Deze grondslag voldoet thans niet aan de eisen die de Algemene Verordening Gegevensbescherming (AVG) daaraan stelt (punt 3). Tot slot maakt de Afdeling enkele opmerkingen over de schrapping van de toezichthoudende rol van de CTIVD (punt 4) en de toepassing van het wetsvoorstel op de Caribische landen (punt 5). In verband met deze opmerkingen dient het voorstel nader te worden overwogen. </w:t>
                  </w:r>
                </w:p>
                <w:p w:rsidR="00701EA0" w:rsidP="0046415C" w:rsidRDefault="00E81F70" w14:paraId="22B1DFF0" w14:textId="77777777"/>
                <w:p w:rsidR="00701EA0" w:rsidP="003E3878" w:rsidRDefault="00681092" w14:paraId="1CE8B143" w14:textId="77777777">
                  <w:pPr>
                    <w:pStyle w:val="Lijstalinea"/>
                    <w:numPr>
                      <w:ilvl w:val="0"/>
                      <w:numId w:val="1"/>
                    </w:numPr>
                    <w:ind w:hanging="720"/>
                    <w:rPr>
                      <w:u w:val="single"/>
                    </w:rPr>
                  </w:pPr>
                  <w:r>
                    <w:rPr>
                      <w:u w:val="single"/>
                    </w:rPr>
                    <w:t xml:space="preserve">Achtergrond en inhoud van het wetsvoorstel </w:t>
                  </w:r>
                </w:p>
                <w:p w:rsidR="00701EA0" w:rsidRDefault="00E81F70" w14:paraId="25E51E39" w14:textId="77777777">
                  <w:pPr>
                    <w:rPr>
                      <w:u w:val="single"/>
                    </w:rPr>
                  </w:pPr>
                </w:p>
                <w:p w:rsidR="00701EA0" w:rsidRDefault="00681092" w14:paraId="61C5441A" w14:textId="77777777">
                  <w:r>
                    <w:lastRenderedPageBreak/>
                    <w:t>Bij Rijkswet van 10 februari 2017</w:t>
                  </w:r>
                  <w:r>
                    <w:rPr>
                      <w:rStyle w:val="Voetnootmarkering"/>
                    </w:rPr>
                    <w:footnoteReference w:id="1"/>
                  </w:r>
                  <w:r>
                    <w:t xml:space="preserve"> is aan de Minister van Justitie en Veiligheid de bevoegdheid verleend het Nederlanderschap in te trekken van een Nederlander die zich in het buitenland heeft aangesloten bij een terroristische organisatie, zonder dat een voorafgaande strafrechtelijke veroordeling is vereist.</w:t>
                  </w:r>
                  <w:r>
                    <w:rPr>
                      <w:rStyle w:val="Voetnootmarkering"/>
                    </w:rPr>
                    <w:footnoteReference w:id="2"/>
                  </w:r>
                  <w:r>
                    <w:t xml:space="preserve"> Volgens de toelichting vindt de</w:t>
                  </w:r>
                  <w:r w:rsidRPr="00115F48">
                    <w:t xml:space="preserve"> intrekking van het Nederlanderschap plaats in het belang van de nationale veiligheid van het Koninkrijk en strekt</w:t>
                  </w:r>
                  <w:r>
                    <w:t xml:space="preserve"> deze </w:t>
                  </w:r>
                  <w:r w:rsidRPr="00115F48">
                    <w:t>ertoe legale terugkeer onmogelijk te maken en illegale terugkeer te bemoeilijken</w:t>
                  </w:r>
                  <w:r>
                    <w:t>.</w:t>
                  </w:r>
                  <w:r>
                    <w:rPr>
                      <w:rStyle w:val="Voetnootmarkering"/>
                    </w:rPr>
                    <w:footnoteReference w:id="3"/>
                  </w:r>
                  <w:r>
                    <w:t xml:space="preserve"> De regering zag destijds in de toegenomen dreiging van het internationaal jihadistisch geïnspireerd terrorisme aanleiding tot introductie van deze bevoegdheid, die is vervat in artikel 14, vierde lid, van de RWN.</w:t>
                  </w:r>
                  <w:r>
                    <w:rPr>
                      <w:rStyle w:val="Voetnootmarkering"/>
                    </w:rPr>
                    <w:footnoteReference w:id="4"/>
                  </w:r>
                  <w:r>
                    <w:t xml:space="preserve"> Het maakte onderdeel uit van de maatregelen die in augustus 2014 werden aangekondigd in het Nationaal Actieprogramma Integrale Aanpak Jihadisme.</w:t>
                  </w:r>
                  <w:r>
                    <w:rPr>
                      <w:rStyle w:val="Voetnootmarkering"/>
                    </w:rPr>
                    <w:footnoteReference w:id="5"/>
                  </w:r>
                  <w:r>
                    <w:t xml:space="preserve"> </w:t>
                  </w:r>
                </w:p>
                <w:p w:rsidR="00701EA0" w:rsidRDefault="00E81F70" w14:paraId="67D279A7" w14:textId="77777777"/>
                <w:p w:rsidR="00E26E70" w:rsidP="00E26E70" w:rsidRDefault="00681092" w14:paraId="1091DE34" w14:textId="2AA0BCBF">
                  <w:r>
                    <w:t>De intrekking van de Nederlandse nationaliteit is alleen van toepassing op Nederlanders met een dubbele nationaliteit.</w:t>
                  </w:r>
                  <w:r>
                    <w:rPr>
                      <w:rStyle w:val="Voetnootmarkering"/>
                    </w:rPr>
                    <w:footnoteReference w:id="6"/>
                  </w:r>
                  <w:r>
                    <w:t xml:space="preserve"> Als zodanig wordt onderscheid gemaakt tussen </w:t>
                  </w:r>
                  <w:proofErr w:type="spellStart"/>
                  <w:r>
                    <w:t>monopatride</w:t>
                  </w:r>
                  <w:proofErr w:type="spellEnd"/>
                  <w:r>
                    <w:t xml:space="preserve"> en </w:t>
                  </w:r>
                  <w:proofErr w:type="spellStart"/>
                  <w:r>
                    <w:t>bipatride</w:t>
                  </w:r>
                  <w:proofErr w:type="spellEnd"/>
                  <w:r>
                    <w:t xml:space="preserve"> Nederlanders. Volgens de regering vindt dit onderscheid zijn oorsprong in de verdragsrechtelijke verplichting van het Koninkrijk om onderdanen niet staatloos te maken. Deze is vervat in artikel 8 van het Verdrag ter beperking van staatloosheid en artikel 7, derde lid, van het Europees Verdrag inzake nationaliteit. Hieruit volgt dat staten verplicht zijn om in situaties waarin nationaliteit verloren kan gaan, personen met één nationaliteit anders te behandelen dan personen met meerdere nationaliteiten, zo stelt de regering.</w:t>
                  </w:r>
                  <w:r>
                    <w:rPr>
                      <w:rStyle w:val="Voetnootmarkering"/>
                    </w:rPr>
                    <w:footnoteReference w:id="7"/>
                  </w:r>
                  <w:r>
                    <w:t xml:space="preserve"> In lijn met rechtspraak over de intrekking van de Nederlandse nationaliteit schuilt de rechtvaardiging voor het gemaakte onderscheid volgens de regering aldus in de verdragsrechtelijke verplichting tot het voorkomen van staatloosheid.</w:t>
                  </w:r>
                  <w:r w:rsidRPr="00F630DB">
                    <w:rPr>
                      <w:rStyle w:val="Voetnootmarkering"/>
                    </w:rPr>
                    <w:footnoteReference w:id="8"/>
                  </w:r>
                </w:p>
                <w:p w:rsidR="00E26E70" w:rsidP="00E26E70" w:rsidRDefault="00E81F70" w14:paraId="47061EE6" w14:textId="77777777"/>
                <w:p w:rsidR="00E26E70" w:rsidP="00E26E70" w:rsidRDefault="00681092" w14:paraId="50DC2543" w14:textId="77777777">
                  <w:r>
                    <w:t>In november 2015 heeft de Afdeling kritisch geadviseerd over het wetsvoorstel dat de bevoegdheid krachtens artikel 14, vierde lid, van de RWN introduceerde.</w:t>
                  </w:r>
                  <w:r>
                    <w:rPr>
                      <w:rStyle w:val="Voetnootmarkering"/>
                    </w:rPr>
                    <w:footnoteReference w:id="9"/>
                  </w:r>
                  <w:r>
                    <w:t xml:space="preserve"> Zo was de Afdeling destijds niet overtuigd van de toegevoegde waarde van het voorstel ten opzichte van de bestaande strafrechtelijke mogelijkheden. Ook betwijfelde zij of een mogelijke bijdrage van de bevoegdheid aan de bescherming van de veiligheid in het Koninkrijk opwoog tegen het prijsgeven van strafrechtelijke bevoegdheden. Evenmin was de Afdeling overtuigd van de proportionaliteit van de voorgestelde ingrijpende </w:t>
                  </w:r>
                  <w:r>
                    <w:lastRenderedPageBreak/>
                    <w:t>maatregel in het licht van de beperkte mogelijkheden tot rechtsbescherming voor de betrokkene.</w:t>
                  </w:r>
                  <w:r>
                    <w:rPr>
                      <w:rStyle w:val="Voetnootmarkering"/>
                    </w:rPr>
                    <w:footnoteReference w:id="10"/>
                  </w:r>
                  <w:r>
                    <w:t xml:space="preserve"> </w:t>
                  </w:r>
                </w:p>
                <w:p w:rsidR="00E26E70" w:rsidP="00E26E70" w:rsidRDefault="00E81F70" w14:paraId="288E4EA9" w14:textId="77777777"/>
                <w:p w:rsidR="00E26E70" w:rsidP="00E26E70" w:rsidRDefault="00681092" w14:paraId="766C82A2" w14:textId="77777777">
                  <w:r>
                    <w:t>De</w:t>
                  </w:r>
                  <w:r w:rsidRPr="000F7587">
                    <w:t xml:space="preserve"> bevoegdheid</w:t>
                  </w:r>
                  <w:r>
                    <w:t xml:space="preserve"> tot intrekking van het Nederlanderschap krachtens artikel 14, vierde lid, van de RWN </w:t>
                  </w:r>
                  <w:r w:rsidRPr="000F7587">
                    <w:t>vervalt op 1 maart 2022 van rechtswege als gevolg van een horizonbepaling.</w:t>
                  </w:r>
                  <w:r>
                    <w:t xml:space="preserve"> Het nu voorliggende wetsvoorstel schrapt die horizonbepaling. Als gevolg daarvan wordt de intrekkingsbevoegdheid permanent in de wet opgenomen.</w:t>
                  </w:r>
                  <w:r>
                    <w:rPr>
                      <w:rStyle w:val="Voetnootmarkering"/>
                    </w:rPr>
                    <w:footnoteReference w:id="11"/>
                  </w:r>
                  <w:r>
                    <w:t xml:space="preserve"> Het wetsvoorstel strekt niet tot inhoudelijke wijziging van die bevoegdheid. Wel wordt de taak van de CTIVD om toezicht te houden op de doelmatigheid van de toepassing van de bevoegdheid geschrapt.</w:t>
                  </w:r>
                  <w:r>
                    <w:rPr>
                      <w:rStyle w:val="Voetnootmarkering"/>
                    </w:rPr>
                    <w:footnoteReference w:id="12"/>
                  </w:r>
                  <w:r>
                    <w:t xml:space="preserve"> Volgens de toelichting is er zowel op individueel als op politiek niveau reeds in dit toezicht voorzien.</w:t>
                  </w:r>
                  <w:r>
                    <w:rPr>
                      <w:rStyle w:val="Voetnootmarkering"/>
                    </w:rPr>
                    <w:footnoteReference w:id="13"/>
                  </w:r>
                  <w:r>
                    <w:t xml:space="preserve"> Verder creëert het wetsvoorstel met het oog op de inmiddels in werking getreden AVG een grondslag voor de </w:t>
                  </w:r>
                  <w:r w:rsidRPr="002C69F4">
                    <w:t xml:space="preserve">verwerking </w:t>
                  </w:r>
                  <w:r>
                    <w:t xml:space="preserve">van </w:t>
                  </w:r>
                  <w:r w:rsidRPr="002C69F4">
                    <w:t>bijzondere persoonsgegevens</w:t>
                  </w:r>
                  <w:r>
                    <w:t xml:space="preserve"> en persoonsgegevens van strafrechtelijke aard.</w:t>
                  </w:r>
                  <w:r>
                    <w:rPr>
                      <w:rStyle w:val="Voetnootmarkering"/>
                    </w:rPr>
                    <w:footnoteReference w:id="14"/>
                  </w:r>
                </w:p>
                <w:p w:rsidRPr="00BA5469" w:rsidR="00BA5469" w:rsidP="00BA5469" w:rsidRDefault="00E81F70" w14:paraId="3BDC6781" w14:textId="77777777">
                  <w:pPr>
                    <w:rPr>
                      <w:u w:val="single"/>
                    </w:rPr>
                  </w:pPr>
                </w:p>
                <w:p w:rsidRPr="005D389D" w:rsidR="00701EA0" w:rsidP="00E878A3" w:rsidRDefault="00681092" w14:paraId="117B9403" w14:textId="77777777">
                  <w:pPr>
                    <w:pStyle w:val="Lijstalinea"/>
                    <w:numPr>
                      <w:ilvl w:val="0"/>
                      <w:numId w:val="1"/>
                    </w:numPr>
                    <w:ind w:hanging="720"/>
                    <w:rPr>
                      <w:u w:val="single"/>
                    </w:rPr>
                  </w:pPr>
                  <w:r>
                    <w:rPr>
                      <w:u w:val="single"/>
                    </w:rPr>
                    <w:t>Noodzaak permanente bevoegdheid</w:t>
                  </w:r>
                </w:p>
                <w:p w:rsidR="00102018" w:rsidP="00E878A3" w:rsidRDefault="00E81F70" w14:paraId="4CE9E9E4" w14:textId="77777777"/>
                <w:p w:rsidR="00102018" w:rsidP="00F46DCA" w:rsidRDefault="00681092" w14:paraId="44BEAF83" w14:textId="77777777">
                  <w:r>
                    <w:t>De toelichting vermeldt dat het schrappen van de horizonbepaling allereerst is ingegeven door de resultaten van het evaluatieonderzoek dat in opdracht van het Wetenschappelijk Onderzoek- en Documentatiecentrum (WODC) werd uitgevoerd. Voor de regering geeft ook het huidige dreigingsbeeld aanleiding de regeling te handhaven.</w:t>
                  </w:r>
                  <w:r>
                    <w:rPr>
                      <w:rStyle w:val="Voetnootmarkering"/>
                    </w:rPr>
                    <w:footnoteReference w:id="15"/>
                  </w:r>
                  <w:r>
                    <w:t xml:space="preserve"> Met het wetsvoorstel wordt tevens uitvoering gegeven aan de motie </w:t>
                  </w:r>
                  <w:proofErr w:type="spellStart"/>
                  <w:r>
                    <w:t>Yesilgöz-Zegerius</w:t>
                  </w:r>
                  <w:proofErr w:type="spellEnd"/>
                  <w:r>
                    <w:t xml:space="preserve"> en Van Toorenburg, waarin de regering wordt verzocht de regeling tot intrekking van het Nederlanderschap met het oog op “de nog altijd bestaande terroristische dreiging” permanent te maken.</w:t>
                  </w:r>
                  <w:r>
                    <w:rPr>
                      <w:rStyle w:val="Voetnootmarkering"/>
                    </w:rPr>
                    <w:footnoteReference w:id="16"/>
                  </w:r>
                </w:p>
                <w:p w:rsidR="00102018" w:rsidP="00F46DCA" w:rsidRDefault="00E81F70" w14:paraId="62600CB4" w14:textId="77777777"/>
                <w:p w:rsidR="00102018" w:rsidP="003E3878" w:rsidRDefault="00681092" w14:paraId="19D4469C" w14:textId="77777777">
                  <w:pPr>
                    <w:rPr>
                      <w:b/>
                      <w:bCs/>
                    </w:rPr>
                  </w:pPr>
                  <w:r>
                    <w:t>In de periode waarin deze bepaling tot stand kwam, was het dreigingsniveau ‘substantieel’, hetgeen betekende dat de kans op een terroristische aanslag in Nederland reëel was.</w:t>
                  </w:r>
                  <w:r>
                    <w:rPr>
                      <w:rStyle w:val="Voetnootmarkering"/>
                    </w:rPr>
                    <w:footnoteReference w:id="17"/>
                  </w:r>
                  <w:r>
                    <w:t xml:space="preserve"> In die jaren had ISIS feitelijke controle over grote gebiedsdelen in Syrië en Irak. De bedreiging van de lokale bevolking door ISIS evenals de oplopende geweldsescalatie tussen het Westen en ISIS droegen bij aan de toenmalige mate van dreiging, waarbij de Nederlandse deelname aan de anti-ISIS coalitie Nederland ook nadrukkelijker in beeld bracht bij jihadisten. Veel aandacht ging dan ook uit naar Nederlanders die naar het Midden-Oosten </w:t>
                  </w:r>
                  <w:proofErr w:type="spellStart"/>
                  <w:r>
                    <w:t>uitreisden</w:t>
                  </w:r>
                  <w:proofErr w:type="spellEnd"/>
                  <w:r>
                    <w:t xml:space="preserve"> om zich aan te sluiten bij jihadistisch-terroristische netwerken.</w:t>
                  </w:r>
                  <w:r>
                    <w:rPr>
                      <w:rStyle w:val="Voetnootmarkering"/>
                    </w:rPr>
                    <w:footnoteReference w:id="18"/>
                  </w:r>
                  <w:r>
                    <w:t xml:space="preserve"> </w:t>
                  </w:r>
                </w:p>
                <w:p w:rsidR="00102018" w:rsidP="005A4DBB" w:rsidRDefault="00E81F70" w14:paraId="7FA593C1" w14:textId="77777777"/>
                <w:p w:rsidR="00102018" w:rsidRDefault="00681092" w14:paraId="0E223F17" w14:textId="77777777">
                  <w:r>
                    <w:t>Sinds de grote territoriale verliezen die ISIS leed in 2018, zijn er geen nieuwe stromen uitreizigers geweest.</w:t>
                  </w:r>
                  <w:r>
                    <w:rPr>
                      <w:rStyle w:val="Voetnootmarkering"/>
                    </w:rPr>
                    <w:footnoteReference w:id="19"/>
                  </w:r>
                  <w:r>
                    <w:t xml:space="preserve"> Desalniettemin bestaat in Nederland nog altijd een terroristische dreiging. </w:t>
                  </w:r>
                  <w:r w:rsidRPr="006A7213">
                    <w:t>Sinds 9 december 2019 is het actuele dreigingsniveau</w:t>
                  </w:r>
                  <w:r>
                    <w:t xml:space="preserve"> ‘a</w:t>
                  </w:r>
                  <w:r w:rsidRPr="006A7213">
                    <w:t>anzienlijk</w:t>
                  </w:r>
                  <w:r>
                    <w:t>’.</w:t>
                  </w:r>
                  <w:r>
                    <w:rPr>
                      <w:rStyle w:val="Voetnootmarkering"/>
                    </w:rPr>
                    <w:footnoteReference w:id="20"/>
                  </w:r>
                  <w:r>
                    <w:t xml:space="preserve"> Daarbij </w:t>
                  </w:r>
                  <w:r>
                    <w:lastRenderedPageBreak/>
                    <w:t xml:space="preserve">gaat er nog steeds dreiging uit van </w:t>
                  </w:r>
                  <w:proofErr w:type="spellStart"/>
                  <w:r>
                    <w:t>terugkeerders</w:t>
                  </w:r>
                  <w:proofErr w:type="spellEnd"/>
                  <w:r>
                    <w:t xml:space="preserve"> die bij </w:t>
                  </w:r>
                  <w:r w:rsidRPr="00F80500">
                    <w:t>terroristische groepen zijn aangesloten en strijdervaring hebben opgedaa</w:t>
                  </w:r>
                  <w:r>
                    <w:t>n.</w:t>
                  </w:r>
                  <w:r w:rsidRPr="00C472D4">
                    <w:rPr>
                      <w:rStyle w:val="Voetnootmarkering"/>
                    </w:rPr>
                    <w:footnoteReference w:id="21"/>
                  </w:r>
                  <w:r>
                    <w:rPr>
                      <w:b/>
                      <w:bCs/>
                    </w:rPr>
                    <w:t xml:space="preserve"> </w:t>
                  </w:r>
                  <w:r>
                    <w:t>Volgens de laatste inlichtingen bevinden zich in totaal nog zo’n 110 Nederlandse uitreizigers in Syrië en Irak.</w:t>
                  </w:r>
                  <w:r>
                    <w:rPr>
                      <w:rStyle w:val="Voetnootmarkering"/>
                    </w:rPr>
                    <w:footnoteReference w:id="22"/>
                  </w:r>
                  <w:r>
                    <w:t xml:space="preserve"> </w:t>
                  </w:r>
                  <w:r w:rsidRPr="004E4EBE">
                    <w:t xml:space="preserve">Hoeveel onder hen een meervoudige nationaliteit </w:t>
                  </w:r>
                  <w:r>
                    <w:t>hebben</w:t>
                  </w:r>
                  <w:r w:rsidRPr="004E4EBE">
                    <w:t>, is niet bekend.</w:t>
                  </w:r>
                </w:p>
                <w:p w:rsidR="00102018" w:rsidRDefault="00E81F70" w14:paraId="52DAFF17" w14:textId="77777777"/>
                <w:p w:rsidR="00102018" w:rsidRDefault="00681092" w14:paraId="3678F5DD" w14:textId="77777777">
                  <w:r>
                    <w:t xml:space="preserve">Daarnaast wijst de toelichting ook op de opleving en verspreiding van jihadistisch geweld in de westelijke </w:t>
                  </w:r>
                  <w:proofErr w:type="spellStart"/>
                  <w:r>
                    <w:t>Sahel</w:t>
                  </w:r>
                  <w:proofErr w:type="spellEnd"/>
                  <w:r>
                    <w:t>-landen Mali, Burkina Faso en Niger. Mede met het oog daarop acht de regering het nu en in de toekomst (opnieuw) uitreizen van personen om zich in het buitenland aan te sluiten bij een terroristische organisatie, niet ondenkbeeldig.</w:t>
                  </w:r>
                  <w:r>
                    <w:rPr>
                      <w:rStyle w:val="Voetnootmarkering"/>
                    </w:rPr>
                    <w:footnoteReference w:id="23"/>
                  </w:r>
                  <w:r>
                    <w:t xml:space="preserve"> </w:t>
                  </w:r>
                </w:p>
                <w:p w:rsidR="00102018" w:rsidRDefault="00E81F70" w14:paraId="597CF753" w14:textId="77777777"/>
                <w:p w:rsidR="00102018" w:rsidRDefault="00681092" w14:paraId="2A291567" w14:textId="77777777">
                  <w:r>
                    <w:t>Het voorgaande neemt niet weg dat de intrekking van het Nederlanderschap een zeer ingrijpende maatregel is voor de betrokkene.</w:t>
                  </w:r>
                  <w:r>
                    <w:rPr>
                      <w:rStyle w:val="Voetnootmarkering"/>
                    </w:rPr>
                    <w:footnoteReference w:id="24"/>
                  </w:r>
                  <w:r>
                    <w:t xml:space="preserve"> Deze ingrijpende aard van de maatregel gaf destijds aanleiding “om te voorzien in een uitdrukkelijke bezinning over de wenselijkheid van de maatregelen na vijf jaar” en daarom werd (bij amendement) bewust gekozen voor een tijdelijke werkingsduur van vijf jaar.</w:t>
                  </w:r>
                  <w:r>
                    <w:rPr>
                      <w:rStyle w:val="Voetnootmarkering"/>
                    </w:rPr>
                    <w:footnoteReference w:id="25"/>
                  </w:r>
                  <w:r>
                    <w:t xml:space="preserve"> De vraag is dan ook of er op dit moment gegronde redenen zijn de bevoegdheid tot intrekking van het Nederlanderschap zoals voorgesteld te continueren en zelfs permanent in de wet op te nemen. </w:t>
                  </w:r>
                </w:p>
                <w:p w:rsidR="00102018" w:rsidRDefault="00E81F70" w14:paraId="0526D9A0" w14:textId="77777777"/>
                <w:p w:rsidR="00102018" w:rsidRDefault="00681092" w14:paraId="3E77945C" w14:textId="77777777">
                  <w:r>
                    <w:t>In dit verband merkt de Afdeling het volgende op.</w:t>
                  </w:r>
                </w:p>
                <w:p w:rsidR="00102018" w:rsidRDefault="00E81F70" w14:paraId="0C8360F8" w14:textId="77777777"/>
                <w:p w:rsidRPr="00CE2DA0" w:rsidR="00102018" w:rsidP="005A4DBB" w:rsidRDefault="00681092" w14:paraId="272BD1E0" w14:textId="77777777">
                  <w:pPr>
                    <w:pStyle w:val="Lijstalinea"/>
                    <w:numPr>
                      <w:ilvl w:val="1"/>
                      <w:numId w:val="2"/>
                    </w:numPr>
                    <w:ind w:left="709" w:hanging="709"/>
                    <w:rPr>
                      <w:i/>
                      <w:iCs/>
                    </w:rPr>
                  </w:pPr>
                  <w:r>
                    <w:rPr>
                      <w:i/>
                      <w:iCs/>
                    </w:rPr>
                    <w:t>Werking en (neven)effecten artikel 14, vierde lid, RWN</w:t>
                  </w:r>
                </w:p>
                <w:p w:rsidR="00102018" w:rsidP="005A4DBB" w:rsidRDefault="00681092" w14:paraId="571F58AA" w14:textId="77777777">
                  <w:r>
                    <w:t>In 2020 zijn twee onderzoeken naar de werking van artikel 14, vierde lid, van de RWN uitgevoerd. De CTIVD onderzocht het handelen van de Algemene Inlichtingen- en Veiligheidsdienst bij het uitbrengen van ambtsberichten in het kader van de intrekking van het Nederlanderschap.</w:t>
                  </w:r>
                  <w:r>
                    <w:rPr>
                      <w:rStyle w:val="Voetnootmarkering"/>
                    </w:rPr>
                    <w:footnoteReference w:id="26"/>
                  </w:r>
                  <w:r>
                    <w:t xml:space="preserve"> Daarnaast werd in opdracht van het WODC onderzoek verricht naar de vraag in hoeverre de regeling tot intrekking van het Nederlanderschap in het belang van de nationale veiligheid de (legale) terugkeer van Nederlandse leden van buitenlandse, terroristische organisaties naar Nederland door middel van intrekking van hun Nederlanderschap heeft verhinderd.</w:t>
                  </w:r>
                  <w:r>
                    <w:rPr>
                      <w:rStyle w:val="Voetnootmarkering"/>
                    </w:rPr>
                    <w:footnoteReference w:id="27"/>
                  </w:r>
                </w:p>
                <w:p w:rsidR="00102018" w:rsidP="005A4DBB" w:rsidRDefault="00E81F70" w14:paraId="689946E0" w14:textId="77777777">
                  <w:pPr>
                    <w:autoSpaceDE w:val="0"/>
                    <w:autoSpaceDN w:val="0"/>
                    <w:adjustRightInd w:val="0"/>
                  </w:pPr>
                </w:p>
                <w:p w:rsidRPr="00FF3061" w:rsidR="00102018" w:rsidP="005A4DBB" w:rsidRDefault="00681092" w14:paraId="5B40E666" w14:textId="7375BE68">
                  <w:pPr>
                    <w:autoSpaceDE w:val="0"/>
                    <w:autoSpaceDN w:val="0"/>
                    <w:adjustRightInd w:val="0"/>
                    <w:rPr>
                      <w:rFonts w:ascii="Verdana" w:hAnsi="Verdana"/>
                      <w:sz w:val="18"/>
                      <w:szCs w:val="18"/>
                    </w:rPr>
                  </w:pPr>
                  <w:r>
                    <w:t>De toelichting merkt op dat sinds de inwerkingtreding van artikel 14, vierde lid, van de RWN in 24 gevallen een besluit tot intrekking van het Nederlanderschap is genomen.</w:t>
                  </w:r>
                  <w:r>
                    <w:rPr>
                      <w:rStyle w:val="Voetnootmarkering"/>
                    </w:rPr>
                    <w:footnoteReference w:id="28"/>
                  </w:r>
                  <w:r>
                    <w:t xml:space="preserve"> In twee gevallen oordeelde de Afdeling bestuursrechtspraak van de Raad van State dat het intrekkingsbesluit onrechtmatig was omdat niet kon worden aangetoond dat </w:t>
                  </w:r>
                  <w:r w:rsidRPr="00D23C33">
                    <w:t>de betrokkene op of na 11 maart 2017 was aangesloten bij een op de lijst geplaatste terroristische organisatie.</w:t>
                  </w:r>
                  <w:r w:rsidRPr="00D23C33">
                    <w:rPr>
                      <w:vertAlign w:val="superscript"/>
                    </w:rPr>
                    <w:footnoteReference w:id="29"/>
                  </w:r>
                  <w:r w:rsidRPr="00D23C33">
                    <w:t xml:space="preserve"> </w:t>
                  </w:r>
                  <w:r>
                    <w:t xml:space="preserve">Naar aanleiding van deze uitspraken heeft de minister in vijf andere gevallen </w:t>
                  </w:r>
                  <w:r w:rsidRPr="00D23C33">
                    <w:t xml:space="preserve">besloten het besluit tot intrekking van het Nederlanderschap in te </w:t>
                  </w:r>
                  <w:r w:rsidRPr="00D23C33">
                    <w:lastRenderedPageBreak/>
                    <w:t>trekken.</w:t>
                  </w:r>
                  <w:r>
                    <w:t xml:space="preserve"> Dat betekent dat van 17 personen het Nederlanderschap is ingetrokken. In al deze zaken is beroep ingesteld, door de betrokkene zelf of ambtshalve.</w:t>
                  </w:r>
                  <w:r>
                    <w:rPr>
                      <w:rStyle w:val="Voetnootmarkering"/>
                    </w:rPr>
                    <w:footnoteReference w:id="30"/>
                  </w:r>
                  <w:r>
                    <w:t xml:space="preserve"> In de tot nu toe gepubliceerde zaken heeft de bestuursrechter het besluit tot intrekking in stand gelaten.</w:t>
                  </w:r>
                  <w:r>
                    <w:rPr>
                      <w:rStyle w:val="Voetnootmarkering"/>
                    </w:rPr>
                    <w:footnoteReference w:id="31"/>
                  </w:r>
                </w:p>
                <w:p w:rsidRPr="00D23C33" w:rsidR="00102018" w:rsidP="005A4DBB" w:rsidRDefault="00E81F70" w14:paraId="63D3CDE4" w14:textId="77777777">
                  <w:pPr>
                    <w:autoSpaceDE w:val="0"/>
                    <w:autoSpaceDN w:val="0"/>
                    <w:adjustRightInd w:val="0"/>
                  </w:pPr>
                </w:p>
                <w:p w:rsidR="00102018" w:rsidP="005A4DBB" w:rsidRDefault="00681092" w14:paraId="4F8E80D0" w14:textId="07167F84">
                  <w:r>
                    <w:t>In het evaluatieonderzoek van het WODC wordt geconcludeerd dat geen van de personen van wie het Nederlanderschap is ingetrokken, voor zover bekend is teruggekeerd.</w:t>
                  </w:r>
                  <w:r>
                    <w:rPr>
                      <w:rStyle w:val="Voetnootmarkering"/>
                    </w:rPr>
                    <w:footnoteReference w:id="32"/>
                  </w:r>
                  <w:r>
                    <w:t xml:space="preserve"> Volgens de toelichting wijst dit erop dat de intrekking van het Nederlanderschap een belangrijke bijdrage heeft geleverd aan de bescherming van de nationale veiligheid.</w:t>
                  </w:r>
                  <w:r>
                    <w:rPr>
                      <w:rStyle w:val="Voetnootmarkering"/>
                    </w:rPr>
                    <w:footnoteReference w:id="33"/>
                  </w:r>
                </w:p>
                <w:p w:rsidR="00102018" w:rsidP="005A4DBB" w:rsidRDefault="00E81F70" w14:paraId="28F0955D" w14:textId="77777777"/>
                <w:p w:rsidR="00C82236" w:rsidP="0033318E" w:rsidRDefault="00681092" w14:paraId="309ED68B" w14:textId="77777777">
                  <w:pPr>
                    <w:autoSpaceDE w:val="0"/>
                    <w:autoSpaceDN w:val="0"/>
                    <w:adjustRightInd w:val="0"/>
                  </w:pPr>
                  <w:r>
                    <w:t>De Afdeling merkt in dit verband op dat in de consultatiereacties is betoogd dat deze opvatting blijk geeft van</w:t>
                  </w:r>
                  <w:r w:rsidRPr="00F908D5">
                    <w:t xml:space="preserve"> een beperkte visie op het begrip nationale veiligheid</w:t>
                  </w:r>
                  <w:r>
                    <w:t>.</w:t>
                  </w:r>
                  <w:r w:rsidRPr="00F908D5">
                    <w:rPr>
                      <w:vertAlign w:val="superscript"/>
                    </w:rPr>
                    <w:footnoteReference w:id="34"/>
                  </w:r>
                  <w:r>
                    <w:t xml:space="preserve"> Mede als gevolg van globalisering is de nationale veiligheid immers in toenemende mate gediend met internationale veiligheid en stabiliteit. Een maatregel die personen vanwege de potentiële dreiging die van hen uitgaat bewust buiten de grenzen van het Koninkrijk houdt, verplaatst het probleem naar andere – in dit geval vaak fragiele – staten. Ook uit het oogpunt van de bevordering van de internationale rechtsorde kunnen daar vraagtekens bij worden geplaatst.</w:t>
                  </w:r>
                  <w:r>
                    <w:rPr>
                      <w:rStyle w:val="Voetnootmarkering"/>
                    </w:rPr>
                    <w:footnoteReference w:id="35"/>
                  </w:r>
                </w:p>
                <w:p w:rsidR="00C82236" w:rsidP="0033318E" w:rsidRDefault="00E81F70" w14:paraId="58997074" w14:textId="77777777">
                  <w:pPr>
                    <w:autoSpaceDE w:val="0"/>
                    <w:autoSpaceDN w:val="0"/>
                    <w:adjustRightInd w:val="0"/>
                  </w:pPr>
                </w:p>
                <w:p w:rsidR="007A5DAA" w:rsidP="0033318E" w:rsidRDefault="00681092" w14:paraId="117C09CE" w14:textId="77777777">
                  <w:pPr>
                    <w:autoSpaceDE w:val="0"/>
                    <w:autoSpaceDN w:val="0"/>
                    <w:adjustRightInd w:val="0"/>
                  </w:pPr>
                  <w:r>
                    <w:t>De regering hecht er grote waarde aan dat uitreizigers die verdacht worden van terroristische misdrijven worden berecht, zo wordt benadrukt in de brief aan de Tweede Kamer van 25 juni jongstleden.</w:t>
                  </w:r>
                  <w:r>
                    <w:rPr>
                      <w:rStyle w:val="Voetnootmarkering"/>
                    </w:rPr>
                    <w:footnoteReference w:id="36"/>
                  </w:r>
                  <w:r>
                    <w:t xml:space="preserve"> Volgens de regering moeten daarom alle mogelijke opties worden bezien om straffeloosheid te voorkomen.</w:t>
                  </w:r>
                  <w:r>
                    <w:rPr>
                      <w:rStyle w:val="Voetnootmarkering"/>
                    </w:rPr>
                    <w:footnoteReference w:id="37"/>
                  </w:r>
                  <w:r>
                    <w:t xml:space="preserve"> Uit de brief blijkt tevens dat vervolging en berechting in de regio of door een internationaal tribunaal op diverse internationaalrechtelijke en praktische bezwaren stuit.</w:t>
                  </w:r>
                  <w:r>
                    <w:rPr>
                      <w:rStyle w:val="Voetnootmarkering"/>
                    </w:rPr>
                    <w:footnoteReference w:id="38"/>
                  </w:r>
                  <w:r>
                    <w:t xml:space="preserve"> Als zodanig blijft strafrechtelijke vervolging en berechting in Nederland van groot belang. </w:t>
                  </w:r>
                </w:p>
                <w:p w:rsidR="00C82236" w:rsidP="0033318E" w:rsidRDefault="00E81F70" w14:paraId="5E90DA62" w14:textId="77777777">
                  <w:pPr>
                    <w:autoSpaceDE w:val="0"/>
                    <w:autoSpaceDN w:val="0"/>
                    <w:adjustRightInd w:val="0"/>
                  </w:pPr>
                </w:p>
                <w:p w:rsidR="00C64C3C" w:rsidP="003E3878" w:rsidRDefault="00681092" w14:paraId="7616C46E" w14:textId="77777777">
                  <w:pPr>
                    <w:autoSpaceDE w:val="0"/>
                    <w:autoSpaceDN w:val="0"/>
                    <w:adjustRightInd w:val="0"/>
                  </w:pPr>
                  <w:r>
                    <w:t>Volgens het Openbaar Ministerie (OM)</w:t>
                  </w:r>
                  <w:r w:rsidRPr="009A1BB1">
                    <w:t xml:space="preserve"> </w:t>
                  </w:r>
                  <w:r>
                    <w:t xml:space="preserve">kan effectieve vervolging </w:t>
                  </w:r>
                  <w:r w:rsidRPr="009A1BB1">
                    <w:t>alleen plaatsvinden als een betrokkene naar Nederland wordt over- of uitgeleverd</w:t>
                  </w:r>
                  <w:r>
                    <w:t>. Dit wordt</w:t>
                  </w:r>
                  <w:r w:rsidRPr="009A1BB1">
                    <w:t xml:space="preserve"> door de intrekking van het Nederlanderschap</w:t>
                  </w:r>
                  <w:r>
                    <w:t>,</w:t>
                  </w:r>
                  <w:r w:rsidRPr="009A1BB1">
                    <w:t xml:space="preserve"> gepaard met de gelijktijdige </w:t>
                  </w:r>
                  <w:proofErr w:type="spellStart"/>
                  <w:r w:rsidRPr="009A1BB1">
                    <w:t>ongewenstverklaring</w:t>
                  </w:r>
                  <w:proofErr w:type="spellEnd"/>
                  <w:r>
                    <w:t>,</w:t>
                  </w:r>
                  <w:r w:rsidRPr="009A1BB1">
                    <w:t xml:space="preserve"> </w:t>
                  </w:r>
                  <w:r>
                    <w:t xml:space="preserve">echter </w:t>
                  </w:r>
                  <w:r w:rsidRPr="009A1BB1">
                    <w:t>onmogelijk gemaakt</w:t>
                  </w:r>
                  <w:r>
                    <w:t>, zo stelt het OM</w:t>
                  </w:r>
                  <w:r w:rsidRPr="009A1BB1">
                    <w:t>.</w:t>
                  </w:r>
                  <w:r w:rsidRPr="009A1BB1">
                    <w:rPr>
                      <w:rStyle w:val="Voetnootmarkering"/>
                    </w:rPr>
                    <w:footnoteReference w:id="39"/>
                  </w:r>
                  <w:r w:rsidRPr="009A1BB1">
                    <w:t xml:space="preserve"> In </w:t>
                  </w:r>
                  <w:r>
                    <w:t xml:space="preserve">dat verband maakte het OM in </w:t>
                  </w:r>
                  <w:r w:rsidRPr="009A1BB1">
                    <w:t xml:space="preserve">17 </w:t>
                  </w:r>
                  <w:r>
                    <w:t xml:space="preserve">van de destijds 21 geïnventariseerde </w:t>
                  </w:r>
                  <w:r w:rsidRPr="009A1BB1">
                    <w:t>gevallen bezwaar tegen de intrekking van het Nederlanderschap</w:t>
                  </w:r>
                  <w:r>
                    <w:t>.</w:t>
                  </w:r>
                  <w:r w:rsidRPr="009A1BB1">
                    <w:t xml:space="preserve"> </w:t>
                  </w:r>
                  <w:r>
                    <w:t xml:space="preserve">Door de minister werd </w:t>
                  </w:r>
                  <w:r w:rsidRPr="009A1BB1">
                    <w:t>echter geen enkele maal daarvan afgezien.</w:t>
                  </w:r>
                  <w:r w:rsidRPr="009A1BB1">
                    <w:rPr>
                      <w:rStyle w:val="Voetnootmarkering"/>
                    </w:rPr>
                    <w:footnoteReference w:id="40"/>
                  </w:r>
                  <w:r w:rsidRPr="009A1BB1">
                    <w:t xml:space="preserve"> </w:t>
                  </w:r>
                  <w:r>
                    <w:t>De toelichting vermeldt dit niet.</w:t>
                  </w:r>
                </w:p>
                <w:p w:rsidR="00A22DDB" w:rsidP="003E3878" w:rsidRDefault="00E81F70" w14:paraId="627AA034" w14:textId="77777777">
                  <w:pPr>
                    <w:autoSpaceDE w:val="0"/>
                    <w:autoSpaceDN w:val="0"/>
                    <w:adjustRightInd w:val="0"/>
                  </w:pPr>
                </w:p>
                <w:p w:rsidRPr="009A1BB1" w:rsidR="00102018" w:rsidP="003E3878" w:rsidRDefault="00681092" w14:paraId="1560C8A1" w14:textId="77777777">
                  <w:pPr>
                    <w:pStyle w:val="Lijstalinea"/>
                    <w:numPr>
                      <w:ilvl w:val="1"/>
                      <w:numId w:val="2"/>
                    </w:numPr>
                    <w:ind w:left="709" w:hanging="709"/>
                    <w:rPr>
                      <w:i/>
                      <w:iCs/>
                    </w:rPr>
                  </w:pPr>
                  <w:r w:rsidRPr="009A1BB1">
                    <w:rPr>
                      <w:i/>
                      <w:iCs/>
                    </w:rPr>
                    <w:t xml:space="preserve">Verhouding </w:t>
                  </w:r>
                  <w:r>
                    <w:rPr>
                      <w:i/>
                      <w:iCs/>
                    </w:rPr>
                    <w:t xml:space="preserve">tot nieuw </w:t>
                  </w:r>
                  <w:r w:rsidRPr="009A1BB1">
                    <w:rPr>
                      <w:i/>
                      <w:iCs/>
                    </w:rPr>
                    <w:t>strafrechtelijk instrumentarium</w:t>
                  </w:r>
                </w:p>
                <w:p w:rsidRPr="009A1BB1" w:rsidR="00102018" w:rsidP="00972629" w:rsidRDefault="00681092" w14:paraId="3CFD84E2" w14:textId="77777777">
                  <w:pPr>
                    <w:autoSpaceDE w:val="0"/>
                    <w:autoSpaceDN w:val="0"/>
                    <w:adjustRightInd w:val="0"/>
                  </w:pPr>
                  <w:r>
                    <w:t>D</w:t>
                  </w:r>
                  <w:r w:rsidRPr="009A1BB1">
                    <w:t xml:space="preserve">e </w:t>
                  </w:r>
                  <w:r>
                    <w:t xml:space="preserve">toelichting stelt dat de </w:t>
                  </w:r>
                  <w:r w:rsidRPr="009A1BB1">
                    <w:t xml:space="preserve">bevoegdheid tot intrekking van het Nederlanderschap onder meer </w:t>
                  </w:r>
                  <w:r>
                    <w:t xml:space="preserve">kan </w:t>
                  </w:r>
                  <w:r w:rsidRPr="009A1BB1">
                    <w:t xml:space="preserve">worden toegepast in situaties waar de inzet van het strafrecht onvoldoende effectief is ter bescherming van de nationale veiligheid, terwijl er een dusdanige dreiging is dat een persoon in het belang van die nationale veiligheid uit Nederland moet worden geweerd. In die gevallen is het intrekken van het Nederlanderschap in combinatie met een </w:t>
                  </w:r>
                  <w:proofErr w:type="spellStart"/>
                  <w:r w:rsidRPr="009A1BB1">
                    <w:t>ongewenstverklaring</w:t>
                  </w:r>
                  <w:proofErr w:type="spellEnd"/>
                  <w:r w:rsidRPr="009A1BB1">
                    <w:t xml:space="preserve"> juridisch gezien het enige middel, zo </w:t>
                  </w:r>
                  <w:r>
                    <w:t>wordt betoogd</w:t>
                  </w:r>
                  <w:r w:rsidRPr="009A1BB1">
                    <w:t>.</w:t>
                  </w:r>
                  <w:r w:rsidRPr="009A1BB1">
                    <w:rPr>
                      <w:rStyle w:val="Voetnootmarkering"/>
                    </w:rPr>
                    <w:footnoteReference w:id="41"/>
                  </w:r>
                </w:p>
                <w:p w:rsidRPr="009A1BB1" w:rsidR="00102018" w:rsidRDefault="00E81F70" w14:paraId="64DF9503" w14:textId="77777777"/>
                <w:p w:rsidR="00102018" w:rsidP="003E3878" w:rsidRDefault="00681092" w14:paraId="706475CB" w14:textId="77777777">
                  <w:r w:rsidRPr="009A1BB1">
                    <w:t xml:space="preserve">Ook bij de introductie van artikel 14, vierde lid, </w:t>
                  </w:r>
                  <w:r>
                    <w:t xml:space="preserve">van de </w:t>
                  </w:r>
                  <w:r w:rsidRPr="009A1BB1">
                    <w:t>RWN speelde een dergelijke motivering een rol. Benadrukt werd dat de inzet van het strafrecht een zeer belangrijk middel blijft bij de bestrijding van terrorisme, maar dat het strafrecht niet kan voorkomen dat een uitreiziger die zich heeft aangesloten bij een terroristische organisatie terugkeert naar Nederland. Veroordeling bij verstek heeft bovendien weinig effect zolang betrokkene in het buitenland is, omdat de eventuele straf niet kan worden geëxecuteerd, zo stelde de toelichting destijds.</w:t>
                  </w:r>
                  <w:r w:rsidRPr="009A1BB1">
                    <w:rPr>
                      <w:rStyle w:val="Voetnootmarkering"/>
                    </w:rPr>
                    <w:footnoteReference w:id="42"/>
                  </w:r>
                  <w:r w:rsidRPr="009A1BB1">
                    <w:t xml:space="preserve"> Als zodanig werden de noodzaak van de intrekkingsbevoegdheid en toegevoegde waarde ten opzichte van het strafrechtelijk instrumentarium benadrukt.</w:t>
                  </w:r>
                </w:p>
                <w:p w:rsidRPr="009A1BB1" w:rsidR="003E3878" w:rsidP="003E3878" w:rsidRDefault="00E81F70" w14:paraId="5907E78D" w14:textId="77777777"/>
                <w:p w:rsidR="003B1E5A" w:rsidP="003E3878" w:rsidRDefault="00681092" w14:paraId="1F4B0157" w14:textId="77777777">
                  <w:r>
                    <w:t xml:space="preserve">De Afdeling is met de regering van oordeel dat bestuurlijke maatregelen onder omstandigheden bij de bestrijding van terrorisme complementair kunnen zijn aan het strafrechtelijk instrumentarium. </w:t>
                  </w:r>
                  <w:r w:rsidRPr="009A1BB1">
                    <w:t xml:space="preserve">Sinds de introductie van artikel 14, vierde lid, </w:t>
                  </w:r>
                  <w:r>
                    <w:t xml:space="preserve">van de </w:t>
                  </w:r>
                  <w:r w:rsidRPr="009A1BB1">
                    <w:t>RWN hebben zich evenwel diverse ontwikkelingen in het strafrecht voorgedaan</w:t>
                  </w:r>
                  <w:r>
                    <w:t xml:space="preserve"> die met zich brengen dat van strafrechtelijk optreden een meer vroegtijdige werking kan uitgaan</w:t>
                  </w:r>
                  <w:r w:rsidRPr="009A1BB1">
                    <w:t xml:space="preserve">. Zo </w:t>
                  </w:r>
                  <w:r>
                    <w:t>is</w:t>
                  </w:r>
                  <w:r w:rsidRPr="009A1BB1">
                    <w:t xml:space="preserve"> sinds de inwerkingtreding van artikel 14, vierde lid, </w:t>
                  </w:r>
                  <w:r>
                    <w:t xml:space="preserve">van de </w:t>
                  </w:r>
                  <w:r w:rsidRPr="009A1BB1">
                    <w:t xml:space="preserve">RWN de </w:t>
                  </w:r>
                  <w:r>
                    <w:t>U</w:t>
                  </w:r>
                  <w:r w:rsidRPr="009A1BB1">
                    <w:t>itvoeringswet Aanvullend Protocol bij het Verdrag van de Raad van Europa ter voorkoming van terrorisme in werking getreden</w:t>
                  </w:r>
                  <w:r>
                    <w:t>.</w:t>
                  </w:r>
                  <w:r w:rsidRPr="009A1BB1">
                    <w:rPr>
                      <w:rStyle w:val="Voetnootmarkering"/>
                    </w:rPr>
                    <w:footnoteReference w:id="43"/>
                  </w:r>
                  <w:r w:rsidRPr="009A1BB1">
                    <w:t xml:space="preserve"> </w:t>
                  </w:r>
                  <w:r>
                    <w:t>Hetzelfde geldt voor de Wet versterking strafrechtelijke aanpak terrorisme</w:t>
                  </w:r>
                  <w:r w:rsidRPr="009A1BB1">
                    <w:t>.</w:t>
                  </w:r>
                  <w:r w:rsidRPr="009A1BB1">
                    <w:rPr>
                      <w:rStyle w:val="Voetnootmarkering"/>
                    </w:rPr>
                    <w:footnoteReference w:id="44"/>
                  </w:r>
                  <w:r w:rsidRPr="009A1BB1">
                    <w:t xml:space="preserve"> Daarnaast kan gewezen worden op het </w:t>
                  </w:r>
                  <w:r>
                    <w:t>w</w:t>
                  </w:r>
                  <w:r w:rsidRPr="009A1BB1">
                    <w:t xml:space="preserve">etsvoorstel </w:t>
                  </w:r>
                  <w:r>
                    <w:t>s</w:t>
                  </w:r>
                  <w:r w:rsidRPr="009A1BB1">
                    <w:t>trafbaarstelling verblijf in een door een terroristische organisatie gecontroleerd gebied,</w:t>
                  </w:r>
                  <w:r w:rsidRPr="009A1BB1">
                    <w:rPr>
                      <w:rStyle w:val="Voetnootmarkering"/>
                    </w:rPr>
                    <w:footnoteReference w:id="45"/>
                  </w:r>
                  <w:r w:rsidRPr="009A1BB1">
                    <w:t xml:space="preserve"> dat momenteel in behandeling is bij de Eerste Kamer.</w:t>
                  </w:r>
                  <w:r w:rsidRPr="009A1BB1">
                    <w:rPr>
                      <w:rStyle w:val="Voetnootmarkering"/>
                    </w:rPr>
                    <w:footnoteReference w:id="46"/>
                  </w:r>
                  <w:r w:rsidRPr="009A1BB1">
                    <w:t xml:space="preserve"> </w:t>
                  </w:r>
                </w:p>
                <w:p w:rsidR="003B1E5A" w:rsidP="003E3878" w:rsidRDefault="00E81F70" w14:paraId="1B7F166A" w14:textId="77777777"/>
                <w:p w:rsidRPr="009A1BB1" w:rsidR="00102018" w:rsidP="003E3878" w:rsidRDefault="00681092" w14:paraId="758B8FA3" w14:textId="05269571">
                  <w:r w:rsidRPr="009A1BB1">
                    <w:t xml:space="preserve">Op deze relevante wettelijke ontwikkelingen gaat de toelichting niet in. Daardoor </w:t>
                  </w:r>
                  <w:r>
                    <w:t>rijst</w:t>
                  </w:r>
                  <w:r w:rsidRPr="009A1BB1">
                    <w:t xml:space="preserve"> de vraag in hoeverre de intrekkingsbevoegdheid waarmee destijds werd beoogd het bestaande wettelijke instrumentarium ter bestrijding van terrorisme aan te vullen, in het licht van de genoemde ontwikkelingen nog steeds </w:t>
                  </w:r>
                  <w:r>
                    <w:t xml:space="preserve">complementair en daarmee </w:t>
                  </w:r>
                  <w:r w:rsidRPr="009A1BB1">
                    <w:t xml:space="preserve">noodzakelijk is. </w:t>
                  </w:r>
                </w:p>
                <w:p w:rsidRPr="009A1BB1" w:rsidR="00102018" w:rsidP="003E3878" w:rsidRDefault="00E81F70" w14:paraId="061243B9" w14:textId="77777777"/>
                <w:p w:rsidR="00102018" w:rsidP="00103646" w:rsidRDefault="00681092" w14:paraId="05BCCC14" w14:textId="77777777">
                  <w:pPr>
                    <w:pStyle w:val="Lijstalinea"/>
                    <w:numPr>
                      <w:ilvl w:val="1"/>
                      <w:numId w:val="2"/>
                    </w:numPr>
                    <w:ind w:left="709" w:hanging="709"/>
                    <w:rPr>
                      <w:i/>
                      <w:iCs/>
                    </w:rPr>
                  </w:pPr>
                  <w:r>
                    <w:rPr>
                      <w:i/>
                      <w:iCs/>
                    </w:rPr>
                    <w:t>Conclusie</w:t>
                  </w:r>
                </w:p>
                <w:p w:rsidR="00AC3DB2" w:rsidP="00103646" w:rsidRDefault="00681092" w14:paraId="36EDD3C3" w14:textId="77777777">
                  <w:r>
                    <w:lastRenderedPageBreak/>
                    <w:t xml:space="preserve">Destijds is vanwege de ingrijpende aard van de maatregel bewust gekozen voor een </w:t>
                  </w:r>
                  <w:r w:rsidRPr="007C4BA1">
                    <w:rPr>
                      <w:i/>
                      <w:iCs/>
                    </w:rPr>
                    <w:t>tijdelijke</w:t>
                  </w:r>
                  <w:r>
                    <w:t xml:space="preserve"> bevoegdheid.</w:t>
                  </w:r>
                  <w:r>
                    <w:rPr>
                      <w:rStyle w:val="Voetnootmarkering"/>
                    </w:rPr>
                    <w:footnoteReference w:id="47"/>
                  </w:r>
                  <w:r>
                    <w:t xml:space="preserve"> In het licht van het ingrijpende karakter van de intrekkingsbevoegdheid, de </w:t>
                  </w:r>
                  <w:r w:rsidRPr="009A1BB1">
                    <w:t xml:space="preserve">vragen over de </w:t>
                  </w:r>
                  <w:r>
                    <w:t xml:space="preserve">werking en de (neven)effecten van de maatregel evenals de (complementaire) </w:t>
                  </w:r>
                  <w:r w:rsidRPr="009A1BB1">
                    <w:t xml:space="preserve">verhouding tot </w:t>
                  </w:r>
                  <w:r>
                    <w:t>het nieuwe strafrechtelijk instrumentarium</w:t>
                  </w:r>
                  <w:r w:rsidRPr="009A1BB1">
                    <w:t xml:space="preserve">, </w:t>
                  </w:r>
                  <w:r>
                    <w:t xml:space="preserve">is de Afdeling van oordeel dat voor een </w:t>
                  </w:r>
                  <w:r w:rsidRPr="00BA5469">
                    <w:rPr>
                      <w:i/>
                      <w:iCs/>
                    </w:rPr>
                    <w:t>permanente</w:t>
                  </w:r>
                  <w:r>
                    <w:t xml:space="preserve"> regeling zoals voorgesteld thans onvoldoende zwaarwegende argumenten worden gegeven. </w:t>
                  </w:r>
                </w:p>
                <w:p w:rsidR="00AC3DB2" w:rsidP="00103646" w:rsidRDefault="00E81F70" w14:paraId="5CE1B807" w14:textId="77777777"/>
                <w:p w:rsidR="00102018" w:rsidP="00103646" w:rsidRDefault="00681092" w14:paraId="5A5DDCBA" w14:textId="393F4764">
                  <w:r>
                    <w:t xml:space="preserve">De Afdeling adviseert in het licht van het voorgaande de noodzaak voor het permanent in de wet opnemen van artikel 14, vierde lid, van de RWN dragend te motiveren en indien dat niet mogelijk </w:t>
                  </w:r>
                  <w:r w:rsidR="001C652C">
                    <w:t xml:space="preserve">is </w:t>
                  </w:r>
                  <w:r>
                    <w:t>van dit voorstel af te zien.</w:t>
                  </w:r>
                </w:p>
                <w:p w:rsidR="00681092" w:rsidRDefault="00681092" w14:paraId="3BB37FDD" w14:textId="72D3BEBA"/>
                <w:p w:rsidR="00102018" w:rsidP="00103646" w:rsidRDefault="00E81F70" w14:paraId="3989B439" w14:textId="77777777"/>
                <w:p w:rsidR="00102018" w:rsidP="003B1E5A" w:rsidRDefault="00681092" w14:paraId="6980E789" w14:textId="77777777">
                  <w:pPr>
                    <w:pStyle w:val="Lijstalinea"/>
                    <w:numPr>
                      <w:ilvl w:val="0"/>
                      <w:numId w:val="1"/>
                    </w:numPr>
                    <w:ind w:hanging="720"/>
                    <w:rPr>
                      <w:u w:val="single"/>
                    </w:rPr>
                  </w:pPr>
                  <w:r>
                    <w:rPr>
                      <w:u w:val="single"/>
                    </w:rPr>
                    <w:t>Grondslag verwerking persoonsgegevens</w:t>
                  </w:r>
                </w:p>
                <w:p w:rsidRPr="003B51C4" w:rsidR="00102018" w:rsidP="003B1E5A" w:rsidRDefault="00E81F70" w14:paraId="113F65A3" w14:textId="77777777"/>
                <w:p w:rsidR="00102018" w:rsidP="003B1E5A" w:rsidRDefault="00681092" w14:paraId="482AE326" w14:textId="77777777">
                  <w:r>
                    <w:t>Dit wetsvoorstel voorziet voorts in het opnemen van een grondslag in de RWN voor de verwerking van bijzondere persoonsgegevens en strafrechtelijke gegevens door de Minister van Justitie en Veiligheid.</w:t>
                  </w:r>
                  <w:r>
                    <w:rPr>
                      <w:rStyle w:val="Voetnootmarkering"/>
                    </w:rPr>
                    <w:footnoteReference w:id="48"/>
                  </w:r>
                  <w:r>
                    <w:t xml:space="preserve"> De reden daarvoor is dat het voor de </w:t>
                  </w:r>
                  <w:r w:rsidRPr="00B17FC8">
                    <w:t>(voorbereiding van een besluit tot) intrekking van het Nederlanderschap</w:t>
                  </w:r>
                  <w:r w:rsidRPr="001368DC">
                    <w:rPr>
                      <w:rFonts w:ascii="Verdana" w:hAnsi="Verdana" w:eastAsiaTheme="minorHAnsi" w:cstheme="minorBidi"/>
                      <w:sz w:val="18"/>
                      <w:szCs w:val="18"/>
                      <w:highlight w:val="yellow"/>
                      <w:lang w:eastAsia="en-US"/>
                    </w:rPr>
                    <w:t xml:space="preserve"> </w:t>
                  </w:r>
                  <w:r>
                    <w:t>noodzakelijk kan zijn om bijzondere categorieën persoonsgegevens en persoonsgegevens van strafrechtelijke aard te verwerken, aldus de toelichting</w:t>
                  </w:r>
                  <w:r w:rsidRPr="0042482B">
                    <w:t>.</w:t>
                  </w:r>
                  <w:r>
                    <w:t xml:space="preserve"> Mede g</w:t>
                  </w:r>
                  <w:r w:rsidRPr="00B17FC8">
                    <w:t>elet op de inmiddels in werking getreden AVG</w:t>
                  </w:r>
                  <w:r>
                    <w:t xml:space="preserve"> die voor de verwerking van deze persoonsgegevens een wettelijke grondslag vereist</w:t>
                  </w:r>
                  <w:r w:rsidRPr="00B17FC8">
                    <w:t xml:space="preserve">, is van de gelegenheid gebruikgemaakt om de RWN op dit punt in overeenstemming te brengen met de </w:t>
                  </w:r>
                  <w:r>
                    <w:t>verordening.</w:t>
                  </w:r>
                  <w:r w:rsidRPr="0042482B">
                    <w:rPr>
                      <w:rStyle w:val="Voetnootmarkering"/>
                    </w:rPr>
                    <w:footnoteReference w:id="49"/>
                  </w:r>
                  <w:r>
                    <w:t xml:space="preserve"> </w:t>
                  </w:r>
                </w:p>
                <w:p w:rsidR="00102018" w:rsidP="003B1E5A" w:rsidRDefault="00E81F70" w14:paraId="305906D7" w14:textId="77777777"/>
                <w:sdt>
                  <w:sdtPr>
                    <w:rPr>
                      <w:sz w:val="22"/>
                      <w:szCs w:val="24"/>
                    </w:rPr>
                    <w:alias w:val="VrijeTekst1"/>
                    <w:tag w:val="VrijeTekst1"/>
                    <w:id w:val="7349141"/>
                  </w:sdtPr>
                  <w:sdtEndPr/>
                  <w:sdtContent>
                    <w:p w:rsidR="007310C1" w:rsidP="003B1E5A" w:rsidRDefault="00681092" w14:paraId="62683E5F" w14:textId="77777777">
                      <w:pPr>
                        <w:pStyle w:val="Tekstopmerking"/>
                      </w:pPr>
                      <w:r w:rsidRPr="005C02E8">
                        <w:rPr>
                          <w:sz w:val="22"/>
                          <w:szCs w:val="22"/>
                        </w:rPr>
                        <w:t>In haar advies heeft de Autoriteit Persoonsgegevens (AP) gesteld dat de verwerking van persoonsgegevens krachtens artikel 14, vierde lid,</w:t>
                      </w:r>
                      <w:r>
                        <w:rPr>
                          <w:sz w:val="22"/>
                          <w:szCs w:val="22"/>
                        </w:rPr>
                        <w:t xml:space="preserve"> van de</w:t>
                      </w:r>
                      <w:r w:rsidRPr="005C02E8">
                        <w:rPr>
                          <w:sz w:val="22"/>
                          <w:szCs w:val="22"/>
                        </w:rPr>
                        <w:t xml:space="preserve"> RWN niet binnen de reikwijdte van de Algemene verordening gegevensbescherming (AVG) valt, nu het bij de intrekking van het Nederlanderschap gaat om een verwerking van persoonsgegevens door of ten behoeve van de inlichtingen- en veiligheidsdiensten.</w:t>
                      </w:r>
                      <w:r w:rsidRPr="005C02E8">
                        <w:rPr>
                          <w:rStyle w:val="Voetnootmarkering"/>
                          <w:sz w:val="22"/>
                          <w:szCs w:val="22"/>
                        </w:rPr>
                        <w:footnoteReference w:id="50"/>
                      </w:r>
                      <w:r w:rsidRPr="005C02E8">
                        <w:rPr>
                          <w:sz w:val="22"/>
                          <w:szCs w:val="22"/>
                        </w:rPr>
                        <w:t xml:space="preserve"> De regering heeft dit advies niet gevolgd.</w:t>
                      </w:r>
                      <w:r>
                        <w:rPr>
                          <w:rStyle w:val="Voetnootmarkering"/>
                          <w:sz w:val="22"/>
                          <w:szCs w:val="22"/>
                        </w:rPr>
                        <w:footnoteReference w:id="51"/>
                      </w:r>
                      <w:r w:rsidRPr="005C02E8">
                        <w:rPr>
                          <w:sz w:val="22"/>
                          <w:szCs w:val="22"/>
                        </w:rPr>
                        <w:t xml:space="preserve"> </w:t>
                      </w:r>
                    </w:p>
                    <w:p w:rsidR="007310C1" w:rsidP="005A4DBB" w:rsidRDefault="00E81F70" w14:paraId="542D9B4D" w14:textId="77777777">
                      <w:pPr>
                        <w:pStyle w:val="Tekstopmerking"/>
                      </w:pPr>
                    </w:p>
                    <w:p w:rsidRPr="002572B8" w:rsidR="00102018" w:rsidP="00A069E9" w:rsidRDefault="00681092" w14:paraId="74ABBC2D" w14:textId="77777777">
                      <w:pPr>
                        <w:pStyle w:val="Tekstopmerking"/>
                        <w:rPr>
                          <w:u w:val="single"/>
                        </w:rPr>
                      </w:pPr>
                      <w:r w:rsidRPr="005C02E8">
                        <w:rPr>
                          <w:sz w:val="22"/>
                          <w:szCs w:val="22"/>
                        </w:rPr>
                        <w:t xml:space="preserve">De Afdeling merkt in dit verband op dat maatregelen ter waarborging van de nationale veiligheid op grond van artikel 2, </w:t>
                      </w:r>
                      <w:r>
                        <w:rPr>
                          <w:sz w:val="22"/>
                          <w:szCs w:val="22"/>
                        </w:rPr>
                        <w:t>tweede</w:t>
                      </w:r>
                      <w:r w:rsidRPr="005C02E8">
                        <w:rPr>
                          <w:sz w:val="22"/>
                          <w:szCs w:val="22"/>
                        </w:rPr>
                        <w:t xml:space="preserve"> lid, onder a, van de AVG in beginsel buiten de reikwijdte van de AVG vallen. De Uitvoeringswet AVG heeft dit voor de Nederlandse situatie zo uitgelegd dat de AVG niet van toepassing is op verwerkingen die onder de </w:t>
                      </w:r>
                      <w:r>
                        <w:rPr>
                          <w:sz w:val="22"/>
                          <w:szCs w:val="22"/>
                        </w:rPr>
                        <w:t>Wet op de inlichtingen- en veiligheidsdiensten</w:t>
                      </w:r>
                      <w:r w:rsidRPr="005C02E8">
                        <w:rPr>
                          <w:sz w:val="22"/>
                          <w:szCs w:val="22"/>
                        </w:rPr>
                        <w:t xml:space="preserve"> 2017 </w:t>
                      </w:r>
                      <w:r>
                        <w:rPr>
                          <w:sz w:val="22"/>
                          <w:szCs w:val="22"/>
                        </w:rPr>
                        <w:t>(</w:t>
                      </w:r>
                      <w:proofErr w:type="spellStart"/>
                      <w:r>
                        <w:rPr>
                          <w:sz w:val="22"/>
                          <w:szCs w:val="22"/>
                        </w:rPr>
                        <w:t>Wiv</w:t>
                      </w:r>
                      <w:proofErr w:type="spellEnd"/>
                      <w:r>
                        <w:rPr>
                          <w:sz w:val="22"/>
                          <w:szCs w:val="22"/>
                        </w:rPr>
                        <w:t xml:space="preserve"> 2017) </w:t>
                      </w:r>
                      <w:r w:rsidRPr="005C02E8">
                        <w:rPr>
                          <w:sz w:val="22"/>
                          <w:szCs w:val="22"/>
                        </w:rPr>
                        <w:t>vallen.</w:t>
                      </w:r>
                      <w:r>
                        <w:rPr>
                          <w:rStyle w:val="Voetnootmarkering"/>
                          <w:sz w:val="22"/>
                          <w:szCs w:val="22"/>
                        </w:rPr>
                        <w:footnoteReference w:id="52"/>
                      </w:r>
                      <w:r w:rsidRPr="005C02E8">
                        <w:rPr>
                          <w:sz w:val="22"/>
                          <w:szCs w:val="22"/>
                        </w:rPr>
                        <w:t xml:space="preserve"> Dat betreft verwerkingen door of voor de inlichtingen- en veiligheidsdiensten. Verwerkingen door andere overheidsorganen in het kader van de nationale veiligheid vallen daarmee wel binnen de reikwijdte van de AVG. Als zodanig is de </w:t>
                      </w:r>
                      <w:r>
                        <w:rPr>
                          <w:sz w:val="22"/>
                          <w:szCs w:val="22"/>
                        </w:rPr>
                        <w:t xml:space="preserve">Afdeling met de regering van oordeel dat de </w:t>
                      </w:r>
                      <w:r w:rsidRPr="005C02E8">
                        <w:rPr>
                          <w:sz w:val="22"/>
                          <w:szCs w:val="22"/>
                        </w:rPr>
                        <w:t xml:space="preserve">AVG ook van toepassing </w:t>
                      </w:r>
                      <w:r>
                        <w:rPr>
                          <w:sz w:val="22"/>
                          <w:szCs w:val="22"/>
                        </w:rPr>
                        <w:t xml:space="preserve">is </w:t>
                      </w:r>
                      <w:r w:rsidRPr="005C02E8">
                        <w:rPr>
                          <w:sz w:val="22"/>
                          <w:szCs w:val="22"/>
                        </w:rPr>
                        <w:t xml:space="preserve">op de verwerking van persoonsgegevens door de minister van Justitie en Veiligheid op grond van </w:t>
                      </w:r>
                      <w:r>
                        <w:rPr>
                          <w:sz w:val="22"/>
                          <w:szCs w:val="22"/>
                        </w:rPr>
                        <w:t xml:space="preserve">het </w:t>
                      </w:r>
                      <w:r w:rsidRPr="005C02E8">
                        <w:rPr>
                          <w:sz w:val="22"/>
                          <w:szCs w:val="22"/>
                        </w:rPr>
                        <w:t>voorgesteld</w:t>
                      </w:r>
                      <w:r>
                        <w:rPr>
                          <w:sz w:val="22"/>
                          <w:szCs w:val="22"/>
                        </w:rPr>
                        <w:t>e</w:t>
                      </w:r>
                      <w:r w:rsidRPr="005C02E8">
                        <w:rPr>
                          <w:sz w:val="22"/>
                          <w:szCs w:val="22"/>
                        </w:rPr>
                        <w:t xml:space="preserve"> artikel 22d van de RWN.</w:t>
                      </w:r>
                    </w:p>
                    <w:p w:rsidR="00102018" w:rsidP="00972629" w:rsidRDefault="00E81F70" w14:paraId="7B5EF711" w14:textId="77777777"/>
                    <w:p w:rsidR="00102018" w:rsidP="00972629" w:rsidRDefault="00681092" w14:paraId="05393699" w14:textId="77777777">
                      <w:r>
                        <w:t xml:space="preserve">Gelet hierop moet ten eerste voldaan worden aan de vereisten die artikel 9 van de AVG stelt aan de verwerking van bijzondere categorieën persoonsgegevens. Daarnaast moet voldaan worden aan de vereisten van artikel 10 van de AVG voor zover het de verwerking van strafrechtelijke gegevens betreft. </w:t>
                      </w:r>
                    </w:p>
                    <w:p w:rsidR="00102018" w:rsidP="00972629" w:rsidRDefault="00E81F70" w14:paraId="7EF042F3" w14:textId="77777777"/>
                    <w:p w:rsidR="00102018" w:rsidP="00972629" w:rsidRDefault="00681092" w14:paraId="62456D65" w14:textId="77777777">
                      <w:r>
                        <w:t xml:space="preserve">De Afdeling merkt hierover het volgende op. </w:t>
                      </w:r>
                    </w:p>
                    <w:p w:rsidR="00102018" w:rsidP="00972629" w:rsidRDefault="00E81F70" w14:paraId="1C82A51E" w14:textId="77777777"/>
                    <w:p w:rsidRPr="00CE4F66" w:rsidR="00102018" w:rsidP="00972629" w:rsidRDefault="00681092" w14:paraId="5B05392D" w14:textId="77777777">
                      <w:pPr>
                        <w:pStyle w:val="Lijstalinea"/>
                        <w:numPr>
                          <w:ilvl w:val="0"/>
                          <w:numId w:val="3"/>
                        </w:numPr>
                        <w:ind w:hanging="720"/>
                        <w:rPr>
                          <w:i/>
                          <w:iCs/>
                        </w:rPr>
                      </w:pPr>
                      <w:r w:rsidRPr="00CE4F66">
                        <w:rPr>
                          <w:i/>
                          <w:iCs/>
                        </w:rPr>
                        <w:t>Zwaarwegend algemeen belang, minimale gegevensverwerking en evenredigheid</w:t>
                      </w:r>
                    </w:p>
                    <w:p w:rsidR="00102018" w:rsidP="00972629" w:rsidRDefault="00681092" w14:paraId="726F65E9" w14:textId="77777777">
                      <w:r>
                        <w:t>Voor de verwerking van persoonsgegevens geldt het beginsel van minimale gegevensverwerking: de verwerking dient beperkt te zijn tot wat noodzakelijk is voor de doeleinden waarvoor de persoonsgegevens worden verwerkt.</w:t>
                      </w:r>
                      <w:r>
                        <w:rPr>
                          <w:rStyle w:val="Voetnootmarkering"/>
                        </w:rPr>
                        <w:footnoteReference w:id="53"/>
                      </w:r>
                      <w:r>
                        <w:t xml:space="preserve"> De verwerking van bijzondere persoonsgegevens is verboden,</w:t>
                      </w:r>
                      <w:r>
                        <w:rPr>
                          <w:rStyle w:val="Voetnootmarkering"/>
                        </w:rPr>
                        <w:footnoteReference w:id="54"/>
                      </w:r>
                      <w:r>
                        <w:t xml:space="preserve"> tenzij een van uitzonderingsgronden op dat verbod zich voordoet. De in de toelichting aangevoerde uitzonderingsgrond is de noodzakelijkheid van de verwerking om redenen van zwaarwegend algemeen belang.</w:t>
                      </w:r>
                      <w:r>
                        <w:rPr>
                          <w:rStyle w:val="Voetnootmarkering"/>
                        </w:rPr>
                        <w:footnoteReference w:id="55"/>
                      </w:r>
                      <w:r>
                        <w:t xml:space="preserve"> Bij de toepassing daarvan is onder meer vereist dat het zwaarwegend algemeen belang wordt gemotiveerd en dat de evenredigheid met het nagestreefde doel wordt gewaarborgd.</w:t>
                      </w:r>
                      <w:r>
                        <w:rPr>
                          <w:rStyle w:val="Voetnootmarkering"/>
                        </w:rPr>
                        <w:footnoteReference w:id="56"/>
                      </w:r>
                      <w:r>
                        <w:t xml:space="preserve"> </w:t>
                      </w:r>
                    </w:p>
                    <w:p w:rsidR="00102018" w:rsidP="00972629" w:rsidRDefault="00E81F70" w14:paraId="36A5916F" w14:textId="77777777"/>
                    <w:p w:rsidR="00102018" w:rsidP="00972629" w:rsidRDefault="00681092" w14:paraId="08C9177C" w14:textId="77777777">
                      <w:r>
                        <w:t>De toelichting stelt slechts dat de verwerking van bijzondere persoonsgegevens noodzakelijk is om redenen van een zwaarwegend algemeen belang, te weten de bescherming van de nationale veiligheid.</w:t>
                      </w:r>
                      <w:r>
                        <w:rPr>
                          <w:rStyle w:val="Voetnootmarkering"/>
                        </w:rPr>
                        <w:footnoteReference w:id="57"/>
                      </w:r>
                      <w:r>
                        <w:t xml:space="preserve"> Dit wordt evenwel niet nader gemotiveerd. In het licht van de opmerkingen over de </w:t>
                      </w:r>
                      <w:r w:rsidRPr="007D2E87">
                        <w:t xml:space="preserve">noodzaak, </w:t>
                      </w:r>
                      <w:r w:rsidRPr="0067792F">
                        <w:t xml:space="preserve">werking en (neven)effecten van de maatregel, evenals de evenredigheid (zie hiervoor onder punt 2), rijst de vraag of aldus aan </w:t>
                      </w:r>
                      <w:r>
                        <w:t>dit vereiste is voldaan.</w:t>
                      </w:r>
                    </w:p>
                    <w:p w:rsidR="00102018" w:rsidP="00972629" w:rsidRDefault="00E81F70" w14:paraId="2596A074" w14:textId="77777777"/>
                    <w:p w:rsidR="00102018" w:rsidP="00972629" w:rsidRDefault="00681092" w14:paraId="1E9642A8" w14:textId="77777777">
                      <w:r>
                        <w:t>In het verlengde hiervan merkt de Afdeling op dat de toelichting als enige voorbeeld van de noodzakelijke verwerking van een bijzondere categorie persoonsgegevens de religie van een betrokkene noemt: “</w:t>
                      </w:r>
                      <w:r w:rsidRPr="004025A9">
                        <w:t xml:space="preserve">bijvoorbeeld </w:t>
                      </w:r>
                      <w:r>
                        <w:t>[…]</w:t>
                      </w:r>
                      <w:r w:rsidRPr="004025A9">
                        <w:t xml:space="preserve"> als de informatie die aan het besluit tot intrekking ten grondslag ligt gegevens bevat over de religie van een persoon</w:t>
                      </w:r>
                      <w:r>
                        <w:t>”</w:t>
                      </w:r>
                      <w:r w:rsidRPr="00FF3061">
                        <w:rPr>
                          <w:rFonts w:ascii="Verdana" w:hAnsi="Verdana" w:eastAsiaTheme="minorHAnsi" w:cstheme="minorBidi"/>
                          <w:sz w:val="18"/>
                          <w:szCs w:val="18"/>
                          <w:lang w:eastAsia="en-US"/>
                        </w:rPr>
                        <w:t>.</w:t>
                      </w:r>
                      <w:r w:rsidRPr="00124B8D">
                        <w:rPr>
                          <w:rStyle w:val="Voetnootmarkering"/>
                        </w:rPr>
                        <w:footnoteReference w:id="58"/>
                      </w:r>
                      <w:r w:rsidRPr="00124B8D">
                        <w:t xml:space="preserve"> </w:t>
                      </w:r>
                      <w:r>
                        <w:t xml:space="preserve">Dit roept de vraag op waarom de voorgestelde grondslag niet beperkt is tot de verwerking van gegevens waaruit de religieuze of levensbeschouwelijke overtuiging (en eventueel als afgeleide daarvan de politieke opvatting) van betrokkenen blijkt. Vooralsnog ziet de Afdeling in het licht van het evenredigheidsvereiste en het beginsel van minimale gegevensverwerking niet in waarom een dergelijke beperking niet opgenomen is. </w:t>
                      </w:r>
                    </w:p>
                    <w:p w:rsidR="00102018" w:rsidP="00972629" w:rsidRDefault="00E81F70" w14:paraId="0587E992" w14:textId="77777777"/>
                    <w:p w:rsidRPr="00422C2B" w:rsidR="00102018" w:rsidP="00972629" w:rsidRDefault="00681092" w14:paraId="4A1844E7" w14:textId="77777777">
                      <w:r>
                        <w:t xml:space="preserve">De Afdeling adviseert de aangevoerde uitzonderingsgrond, mede in het licht van de gerezen vragen over de </w:t>
                      </w:r>
                      <w:r w:rsidRPr="00232905">
                        <w:t xml:space="preserve">noodzaak, effectiviteit en evenredigheid van </w:t>
                      </w:r>
                      <w:r>
                        <w:t xml:space="preserve">de maatregel, dragend te motiveren. Zonder een dergelijke dragende motivering mag niet worden overgegaan tot de verwerking van bijzondere persoonsgegevens. Indien een dragende motivering wel mogelijk is, adviseert de Afdeling de grondslag om </w:t>
                      </w:r>
                      <w:r w:rsidRPr="00E535A7">
                        <w:t>bijzondere categorieën van</w:t>
                      </w:r>
                      <w:r>
                        <w:t xml:space="preserve"> </w:t>
                      </w:r>
                      <w:r w:rsidRPr="00E535A7">
                        <w:t>persoonsgegevens</w:t>
                      </w:r>
                      <w:r>
                        <w:t xml:space="preserve"> te verwerken</w:t>
                      </w:r>
                      <w:r w:rsidRPr="00E535A7">
                        <w:t xml:space="preserve"> </w:t>
                      </w:r>
                      <w:r>
                        <w:t xml:space="preserve">in elk geval te beperken tot </w:t>
                      </w:r>
                      <w:r>
                        <w:lastRenderedPageBreak/>
                        <w:t>gegevens waaruit religieuze of levensbeschouwelijke overtuiging (en eventueel de politieke opvatting) blijkt.</w:t>
                      </w:r>
                    </w:p>
                    <w:p w:rsidR="00102018" w:rsidP="00972629" w:rsidRDefault="00E81F70" w14:paraId="20183AF8" w14:textId="77777777"/>
                    <w:p w:rsidR="00681092" w:rsidRDefault="00681092" w14:paraId="47982F32" w14:textId="77777777">
                      <w:pPr>
                        <w:rPr>
                          <w:i/>
                          <w:iCs/>
                        </w:rPr>
                      </w:pPr>
                      <w:r>
                        <w:rPr>
                          <w:i/>
                          <w:iCs/>
                        </w:rPr>
                        <w:br w:type="page"/>
                      </w:r>
                    </w:p>
                    <w:p w:rsidRPr="00CE4F66" w:rsidR="00102018" w:rsidP="00972629" w:rsidRDefault="00681092" w14:paraId="5C9B08E5" w14:textId="4048E579">
                      <w:pPr>
                        <w:rPr>
                          <w:i/>
                          <w:iCs/>
                        </w:rPr>
                      </w:pPr>
                      <w:r w:rsidRPr="00CE4F66">
                        <w:rPr>
                          <w:i/>
                          <w:iCs/>
                        </w:rPr>
                        <w:lastRenderedPageBreak/>
                        <w:t>b.</w:t>
                      </w:r>
                      <w:r w:rsidRPr="00CE4F66">
                        <w:rPr>
                          <w:i/>
                          <w:iCs/>
                        </w:rPr>
                        <w:tab/>
                      </w:r>
                      <w:r>
                        <w:rPr>
                          <w:i/>
                          <w:iCs/>
                        </w:rPr>
                        <w:t>W</w:t>
                      </w:r>
                      <w:r w:rsidRPr="00CE4F66">
                        <w:rPr>
                          <w:i/>
                          <w:iCs/>
                        </w:rPr>
                        <w:t>aarborgen</w:t>
                      </w:r>
                    </w:p>
                    <w:p w:rsidR="00102018" w:rsidP="00972629" w:rsidRDefault="00681092" w14:paraId="42B11A00" w14:textId="77777777">
                      <w:r>
                        <w:t>Voor de verwerking van bijzondere categorieën persoonsgegevens onder de zwaarwegend algemeen belangexceptie is vereist dat “passende en specifieke maatregelen worden getroffen ter bescherming van de grondrechten en fundamentele belangen van de betrokkenen”.</w:t>
                      </w:r>
                      <w:r>
                        <w:rPr>
                          <w:rStyle w:val="Voetnootmarkering"/>
                        </w:rPr>
                        <w:footnoteReference w:id="59"/>
                      </w:r>
                      <w:r>
                        <w:t xml:space="preserve"> Voor de verwerking van strafrechtelijke persoonsgegevens is vereist dat de verwerkingsgrondslag “passende waarborgen voor de rechten en vrijheden van de betrokkenen” biedt.</w:t>
                      </w:r>
                      <w:r>
                        <w:rPr>
                          <w:rStyle w:val="Voetnootmarkering"/>
                        </w:rPr>
                        <w:footnoteReference w:id="60"/>
                      </w:r>
                      <w:r>
                        <w:rPr>
                          <w:color w:val="0070C0"/>
                        </w:rPr>
                        <w:t xml:space="preserve"> </w:t>
                      </w:r>
                      <w:r>
                        <w:t>De toelichting gaat evenwel niet in op de vraag op welke wijze recht gedaan wordt aan deze waarborgen.</w:t>
                      </w:r>
                    </w:p>
                    <w:p w:rsidR="00102018" w:rsidP="00972629" w:rsidRDefault="00E81F70" w14:paraId="1F3F3F8E" w14:textId="77777777"/>
                    <w:p w:rsidR="00102018" w:rsidP="00972629" w:rsidRDefault="00681092" w14:paraId="5875DDFC" w14:textId="77777777">
                      <w:r>
                        <w:t>Deze vraag naar de vereiste waarborgen rijst evenzeer met betrekking tot de verwerking van bijzondere persoonsgegevens en persoonsgegevens van strafrechtelijke aard voor de intrekking van het Nederlanderschap krachtens artikel 14, tweede lid, van de RWN.</w:t>
                      </w:r>
                      <w:r>
                        <w:rPr>
                          <w:rStyle w:val="Voetnootmarkering"/>
                        </w:rPr>
                        <w:footnoteReference w:id="61"/>
                      </w:r>
                      <w:r>
                        <w:t xml:space="preserve"> De toelichting vermeldt dat de oorspronkelijk voorgestelde verwerkingsgrondslag op advies van de AP is geschrapt.</w:t>
                      </w:r>
                      <w:r>
                        <w:rPr>
                          <w:rStyle w:val="Voetnootmarkering"/>
                        </w:rPr>
                        <w:footnoteReference w:id="62"/>
                      </w:r>
                      <w:r>
                        <w:t xml:space="preserve"> Hoewel de Afdeling deze keuze begrijpelijk acht, merkt zij op dat nu niet inzichtelijk wordt hoe de vereiste waarborgen worden geboden.</w:t>
                      </w:r>
                    </w:p>
                    <w:p w:rsidR="00102018" w:rsidP="00972629" w:rsidRDefault="00681092" w14:paraId="3CD1FD9D" w14:textId="77777777">
                      <w:r>
                        <w:t xml:space="preserve"> </w:t>
                      </w:r>
                    </w:p>
                    <w:p w:rsidR="00102018" w:rsidP="00972629" w:rsidRDefault="00681092" w14:paraId="5EFB4D8B" w14:textId="77777777">
                      <w:r>
                        <w:t>De Afdeling adviseert de toelichting op deze punten aan te vullen en het wetsvoorstel zo nodig aan te passen.</w:t>
                      </w:r>
                    </w:p>
                  </w:sdtContent>
                </w:sdt>
                <w:p w:rsidR="00102018" w:rsidP="00972629" w:rsidRDefault="00E81F70" w14:paraId="69DAC1B5" w14:textId="77777777">
                  <w:pPr>
                    <w:rPr>
                      <w:u w:val="single"/>
                    </w:rPr>
                  </w:pPr>
                </w:p>
                <w:p w:rsidR="00102018" w:rsidP="00972629" w:rsidRDefault="00681092" w14:paraId="08463265" w14:textId="77777777">
                  <w:pPr>
                    <w:pStyle w:val="Lijstalinea"/>
                    <w:numPr>
                      <w:ilvl w:val="0"/>
                      <w:numId w:val="1"/>
                    </w:numPr>
                    <w:ind w:hanging="720"/>
                    <w:rPr>
                      <w:u w:val="single"/>
                    </w:rPr>
                  </w:pPr>
                  <w:r>
                    <w:rPr>
                      <w:u w:val="single"/>
                    </w:rPr>
                    <w:t>Schrappen toezichthoudende rol CTIVD</w:t>
                  </w:r>
                </w:p>
                <w:p w:rsidR="00102018" w:rsidP="00972629" w:rsidRDefault="00E81F70" w14:paraId="080806EA" w14:textId="77777777">
                  <w:pPr>
                    <w:rPr>
                      <w:u w:val="single"/>
                    </w:rPr>
                  </w:pPr>
                </w:p>
                <w:p w:rsidR="00102018" w:rsidP="00972629" w:rsidRDefault="00681092" w14:paraId="36FDF7A8" w14:textId="77777777">
                  <w:r>
                    <w:t xml:space="preserve">Het voorstel schrapt de taak van de CTIVD om toezicht te houden op de bevoegdheid van de Minister van </w:t>
                  </w:r>
                  <w:proofErr w:type="spellStart"/>
                  <w:r>
                    <w:t>JenV</w:t>
                  </w:r>
                  <w:proofErr w:type="spellEnd"/>
                  <w:r>
                    <w:t xml:space="preserve"> tot het intrekken van het Nederlanderschap in het belang van de nationale veiligheid. Deze taak is in de </w:t>
                  </w:r>
                  <w:proofErr w:type="spellStart"/>
                  <w:r>
                    <w:t>Wiv</w:t>
                  </w:r>
                  <w:proofErr w:type="spellEnd"/>
                  <w:r>
                    <w:t xml:space="preserve"> 2017 opgenomen naar aanleiding van het amendement-</w:t>
                  </w:r>
                  <w:proofErr w:type="spellStart"/>
                  <w:r>
                    <w:t>Recourt</w:t>
                  </w:r>
                  <w:proofErr w:type="spellEnd"/>
                  <w:r>
                    <w:t>.</w:t>
                  </w:r>
                  <w:r>
                    <w:rPr>
                      <w:rStyle w:val="Voetnootmarkering"/>
                    </w:rPr>
                    <w:footnoteReference w:id="63"/>
                  </w:r>
                  <w:r>
                    <w:t xml:space="preserve"> De CTIVD dient bij haar toezicht in het bijzonder aandacht te schenken aan de doelmatigheid en proportionaliteit van de toepassing van deze bevoegdheid.</w:t>
                  </w:r>
                  <w:r>
                    <w:rPr>
                      <w:rStyle w:val="Voetnootmarkering"/>
                    </w:rPr>
                    <w:footnoteReference w:id="64"/>
                  </w:r>
                  <w:r>
                    <w:t xml:space="preserve"> Op basis van de </w:t>
                  </w:r>
                  <w:proofErr w:type="spellStart"/>
                  <w:r>
                    <w:t>toezichtsrapporten</w:t>
                  </w:r>
                  <w:proofErr w:type="spellEnd"/>
                  <w:r>
                    <w:t xml:space="preserve"> kan de Kamer zich een beeld vormen over de inzet van deze bevoegdheid.</w:t>
                  </w:r>
                  <w:r>
                    <w:rPr>
                      <w:rStyle w:val="Voetnootmarkering"/>
                    </w:rPr>
                    <w:footnoteReference w:id="65"/>
                  </w:r>
                  <w:r>
                    <w:t xml:space="preserve"> </w:t>
                  </w:r>
                </w:p>
                <w:p w:rsidR="00102018" w:rsidP="00972629" w:rsidRDefault="00E81F70" w14:paraId="4812A7CC" w14:textId="77777777"/>
                <w:p w:rsidR="00102018" w:rsidP="00972629" w:rsidRDefault="00681092" w14:paraId="0EBC06B1" w14:textId="77777777">
                  <w:r>
                    <w:t>De toelichting brengt in herinnering dat de minister bij de parlementaire behandeling het amendement-</w:t>
                  </w:r>
                  <w:proofErr w:type="spellStart"/>
                  <w:r>
                    <w:t>Recourt</w:t>
                  </w:r>
                  <w:proofErr w:type="spellEnd"/>
                  <w:r>
                    <w:t xml:space="preserve"> met klem heeft ontraden. Een aparte toezichtstaak van de CTIVD past niet goed binnen de Nederlandse staatsrechtelijke verhoudingen. De bestuursrechter toetst immers alle individuele intrekkingen van Nederlanderschap in het belang van de nationale veiligheid, van rechtswege of naar aanleiding van een ingesteld beroep.</w:t>
                  </w:r>
                  <w:r>
                    <w:rPr>
                      <w:rStyle w:val="Voetnootmarkering"/>
                    </w:rPr>
                    <w:footnoteReference w:id="66"/>
                  </w:r>
                  <w:r>
                    <w:t xml:space="preserve"> Daarnaast is het aan de Tweede Kamer om de minister te controleren. Er is dan ook zowel op individueel als op politiek niveau in toezicht voorzien. De CTIVD is bovendien niet ingesteld om toezicht te houden op het handelen van de minister van Justitie en Veiligheid. De toelichting herhaalt deze argumentatie en licht toe dat de CTIVD als toezichthouder van de AIVD wel de ambtsberichten van </w:t>
                  </w:r>
                  <w:r>
                    <w:lastRenderedPageBreak/>
                    <w:t>deze dienst die ten grondslag liggen aan de intrekking van het Nederlanderschap kan toetsen op rechtmatigheid.</w:t>
                  </w:r>
                  <w:r>
                    <w:rPr>
                      <w:rStyle w:val="Voetnootmarkering"/>
                    </w:rPr>
                    <w:footnoteReference w:id="67"/>
                  </w:r>
                  <w:r>
                    <w:t xml:space="preserve"> </w:t>
                  </w:r>
                </w:p>
                <w:p w:rsidR="00102018" w:rsidP="00972629" w:rsidRDefault="00E81F70" w14:paraId="5E597603" w14:textId="77777777"/>
                <w:p w:rsidR="00102018" w:rsidP="00972629" w:rsidRDefault="00681092" w14:paraId="29113665" w14:textId="77777777">
                  <w:r>
                    <w:t>De Afdeling merkt op dat de toelichting niet ingaat op de opgedane ervaringen met het toezicht van de CTIVD. De CTIVD heeft in 2020 een onderzoek afgerond naar het handelen van de AIVD in het kader van intrekking van het Nederlanderschap in het belang van de nationale veiligheid.</w:t>
                  </w:r>
                  <w:r>
                    <w:rPr>
                      <w:rStyle w:val="Voetnootmarkering"/>
                    </w:rPr>
                    <w:footnoteReference w:id="68"/>
                  </w:r>
                  <w:r>
                    <w:t xml:space="preserve"> Daarbij heeft de CTIVD zich beperkt tot haar algemene toezichtstaak ten aanzien van de AIVD en heeft zij het handelen van de minister van Justitie en Veiligheid niet getoetst. Uit de toelichting blijkt evenmin in hoeverre de CTIVD is geconsulteerd over het voornemen haar toezichtstaak te schrappen. </w:t>
                  </w:r>
                </w:p>
                <w:p w:rsidR="00102018" w:rsidP="00972629" w:rsidRDefault="00E81F70" w14:paraId="14608A59" w14:textId="77777777"/>
                <w:p w:rsidRPr="007800DB" w:rsidR="00102018" w:rsidP="00972629" w:rsidRDefault="00681092" w14:paraId="56A84103" w14:textId="77777777">
                  <w:r>
                    <w:t xml:space="preserve">De Afdeling adviseert de toelichting op deze punten aan te vullen. </w:t>
                  </w:r>
                </w:p>
                <w:p w:rsidRPr="00B77731" w:rsidR="00102018" w:rsidP="00972629" w:rsidRDefault="00E81F70" w14:paraId="0FD2F146" w14:textId="77777777">
                  <w:pPr>
                    <w:rPr>
                      <w:u w:val="single"/>
                    </w:rPr>
                  </w:pPr>
                </w:p>
                <w:p w:rsidRPr="00705078" w:rsidR="00102018" w:rsidP="00972629" w:rsidRDefault="00681092" w14:paraId="2A7ED476" w14:textId="77777777">
                  <w:pPr>
                    <w:pStyle w:val="Lijstalinea"/>
                    <w:numPr>
                      <w:ilvl w:val="0"/>
                      <w:numId w:val="1"/>
                    </w:numPr>
                    <w:ind w:hanging="720"/>
                    <w:rPr>
                      <w:u w:val="single"/>
                    </w:rPr>
                  </w:pPr>
                  <w:r>
                    <w:rPr>
                      <w:u w:val="single"/>
                    </w:rPr>
                    <w:t>Toepassing wetsvoorstel op de Caribische landen</w:t>
                  </w:r>
                </w:p>
                <w:p w:rsidR="00102018" w:rsidP="00972629" w:rsidRDefault="00E81F70" w14:paraId="5EA97806" w14:textId="77777777"/>
                <w:p w:rsidR="00102018" w:rsidP="00972629" w:rsidRDefault="00681092" w14:paraId="266E711F" w14:textId="77777777">
                  <w:r>
                    <w:t xml:space="preserve">Tot slot wijst de Afdeling op de </w:t>
                  </w:r>
                  <w:proofErr w:type="spellStart"/>
                  <w:r>
                    <w:t>Koninkrijksdimensie</w:t>
                  </w:r>
                  <w:proofErr w:type="spellEnd"/>
                  <w:r>
                    <w:t xml:space="preserve"> van het voorliggende wetsvoorstel. De voorgestelde wijziging betreft een Rijkswet en zal derhalve voor het gehele Koninkrijk gelden. Bovendien beoogt de regering met het behoud van de bevoegdheid tot intrekking van het Nederlanderschap de nationale veiligheid van het Koninkrijk te dienen.</w:t>
                  </w:r>
                  <w:r>
                    <w:rPr>
                      <w:rStyle w:val="Voetnootmarkering"/>
                    </w:rPr>
                    <w:footnoteReference w:id="69"/>
                  </w:r>
                  <w:r>
                    <w:t xml:space="preserve"> Als zodanig is het voorstel ook van belang voor de Caribische landen van het Koninkrijk. </w:t>
                  </w:r>
                </w:p>
                <w:p w:rsidR="00102018" w:rsidP="00972629" w:rsidRDefault="00E81F70" w14:paraId="75F67E29" w14:textId="77777777"/>
                <w:p w:rsidR="00102018" w:rsidP="00972629" w:rsidRDefault="00681092" w14:paraId="0C52EB2D" w14:textId="77777777">
                  <w:r>
                    <w:t>De toelichting bij het wetsvoorstel dat de bevoegdheid krachtens artikel 14, vierde lid, van de RWN introduceerde, besteedt daar terecht aandacht aan. Zo gaat die toelichting in op de procedurele implicaties voor de uitoefening van de bevoegdheid tot intrekking van het Nederlanderschap wanneer het een (voormalig) inwoner van de Caribische landen betreft.</w:t>
                  </w:r>
                  <w:r>
                    <w:rPr>
                      <w:rStyle w:val="Voetnootmarkering"/>
                    </w:rPr>
                    <w:footnoteReference w:id="70"/>
                  </w:r>
                  <w:r>
                    <w:t xml:space="preserve"> Ook legt de toelichting uit hoe de in de context van artikel 14, vierde lid, van de RWN geboden rechtsbescherming vorm krijgt in de Caribische landen.</w:t>
                  </w:r>
                  <w:r>
                    <w:rPr>
                      <w:rStyle w:val="Voetnootmarkering"/>
                    </w:rPr>
                    <w:footnoteReference w:id="71"/>
                  </w:r>
                  <w:r>
                    <w:t xml:space="preserve"> </w:t>
                  </w:r>
                </w:p>
                <w:p w:rsidR="00102018" w:rsidP="00972629" w:rsidRDefault="00E81F70" w14:paraId="6414CF9F" w14:textId="77777777"/>
                <w:p w:rsidR="00102018" w:rsidP="00972629" w:rsidRDefault="00681092" w14:paraId="0D6E0266" w14:textId="77777777">
                  <w:r>
                    <w:t>De toelichting bij het thans voorliggende wetsvoorstel noemt de Caribische landen echter in het geheel niet. Omdat dit wetsvoorstel de bevoegdheid tot intrekking van het Nederlanderschap inhoudelijk niet wijzigt, volstaat de eerdere toelichting voor zover het gaat om de inhoud, uitoefening en implicaties van die bevoegdheid. Waar het de problematiek betreft die voor de regering aanleiding geeft tot behoud van artikel 14, vierde lid, van de RWN, verdient de situatie ten aanzien van de Caribische landen evenwel aandacht. Zo rijzen vragen naar het dreigingsbeeld in de Caribische landen, het risico van terugkeer naar die delen van het Koninkrijk en hoe dit wetsvoorstel zich daartoe verhoudt. Ook de vraag in hoeverre de Caribische landen ervaring hebben opgedaan met (de toepassing van) de bevoegdheid krachtens artikel 14, vierde lid, van de RWN blijft onbeantwoord.</w:t>
                  </w:r>
                </w:p>
                <w:p w:rsidR="00102018" w:rsidP="00972629" w:rsidRDefault="00E81F70" w14:paraId="505EAB4A" w14:textId="77777777"/>
                <w:p w:rsidR="0031089B" w:rsidP="00FF035E" w:rsidRDefault="00681092" w14:paraId="5ADE247A" w14:textId="77777777">
                  <w:r>
                    <w:t>De Afdeling adviseert de toelichting op deze punten aan te vullen.</w:t>
                  </w:r>
                </w:p>
              </w:sdtContent>
            </w:sdt>
          </w:sdtContent>
        </w:sdt>
        <w:p w:rsidR="003A1FC7" w:rsidRDefault="003A1FC7" w14:paraId="172A3A0F" w14:textId="77777777"/>
        <w:sdt>
          <w:sdtPr>
            <w:alias w:val="Dictum"/>
            <w:tag w:val="Dictum"/>
            <w:id w:val="1621489950"/>
            <w:lock w:val="sdtContentLocked"/>
            <w:placeholder>
              <w:docPart w:val="DefaultPlaceholder_1082065158"/>
            </w:placeholder>
            <w:text w:multiLine="1"/>
          </w:sdtPr>
          <w:sdtEndPr/>
          <w:sdtContent>
            <w:p w:rsidR="00515DC9" w:rsidRDefault="00681092" w14:paraId="4A020DD7" w14:textId="77777777">
              <w:r>
                <w:t xml:space="preserve">De Afdeling advisering van de Raad van State van het Koninkrijk heeft een aantal opmerkingen bij het voorstel van rijkswet en adviseert het voorstel van rijkswet niet in te dienen bij de Tweede Kamer der Staten-Generaal, en niet over te leggen aan de Staten van Aruba, die van Curaçao en die van Sint Maarten, tenzij het is aangepast. </w:t>
              </w:r>
              <w:r>
                <w:br/>
              </w:r>
              <w:r>
                <w:br/>
              </w:r>
              <w:r>
                <w:br/>
                <w:t>De vice-president van de Raad van State van het Koninkrijk,</w:t>
              </w:r>
            </w:p>
          </w:sdtContent>
        </w:sdt>
      </w:sdtContent>
    </w:sdt>
    <w:sectPr w:rsidR="00515DC9"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24A07" w14:textId="77777777" w:rsidR="00847094" w:rsidRDefault="00681092" w:rsidP="005B3E03">
      <w:r>
        <w:separator/>
      </w:r>
    </w:p>
    <w:p w14:paraId="3ACEA744" w14:textId="77777777" w:rsidR="002D0ACF" w:rsidRDefault="00E81F70"/>
  </w:endnote>
  <w:endnote w:type="continuationSeparator" w:id="0">
    <w:p w14:paraId="31AB6826" w14:textId="77777777" w:rsidR="00847094" w:rsidRDefault="00681092" w:rsidP="005B3E03">
      <w:r>
        <w:continuationSeparator/>
      </w:r>
    </w:p>
    <w:p w14:paraId="17C73BE5" w14:textId="77777777" w:rsidR="002D0ACF" w:rsidRDefault="00E81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C4B6F"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1D30D452" wp14:editId="754E095B">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D7A0F"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452"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352D7A0F"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A8A28" w14:textId="77777777" w:rsidR="00847094" w:rsidRDefault="00681092" w:rsidP="005B3E03">
      <w:r>
        <w:separator/>
      </w:r>
    </w:p>
    <w:p w14:paraId="1A12CFAA" w14:textId="77777777" w:rsidR="002D0ACF" w:rsidRDefault="00E81F70"/>
  </w:footnote>
  <w:footnote w:type="continuationSeparator" w:id="0">
    <w:p w14:paraId="70AC7EC8" w14:textId="77777777" w:rsidR="00847094" w:rsidRDefault="00681092" w:rsidP="005B3E03">
      <w:r>
        <w:continuationSeparator/>
      </w:r>
    </w:p>
    <w:p w14:paraId="2488C3E1" w14:textId="77777777" w:rsidR="002D0ACF" w:rsidRDefault="00E81F70"/>
  </w:footnote>
  <w:footnote w:id="1">
    <w:p w14:paraId="4DC9D168" w14:textId="77777777" w:rsidR="00701EA0" w:rsidRDefault="00681092" w:rsidP="00701EA0">
      <w:pPr>
        <w:pStyle w:val="Voetnoottekst"/>
        <w:tabs>
          <w:tab w:val="clear" w:pos="227"/>
          <w:tab w:val="left" w:pos="284"/>
        </w:tabs>
        <w:ind w:left="284" w:hanging="284"/>
      </w:pPr>
      <w:r>
        <w:rPr>
          <w:rStyle w:val="Voetnootmarkering"/>
        </w:rPr>
        <w:footnoteRef/>
      </w:r>
      <w:r>
        <w:t xml:space="preserve"> </w:t>
      </w:r>
      <w:r>
        <w:tab/>
        <w:t>Stb. 2017, 52.</w:t>
      </w:r>
    </w:p>
  </w:footnote>
  <w:footnote w:id="2">
    <w:p w14:paraId="52736B9B" w14:textId="77777777" w:rsidR="00701EA0" w:rsidRDefault="00681092" w:rsidP="00BA5469">
      <w:pPr>
        <w:pStyle w:val="Voetnoottekst"/>
        <w:tabs>
          <w:tab w:val="clear" w:pos="227"/>
          <w:tab w:val="left" w:pos="284"/>
        </w:tabs>
        <w:ind w:left="284" w:hanging="284"/>
      </w:pPr>
      <w:r>
        <w:rPr>
          <w:rStyle w:val="Voetnootmarkering"/>
        </w:rPr>
        <w:footnoteRef/>
      </w:r>
      <w:r>
        <w:t xml:space="preserve"> </w:t>
      </w:r>
      <w:r>
        <w:tab/>
        <w:t>Deze bevoegdheid moet niet verward worden met de intrekking van het Nederlanderschap krachtens artikel 14, tweede lid, van de RWN, waarvoor wél een voorafgaande strafrechtelijke veroordeling vereist is.</w:t>
      </w:r>
    </w:p>
  </w:footnote>
  <w:footnote w:id="3">
    <w:p w14:paraId="30F3F792" w14:textId="77777777" w:rsidR="00701EA0" w:rsidRDefault="00681092" w:rsidP="00BA5469">
      <w:pPr>
        <w:pStyle w:val="Voetnoottekst"/>
        <w:tabs>
          <w:tab w:val="clear" w:pos="227"/>
          <w:tab w:val="left" w:pos="284"/>
        </w:tabs>
        <w:ind w:left="284" w:hanging="284"/>
      </w:pPr>
      <w:r>
        <w:rPr>
          <w:rStyle w:val="Voetnootmarkering"/>
        </w:rPr>
        <w:footnoteRef/>
      </w:r>
      <w:r>
        <w:t xml:space="preserve"> </w:t>
      </w:r>
      <w:r>
        <w:tab/>
        <w:t>Zie de memorie van toelichting bij het wetsvoorstel dat de bevoegdheid tot intrekking van het Nederlanderschap introduceerde, Kamerstukken II 2015/16, 34356 (R2064), nr. 3, paragraaf 3.</w:t>
      </w:r>
    </w:p>
  </w:footnote>
  <w:footnote w:id="4">
    <w:p w14:paraId="1A6D62D9" w14:textId="77777777" w:rsidR="00701EA0" w:rsidRDefault="00681092" w:rsidP="00BA5469">
      <w:pPr>
        <w:pStyle w:val="Voetnoottekst"/>
        <w:tabs>
          <w:tab w:val="clear" w:pos="227"/>
          <w:tab w:val="left" w:pos="284"/>
        </w:tabs>
        <w:ind w:left="284" w:hanging="284"/>
      </w:pPr>
      <w:r>
        <w:rPr>
          <w:rStyle w:val="Voetnootmarkering"/>
        </w:rPr>
        <w:footnoteRef/>
      </w:r>
      <w:r>
        <w:t xml:space="preserve"> </w:t>
      </w:r>
      <w:r>
        <w:tab/>
        <w:t xml:space="preserve">Idem, paragraaf 2. Zie ook de memorie van toelichting bij het onderhavige wetsvoorstel, algemeen deel, paragraaf 2.1. </w:t>
      </w:r>
    </w:p>
  </w:footnote>
  <w:footnote w:id="5">
    <w:p w14:paraId="7175EB42" w14:textId="77777777" w:rsidR="00701EA0" w:rsidRDefault="00681092" w:rsidP="00BA5469">
      <w:pPr>
        <w:pStyle w:val="Voetnoottekst"/>
        <w:tabs>
          <w:tab w:val="clear" w:pos="227"/>
          <w:tab w:val="left" w:pos="284"/>
        </w:tabs>
        <w:ind w:left="284" w:hanging="284"/>
      </w:pPr>
      <w:r>
        <w:rPr>
          <w:rStyle w:val="Voetnootmarkering"/>
        </w:rPr>
        <w:footnoteRef/>
      </w:r>
      <w:r>
        <w:t xml:space="preserve"> </w:t>
      </w:r>
      <w:r>
        <w:tab/>
      </w:r>
      <w:r w:rsidRPr="00BA5469">
        <w:t>Kamerstukken II 2013/14, 29 754, nr. 253.</w:t>
      </w:r>
      <w:r>
        <w:rPr>
          <w:sz w:val="20"/>
        </w:rPr>
        <w:t xml:space="preserve"> </w:t>
      </w:r>
    </w:p>
  </w:footnote>
  <w:footnote w:id="6">
    <w:p w14:paraId="53CF274E" w14:textId="77777777" w:rsidR="00E26E70" w:rsidRDefault="00681092" w:rsidP="00E26E70">
      <w:pPr>
        <w:pStyle w:val="Voetnoottekst"/>
        <w:tabs>
          <w:tab w:val="clear" w:pos="227"/>
          <w:tab w:val="left" w:pos="284"/>
        </w:tabs>
        <w:ind w:left="284" w:hanging="284"/>
      </w:pPr>
      <w:r>
        <w:rPr>
          <w:rStyle w:val="Voetnootmarkering"/>
        </w:rPr>
        <w:footnoteRef/>
      </w:r>
      <w:r>
        <w:t xml:space="preserve"> </w:t>
      </w:r>
      <w:r>
        <w:tab/>
        <w:t>Artikel 14, achtste lid, van de RWN.</w:t>
      </w:r>
    </w:p>
  </w:footnote>
  <w:footnote w:id="7">
    <w:p w14:paraId="4D23BD91" w14:textId="77777777" w:rsidR="00E26E70" w:rsidRDefault="00681092" w:rsidP="00E26E70">
      <w:pPr>
        <w:pStyle w:val="Voetnoottekst"/>
        <w:tabs>
          <w:tab w:val="clear" w:pos="227"/>
          <w:tab w:val="left" w:pos="284"/>
        </w:tabs>
        <w:ind w:left="284" w:hanging="284"/>
      </w:pPr>
      <w:r>
        <w:rPr>
          <w:rStyle w:val="Voetnootmarkering"/>
        </w:rPr>
        <w:footnoteRef/>
      </w:r>
      <w:r w:rsidRPr="002C1811">
        <w:t xml:space="preserve"> </w:t>
      </w:r>
      <w:r w:rsidRPr="002C1811">
        <w:tab/>
      </w:r>
      <w:r>
        <w:t>Kamerstukken II 2015/16, 34356 (R2064), nr. 3, paragraaf 8.</w:t>
      </w:r>
    </w:p>
  </w:footnote>
  <w:footnote w:id="8">
    <w:p w14:paraId="6F2C4288" w14:textId="77777777" w:rsidR="00E26E70" w:rsidRPr="00E878A3" w:rsidRDefault="00681092" w:rsidP="00E26E70">
      <w:pPr>
        <w:pStyle w:val="Voetnoottekst"/>
        <w:tabs>
          <w:tab w:val="clear" w:pos="227"/>
          <w:tab w:val="left" w:pos="284"/>
        </w:tabs>
        <w:ind w:left="284" w:hanging="284"/>
      </w:pPr>
      <w:r>
        <w:rPr>
          <w:rStyle w:val="Voetnootmarkering"/>
        </w:rPr>
        <w:footnoteRef/>
      </w:r>
      <w:r w:rsidRPr="00E878A3">
        <w:t xml:space="preserve"> </w:t>
      </w:r>
      <w:r w:rsidRPr="00E878A3">
        <w:tab/>
      </w:r>
      <w:r>
        <w:t>In de toelichting bij het onderhavige wetsvoorstel verwijst de regering in dit verband onder meer naar</w:t>
      </w:r>
      <w:r w:rsidRPr="00055D3C">
        <w:t xml:space="preserve"> </w:t>
      </w:r>
      <w:proofErr w:type="spellStart"/>
      <w:r w:rsidRPr="00E878A3">
        <w:t>ABRvS</w:t>
      </w:r>
      <w:proofErr w:type="spellEnd"/>
      <w:r w:rsidRPr="00E878A3">
        <w:t xml:space="preserve"> 30 december 2020, ECLI:NL:RVS:2020:3045.</w:t>
      </w:r>
      <w:r>
        <w:t xml:space="preserve"> Bij deze uitspraak zijn inmiddels enkele kritische annotaties verschenen. Zie AB 2021/91, met noot P.R. </w:t>
      </w:r>
      <w:proofErr w:type="spellStart"/>
      <w:r>
        <w:t>Rodrigues</w:t>
      </w:r>
      <w:proofErr w:type="spellEnd"/>
      <w:r>
        <w:t>; JV 2021/38, met noot G.R. de Groot.</w:t>
      </w:r>
    </w:p>
  </w:footnote>
  <w:footnote w:id="9">
    <w:p w14:paraId="100159F7" w14:textId="343FC327" w:rsidR="00E26E70" w:rsidRDefault="00681092" w:rsidP="00E26E70">
      <w:pPr>
        <w:pStyle w:val="Voetnoottekst"/>
        <w:tabs>
          <w:tab w:val="clear" w:pos="227"/>
          <w:tab w:val="left" w:pos="284"/>
        </w:tabs>
        <w:ind w:left="284" w:hanging="284"/>
      </w:pPr>
      <w:r>
        <w:rPr>
          <w:rStyle w:val="Voetnootmarkering"/>
        </w:rPr>
        <w:footnoteRef/>
      </w:r>
      <w:r>
        <w:t xml:space="preserve"> </w:t>
      </w:r>
      <w:r>
        <w:tab/>
        <w:t xml:space="preserve">Zie </w:t>
      </w:r>
      <w:r w:rsidRPr="004D478E">
        <w:t>Kamerstukken II 2015/2016, 34356 (R2064), nr</w:t>
      </w:r>
      <w:r>
        <w:t>.</w:t>
      </w:r>
      <w:r w:rsidRPr="004D478E">
        <w:t xml:space="preserve"> 4</w:t>
      </w:r>
      <w:r>
        <w:t xml:space="preserve">. Het wetsvoorstel zoals dat ter advisering aan de Afdeling werd voorgelegd, bevatte nog geen horizonbepaling ten aanzien van de bevoegdheid krachtens artikel 14, vierde lid, RWN. Die bepaling werd bij amendement in het wetsvoorstel opgenomen. Zie </w:t>
      </w:r>
      <w:r w:rsidRPr="00CB043F">
        <w:t>Kamerstukken II 2015/16, 3435</w:t>
      </w:r>
      <w:r>
        <w:t>6</w:t>
      </w:r>
      <w:r w:rsidRPr="00CB043F">
        <w:t xml:space="preserve">, nr. </w:t>
      </w:r>
      <w:r>
        <w:t>24</w:t>
      </w:r>
      <w:r w:rsidRPr="00CB043F">
        <w:t xml:space="preserve">, </w:t>
      </w:r>
      <w:r>
        <w:t xml:space="preserve">gewijzigd amendement van het lid </w:t>
      </w:r>
      <w:proofErr w:type="spellStart"/>
      <w:r>
        <w:t>Recourt</w:t>
      </w:r>
      <w:proofErr w:type="spellEnd"/>
      <w:r>
        <w:t xml:space="preserve"> ter vervanging van dat gedrukt onder nr. 14. </w:t>
      </w:r>
    </w:p>
  </w:footnote>
  <w:footnote w:id="10">
    <w:p w14:paraId="1EE50444" w14:textId="77777777" w:rsidR="00E26E70" w:rsidRDefault="00681092" w:rsidP="00E26E70">
      <w:pPr>
        <w:pStyle w:val="Voetnoottekst"/>
        <w:tabs>
          <w:tab w:val="clear" w:pos="227"/>
          <w:tab w:val="left" w:pos="284"/>
        </w:tabs>
        <w:ind w:left="284" w:hanging="284"/>
      </w:pPr>
      <w:r>
        <w:rPr>
          <w:rStyle w:val="Voetnootmarkering"/>
        </w:rPr>
        <w:footnoteRef/>
      </w:r>
      <w:r>
        <w:t xml:space="preserve"> </w:t>
      </w:r>
      <w:r>
        <w:tab/>
        <w:t xml:space="preserve">Zie </w:t>
      </w:r>
      <w:r w:rsidRPr="004D478E">
        <w:t>Kamerstukken II 2015/2016, 34356 (R2064), nr</w:t>
      </w:r>
      <w:r>
        <w:t>.</w:t>
      </w:r>
      <w:r w:rsidRPr="004D478E">
        <w:t xml:space="preserve"> 4</w:t>
      </w:r>
      <w:r>
        <w:t xml:space="preserve">. </w:t>
      </w:r>
    </w:p>
  </w:footnote>
  <w:footnote w:id="11">
    <w:p w14:paraId="52E16CA2" w14:textId="77777777" w:rsidR="00E26E70" w:rsidRDefault="00681092" w:rsidP="00E26E70">
      <w:pPr>
        <w:pStyle w:val="Voetnoottekst"/>
        <w:tabs>
          <w:tab w:val="clear" w:pos="227"/>
          <w:tab w:val="left" w:pos="284"/>
          <w:tab w:val="left" w:pos="426"/>
        </w:tabs>
        <w:ind w:left="284" w:hanging="284"/>
      </w:pPr>
      <w:r>
        <w:rPr>
          <w:rStyle w:val="Voetnootmarkering"/>
        </w:rPr>
        <w:footnoteRef/>
      </w:r>
      <w:r>
        <w:t xml:space="preserve"> </w:t>
      </w:r>
      <w:r>
        <w:tab/>
        <w:t>Voorgesteld Artikel III.</w:t>
      </w:r>
    </w:p>
  </w:footnote>
  <w:footnote w:id="12">
    <w:p w14:paraId="2D116B14" w14:textId="77777777" w:rsidR="00E26E70" w:rsidRDefault="00681092" w:rsidP="00E26E70">
      <w:pPr>
        <w:pStyle w:val="Voetnoottekst"/>
        <w:tabs>
          <w:tab w:val="clear" w:pos="227"/>
          <w:tab w:val="left" w:pos="284"/>
        </w:tabs>
        <w:ind w:left="284" w:hanging="284"/>
      </w:pPr>
      <w:r>
        <w:rPr>
          <w:rStyle w:val="Voetnootmarkering"/>
        </w:rPr>
        <w:footnoteRef/>
      </w:r>
      <w:r>
        <w:t xml:space="preserve"> </w:t>
      </w:r>
      <w:r>
        <w:tab/>
        <w:t>Voorgesteld Artikel II.</w:t>
      </w:r>
    </w:p>
  </w:footnote>
  <w:footnote w:id="13">
    <w:p w14:paraId="1045AB25" w14:textId="77777777" w:rsidR="00E26E70" w:rsidRDefault="00681092" w:rsidP="00E26E70">
      <w:pPr>
        <w:pStyle w:val="Voetnoottekst"/>
        <w:tabs>
          <w:tab w:val="clear" w:pos="227"/>
          <w:tab w:val="left" w:pos="284"/>
        </w:tabs>
        <w:ind w:left="284" w:hanging="284"/>
      </w:pPr>
      <w:r>
        <w:rPr>
          <w:rStyle w:val="Voetnootmarkering"/>
        </w:rPr>
        <w:footnoteRef/>
      </w:r>
      <w:r>
        <w:t xml:space="preserve"> </w:t>
      </w:r>
      <w:r>
        <w:tab/>
        <w:t>Memorie van toelichting, algemeen deel, paragraaf 1.</w:t>
      </w:r>
    </w:p>
  </w:footnote>
  <w:footnote w:id="14">
    <w:p w14:paraId="5BC36BDA" w14:textId="77777777" w:rsidR="00E26E70" w:rsidRDefault="00681092" w:rsidP="00E26E70">
      <w:pPr>
        <w:pStyle w:val="Voetnoottekst"/>
        <w:tabs>
          <w:tab w:val="clear" w:pos="227"/>
          <w:tab w:val="left" w:pos="284"/>
          <w:tab w:val="left" w:pos="426"/>
        </w:tabs>
        <w:ind w:left="284" w:hanging="284"/>
      </w:pPr>
      <w:r>
        <w:rPr>
          <w:rStyle w:val="Voetnootmarkering"/>
        </w:rPr>
        <w:footnoteRef/>
      </w:r>
      <w:r>
        <w:t xml:space="preserve"> </w:t>
      </w:r>
      <w:r>
        <w:tab/>
        <w:t>Voorgesteld Artikel I, onderdeel B.</w:t>
      </w:r>
    </w:p>
  </w:footnote>
  <w:footnote w:id="15">
    <w:p w14:paraId="730D79FC" w14:textId="77777777" w:rsidR="00102018" w:rsidRDefault="00681092" w:rsidP="00102018">
      <w:pPr>
        <w:pStyle w:val="Voetnoottekst"/>
        <w:tabs>
          <w:tab w:val="clear" w:pos="227"/>
          <w:tab w:val="left" w:pos="284"/>
          <w:tab w:val="left" w:pos="426"/>
        </w:tabs>
        <w:ind w:left="284" w:hanging="284"/>
      </w:pPr>
      <w:r>
        <w:rPr>
          <w:rStyle w:val="Voetnootmarkering"/>
        </w:rPr>
        <w:footnoteRef/>
      </w:r>
      <w:r>
        <w:t xml:space="preserve"> </w:t>
      </w:r>
      <w:r>
        <w:tab/>
        <w:t>Memorie van toelichting, algemeen deel, paragraaf 1.</w:t>
      </w:r>
    </w:p>
  </w:footnote>
  <w:footnote w:id="16">
    <w:p w14:paraId="670DB90C"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r>
      <w:r w:rsidRPr="005C3C0C">
        <w:t>Kamerstukken II 2020/21, 29754, nr. 578.</w:t>
      </w:r>
    </w:p>
  </w:footnote>
  <w:footnote w:id="17">
    <w:p w14:paraId="1480EEFC" w14:textId="0D2E845D" w:rsidR="00102018" w:rsidRPr="00554D8A" w:rsidRDefault="00681092" w:rsidP="00102018">
      <w:pPr>
        <w:pStyle w:val="Voetnoottekst"/>
        <w:tabs>
          <w:tab w:val="clear" w:pos="227"/>
          <w:tab w:val="left" w:pos="284"/>
        </w:tabs>
        <w:ind w:left="284" w:hanging="284"/>
      </w:pPr>
      <w:r>
        <w:rPr>
          <w:rStyle w:val="Voetnootmarkering"/>
        </w:rPr>
        <w:footnoteRef/>
      </w:r>
      <w:r>
        <w:t xml:space="preserve"> </w:t>
      </w:r>
      <w:r w:rsidRPr="00554D8A">
        <w:tab/>
      </w:r>
      <w:r>
        <w:t>Idem.</w:t>
      </w:r>
    </w:p>
  </w:footnote>
  <w:footnote w:id="18">
    <w:p w14:paraId="315CE30F"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 xml:space="preserve">NCTV, </w:t>
      </w:r>
      <w:r w:rsidRPr="004E4EBE">
        <w:t>Samenvatting Dreigingsbeeld Terrorisme Nederland 37</w:t>
      </w:r>
      <w:r>
        <w:t xml:space="preserve"> (Bijlage bij Kamerstukken II </w:t>
      </w:r>
      <w:r w:rsidRPr="00F238EE">
        <w:t>2014</w:t>
      </w:r>
      <w:r>
        <w:t>/</w:t>
      </w:r>
      <w:r w:rsidRPr="00F238EE">
        <w:t>15</w:t>
      </w:r>
      <w:r>
        <w:t xml:space="preserve">, </w:t>
      </w:r>
      <w:r w:rsidRPr="00F238EE">
        <w:t>29754, nr. 270</w:t>
      </w:r>
      <w:r>
        <w:t xml:space="preserve">). </w:t>
      </w:r>
    </w:p>
  </w:footnote>
  <w:footnote w:id="19">
    <w:p w14:paraId="537F820D"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 xml:space="preserve">NCTV, </w:t>
      </w:r>
      <w:r w:rsidRPr="004E4EBE">
        <w:t>Dreigingsbeeld Terrorisme Nederland 54</w:t>
      </w:r>
      <w:r w:rsidRPr="00512CFC">
        <w:t>,</w:t>
      </w:r>
      <w:r>
        <w:t xml:space="preserve"> (Bijlage bij </w:t>
      </w:r>
      <w:r w:rsidRPr="00747E82">
        <w:t>Kamerstuk</w:t>
      </w:r>
      <w:r>
        <w:t>ken II 2020/21,</w:t>
      </w:r>
      <w:r w:rsidRPr="00747E82">
        <w:t xml:space="preserve"> 29754, nr. 593</w:t>
      </w:r>
      <w:r>
        <w:t xml:space="preserve">), p. 8. </w:t>
      </w:r>
    </w:p>
  </w:footnote>
  <w:footnote w:id="20">
    <w:p w14:paraId="5DAD1120" w14:textId="4C98AB6B" w:rsidR="00102018" w:rsidRPr="006A7213" w:rsidRDefault="00681092" w:rsidP="00102018">
      <w:pPr>
        <w:pStyle w:val="Voetnoottekst"/>
        <w:tabs>
          <w:tab w:val="clear" w:pos="227"/>
          <w:tab w:val="left" w:pos="284"/>
        </w:tabs>
        <w:ind w:left="284" w:hanging="284"/>
      </w:pPr>
      <w:r>
        <w:rPr>
          <w:rStyle w:val="Voetnootmarkering"/>
        </w:rPr>
        <w:footnoteRef/>
      </w:r>
      <w:r>
        <w:t xml:space="preserve"> </w:t>
      </w:r>
      <w:r>
        <w:tab/>
        <w:t xml:space="preserve">NCTV, Dreigingsbeeld Terrorisme Nederland, </w:t>
      </w:r>
      <w:hyperlink r:id="rId1" w:history="1">
        <w:r w:rsidRPr="00022612">
          <w:rPr>
            <w:rStyle w:val="Hyperlink"/>
          </w:rPr>
          <w:t>www.nctv.nl/onderwerpen/dtn</w:t>
        </w:r>
      </w:hyperlink>
      <w:r>
        <w:t>.</w:t>
      </w:r>
    </w:p>
  </w:footnote>
  <w:footnote w:id="21">
    <w:p w14:paraId="5376E1C0" w14:textId="77777777" w:rsidR="00102018" w:rsidRPr="00F80500" w:rsidRDefault="00681092" w:rsidP="00102018">
      <w:pPr>
        <w:pStyle w:val="Voetnoottekst"/>
        <w:tabs>
          <w:tab w:val="clear" w:pos="227"/>
          <w:tab w:val="left" w:pos="284"/>
        </w:tabs>
        <w:ind w:left="284" w:hanging="284"/>
      </w:pPr>
      <w:r>
        <w:rPr>
          <w:rStyle w:val="Voetnootmarkering"/>
        </w:rPr>
        <w:footnoteRef/>
      </w:r>
      <w:r>
        <w:t xml:space="preserve"> </w:t>
      </w:r>
      <w:r>
        <w:tab/>
        <w:t>Memorie van toelichting, algemeen deel, paragraaf 3.3.</w:t>
      </w:r>
    </w:p>
  </w:footnote>
  <w:footnote w:id="22">
    <w:p w14:paraId="12BF5686" w14:textId="77777777" w:rsidR="00102018" w:rsidRPr="00F80500" w:rsidRDefault="00681092" w:rsidP="00102018">
      <w:pPr>
        <w:pStyle w:val="Voetnoottekst"/>
        <w:tabs>
          <w:tab w:val="clear" w:pos="227"/>
          <w:tab w:val="left" w:pos="284"/>
        </w:tabs>
        <w:ind w:left="284" w:hanging="284"/>
      </w:pPr>
      <w:r>
        <w:rPr>
          <w:rStyle w:val="Voetnootmarkering"/>
        </w:rPr>
        <w:footnoteRef/>
      </w:r>
      <w:r>
        <w:t xml:space="preserve"> </w:t>
      </w:r>
      <w:r>
        <w:tab/>
        <w:t xml:space="preserve">NCTV, </w:t>
      </w:r>
      <w:r w:rsidRPr="004E4EBE">
        <w:t>Dreigingsbeeld Terrorisme Nederland 54</w:t>
      </w:r>
      <w:r w:rsidRPr="00512CFC">
        <w:t>,</w:t>
      </w:r>
      <w:r>
        <w:t xml:space="preserve"> (Bijlage bij </w:t>
      </w:r>
      <w:r w:rsidRPr="00747E82">
        <w:t>Kamerstuk</w:t>
      </w:r>
      <w:r>
        <w:t>ken II 2020/21,</w:t>
      </w:r>
      <w:r w:rsidRPr="00747E82">
        <w:t xml:space="preserve"> 29754, nr. 593</w:t>
      </w:r>
      <w:r>
        <w:t xml:space="preserve">), p. 11. </w:t>
      </w:r>
    </w:p>
  </w:footnote>
  <w:footnote w:id="23">
    <w:p w14:paraId="51670901"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Memorie van toelichting, algemeen deel, paragraaf 6 (onder het kopje ‘Reden tot behoud’).</w:t>
      </w:r>
    </w:p>
  </w:footnote>
  <w:footnote w:id="24">
    <w:p w14:paraId="78D13949"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r>
      <w:r w:rsidRPr="004D478E">
        <w:t xml:space="preserve">Zie </w:t>
      </w:r>
      <w:r>
        <w:t xml:space="preserve">ook </w:t>
      </w:r>
      <w:r w:rsidRPr="004D478E">
        <w:t>Kamerstukken II 2015/2016, 34356 (R2064), nr</w:t>
      </w:r>
      <w:r>
        <w:t>.</w:t>
      </w:r>
      <w:r w:rsidRPr="004D478E">
        <w:t xml:space="preserve"> 4</w:t>
      </w:r>
      <w:r>
        <w:t>, punt 2c.</w:t>
      </w:r>
    </w:p>
  </w:footnote>
  <w:footnote w:id="25">
    <w:p w14:paraId="0D8FA221" w14:textId="77777777" w:rsidR="00102018" w:rsidRPr="00CB043F" w:rsidRDefault="00681092" w:rsidP="00102018">
      <w:pPr>
        <w:pStyle w:val="Voetnoottekst"/>
        <w:tabs>
          <w:tab w:val="clear" w:pos="227"/>
          <w:tab w:val="left" w:pos="284"/>
        </w:tabs>
        <w:ind w:left="284" w:hanging="284"/>
      </w:pPr>
      <w:r>
        <w:rPr>
          <w:rStyle w:val="Voetnootmarkering"/>
        </w:rPr>
        <w:footnoteRef/>
      </w:r>
      <w:r w:rsidRPr="00CB043F">
        <w:t xml:space="preserve"> </w:t>
      </w:r>
      <w:r w:rsidRPr="00CB043F">
        <w:tab/>
        <w:t>Kamerstukken II 2015/16, 3435</w:t>
      </w:r>
      <w:r>
        <w:t>6</w:t>
      </w:r>
      <w:r w:rsidRPr="00CB043F">
        <w:t xml:space="preserve">, nr. </w:t>
      </w:r>
      <w:r>
        <w:t>24</w:t>
      </w:r>
      <w:r w:rsidRPr="00CB043F">
        <w:t xml:space="preserve">, </w:t>
      </w:r>
      <w:r>
        <w:t xml:space="preserve">gewijzigd amendement van het lid </w:t>
      </w:r>
      <w:proofErr w:type="spellStart"/>
      <w:r>
        <w:t>Recourt</w:t>
      </w:r>
      <w:proofErr w:type="spellEnd"/>
      <w:r>
        <w:t xml:space="preserve"> ter vervanging van dat gedrukt onder nr. 14.</w:t>
      </w:r>
      <w:r w:rsidRPr="00CB043F">
        <w:t xml:space="preserve"> </w:t>
      </w:r>
    </w:p>
  </w:footnote>
  <w:footnote w:id="26">
    <w:p w14:paraId="5A4B8229"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Kamerstukken II 2018/19, 29754, nr. 548.</w:t>
      </w:r>
    </w:p>
  </w:footnote>
  <w:footnote w:id="27">
    <w:p w14:paraId="1DCD4540" w14:textId="77777777" w:rsidR="00102018" w:rsidRPr="00C425FF" w:rsidRDefault="00681092" w:rsidP="00102018">
      <w:pPr>
        <w:pStyle w:val="Voetnoottekst"/>
        <w:tabs>
          <w:tab w:val="clear" w:pos="227"/>
          <w:tab w:val="left" w:pos="284"/>
        </w:tabs>
        <w:ind w:left="284" w:hanging="284"/>
        <w:rPr>
          <w:b/>
          <w:bCs/>
        </w:rPr>
      </w:pPr>
      <w:r>
        <w:rPr>
          <w:rStyle w:val="Voetnootmarkering"/>
        </w:rPr>
        <w:footnoteRef/>
      </w:r>
      <w:r>
        <w:t xml:space="preserve"> </w:t>
      </w:r>
      <w:r>
        <w:tab/>
      </w:r>
      <w:r w:rsidRPr="005C3C0C">
        <w:t>Kamerstukken II 2020/21, 29754, nr. 5</w:t>
      </w:r>
      <w:r>
        <w:t>85 (bijlage), paragraaf 2.2.</w:t>
      </w:r>
    </w:p>
  </w:footnote>
  <w:footnote w:id="28">
    <w:p w14:paraId="66E6605F"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Memorie van toelichting, algemeen deel, paragraaf 3.1. Ten tijde van het evaluatieonderzoek van het WODC was een besluit tot intrekking in 21 gevallen genomen.</w:t>
      </w:r>
    </w:p>
  </w:footnote>
  <w:footnote w:id="29">
    <w:p w14:paraId="2F0BF83A" w14:textId="77777777" w:rsidR="00102018" w:rsidRPr="005D5C58" w:rsidRDefault="00681092" w:rsidP="00102018">
      <w:pPr>
        <w:pStyle w:val="Voetnoottekst"/>
        <w:tabs>
          <w:tab w:val="clear" w:pos="227"/>
          <w:tab w:val="left" w:pos="284"/>
        </w:tabs>
        <w:ind w:left="284" w:hanging="284"/>
      </w:pPr>
      <w:r w:rsidRPr="00A604D1">
        <w:rPr>
          <w:rStyle w:val="Voetnootmarkering"/>
          <w:rFonts w:ascii="Verdana" w:hAnsi="Verdana"/>
          <w:sz w:val="16"/>
          <w:szCs w:val="16"/>
        </w:rPr>
        <w:footnoteRef/>
      </w:r>
      <w:r w:rsidRPr="00A604D1">
        <w:rPr>
          <w:rFonts w:ascii="Verdana" w:hAnsi="Verdana"/>
          <w:sz w:val="16"/>
          <w:szCs w:val="16"/>
        </w:rPr>
        <w:t xml:space="preserve"> </w:t>
      </w:r>
      <w:r>
        <w:rPr>
          <w:rFonts w:ascii="Verdana" w:hAnsi="Verdana"/>
          <w:sz w:val="16"/>
          <w:szCs w:val="16"/>
        </w:rPr>
        <w:tab/>
      </w:r>
      <w:proofErr w:type="spellStart"/>
      <w:r w:rsidRPr="005D5C58">
        <w:t>ABRvS</w:t>
      </w:r>
      <w:proofErr w:type="spellEnd"/>
      <w:r w:rsidRPr="005D5C58">
        <w:t xml:space="preserve"> 17 april 2019, ECLI:NL:RVS:2019:990 en ECLI:NL:RVS:2019:1246.</w:t>
      </w:r>
    </w:p>
  </w:footnote>
  <w:footnote w:id="30">
    <w:p w14:paraId="793E8921"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Op grond van artikel 22a, derde lid, van de RWN.</w:t>
      </w:r>
    </w:p>
  </w:footnote>
  <w:footnote w:id="31">
    <w:p w14:paraId="6F1FC2CD"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 xml:space="preserve">Memorie van toelichting, algemeen deel, paragraaf 3.1. </w:t>
      </w:r>
    </w:p>
  </w:footnote>
  <w:footnote w:id="32">
    <w:p w14:paraId="30813094"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r>
      <w:r w:rsidRPr="005C3C0C">
        <w:t>Kamerstukken II 2020/21, 29754, nr. 5</w:t>
      </w:r>
      <w:r>
        <w:t>85 (bijlage), paragraaf 5.9.</w:t>
      </w:r>
    </w:p>
  </w:footnote>
  <w:footnote w:id="33">
    <w:p w14:paraId="67316C37" w14:textId="77777777" w:rsidR="00102018" w:rsidRDefault="00681092" w:rsidP="00102018">
      <w:pPr>
        <w:pStyle w:val="Voetnoottekst"/>
        <w:tabs>
          <w:tab w:val="clear" w:pos="227"/>
          <w:tab w:val="left" w:pos="284"/>
          <w:tab w:val="left" w:pos="426"/>
        </w:tabs>
        <w:ind w:left="284" w:hanging="284"/>
      </w:pPr>
      <w:r>
        <w:rPr>
          <w:rStyle w:val="Voetnootmarkering"/>
        </w:rPr>
        <w:footnoteRef/>
      </w:r>
      <w:r>
        <w:t xml:space="preserve"> </w:t>
      </w:r>
      <w:r>
        <w:tab/>
        <w:t>Memorie van toelichting, algemeen deel, paragraaf 3.2.</w:t>
      </w:r>
    </w:p>
  </w:footnote>
  <w:footnote w:id="34">
    <w:p w14:paraId="6E115AA3" w14:textId="17F4F43A" w:rsidR="00F908D5" w:rsidRPr="003F22C0" w:rsidRDefault="00681092" w:rsidP="00F908D5">
      <w:pPr>
        <w:tabs>
          <w:tab w:val="left" w:pos="284"/>
        </w:tabs>
        <w:autoSpaceDE w:val="0"/>
        <w:autoSpaceDN w:val="0"/>
        <w:adjustRightInd w:val="0"/>
        <w:ind w:left="284" w:hanging="284"/>
        <w:rPr>
          <w:sz w:val="18"/>
          <w:szCs w:val="20"/>
        </w:rPr>
      </w:pPr>
      <w:r w:rsidRPr="001C239B">
        <w:rPr>
          <w:rStyle w:val="Voetnootmarkering"/>
          <w:sz w:val="18"/>
          <w:szCs w:val="20"/>
        </w:rPr>
        <w:footnoteRef/>
      </w:r>
      <w:r>
        <w:t xml:space="preserve"> </w:t>
      </w:r>
      <w:r>
        <w:tab/>
      </w:r>
      <w:r w:rsidRPr="001C239B">
        <w:rPr>
          <w:sz w:val="18"/>
          <w:szCs w:val="20"/>
        </w:rPr>
        <w:t xml:space="preserve">Zie </w:t>
      </w:r>
      <w:r>
        <w:rPr>
          <w:sz w:val="18"/>
          <w:szCs w:val="20"/>
        </w:rPr>
        <w:t xml:space="preserve">C. </w:t>
      </w:r>
      <w:proofErr w:type="spellStart"/>
      <w:r>
        <w:rPr>
          <w:sz w:val="18"/>
          <w:szCs w:val="20"/>
        </w:rPr>
        <w:t>Paulussen</w:t>
      </w:r>
      <w:proofErr w:type="spellEnd"/>
      <w:r>
        <w:rPr>
          <w:sz w:val="18"/>
          <w:szCs w:val="20"/>
        </w:rPr>
        <w:t xml:space="preserve"> (T.M.C. Asser Instituut/International Centre </w:t>
      </w:r>
      <w:proofErr w:type="spellStart"/>
      <w:r>
        <w:rPr>
          <w:sz w:val="18"/>
          <w:szCs w:val="20"/>
        </w:rPr>
        <w:t>for</w:t>
      </w:r>
      <w:proofErr w:type="spellEnd"/>
      <w:r>
        <w:rPr>
          <w:sz w:val="18"/>
          <w:szCs w:val="20"/>
        </w:rPr>
        <w:t xml:space="preserve"> Counter-</w:t>
      </w:r>
      <w:proofErr w:type="spellStart"/>
      <w:r>
        <w:rPr>
          <w:sz w:val="18"/>
          <w:szCs w:val="20"/>
        </w:rPr>
        <w:t>Terrorism</w:t>
      </w:r>
      <w:proofErr w:type="spellEnd"/>
      <w:r>
        <w:rPr>
          <w:sz w:val="18"/>
          <w:szCs w:val="20"/>
        </w:rPr>
        <w:t>)</w:t>
      </w:r>
      <w:r w:rsidRPr="001C239B">
        <w:rPr>
          <w:sz w:val="18"/>
          <w:szCs w:val="20"/>
        </w:rPr>
        <w:t>, Reactie op het wetsvoorstel permanentmaking bevoegdheid tot intrekking</w:t>
      </w:r>
      <w:r>
        <w:rPr>
          <w:sz w:val="18"/>
          <w:szCs w:val="20"/>
        </w:rPr>
        <w:t xml:space="preserve"> </w:t>
      </w:r>
      <w:r w:rsidRPr="001C239B">
        <w:rPr>
          <w:sz w:val="18"/>
        </w:rPr>
        <w:t>Nederlanderschap in het belang van de nationale veiligheid</w:t>
      </w:r>
      <w:r>
        <w:rPr>
          <w:sz w:val="18"/>
        </w:rPr>
        <w:t xml:space="preserve">, januari 2021; </w:t>
      </w:r>
      <w:proofErr w:type="spellStart"/>
      <w:r>
        <w:rPr>
          <w:sz w:val="18"/>
        </w:rPr>
        <w:t>Institute</w:t>
      </w:r>
      <w:proofErr w:type="spellEnd"/>
      <w:r>
        <w:rPr>
          <w:sz w:val="18"/>
        </w:rPr>
        <w:t xml:space="preserve"> on </w:t>
      </w:r>
      <w:proofErr w:type="spellStart"/>
      <w:r>
        <w:rPr>
          <w:sz w:val="18"/>
        </w:rPr>
        <w:t>Statelessness</w:t>
      </w:r>
      <w:proofErr w:type="spellEnd"/>
      <w:r>
        <w:rPr>
          <w:sz w:val="18"/>
        </w:rPr>
        <w:t xml:space="preserve"> </w:t>
      </w:r>
      <w:proofErr w:type="spellStart"/>
      <w:r>
        <w:rPr>
          <w:sz w:val="18"/>
        </w:rPr>
        <w:t>and</w:t>
      </w:r>
      <w:proofErr w:type="spellEnd"/>
      <w:r>
        <w:rPr>
          <w:sz w:val="18"/>
        </w:rPr>
        <w:t xml:space="preserve"> </w:t>
      </w:r>
      <w:proofErr w:type="spellStart"/>
      <w:r>
        <w:rPr>
          <w:sz w:val="18"/>
        </w:rPr>
        <w:t>Inclusion</w:t>
      </w:r>
      <w:proofErr w:type="spellEnd"/>
      <w:r>
        <w:rPr>
          <w:sz w:val="18"/>
        </w:rPr>
        <w:t xml:space="preserve">, </w:t>
      </w:r>
      <w:r w:rsidRPr="003F22C0">
        <w:rPr>
          <w:sz w:val="18"/>
          <w:szCs w:val="20"/>
        </w:rPr>
        <w:t>Reactie internetconsultatie, januari 2021</w:t>
      </w:r>
      <w:r>
        <w:rPr>
          <w:sz w:val="18"/>
          <w:szCs w:val="20"/>
        </w:rPr>
        <w:t xml:space="preserve">; H.U. </w:t>
      </w:r>
      <w:proofErr w:type="spellStart"/>
      <w:r>
        <w:rPr>
          <w:sz w:val="18"/>
          <w:szCs w:val="20"/>
        </w:rPr>
        <w:t>Jessurun</w:t>
      </w:r>
      <w:proofErr w:type="spellEnd"/>
      <w:r>
        <w:rPr>
          <w:sz w:val="18"/>
          <w:szCs w:val="20"/>
        </w:rPr>
        <w:t xml:space="preserve"> d’Oliveira, </w:t>
      </w:r>
      <w:r w:rsidRPr="003F22C0">
        <w:rPr>
          <w:sz w:val="18"/>
          <w:szCs w:val="20"/>
        </w:rPr>
        <w:t>Reactie op consultatieversie Permanentmaking bevoegdheid tot intrekking Nederlanderschap.</w:t>
      </w:r>
    </w:p>
  </w:footnote>
  <w:footnote w:id="35">
    <w:p w14:paraId="2ACF0532" w14:textId="77777777" w:rsidR="00D1082B" w:rsidRDefault="00681092" w:rsidP="003F22C0">
      <w:pPr>
        <w:pStyle w:val="Voetnoottekst"/>
        <w:tabs>
          <w:tab w:val="clear" w:pos="227"/>
          <w:tab w:val="left" w:pos="284"/>
        </w:tabs>
        <w:ind w:left="284" w:hanging="284"/>
      </w:pPr>
      <w:r>
        <w:rPr>
          <w:rStyle w:val="Voetnootmarkering"/>
        </w:rPr>
        <w:footnoteRef/>
      </w:r>
      <w:r>
        <w:t xml:space="preserve"> </w:t>
      </w:r>
      <w:r>
        <w:tab/>
        <w:t>Idem.</w:t>
      </w:r>
    </w:p>
  </w:footnote>
  <w:footnote w:id="36">
    <w:p w14:paraId="63070AE1" w14:textId="77777777" w:rsidR="002B5874" w:rsidRDefault="00681092" w:rsidP="002B5874">
      <w:pPr>
        <w:pStyle w:val="Voetnoottekst"/>
        <w:tabs>
          <w:tab w:val="clear" w:pos="227"/>
          <w:tab w:val="left" w:pos="284"/>
        </w:tabs>
        <w:ind w:left="284" w:hanging="284"/>
      </w:pPr>
      <w:r>
        <w:rPr>
          <w:rStyle w:val="Voetnootmarkering"/>
        </w:rPr>
        <w:footnoteRef/>
      </w:r>
      <w:r>
        <w:t xml:space="preserve"> </w:t>
      </w:r>
      <w:r>
        <w:tab/>
        <w:t>Beantwoording vragen over de repatriëring van een uitreizigster, brief van 25 juni 2021.</w:t>
      </w:r>
    </w:p>
  </w:footnote>
  <w:footnote w:id="37">
    <w:p w14:paraId="20395107" w14:textId="77777777" w:rsidR="003E3878" w:rsidRDefault="00681092" w:rsidP="00BA5469">
      <w:pPr>
        <w:pStyle w:val="Voetnoottekst"/>
        <w:tabs>
          <w:tab w:val="clear" w:pos="227"/>
          <w:tab w:val="left" w:pos="284"/>
        </w:tabs>
        <w:ind w:left="284" w:hanging="284"/>
      </w:pPr>
      <w:r>
        <w:rPr>
          <w:rStyle w:val="Voetnootmarkering"/>
        </w:rPr>
        <w:footnoteRef/>
      </w:r>
      <w:r>
        <w:t xml:space="preserve"> </w:t>
      </w:r>
      <w:r>
        <w:tab/>
        <w:t>Idem.</w:t>
      </w:r>
    </w:p>
  </w:footnote>
  <w:footnote w:id="38">
    <w:p w14:paraId="51E6339D" w14:textId="77777777" w:rsidR="002B5874" w:rsidRDefault="00681092" w:rsidP="003F22C0">
      <w:pPr>
        <w:pStyle w:val="Voetnoottekst"/>
        <w:tabs>
          <w:tab w:val="clear" w:pos="227"/>
          <w:tab w:val="left" w:pos="284"/>
        </w:tabs>
        <w:ind w:left="284" w:hanging="284"/>
      </w:pPr>
      <w:r>
        <w:rPr>
          <w:rStyle w:val="Voetnootmarkering"/>
        </w:rPr>
        <w:footnoteRef/>
      </w:r>
      <w:r>
        <w:t xml:space="preserve"> </w:t>
      </w:r>
      <w:r>
        <w:tab/>
        <w:t>Idem.</w:t>
      </w:r>
    </w:p>
  </w:footnote>
  <w:footnote w:id="39">
    <w:p w14:paraId="0756DF1D" w14:textId="77777777" w:rsidR="00A22DDB" w:rsidRDefault="00681092" w:rsidP="00A22DDB">
      <w:pPr>
        <w:pStyle w:val="Voetnoottekst"/>
        <w:tabs>
          <w:tab w:val="clear" w:pos="227"/>
          <w:tab w:val="left" w:pos="284"/>
        </w:tabs>
        <w:ind w:left="284" w:hanging="284"/>
      </w:pPr>
      <w:r>
        <w:rPr>
          <w:rStyle w:val="Voetnootmarkering"/>
        </w:rPr>
        <w:footnoteRef/>
      </w:r>
      <w:r>
        <w:t xml:space="preserve"> </w:t>
      </w:r>
      <w:r>
        <w:tab/>
        <w:t>Openbaar Ministerie, Advies conceptwetsvoorstel permanentmaking bevoegdheid tot intrekking Nederlanderschap in het belang van de nationale veiligheid, 17 februari 2021.</w:t>
      </w:r>
    </w:p>
  </w:footnote>
  <w:footnote w:id="40">
    <w:p w14:paraId="2AB9FD2E" w14:textId="77777777" w:rsidR="00A22DDB" w:rsidRDefault="00681092" w:rsidP="00A22DDB">
      <w:pPr>
        <w:pStyle w:val="Voetnoottekst"/>
        <w:tabs>
          <w:tab w:val="clear" w:pos="227"/>
          <w:tab w:val="left" w:pos="284"/>
        </w:tabs>
        <w:ind w:left="284" w:hanging="284"/>
      </w:pPr>
      <w:r>
        <w:rPr>
          <w:rStyle w:val="Voetnootmarkering"/>
        </w:rPr>
        <w:footnoteRef/>
      </w:r>
      <w:r>
        <w:t xml:space="preserve"> </w:t>
      </w:r>
      <w:r>
        <w:tab/>
      </w:r>
      <w:r w:rsidRPr="005C3C0C">
        <w:t>Kamerstukken II 2020/21, 29754, nr. 5</w:t>
      </w:r>
      <w:r>
        <w:t>85 (bijlage), paragraaf 6.2.</w:t>
      </w:r>
    </w:p>
  </w:footnote>
  <w:footnote w:id="41">
    <w:p w14:paraId="3C32968B"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 xml:space="preserve">Memorie van toelichting, algemeen deel, paragraaf 6 (onder het kopje ‘Strafrechtelijk belang’). </w:t>
      </w:r>
    </w:p>
  </w:footnote>
  <w:footnote w:id="42">
    <w:p w14:paraId="7BC61B40"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Kamerstukken II 2015/16, 34356 (R2064), nr. 3, paragraaf 3.</w:t>
      </w:r>
    </w:p>
  </w:footnote>
  <w:footnote w:id="43">
    <w:p w14:paraId="7A104E66" w14:textId="2B4A0C12" w:rsidR="00003A5E" w:rsidRDefault="00681092" w:rsidP="00003A5E">
      <w:pPr>
        <w:pStyle w:val="Voetnoottekst"/>
        <w:tabs>
          <w:tab w:val="clear" w:pos="227"/>
          <w:tab w:val="left" w:pos="284"/>
        </w:tabs>
        <w:ind w:left="284" w:hanging="284"/>
      </w:pPr>
      <w:r>
        <w:rPr>
          <w:rStyle w:val="Voetnootmarkering"/>
        </w:rPr>
        <w:footnoteRef/>
      </w:r>
      <w:r>
        <w:t xml:space="preserve"> </w:t>
      </w:r>
      <w:r>
        <w:tab/>
        <w:t>De uitvoeringwet bewerkstelligt onder meer dat een aantal gedragingen die kunnen leiden tot terroristische misdrijven, zoals het werven of trainen voor terrorisme, strafbaar worden gesteld. Zie Stb. 2020, 396.</w:t>
      </w:r>
    </w:p>
  </w:footnote>
  <w:footnote w:id="44">
    <w:p w14:paraId="5E9C8B79" w14:textId="52BDCE74" w:rsidR="00222F7A" w:rsidRDefault="00681092" w:rsidP="00222F7A">
      <w:pPr>
        <w:pStyle w:val="Voetnoottekst"/>
        <w:tabs>
          <w:tab w:val="clear" w:pos="227"/>
          <w:tab w:val="left" w:pos="284"/>
        </w:tabs>
        <w:ind w:left="284" w:hanging="284"/>
      </w:pPr>
      <w:r>
        <w:rPr>
          <w:rStyle w:val="Voetnootmarkering"/>
        </w:rPr>
        <w:footnoteRef/>
      </w:r>
      <w:r>
        <w:t xml:space="preserve"> </w:t>
      </w:r>
      <w:r>
        <w:tab/>
        <w:t>Met deze wet wordt onder meer de aangifteplicht uitgebreid tot alle terroristische misdrijven, inclusief de voorbereiding van die misdrijven. Zie Stb. 2018, 338.</w:t>
      </w:r>
    </w:p>
  </w:footnote>
  <w:footnote w:id="45">
    <w:p w14:paraId="369F9ADE"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r>
      <w:r w:rsidRPr="00222F7A">
        <w:t xml:space="preserve">Het wetsvoorstel regelt </w:t>
      </w:r>
      <w:r>
        <w:t>dat</w:t>
      </w:r>
      <w:r w:rsidRPr="00222F7A">
        <w:t xml:space="preserve"> personen die zonder toestemming van de Minister van Justitie en Veiligheid opzettelijk verblijven in een gebied dat onder controle staat van een terroristische organisatie</w:t>
      </w:r>
      <w:r>
        <w:t xml:space="preserve"> strafbaar zijn</w:t>
      </w:r>
      <w:r w:rsidRPr="00222F7A">
        <w:t>.</w:t>
      </w:r>
      <w:r>
        <w:t xml:space="preserve"> Zie Kamerstukken I 2019/20, 35125, A.</w:t>
      </w:r>
    </w:p>
  </w:footnote>
  <w:footnote w:id="46">
    <w:p w14:paraId="2404FE6F"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 xml:space="preserve">Kamerstukken I 2020/21, 35125, H. </w:t>
      </w:r>
    </w:p>
  </w:footnote>
  <w:footnote w:id="47">
    <w:p w14:paraId="6EA19C3F"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r>
      <w:r w:rsidRPr="00CB043F">
        <w:t>Kamerstukken II 2015/16, 3435</w:t>
      </w:r>
      <w:r>
        <w:t>6</w:t>
      </w:r>
      <w:r w:rsidRPr="00CB043F">
        <w:t xml:space="preserve">, nr. </w:t>
      </w:r>
      <w:r>
        <w:t>24</w:t>
      </w:r>
      <w:r w:rsidRPr="00CB043F">
        <w:t xml:space="preserve">, </w:t>
      </w:r>
      <w:r>
        <w:t xml:space="preserve">gewijzigd amendement van het lid </w:t>
      </w:r>
      <w:proofErr w:type="spellStart"/>
      <w:r>
        <w:t>Recourt</w:t>
      </w:r>
      <w:proofErr w:type="spellEnd"/>
      <w:r>
        <w:t xml:space="preserve"> ter vervanging van dat gedrukt onder nr. 14.</w:t>
      </w:r>
      <w:r w:rsidRPr="00CB043F">
        <w:t xml:space="preserve"> </w:t>
      </w:r>
    </w:p>
  </w:footnote>
  <w:footnote w:id="48">
    <w:p w14:paraId="48F4185E" w14:textId="77777777" w:rsidR="00102018" w:rsidRPr="009D71FA" w:rsidRDefault="00681092" w:rsidP="00102018">
      <w:pPr>
        <w:pStyle w:val="Voetnoottekst"/>
        <w:tabs>
          <w:tab w:val="clear" w:pos="227"/>
          <w:tab w:val="left" w:pos="284"/>
        </w:tabs>
        <w:ind w:left="284" w:hanging="284"/>
      </w:pPr>
      <w:r>
        <w:rPr>
          <w:rStyle w:val="Voetnootmarkering"/>
        </w:rPr>
        <w:footnoteRef/>
      </w:r>
      <w:r>
        <w:t xml:space="preserve"> </w:t>
      </w:r>
      <w:r w:rsidRPr="009D71FA">
        <w:tab/>
        <w:t>Vo</w:t>
      </w:r>
      <w:r>
        <w:t xml:space="preserve">orgesteld artikel 22d van de RWN. </w:t>
      </w:r>
    </w:p>
  </w:footnote>
  <w:footnote w:id="49">
    <w:p w14:paraId="5757B52C" w14:textId="77777777" w:rsidR="00102018" w:rsidRPr="009D71FA" w:rsidRDefault="00681092" w:rsidP="00102018">
      <w:pPr>
        <w:pStyle w:val="Voetnoottekst"/>
        <w:tabs>
          <w:tab w:val="clear" w:pos="227"/>
          <w:tab w:val="left" w:pos="284"/>
        </w:tabs>
        <w:ind w:left="284" w:hanging="284"/>
      </w:pPr>
      <w:r>
        <w:rPr>
          <w:rStyle w:val="Voetnootmarkering"/>
        </w:rPr>
        <w:footnoteRef/>
      </w:r>
      <w:r>
        <w:t xml:space="preserve"> </w:t>
      </w:r>
      <w:r w:rsidRPr="009D71FA">
        <w:tab/>
      </w:r>
      <w:r>
        <w:t>Memorie van t</w:t>
      </w:r>
      <w:r w:rsidRPr="009D71FA">
        <w:t xml:space="preserve">oelichting, algemeen deel, paragraaf 4. </w:t>
      </w:r>
    </w:p>
  </w:footnote>
  <w:footnote w:id="50">
    <w:p w14:paraId="5ACE4FD2" w14:textId="77777777" w:rsidR="00102018" w:rsidRPr="00FA471D" w:rsidRDefault="00681092" w:rsidP="00102018">
      <w:pPr>
        <w:autoSpaceDE w:val="0"/>
        <w:autoSpaceDN w:val="0"/>
        <w:adjustRightInd w:val="0"/>
        <w:ind w:left="284" w:hanging="284"/>
        <w:rPr>
          <w:sz w:val="18"/>
          <w:szCs w:val="20"/>
        </w:rPr>
      </w:pPr>
      <w:r w:rsidRPr="00FA471D">
        <w:rPr>
          <w:rStyle w:val="Voetnootmarkering"/>
          <w:sz w:val="18"/>
          <w:szCs w:val="20"/>
        </w:rPr>
        <w:footnoteRef/>
      </w:r>
      <w:r>
        <w:t xml:space="preserve"> </w:t>
      </w:r>
      <w:r>
        <w:tab/>
      </w:r>
      <w:r w:rsidRPr="00FA471D">
        <w:rPr>
          <w:sz w:val="18"/>
          <w:szCs w:val="20"/>
        </w:rPr>
        <w:t xml:space="preserve">Autoriteit Persoonsgegevens, </w:t>
      </w:r>
      <w:r w:rsidRPr="00FA471D">
        <w:rPr>
          <w:i/>
          <w:iCs/>
          <w:sz w:val="18"/>
          <w:szCs w:val="20"/>
        </w:rPr>
        <w:t>Advies conceptwetsvoorstel permanentmaking bevoegdheid intrekking Nederlanderschap in het belang van de nationale veiligheid</w:t>
      </w:r>
      <w:r w:rsidRPr="00FA471D">
        <w:rPr>
          <w:sz w:val="18"/>
          <w:szCs w:val="20"/>
        </w:rPr>
        <w:t>, 3 maart 2021.</w:t>
      </w:r>
    </w:p>
  </w:footnote>
  <w:footnote w:id="51">
    <w:p w14:paraId="37D90847" w14:textId="77777777" w:rsidR="0010057A" w:rsidRDefault="00681092" w:rsidP="003F22C0">
      <w:pPr>
        <w:pStyle w:val="Voetnoottekst"/>
        <w:tabs>
          <w:tab w:val="clear" w:pos="227"/>
          <w:tab w:val="left" w:pos="284"/>
        </w:tabs>
        <w:ind w:left="284" w:hanging="284"/>
      </w:pPr>
      <w:r>
        <w:rPr>
          <w:rStyle w:val="Voetnootmarkering"/>
        </w:rPr>
        <w:footnoteRef/>
      </w:r>
      <w:r>
        <w:t xml:space="preserve"> </w:t>
      </w:r>
      <w:r>
        <w:tab/>
        <w:t>Memorie van toelichting, algemeen deel, paragraaf 4.</w:t>
      </w:r>
    </w:p>
  </w:footnote>
  <w:footnote w:id="52">
    <w:p w14:paraId="1C1F4F3B" w14:textId="77777777" w:rsidR="005C02E8" w:rsidRDefault="00681092" w:rsidP="003F22C0">
      <w:pPr>
        <w:pStyle w:val="Voetnoottekst"/>
        <w:tabs>
          <w:tab w:val="clear" w:pos="227"/>
          <w:tab w:val="left" w:pos="284"/>
        </w:tabs>
        <w:ind w:left="284" w:hanging="284"/>
      </w:pPr>
      <w:r>
        <w:rPr>
          <w:rStyle w:val="Voetnootmarkering"/>
        </w:rPr>
        <w:footnoteRef/>
      </w:r>
      <w:r>
        <w:t xml:space="preserve"> </w:t>
      </w:r>
      <w:r>
        <w:tab/>
        <w:t>Artikel 3, derde lid, onder b, van de Uitvoeringswet AVG.</w:t>
      </w:r>
    </w:p>
  </w:footnote>
  <w:footnote w:id="53">
    <w:p w14:paraId="782F5030"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 xml:space="preserve">Artikel 5, eerste lid en onder c, van de AVG. </w:t>
      </w:r>
    </w:p>
  </w:footnote>
  <w:footnote w:id="54">
    <w:p w14:paraId="4A2445C3" w14:textId="77777777" w:rsidR="007310C1" w:rsidRDefault="00681092" w:rsidP="007310C1">
      <w:pPr>
        <w:pStyle w:val="Voetnoottekst"/>
        <w:tabs>
          <w:tab w:val="clear" w:pos="227"/>
          <w:tab w:val="left" w:pos="284"/>
        </w:tabs>
        <w:ind w:left="284" w:hanging="284"/>
      </w:pPr>
      <w:r>
        <w:rPr>
          <w:rStyle w:val="Voetnootmarkering"/>
        </w:rPr>
        <w:footnoteRef/>
      </w:r>
      <w:r>
        <w:t xml:space="preserve"> </w:t>
      </w:r>
      <w:r>
        <w:tab/>
        <w:t xml:space="preserve">Artikel 9, eerste lid, van de AVG. </w:t>
      </w:r>
    </w:p>
  </w:footnote>
  <w:footnote w:id="55">
    <w:p w14:paraId="6C951B49"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 xml:space="preserve">Memorie van toelichting, artikelsgewijs, artikel I, onderdeel B. </w:t>
      </w:r>
    </w:p>
  </w:footnote>
  <w:footnote w:id="56">
    <w:p w14:paraId="2F44AA5E"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 xml:space="preserve">Artikel 9, tweede lid en onder g, van de AVG. </w:t>
      </w:r>
    </w:p>
  </w:footnote>
  <w:footnote w:id="57">
    <w:p w14:paraId="7848B2E2"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 xml:space="preserve">Memorie van toelichting, artikelsgewijs, artikel I, onderdeel B. </w:t>
      </w:r>
    </w:p>
  </w:footnote>
  <w:footnote w:id="58">
    <w:p w14:paraId="18038708"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 xml:space="preserve">Memorie van toelichting, algemeen deel, paragraaf 4. </w:t>
      </w:r>
    </w:p>
  </w:footnote>
  <w:footnote w:id="59">
    <w:p w14:paraId="5A600C5B"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 xml:space="preserve">Artikel 9, tweede lid en onder g, van de AVG. </w:t>
      </w:r>
    </w:p>
  </w:footnote>
  <w:footnote w:id="60">
    <w:p w14:paraId="31C6DFB8"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Artikel 10 van de AVG.</w:t>
      </w:r>
    </w:p>
  </w:footnote>
  <w:footnote w:id="61">
    <w:p w14:paraId="35815575"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 xml:space="preserve">Dit betreft de </w:t>
      </w:r>
      <w:r w:rsidRPr="004F53F1">
        <w:t>bevoegdheid tot intrekking van het Nederlanderschap na een onherroepelijke veroordeling wegens een in die bepaling genoemd misdrijf.</w:t>
      </w:r>
    </w:p>
  </w:footnote>
  <w:footnote w:id="62">
    <w:p w14:paraId="3DB84B83"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Memorie van toelichting, algemeen deel, paragraaf 4.</w:t>
      </w:r>
    </w:p>
  </w:footnote>
  <w:footnote w:id="63">
    <w:p w14:paraId="6235AA8B"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 xml:space="preserve">Kamerstukken II 2015/16, 34356 (R2064), nr. 26. </w:t>
      </w:r>
    </w:p>
  </w:footnote>
  <w:footnote w:id="64">
    <w:p w14:paraId="3FDC7B0D"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Artikel 97, derde lid, onder d, Wet op de inlichtingen- en veiligheidsdiensten 2017.</w:t>
      </w:r>
    </w:p>
  </w:footnote>
  <w:footnote w:id="65">
    <w:p w14:paraId="0869726D"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 xml:space="preserve">Toelichting op het amendement, Kamerstukken II 2015/16, 34356 (R2064), nr. 26. </w:t>
      </w:r>
    </w:p>
  </w:footnote>
  <w:footnote w:id="66">
    <w:p w14:paraId="505764C3"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Artikel 22a, derde en zevende lid.</w:t>
      </w:r>
    </w:p>
  </w:footnote>
  <w:footnote w:id="67">
    <w:p w14:paraId="43C16A47"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Toelichting, artikelsgewijs deel, onderdeel B, artikel II.</w:t>
      </w:r>
    </w:p>
  </w:footnote>
  <w:footnote w:id="68">
    <w:p w14:paraId="6E16ECAC" w14:textId="77777777" w:rsidR="00933E02" w:rsidRDefault="00681092" w:rsidP="00933E02">
      <w:pPr>
        <w:pStyle w:val="Voetnoottekst"/>
        <w:tabs>
          <w:tab w:val="clear" w:pos="227"/>
          <w:tab w:val="left" w:pos="284"/>
        </w:tabs>
        <w:ind w:left="284" w:hanging="284"/>
      </w:pPr>
      <w:r>
        <w:rPr>
          <w:rStyle w:val="Voetnootmarkering"/>
        </w:rPr>
        <w:footnoteRef/>
      </w:r>
      <w:r>
        <w:t xml:space="preserve"> </w:t>
      </w:r>
      <w:r>
        <w:tab/>
        <w:t>Kamerstukken II 2019/20, 29754, nr. 68 (bijlage).</w:t>
      </w:r>
    </w:p>
  </w:footnote>
  <w:footnote w:id="69">
    <w:p w14:paraId="00827C3F"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Memorie van toelichting, algemeen deel, paragraaf 1.</w:t>
      </w:r>
    </w:p>
  </w:footnote>
  <w:footnote w:id="70">
    <w:p w14:paraId="28E536CF"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Kamerstukken II 2015/16, 34356 (R2064), nr. 3, paragraaf 5.</w:t>
      </w:r>
    </w:p>
  </w:footnote>
  <w:footnote w:id="71">
    <w:p w14:paraId="7C746655" w14:textId="77777777" w:rsidR="00102018" w:rsidRDefault="00681092" w:rsidP="00102018">
      <w:pPr>
        <w:pStyle w:val="Voetnoottekst"/>
        <w:tabs>
          <w:tab w:val="clear" w:pos="227"/>
          <w:tab w:val="left" w:pos="284"/>
        </w:tabs>
        <w:ind w:left="284" w:hanging="284"/>
      </w:pPr>
      <w:r>
        <w:rPr>
          <w:rStyle w:val="Voetnootmarkering"/>
        </w:rPr>
        <w:footnoteRef/>
      </w:r>
      <w:r>
        <w:t xml:space="preserve"> </w:t>
      </w:r>
      <w:r>
        <w:tab/>
        <w:t>Idem, paragraaf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EB16" w14:textId="5077D74B"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81F70">
      <w:rPr>
        <w:rStyle w:val="Paginanummer"/>
        <w:noProof/>
      </w:rPr>
      <w:t>12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6063"/>
    <w:multiLevelType w:val="hybridMultilevel"/>
    <w:tmpl w:val="01EC27E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383A3A"/>
    <w:multiLevelType w:val="hybridMultilevel"/>
    <w:tmpl w:val="46F45F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A93FEC"/>
    <w:multiLevelType w:val="hybridMultilevel"/>
    <w:tmpl w:val="853A9B7E"/>
    <w:lvl w:ilvl="0" w:tplc="62D2905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0A069C"/>
    <w:multiLevelType w:val="hybridMultilevel"/>
    <w:tmpl w:val="2D965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C652C"/>
    <w:rsid w:val="002656A3"/>
    <w:rsid w:val="0027703A"/>
    <w:rsid w:val="002A16F1"/>
    <w:rsid w:val="002C6867"/>
    <w:rsid w:val="002D0875"/>
    <w:rsid w:val="00303CA7"/>
    <w:rsid w:val="00322CB5"/>
    <w:rsid w:val="003A1FC7"/>
    <w:rsid w:val="004421C1"/>
    <w:rsid w:val="004C120D"/>
    <w:rsid w:val="00503044"/>
    <w:rsid w:val="00515DC9"/>
    <w:rsid w:val="00681092"/>
    <w:rsid w:val="006D0F26"/>
    <w:rsid w:val="006D3E6B"/>
    <w:rsid w:val="0071031E"/>
    <w:rsid w:val="00724C4B"/>
    <w:rsid w:val="00743D19"/>
    <w:rsid w:val="00831756"/>
    <w:rsid w:val="009E72D2"/>
    <w:rsid w:val="00A349AF"/>
    <w:rsid w:val="00AA44F3"/>
    <w:rsid w:val="00B03C96"/>
    <w:rsid w:val="00B44919"/>
    <w:rsid w:val="00BA1EF0"/>
    <w:rsid w:val="00C02F92"/>
    <w:rsid w:val="00C5066A"/>
    <w:rsid w:val="00C50D4F"/>
    <w:rsid w:val="00C94D31"/>
    <w:rsid w:val="00D32A9E"/>
    <w:rsid w:val="00D76613"/>
    <w:rsid w:val="00DE075A"/>
    <w:rsid w:val="00DE1A79"/>
    <w:rsid w:val="00DF6602"/>
    <w:rsid w:val="00E722B1"/>
    <w:rsid w:val="00E81F70"/>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94F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102018"/>
    <w:rPr>
      <w:vertAlign w:val="superscript"/>
    </w:rPr>
  </w:style>
  <w:style w:type="character" w:styleId="Verwijzingopmerking">
    <w:name w:val="annotation reference"/>
    <w:basedOn w:val="Standaardalinea-lettertype"/>
    <w:semiHidden/>
    <w:unhideWhenUsed/>
    <w:rsid w:val="00102018"/>
    <w:rPr>
      <w:sz w:val="16"/>
      <w:szCs w:val="16"/>
    </w:rPr>
  </w:style>
  <w:style w:type="paragraph" w:styleId="Tekstopmerking">
    <w:name w:val="annotation text"/>
    <w:basedOn w:val="Standaard"/>
    <w:link w:val="TekstopmerkingChar"/>
    <w:uiPriority w:val="99"/>
    <w:unhideWhenUsed/>
    <w:rsid w:val="00102018"/>
    <w:rPr>
      <w:sz w:val="20"/>
      <w:szCs w:val="20"/>
    </w:rPr>
  </w:style>
  <w:style w:type="character" w:customStyle="1" w:styleId="TekstopmerkingChar">
    <w:name w:val="Tekst opmerking Char"/>
    <w:basedOn w:val="Standaardalinea-lettertype"/>
    <w:link w:val="Tekstopmerking"/>
    <w:uiPriority w:val="99"/>
    <w:rsid w:val="00102018"/>
    <w:rPr>
      <w:rFonts w:ascii="Univers" w:hAnsi="Univers"/>
    </w:rPr>
  </w:style>
  <w:style w:type="character" w:styleId="Hyperlink">
    <w:name w:val="Hyperlink"/>
    <w:basedOn w:val="Standaardalinea-lettertype"/>
    <w:uiPriority w:val="99"/>
    <w:semiHidden/>
    <w:unhideWhenUsed/>
    <w:rsid w:val="00102018"/>
    <w:rPr>
      <w:color w:val="0563C1"/>
      <w:u w:val="single"/>
    </w:rPr>
  </w:style>
  <w:style w:type="paragraph" w:styleId="Onderwerpvanopmerking">
    <w:name w:val="annotation subject"/>
    <w:basedOn w:val="Tekstopmerking"/>
    <w:next w:val="Tekstopmerking"/>
    <w:link w:val="OnderwerpvanopmerkingChar"/>
    <w:semiHidden/>
    <w:unhideWhenUsed/>
    <w:rsid w:val="005C02E8"/>
    <w:rPr>
      <w:b/>
      <w:bCs/>
    </w:rPr>
  </w:style>
  <w:style w:type="character" w:customStyle="1" w:styleId="OnderwerpvanopmerkingChar">
    <w:name w:val="Onderwerp van opmerking Char"/>
    <w:basedOn w:val="TekstopmerkingChar"/>
    <w:link w:val="Onderwerpvanopmerking"/>
    <w:semiHidden/>
    <w:rsid w:val="005C02E8"/>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nctv.nl/onderwerpen/dt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4103</ap:Words>
  <ap:Characters>22572</ap:Characters>
  <ap:DocSecurity>4</ap:DocSecurity>
  <ap:Lines>188</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2021-10-06T08:39:00.0000000Z</dcterms:created>
  <dcterms:modified xsi:type="dcterms:W3CDTF">2021-10-06T08:39:00.0000000Z</dcterms:modified>
  <dc:description>------------------------</dc:description>
  <dc:subject/>
  <dc:title/>
  <keywords/>
  <version/>
  <category/>
</coreProperties>
</file>