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A027E" w:rsidR="00CB3578" w:rsidTr="00F13442">
        <w:trPr>
          <w:cantSplit/>
        </w:trPr>
        <w:tc>
          <w:tcPr>
            <w:tcW w:w="9142" w:type="dxa"/>
            <w:gridSpan w:val="2"/>
            <w:tcBorders>
              <w:top w:val="nil"/>
              <w:left w:val="nil"/>
              <w:bottom w:val="nil"/>
              <w:right w:val="nil"/>
            </w:tcBorders>
          </w:tcPr>
          <w:p w:rsidRPr="00DC15B3" w:rsidR="00DC15B3" w:rsidP="000D0DF5" w:rsidRDefault="00DC15B3">
            <w:pPr>
              <w:tabs>
                <w:tab w:val="left" w:pos="-1440"/>
                <w:tab w:val="left" w:pos="-720"/>
              </w:tabs>
              <w:suppressAutoHyphens/>
              <w:rPr>
                <w:rFonts w:ascii="Times New Roman" w:hAnsi="Times New Roman"/>
              </w:rPr>
            </w:pPr>
            <w:r w:rsidRPr="00DC15B3">
              <w:rPr>
                <w:rFonts w:ascii="Times New Roman" w:hAnsi="Times New Roman"/>
              </w:rPr>
              <w:t>De Tweede Kamer der Staten-</w:t>
            </w:r>
            <w:r w:rsidRPr="00DC15B3">
              <w:rPr>
                <w:rFonts w:ascii="Times New Roman" w:hAnsi="Times New Roman"/>
              </w:rPr>
              <w:fldChar w:fldCharType="begin"/>
            </w:r>
            <w:r w:rsidRPr="00DC15B3">
              <w:rPr>
                <w:rFonts w:ascii="Times New Roman" w:hAnsi="Times New Roman"/>
              </w:rPr>
              <w:instrText xml:space="preserve">PRIVATE </w:instrText>
            </w:r>
            <w:r w:rsidRPr="00DC15B3">
              <w:rPr>
                <w:rFonts w:ascii="Times New Roman" w:hAnsi="Times New Roman"/>
              </w:rPr>
              <w:fldChar w:fldCharType="end"/>
            </w:r>
          </w:p>
          <w:p w:rsidRPr="00DC15B3" w:rsidR="00DC15B3" w:rsidP="000D0DF5" w:rsidRDefault="00DC15B3">
            <w:pPr>
              <w:tabs>
                <w:tab w:val="left" w:pos="-1440"/>
                <w:tab w:val="left" w:pos="-720"/>
              </w:tabs>
              <w:suppressAutoHyphens/>
              <w:rPr>
                <w:rFonts w:ascii="Times New Roman" w:hAnsi="Times New Roman"/>
              </w:rPr>
            </w:pPr>
            <w:r w:rsidRPr="00DC15B3">
              <w:rPr>
                <w:rFonts w:ascii="Times New Roman" w:hAnsi="Times New Roman"/>
              </w:rPr>
              <w:t>Generaal zendt bijgaand door</w:t>
            </w:r>
          </w:p>
          <w:p w:rsidRPr="00DC15B3" w:rsidR="00DC15B3" w:rsidP="000D0DF5" w:rsidRDefault="00DC15B3">
            <w:pPr>
              <w:tabs>
                <w:tab w:val="left" w:pos="-1440"/>
                <w:tab w:val="left" w:pos="-720"/>
              </w:tabs>
              <w:suppressAutoHyphens/>
              <w:rPr>
                <w:rFonts w:ascii="Times New Roman" w:hAnsi="Times New Roman"/>
              </w:rPr>
            </w:pPr>
            <w:r w:rsidRPr="00DC15B3">
              <w:rPr>
                <w:rFonts w:ascii="Times New Roman" w:hAnsi="Times New Roman"/>
              </w:rPr>
              <w:t>haar aangenomen wetsvoorstel</w:t>
            </w:r>
          </w:p>
          <w:p w:rsidRPr="00DC15B3" w:rsidR="00DC15B3" w:rsidP="000D0DF5" w:rsidRDefault="00DC15B3">
            <w:pPr>
              <w:tabs>
                <w:tab w:val="left" w:pos="-1440"/>
                <w:tab w:val="left" w:pos="-720"/>
              </w:tabs>
              <w:suppressAutoHyphens/>
              <w:rPr>
                <w:rFonts w:ascii="Times New Roman" w:hAnsi="Times New Roman"/>
              </w:rPr>
            </w:pPr>
            <w:r w:rsidRPr="00DC15B3">
              <w:rPr>
                <w:rFonts w:ascii="Times New Roman" w:hAnsi="Times New Roman"/>
              </w:rPr>
              <w:t>aan de Eerste Kamer.</w:t>
            </w:r>
          </w:p>
          <w:p w:rsidRPr="00DC15B3" w:rsidR="00DC15B3" w:rsidP="000D0DF5" w:rsidRDefault="00DC15B3">
            <w:pPr>
              <w:tabs>
                <w:tab w:val="left" w:pos="-1440"/>
                <w:tab w:val="left" w:pos="-720"/>
              </w:tabs>
              <w:suppressAutoHyphens/>
              <w:rPr>
                <w:rFonts w:ascii="Times New Roman" w:hAnsi="Times New Roman"/>
              </w:rPr>
            </w:pPr>
          </w:p>
          <w:p w:rsidRPr="00DC15B3" w:rsidR="00DC15B3" w:rsidP="000D0DF5" w:rsidRDefault="00DC15B3">
            <w:pPr>
              <w:tabs>
                <w:tab w:val="left" w:pos="-1440"/>
                <w:tab w:val="left" w:pos="-720"/>
              </w:tabs>
              <w:suppressAutoHyphens/>
              <w:rPr>
                <w:rFonts w:ascii="Times New Roman" w:hAnsi="Times New Roman"/>
              </w:rPr>
            </w:pPr>
            <w:r w:rsidRPr="00DC15B3">
              <w:rPr>
                <w:rFonts w:ascii="Times New Roman" w:hAnsi="Times New Roman"/>
              </w:rPr>
              <w:t>De Voorzitter,</w:t>
            </w:r>
          </w:p>
          <w:p w:rsidRPr="00DC15B3" w:rsidR="00DC15B3" w:rsidP="000D0DF5" w:rsidRDefault="00DC15B3">
            <w:pPr>
              <w:tabs>
                <w:tab w:val="left" w:pos="-1440"/>
                <w:tab w:val="left" w:pos="-720"/>
              </w:tabs>
              <w:suppressAutoHyphens/>
              <w:rPr>
                <w:rFonts w:ascii="Times New Roman" w:hAnsi="Times New Roman"/>
              </w:rPr>
            </w:pPr>
          </w:p>
          <w:p w:rsidRPr="00DC15B3" w:rsidR="00DC15B3" w:rsidP="000D0DF5" w:rsidRDefault="00DC15B3">
            <w:pPr>
              <w:tabs>
                <w:tab w:val="left" w:pos="-1440"/>
                <w:tab w:val="left" w:pos="-720"/>
              </w:tabs>
              <w:suppressAutoHyphens/>
              <w:rPr>
                <w:rFonts w:ascii="Times New Roman" w:hAnsi="Times New Roman"/>
              </w:rPr>
            </w:pPr>
          </w:p>
          <w:p w:rsidRPr="00DC15B3" w:rsidR="00DC15B3" w:rsidP="000D0DF5" w:rsidRDefault="00DC15B3">
            <w:pPr>
              <w:tabs>
                <w:tab w:val="left" w:pos="-1440"/>
                <w:tab w:val="left" w:pos="-720"/>
              </w:tabs>
              <w:suppressAutoHyphens/>
              <w:rPr>
                <w:rFonts w:ascii="Times New Roman" w:hAnsi="Times New Roman"/>
              </w:rPr>
            </w:pPr>
          </w:p>
          <w:p w:rsidRPr="00DC15B3" w:rsidR="00DC15B3" w:rsidP="000D0DF5" w:rsidRDefault="00DC15B3">
            <w:pPr>
              <w:tabs>
                <w:tab w:val="left" w:pos="-1440"/>
                <w:tab w:val="left" w:pos="-720"/>
              </w:tabs>
              <w:suppressAutoHyphens/>
              <w:rPr>
                <w:rFonts w:ascii="Times New Roman" w:hAnsi="Times New Roman"/>
              </w:rPr>
            </w:pPr>
          </w:p>
          <w:p w:rsidRPr="00DC15B3" w:rsidR="00DC15B3" w:rsidP="000D0DF5" w:rsidRDefault="00DC15B3">
            <w:pPr>
              <w:tabs>
                <w:tab w:val="left" w:pos="-1440"/>
                <w:tab w:val="left" w:pos="-720"/>
              </w:tabs>
              <w:suppressAutoHyphens/>
              <w:rPr>
                <w:rFonts w:ascii="Times New Roman" w:hAnsi="Times New Roman"/>
              </w:rPr>
            </w:pPr>
          </w:p>
          <w:p w:rsidRPr="00DC15B3" w:rsidR="00DC15B3" w:rsidP="000D0DF5" w:rsidRDefault="00DC15B3">
            <w:pPr>
              <w:tabs>
                <w:tab w:val="left" w:pos="-1440"/>
                <w:tab w:val="left" w:pos="-720"/>
              </w:tabs>
              <w:suppressAutoHyphens/>
              <w:rPr>
                <w:rFonts w:ascii="Times New Roman" w:hAnsi="Times New Roman"/>
              </w:rPr>
            </w:pPr>
          </w:p>
          <w:p w:rsidRPr="00DC15B3" w:rsidR="00DC15B3" w:rsidP="000D0DF5" w:rsidRDefault="00DC15B3">
            <w:pPr>
              <w:tabs>
                <w:tab w:val="left" w:pos="-1440"/>
                <w:tab w:val="left" w:pos="-720"/>
              </w:tabs>
              <w:suppressAutoHyphens/>
              <w:rPr>
                <w:rFonts w:ascii="Times New Roman" w:hAnsi="Times New Roman"/>
              </w:rPr>
            </w:pPr>
          </w:p>
          <w:p w:rsidRPr="00DC15B3" w:rsidR="00DC15B3" w:rsidP="000D0DF5" w:rsidRDefault="00DC15B3">
            <w:pPr>
              <w:tabs>
                <w:tab w:val="left" w:pos="-1440"/>
                <w:tab w:val="left" w:pos="-720"/>
              </w:tabs>
              <w:suppressAutoHyphens/>
              <w:rPr>
                <w:rFonts w:ascii="Times New Roman" w:hAnsi="Times New Roman"/>
              </w:rPr>
            </w:pPr>
          </w:p>
          <w:p w:rsidRPr="00DC15B3" w:rsidR="00DC15B3" w:rsidP="000D0DF5" w:rsidRDefault="00DC15B3">
            <w:pPr>
              <w:rPr>
                <w:rFonts w:ascii="Times New Roman" w:hAnsi="Times New Roman"/>
              </w:rPr>
            </w:pPr>
          </w:p>
          <w:p w:rsidRPr="00DA027E" w:rsidR="00CB3578" w:rsidP="00DA027E" w:rsidRDefault="00DC15B3">
            <w:pPr>
              <w:rPr>
                <w:rFonts w:ascii="Times New Roman" w:hAnsi="Times New Roman"/>
                <w:sz w:val="24"/>
              </w:rPr>
            </w:pPr>
            <w:r>
              <w:rPr>
                <w:rFonts w:ascii="Times New Roman" w:hAnsi="Times New Roman"/>
              </w:rPr>
              <w:t>20 januari 2022</w:t>
            </w:r>
          </w:p>
        </w:tc>
      </w:tr>
      <w:tr w:rsidRPr="00DA027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A027E" w:rsidR="00CB3578" w:rsidP="00DA027E" w:rsidRDefault="00CB3578">
            <w:pPr>
              <w:rPr>
                <w:rFonts w:ascii="Times New Roman" w:hAnsi="Times New Roman"/>
                <w:sz w:val="24"/>
              </w:rPr>
            </w:pPr>
          </w:p>
        </w:tc>
        <w:tc>
          <w:tcPr>
            <w:tcW w:w="6590" w:type="dxa"/>
            <w:tcBorders>
              <w:top w:val="nil"/>
              <w:left w:val="nil"/>
              <w:bottom w:val="nil"/>
              <w:right w:val="nil"/>
            </w:tcBorders>
          </w:tcPr>
          <w:p w:rsidRPr="00DA027E" w:rsidR="00CB3578" w:rsidP="00DA027E" w:rsidRDefault="00CB3578">
            <w:pPr>
              <w:rPr>
                <w:rFonts w:ascii="Times New Roman" w:hAnsi="Times New Roman"/>
                <w:b/>
                <w:bCs/>
                <w:sz w:val="24"/>
              </w:rPr>
            </w:pPr>
          </w:p>
        </w:tc>
      </w:tr>
      <w:tr w:rsidRPr="00DA027E" w:rsidR="00DC15B3"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A027E" w:rsidR="00DC15B3" w:rsidP="00DA027E" w:rsidRDefault="00DC15B3">
            <w:pPr>
              <w:rPr>
                <w:rFonts w:ascii="Times New Roman" w:hAnsi="Times New Roman"/>
                <w:sz w:val="24"/>
              </w:rPr>
            </w:pPr>
          </w:p>
        </w:tc>
        <w:tc>
          <w:tcPr>
            <w:tcW w:w="6590" w:type="dxa"/>
            <w:tcBorders>
              <w:top w:val="nil"/>
              <w:left w:val="nil"/>
              <w:bottom w:val="nil"/>
              <w:right w:val="nil"/>
            </w:tcBorders>
          </w:tcPr>
          <w:p w:rsidRPr="00DA027E" w:rsidR="00DC15B3" w:rsidP="00DA027E" w:rsidRDefault="00DC15B3">
            <w:pPr>
              <w:rPr>
                <w:rFonts w:ascii="Times New Roman" w:hAnsi="Times New Roman"/>
                <w:b/>
                <w:bCs/>
                <w:sz w:val="24"/>
              </w:rPr>
            </w:pPr>
          </w:p>
        </w:tc>
      </w:tr>
      <w:tr w:rsidRPr="00DA027E" w:rsidR="00DC15B3" w:rsidTr="00391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A027E" w:rsidR="00DC15B3" w:rsidP="00DA027E" w:rsidRDefault="00DC15B3">
            <w:pPr>
              <w:rPr>
                <w:rFonts w:ascii="Times New Roman" w:hAnsi="Times New Roman"/>
                <w:b/>
                <w:sz w:val="24"/>
              </w:rPr>
            </w:pPr>
            <w:r w:rsidRPr="00DA027E">
              <w:rPr>
                <w:rFonts w:ascii="Times New Roman" w:hAnsi="Times New Roman"/>
                <w:b/>
                <w:sz w:val="24"/>
              </w:rPr>
              <w:t>Wijziging van de Uitvoeringswet internationale kinderbescherming en enige andere wetten in verband met de herschikking van de Verordening (EU) nr. 2019/1111 van de Raad van 25 juni 2019 betreffende de bevoegdheid, de erkenning en tenuitvoerlegging van beslissingen in huwelijkszaken en inzake de ouderlijke verantwoordelijkheid, en betreffende internationale kinderontvoering (herschikking) (PbEU 2019, L 178)</w:t>
            </w:r>
          </w:p>
        </w:tc>
      </w:tr>
      <w:tr w:rsidRPr="00DA027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A027E" w:rsidR="00CB3578" w:rsidP="00DA027E" w:rsidRDefault="00CB3578">
            <w:pPr>
              <w:rPr>
                <w:rFonts w:ascii="Times New Roman" w:hAnsi="Times New Roman"/>
                <w:sz w:val="24"/>
              </w:rPr>
            </w:pPr>
          </w:p>
        </w:tc>
        <w:tc>
          <w:tcPr>
            <w:tcW w:w="6590" w:type="dxa"/>
            <w:tcBorders>
              <w:top w:val="nil"/>
              <w:left w:val="nil"/>
              <w:bottom w:val="nil"/>
              <w:right w:val="nil"/>
            </w:tcBorders>
          </w:tcPr>
          <w:p w:rsidRPr="00DA027E" w:rsidR="00CB3578" w:rsidP="00DA027E" w:rsidRDefault="00CB3578">
            <w:pPr>
              <w:rPr>
                <w:rFonts w:ascii="Times New Roman" w:hAnsi="Times New Roman"/>
                <w:sz w:val="24"/>
              </w:rPr>
            </w:pPr>
          </w:p>
        </w:tc>
      </w:tr>
      <w:tr w:rsidRPr="00DA027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A027E" w:rsidR="00CB3578" w:rsidP="00DA027E" w:rsidRDefault="00CB3578">
            <w:pPr>
              <w:rPr>
                <w:rFonts w:ascii="Times New Roman" w:hAnsi="Times New Roman"/>
                <w:sz w:val="24"/>
              </w:rPr>
            </w:pPr>
          </w:p>
        </w:tc>
        <w:tc>
          <w:tcPr>
            <w:tcW w:w="6590" w:type="dxa"/>
            <w:tcBorders>
              <w:top w:val="nil"/>
              <w:left w:val="nil"/>
              <w:bottom w:val="nil"/>
              <w:right w:val="nil"/>
            </w:tcBorders>
          </w:tcPr>
          <w:p w:rsidRPr="00DA027E" w:rsidR="00CB3578" w:rsidP="00DA027E" w:rsidRDefault="00CB3578">
            <w:pPr>
              <w:rPr>
                <w:rFonts w:ascii="Times New Roman" w:hAnsi="Times New Roman"/>
                <w:sz w:val="24"/>
              </w:rPr>
            </w:pPr>
          </w:p>
        </w:tc>
      </w:tr>
      <w:tr w:rsidRPr="00DA027E" w:rsidR="00DC15B3" w:rsidTr="002F6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A027E" w:rsidR="00DC15B3" w:rsidP="00DA027E" w:rsidRDefault="00DC15B3">
            <w:pPr>
              <w:rPr>
                <w:rFonts w:ascii="Times New Roman" w:hAnsi="Times New Roman"/>
                <w:b/>
                <w:sz w:val="24"/>
              </w:rPr>
            </w:pPr>
            <w:r>
              <w:rPr>
                <w:rFonts w:ascii="Times New Roman" w:hAnsi="Times New Roman"/>
                <w:b/>
                <w:sz w:val="24"/>
              </w:rPr>
              <w:t xml:space="preserve">GEWIJZIGD </w:t>
            </w:r>
            <w:r w:rsidRPr="00DA027E">
              <w:rPr>
                <w:rFonts w:ascii="Times New Roman" w:hAnsi="Times New Roman"/>
                <w:b/>
                <w:sz w:val="24"/>
              </w:rPr>
              <w:t>VOORSTEL VAN WET</w:t>
            </w:r>
          </w:p>
        </w:tc>
      </w:tr>
      <w:tr w:rsidRPr="00DA027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A027E" w:rsidR="00CB3578" w:rsidP="00DA027E" w:rsidRDefault="00CB3578">
            <w:pPr>
              <w:rPr>
                <w:rFonts w:ascii="Times New Roman" w:hAnsi="Times New Roman"/>
                <w:sz w:val="24"/>
              </w:rPr>
            </w:pPr>
          </w:p>
        </w:tc>
        <w:tc>
          <w:tcPr>
            <w:tcW w:w="6590" w:type="dxa"/>
            <w:tcBorders>
              <w:top w:val="nil"/>
              <w:left w:val="nil"/>
              <w:bottom w:val="nil"/>
              <w:right w:val="nil"/>
            </w:tcBorders>
          </w:tcPr>
          <w:p w:rsidRPr="00DA027E" w:rsidR="00CB3578" w:rsidP="00DA027E" w:rsidRDefault="00CB3578">
            <w:pPr>
              <w:rPr>
                <w:rFonts w:ascii="Times New Roman" w:hAnsi="Times New Roman"/>
                <w:sz w:val="24"/>
              </w:rPr>
            </w:pPr>
          </w:p>
        </w:tc>
      </w:tr>
    </w:tbl>
    <w:p w:rsidRPr="00DA027E" w:rsidR="00DA027E" w:rsidP="00DA027E" w:rsidRDefault="00DA027E">
      <w:pPr>
        <w:ind w:firstLine="284"/>
        <w:rPr>
          <w:rFonts w:ascii="Times New Roman" w:hAnsi="Times New Roman"/>
          <w:sz w:val="24"/>
        </w:rPr>
      </w:pPr>
      <w:r w:rsidRPr="00DA027E">
        <w:rPr>
          <w:rFonts w:ascii="Times New Roman" w:hAnsi="Times New Roman"/>
          <w:sz w:val="24"/>
        </w:rPr>
        <w:t xml:space="preserve">Wij Willem-Alexander, bij de gratie Gods, Koning der Nederlanden, Prins van Oranje-Nassau, enz. enz. enz. </w:t>
      </w:r>
    </w:p>
    <w:p w:rsidRPr="00DA027E" w:rsidR="00DA027E" w:rsidP="00DA027E" w:rsidRDefault="00DA027E">
      <w:pPr>
        <w:rPr>
          <w:rFonts w:ascii="Times New Roman" w:hAnsi="Times New Roman"/>
          <w:sz w:val="24"/>
        </w:rPr>
      </w:pPr>
    </w:p>
    <w:p w:rsidRPr="00DA027E" w:rsidR="00DA027E" w:rsidP="00DA027E" w:rsidRDefault="00DA027E">
      <w:pPr>
        <w:ind w:firstLine="284"/>
        <w:rPr>
          <w:rFonts w:ascii="Times New Roman" w:hAnsi="Times New Roman"/>
          <w:sz w:val="24"/>
        </w:rPr>
      </w:pPr>
      <w:r w:rsidRPr="00DA027E">
        <w:rPr>
          <w:rFonts w:ascii="Times New Roman" w:hAnsi="Times New Roman"/>
          <w:sz w:val="24"/>
        </w:rPr>
        <w:t>Allen, die deze zullen zien of horen lezen, saluut! doen te weten:</w:t>
      </w:r>
    </w:p>
    <w:p w:rsidRPr="00DA027E" w:rsidR="00DA027E" w:rsidP="00DA027E" w:rsidRDefault="00DA027E">
      <w:pPr>
        <w:ind w:firstLine="284"/>
        <w:rPr>
          <w:rFonts w:ascii="Times New Roman" w:hAnsi="Times New Roman"/>
          <w:sz w:val="24"/>
        </w:rPr>
      </w:pPr>
      <w:r w:rsidRPr="00DA027E">
        <w:rPr>
          <w:rFonts w:ascii="Times New Roman" w:hAnsi="Times New Roman"/>
          <w:sz w:val="24"/>
        </w:rPr>
        <w:t>Alzo Wij in overweging hebben genomen, dat het nodig is wetgeving aan te passen ter uitvoering van de Verordening (EU) nr. 2019/1111 van de Raad van 25 juni 2019 betreffende de bevoegdheid, de erkenning en tenuitvoerlegging van beslissingen in huwelijkszaken en inzake de ouderlijke verantwoordelijkheid, en betreffende internationale kinderontvoering (herschikking) (PbEU 2019, L 178);</w:t>
      </w:r>
    </w:p>
    <w:p w:rsidRPr="00DA027E" w:rsidR="00DA027E" w:rsidP="00DA027E" w:rsidRDefault="00DA027E">
      <w:pPr>
        <w:ind w:firstLine="284"/>
        <w:rPr>
          <w:rFonts w:ascii="Times New Roman" w:hAnsi="Times New Roman"/>
          <w:sz w:val="24"/>
        </w:rPr>
      </w:pPr>
      <w:r w:rsidRPr="00DA027E">
        <w:rPr>
          <w:rFonts w:ascii="Times New Roman" w:hAnsi="Times New Roman"/>
          <w:sz w:val="24"/>
        </w:rPr>
        <w:t xml:space="preserve">Zo is het, dat Wij, de Afdeling Advisering van de Raad van State gehoord, en met gemeen overleg der Staten-Generaal, hebben goedgevonden en verstaan, gelijk Wij goedvinden en verstaan bij deze: </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b/>
          <w:bCs/>
          <w:sz w:val="24"/>
        </w:rPr>
      </w:pPr>
      <w:r w:rsidRPr="00DA027E">
        <w:rPr>
          <w:rFonts w:ascii="Times New Roman" w:hAnsi="Times New Roman"/>
          <w:b/>
          <w:bCs/>
          <w:sz w:val="24"/>
        </w:rPr>
        <w:t xml:space="preserve">ARTIKEL I </w:t>
      </w: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De </w:t>
      </w:r>
      <w:r w:rsidRPr="00DA027E">
        <w:rPr>
          <w:rFonts w:ascii="Times New Roman" w:hAnsi="Times New Roman"/>
          <w:bCs/>
          <w:sz w:val="24"/>
        </w:rPr>
        <w:t>Uitvoeringswet internationale kinderbescherming</w:t>
      </w:r>
      <w:r w:rsidRPr="00DA027E">
        <w:rPr>
          <w:rFonts w:ascii="Times New Roman" w:hAnsi="Times New Roman"/>
          <w:sz w:val="24"/>
        </w:rPr>
        <w:t xml:space="preserve"> wordt als volgt gewijzigd: </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In artikel 1 komt de tekst onder het tweede gedachtestreepje te luiden: </w:t>
      </w:r>
    </w:p>
    <w:p w:rsidRPr="00DA027E" w:rsidR="00DA027E" w:rsidP="00DA027E" w:rsidRDefault="00DA027E">
      <w:pPr>
        <w:ind w:firstLine="284"/>
        <w:rPr>
          <w:rFonts w:ascii="Times New Roman" w:hAnsi="Times New Roman"/>
          <w:sz w:val="24"/>
        </w:rPr>
      </w:pPr>
      <w:r w:rsidRPr="00DA027E">
        <w:rPr>
          <w:rFonts w:ascii="Times New Roman" w:hAnsi="Times New Roman"/>
          <w:sz w:val="24"/>
        </w:rPr>
        <w:t xml:space="preserve">de verordening: de Verordening (EU) nr. 2019/1111 van de Raad van 25 juni 2019 betreffende de bevoegdheid, de erkenning en tenuitvoerlegging van beslissingen in huwelijkszaken en inzake de ouderlijke verantwoordelijkheid, en betreffende internationale kinderontvoering (PbEU L 178). </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B</w:t>
      </w:r>
    </w:p>
    <w:p w:rsidRPr="00DA027E" w:rsidR="00DA027E" w:rsidP="00DA027E" w:rsidRDefault="00DA027E">
      <w:pPr>
        <w:rPr>
          <w:rFonts w:ascii="Times New Roman" w:hAnsi="Times New Roman"/>
          <w:sz w:val="24"/>
        </w:rPr>
      </w:pPr>
    </w:p>
    <w:p w:rsidR="00DA027E" w:rsidP="00DA027E" w:rsidRDefault="00DA027E">
      <w:pPr>
        <w:rPr>
          <w:rFonts w:ascii="Times New Roman" w:hAnsi="Times New Roman"/>
          <w:sz w:val="24"/>
        </w:rPr>
      </w:pPr>
      <w:r w:rsidRPr="00DA027E">
        <w:rPr>
          <w:rFonts w:ascii="Times New Roman" w:hAnsi="Times New Roman"/>
          <w:sz w:val="24"/>
        </w:rPr>
        <w:tab/>
        <w:t>Artik</w:t>
      </w:r>
      <w:r>
        <w:rPr>
          <w:rFonts w:ascii="Times New Roman" w:hAnsi="Times New Roman"/>
          <w:sz w:val="24"/>
        </w:rPr>
        <w:t>el 4 wordt als volgt gewijzigd:</w:t>
      </w:r>
    </w:p>
    <w:p w:rsidRPr="00DA027E" w:rsidR="00DA027E" w:rsidP="00DA027E" w:rsidRDefault="00DA027E">
      <w:pPr>
        <w:rPr>
          <w:rFonts w:ascii="Times New Roman" w:hAnsi="Times New Roman"/>
          <w:sz w:val="24"/>
        </w:rPr>
      </w:pPr>
    </w:p>
    <w:p w:rsidR="00DA027E" w:rsidP="00DA027E" w:rsidRDefault="00DA027E">
      <w:pPr>
        <w:rPr>
          <w:rFonts w:ascii="Times New Roman" w:hAnsi="Times New Roman"/>
          <w:sz w:val="24"/>
        </w:rPr>
      </w:pPr>
      <w:r w:rsidRPr="00DA027E">
        <w:rPr>
          <w:rFonts w:ascii="Times New Roman" w:hAnsi="Times New Roman"/>
          <w:sz w:val="24"/>
        </w:rPr>
        <w:tab/>
        <w:t>1. In het eerste lid wordt “artikel 53” vervangen door “artikel 76”.</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2. In het tweede lid wordt “hoofdstuk IV” vervangen door “hoofdstuk V”. </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C</w:t>
      </w:r>
    </w:p>
    <w:p w:rsidRPr="00DA027E" w:rsidR="00DA027E" w:rsidP="00DA027E" w:rsidRDefault="00DA027E">
      <w:pPr>
        <w:rPr>
          <w:rFonts w:ascii="Times New Roman" w:hAnsi="Times New Roman"/>
          <w:sz w:val="24"/>
        </w:rPr>
      </w:pPr>
    </w:p>
    <w:p w:rsidR="00DA027E" w:rsidP="00DA027E" w:rsidRDefault="00DA027E">
      <w:pPr>
        <w:rPr>
          <w:rFonts w:ascii="Times New Roman" w:hAnsi="Times New Roman"/>
          <w:sz w:val="24"/>
        </w:rPr>
      </w:pPr>
      <w:r w:rsidRPr="00DA027E">
        <w:rPr>
          <w:rFonts w:ascii="Times New Roman" w:hAnsi="Times New Roman"/>
          <w:sz w:val="24"/>
        </w:rPr>
        <w:tab/>
        <w:t>Artik</w:t>
      </w:r>
      <w:r>
        <w:rPr>
          <w:rFonts w:ascii="Times New Roman" w:hAnsi="Times New Roman"/>
          <w:sz w:val="24"/>
        </w:rPr>
        <w:t>el 9 wordt als volgt gewijzigd:</w:t>
      </w:r>
    </w:p>
    <w:p w:rsidRPr="00DA027E" w:rsidR="00DA027E" w:rsidP="00DA027E" w:rsidRDefault="00DA027E">
      <w:pPr>
        <w:rPr>
          <w:rFonts w:ascii="Times New Roman" w:hAnsi="Times New Roman"/>
          <w:sz w:val="24"/>
        </w:rPr>
      </w:pPr>
    </w:p>
    <w:p w:rsidR="00DA027E" w:rsidP="00DA027E" w:rsidRDefault="00DA027E">
      <w:pPr>
        <w:rPr>
          <w:rFonts w:ascii="Times New Roman" w:hAnsi="Times New Roman"/>
          <w:sz w:val="24"/>
        </w:rPr>
      </w:pPr>
      <w:r w:rsidRPr="00DA027E">
        <w:rPr>
          <w:rFonts w:ascii="Times New Roman" w:hAnsi="Times New Roman"/>
          <w:sz w:val="24"/>
        </w:rPr>
        <w:tab/>
        <w:t>1. In het eerste lid wordt “artikel 5</w:t>
      </w:r>
      <w:r>
        <w:rPr>
          <w:rFonts w:ascii="Times New Roman" w:hAnsi="Times New Roman"/>
          <w:sz w:val="24"/>
        </w:rPr>
        <w:t>6” vervangen door “artikel 82”.</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2. In het derde lid wordt in onderdeel a “hun instemming” vervangen door “hun instemming dan wel goedkeuring” en wordt in onderdeel c “dan wel artikel 56, tweede lid,” vervangen door “dan wel de goedkeuring, bedoeld in artikel 82, vijfde lid,”. </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D</w:t>
      </w:r>
    </w:p>
    <w:p w:rsidRPr="00DA027E" w:rsidR="00DA027E" w:rsidP="00DA027E" w:rsidRDefault="00DA027E">
      <w:pPr>
        <w:rPr>
          <w:rFonts w:ascii="Times New Roman" w:hAnsi="Times New Roman"/>
          <w:sz w:val="24"/>
        </w:rPr>
      </w:pPr>
    </w:p>
    <w:p w:rsidR="00DA027E" w:rsidP="00DA027E" w:rsidRDefault="00DA027E">
      <w:pPr>
        <w:rPr>
          <w:rFonts w:ascii="Times New Roman" w:hAnsi="Times New Roman"/>
          <w:sz w:val="24"/>
        </w:rPr>
      </w:pPr>
      <w:r w:rsidRPr="00DA027E">
        <w:rPr>
          <w:rFonts w:ascii="Times New Roman" w:hAnsi="Times New Roman"/>
          <w:sz w:val="24"/>
        </w:rPr>
        <w:tab/>
        <w:t>Artike</w:t>
      </w:r>
      <w:r>
        <w:rPr>
          <w:rFonts w:ascii="Times New Roman" w:hAnsi="Times New Roman"/>
          <w:sz w:val="24"/>
        </w:rPr>
        <w:t>l 10 wordt als volgt gewijzigd:</w:t>
      </w:r>
    </w:p>
    <w:p w:rsidRPr="00DA027E" w:rsidR="00DA027E" w:rsidP="00DA027E" w:rsidRDefault="00DA027E">
      <w:pPr>
        <w:rPr>
          <w:rFonts w:ascii="Times New Roman" w:hAnsi="Times New Roman"/>
          <w:sz w:val="24"/>
        </w:rPr>
      </w:pPr>
    </w:p>
    <w:p w:rsidR="00DA027E" w:rsidP="00DA027E" w:rsidRDefault="00DA027E">
      <w:pPr>
        <w:rPr>
          <w:rFonts w:ascii="Times New Roman" w:hAnsi="Times New Roman"/>
          <w:sz w:val="24"/>
        </w:rPr>
      </w:pPr>
      <w:r w:rsidRPr="00DA027E">
        <w:rPr>
          <w:rFonts w:ascii="Times New Roman" w:hAnsi="Times New Roman"/>
          <w:sz w:val="24"/>
        </w:rPr>
        <w:tab/>
        <w:t>1. In het eerste lid wordt “artikel 56” vervangen door “artikel 82” en wordt “de instemming” vervangen door “de instemming dan wel goedkeuring”</w:t>
      </w:r>
      <w:r>
        <w:rPr>
          <w:rFonts w:ascii="Times New Roman" w:hAnsi="Times New Roman"/>
          <w:sz w:val="24"/>
        </w:rPr>
        <w:t>.</w:t>
      </w:r>
    </w:p>
    <w:p w:rsidRPr="00DA027E" w:rsidR="00DA027E" w:rsidP="00DA027E" w:rsidRDefault="00DA027E">
      <w:pPr>
        <w:rPr>
          <w:rFonts w:ascii="Times New Roman" w:hAnsi="Times New Roman"/>
          <w:sz w:val="24"/>
        </w:rPr>
      </w:pPr>
    </w:p>
    <w:p w:rsidR="00DA027E" w:rsidP="00DA027E" w:rsidRDefault="00DA027E">
      <w:pPr>
        <w:rPr>
          <w:rFonts w:ascii="Times New Roman" w:hAnsi="Times New Roman"/>
          <w:sz w:val="24"/>
        </w:rPr>
      </w:pPr>
      <w:r w:rsidRPr="00DA027E">
        <w:rPr>
          <w:rFonts w:ascii="Times New Roman" w:hAnsi="Times New Roman"/>
          <w:sz w:val="24"/>
        </w:rPr>
        <w:tab/>
        <w:t>2. In het tweede lid, aanhef, wordt “De instemming” vervangen door “De instemming dan wel goedkeuring” en wordt in onderdeel a “hun instemming” vervangen door “hun i</w:t>
      </w:r>
      <w:r>
        <w:rPr>
          <w:rFonts w:ascii="Times New Roman" w:hAnsi="Times New Roman"/>
          <w:sz w:val="24"/>
        </w:rPr>
        <w:t>nstemming dan wel goedkeuring”.</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3. Het derde lid vervalt. </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E</w:t>
      </w:r>
    </w:p>
    <w:p w:rsidRPr="00DA027E" w:rsidR="00DA027E" w:rsidP="00DA027E" w:rsidRDefault="00DA027E">
      <w:pPr>
        <w:rPr>
          <w:rFonts w:ascii="Times New Roman" w:hAnsi="Times New Roman"/>
          <w:sz w:val="24"/>
        </w:rPr>
      </w:pPr>
      <w:r w:rsidRPr="00DA027E">
        <w:rPr>
          <w:rFonts w:ascii="Times New Roman" w:hAnsi="Times New Roman"/>
          <w:sz w:val="24"/>
        </w:rPr>
        <w:t xml:space="preserve"> </w:t>
      </w:r>
    </w:p>
    <w:p w:rsidRPr="00DA027E" w:rsidR="00DA027E" w:rsidP="00DA027E" w:rsidRDefault="00DA027E">
      <w:pPr>
        <w:rPr>
          <w:rFonts w:ascii="Times New Roman" w:hAnsi="Times New Roman"/>
          <w:sz w:val="24"/>
        </w:rPr>
      </w:pPr>
      <w:r w:rsidRPr="00DA027E">
        <w:rPr>
          <w:rFonts w:ascii="Times New Roman" w:hAnsi="Times New Roman"/>
          <w:sz w:val="24"/>
        </w:rPr>
        <w:tab/>
        <w:t>De artikelen 18 tot en met 23 komen te luiden:</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b/>
          <w:bCs/>
          <w:sz w:val="24"/>
        </w:rPr>
        <w:t xml:space="preserve">Artikel 18 </w:t>
      </w:r>
      <w:r w:rsidRPr="00DA027E">
        <w:rPr>
          <w:rFonts w:ascii="Times New Roman" w:hAnsi="Times New Roman"/>
          <w:b/>
          <w:bCs/>
          <w:sz w:val="24"/>
        </w:rPr>
        <w:tab/>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1. Ten aanzien van beslissingen inzake ouderlijke verantwoordelijkheid is de voorzieningenrechter van de rechtbank bevoegd tot kennisneming van:</w:t>
      </w:r>
    </w:p>
    <w:p w:rsidRPr="00DA027E" w:rsidR="00DA027E" w:rsidP="00DA027E" w:rsidRDefault="00DA027E">
      <w:pPr>
        <w:ind w:firstLine="284"/>
        <w:rPr>
          <w:rFonts w:ascii="Times New Roman" w:hAnsi="Times New Roman"/>
          <w:sz w:val="24"/>
        </w:rPr>
      </w:pPr>
      <w:r w:rsidRPr="00DA027E">
        <w:rPr>
          <w:rFonts w:ascii="Times New Roman" w:hAnsi="Times New Roman"/>
          <w:sz w:val="24"/>
        </w:rPr>
        <w:t xml:space="preserve">a. </w:t>
      </w:r>
      <w:r w:rsidRPr="00920D86" w:rsidR="00920D86">
        <w:rPr>
          <w:rFonts w:ascii="Times New Roman" w:hAnsi="Times New Roman"/>
          <w:sz w:val="24"/>
        </w:rPr>
        <w:t>een verzoek tot erkenning of de weigering daarvan</w:t>
      </w:r>
      <w:r w:rsidRPr="00DA027E">
        <w:rPr>
          <w:rFonts w:ascii="Times New Roman" w:hAnsi="Times New Roman"/>
          <w:sz w:val="24"/>
        </w:rPr>
        <w:t>, als bedoeld in artikel 30, derde lid, respectievelijk 40, eerste lid, van de verordening;</w:t>
      </w:r>
    </w:p>
    <w:p w:rsidRPr="00DA027E" w:rsidR="00DA027E" w:rsidP="00DA027E" w:rsidRDefault="00DA027E">
      <w:pPr>
        <w:ind w:firstLine="284"/>
        <w:rPr>
          <w:rFonts w:ascii="Times New Roman" w:hAnsi="Times New Roman"/>
          <w:sz w:val="24"/>
        </w:rPr>
      </w:pPr>
      <w:r w:rsidRPr="00DA027E">
        <w:rPr>
          <w:rFonts w:ascii="Times New Roman" w:hAnsi="Times New Roman"/>
          <w:sz w:val="24"/>
        </w:rPr>
        <w:t xml:space="preserve">b. een verzoek betreffende de uitoefening van het omgangsrecht, als bedoeld in artikel 54 van de verordening; </w:t>
      </w:r>
    </w:p>
    <w:p w:rsidRPr="00DA027E" w:rsidR="00DA027E" w:rsidP="00DA027E" w:rsidRDefault="00DA027E">
      <w:pPr>
        <w:ind w:firstLine="284"/>
        <w:rPr>
          <w:rFonts w:ascii="Times New Roman" w:hAnsi="Times New Roman"/>
          <w:sz w:val="24"/>
        </w:rPr>
      </w:pPr>
      <w:r w:rsidRPr="00DA027E">
        <w:rPr>
          <w:rFonts w:ascii="Times New Roman" w:hAnsi="Times New Roman"/>
          <w:sz w:val="24"/>
        </w:rPr>
        <w:t>c</w:t>
      </w:r>
      <w:r w:rsidR="00920D86">
        <w:rPr>
          <w:rFonts w:ascii="Times New Roman" w:hAnsi="Times New Roman"/>
          <w:sz w:val="24"/>
        </w:rPr>
        <w:t>.</w:t>
      </w:r>
      <w:r w:rsidRPr="00DA027E">
        <w:rPr>
          <w:rFonts w:ascii="Times New Roman" w:hAnsi="Times New Roman"/>
          <w:sz w:val="24"/>
        </w:rPr>
        <w:t xml:space="preserve"> een verzoek tot weigering van de tenuitvoerlegging, als bedoeld in artikel 59 van de verordening.</w:t>
      </w:r>
    </w:p>
    <w:p w:rsidRPr="00DA027E" w:rsidR="00DA027E" w:rsidP="00DA027E" w:rsidRDefault="00DA027E">
      <w:pPr>
        <w:rPr>
          <w:rFonts w:ascii="Times New Roman" w:hAnsi="Times New Roman"/>
          <w:sz w:val="24"/>
        </w:rPr>
      </w:pPr>
      <w:r w:rsidRPr="00DA027E">
        <w:rPr>
          <w:rFonts w:ascii="Times New Roman" w:hAnsi="Times New Roman"/>
          <w:sz w:val="24"/>
        </w:rPr>
        <w:tab/>
        <w:t xml:space="preserve">2. Relatief bevoegd is de voorzieningenrechter van de rechtbank binnen wiens rechtsgebied het kind waarop het verzoek betrekking heeft, zijn woonplaats heeft of, bij gebreke daarvan in Nederland, zijn verblijfplaats heeft. Kan de bevoegdheid niet worden gebaseerd op de </w:t>
      </w:r>
      <w:r w:rsidRPr="00DA027E">
        <w:rPr>
          <w:rFonts w:ascii="Times New Roman" w:hAnsi="Times New Roman"/>
          <w:sz w:val="24"/>
        </w:rPr>
        <w:lastRenderedPageBreak/>
        <w:t>woonplaats of het werkelijke verblijf van het kind, dan is de voorzieningenrechter van de rechtbank Den Haag bevoegd.</w:t>
      </w:r>
    </w:p>
    <w:p w:rsidRPr="00DA027E" w:rsidR="00DA027E" w:rsidP="00DA027E" w:rsidRDefault="00DA027E">
      <w:pPr>
        <w:rPr>
          <w:rFonts w:ascii="Times New Roman" w:hAnsi="Times New Roman"/>
          <w:sz w:val="24"/>
        </w:rPr>
      </w:pPr>
      <w:r w:rsidRPr="00DA027E">
        <w:rPr>
          <w:rFonts w:ascii="Times New Roman" w:hAnsi="Times New Roman"/>
          <w:sz w:val="24"/>
        </w:rPr>
        <w:tab/>
        <w:t xml:space="preserve">3. Een beslissing op een verzoek als bedoeld in het eerste lid, wordt gevraagd bij verzoekschrift dat door tussenkomst van een advocaat wordt ingediend. Het verzoekschrift houdt tevens de keuze in van een woonplaats binnen het arrondissement van de rechtbank. </w:t>
      </w:r>
    </w:p>
    <w:p w:rsidRPr="00DA027E" w:rsidR="00DA027E" w:rsidP="00DA027E" w:rsidRDefault="00DA027E">
      <w:pPr>
        <w:rPr>
          <w:rFonts w:ascii="Times New Roman" w:hAnsi="Times New Roman"/>
          <w:sz w:val="24"/>
        </w:rPr>
      </w:pPr>
      <w:r w:rsidRPr="00DA027E">
        <w:rPr>
          <w:rFonts w:ascii="Times New Roman" w:hAnsi="Times New Roman"/>
          <w:sz w:val="24"/>
        </w:rPr>
        <w:tab/>
        <w:t>4. Onverminderd het bepaalde bij artikel 32 van de verordening, wordt bij ongenoegzaamheid van de bij het verzoekschrift overgelegde stukken aan de verzoeker gelegenheid tot aanvulling gegeven met de stukken, bedoeld in artikel 31, eerste lid, van de verordening.</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b/>
          <w:bCs/>
          <w:sz w:val="24"/>
        </w:rPr>
        <w:t>Artikel 19</w:t>
      </w:r>
      <w:r w:rsidRPr="00DA027E">
        <w:rPr>
          <w:rFonts w:ascii="Times New Roman" w:hAnsi="Times New Roman"/>
          <w:sz w:val="24"/>
        </w:rPr>
        <w:t xml:space="preserve"> </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1. Ten aanzien van beslissingen in huwelijkszaken is de voorzieningenrechter van de rechtbank binnen wiens rechtsgebied de verzoeker zijn woonplaats dan wel zijn verblijfplaats heeft, of bij gebreke daarvan in Nederland, de voorzieningenrechter van de rechtbank Den Haag, bevoegd tot kennisneming van een verzoek tot erkenning of de weigering daarvan, als bedoeld in artikel 30, derde lid, respectievelijk 40, eerste lid, van de verordening. Artikel 18, derde en vierde lid, is van overeenkomstige toepassing. De in het verzoekschrift genoemde belanghebbenden worden in de procedure niet opgeroepen.</w:t>
      </w:r>
    </w:p>
    <w:p w:rsidRPr="00DA027E" w:rsidR="00DA027E" w:rsidP="00DA027E" w:rsidRDefault="00DA027E">
      <w:pPr>
        <w:rPr>
          <w:rFonts w:ascii="Times New Roman" w:hAnsi="Times New Roman"/>
          <w:sz w:val="24"/>
        </w:rPr>
      </w:pPr>
      <w:r w:rsidRPr="00DA027E">
        <w:rPr>
          <w:rFonts w:ascii="Times New Roman" w:hAnsi="Times New Roman"/>
          <w:sz w:val="24"/>
        </w:rPr>
        <w:tab/>
        <w:t xml:space="preserve">2. In de zaken, bedoeld in het eerste lid, is de procedure van artikel 26 van Boek 1 van het Burgerlijk Wetboek niet van toepassing. </w:t>
      </w:r>
    </w:p>
    <w:p w:rsidRPr="00DA027E" w:rsidR="00DA027E" w:rsidP="00DA027E" w:rsidRDefault="00DA027E">
      <w:pPr>
        <w:rPr>
          <w:rFonts w:ascii="Times New Roman" w:hAnsi="Times New Roman"/>
          <w:sz w:val="24"/>
        </w:rPr>
      </w:pPr>
      <w:r w:rsidRPr="00DA027E">
        <w:rPr>
          <w:rFonts w:ascii="Times New Roman" w:hAnsi="Times New Roman"/>
          <w:sz w:val="24"/>
        </w:rPr>
        <w:tab/>
        <w:t xml:space="preserve">3. Artikel 26e van Boek 1 van het Burgerlijk Wetboek is van overeenkomstige toepassing op een beslissing </w:t>
      </w:r>
      <w:r>
        <w:rPr>
          <w:rFonts w:ascii="Times New Roman" w:hAnsi="Times New Roman"/>
          <w:sz w:val="24"/>
        </w:rPr>
        <w:t>als bedoeld in het eerste lid.</w:t>
      </w: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b/>
          <w:bCs/>
          <w:sz w:val="24"/>
        </w:rPr>
      </w:pPr>
      <w:r w:rsidRPr="00DA027E">
        <w:rPr>
          <w:rFonts w:ascii="Times New Roman" w:hAnsi="Times New Roman"/>
          <w:b/>
          <w:bCs/>
          <w:sz w:val="24"/>
        </w:rPr>
        <w:t>Artikel 20</w:t>
      </w: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1. Het afschrift van de rechterlijke beslissing en het certificaat, bedoeld in artikel 35, eerste lid, onder a en b, respectievelijk artikel 46, eerste lid, onder a en b, van de verordening vormen telkens tezamen een executoriale titel in de zin van artikel 430 van het Wetboek van Burgerlijke Rechtsvordering. </w:t>
      </w:r>
    </w:p>
    <w:p w:rsidRPr="00DA027E" w:rsidR="00DA027E" w:rsidP="00DA027E" w:rsidRDefault="00DA027E">
      <w:pPr>
        <w:ind w:firstLine="284"/>
        <w:rPr>
          <w:rFonts w:ascii="Times New Roman" w:hAnsi="Times New Roman"/>
          <w:sz w:val="24"/>
        </w:rPr>
      </w:pPr>
      <w:r w:rsidRPr="00DA027E">
        <w:rPr>
          <w:rFonts w:ascii="Times New Roman" w:hAnsi="Times New Roman"/>
          <w:sz w:val="24"/>
        </w:rPr>
        <w:t>2. Een authentieke akte of overeenkomst, als bedoeld in artikel 64 van de verordening vormt tezamen met het certificaat, bedoeld in artikel 66, eerste lid, onder b, van de verordening een executoriale titel in de zin van artikel 430 van het Wetboek van Burgerlijke Rechtsvordering.</w:t>
      </w:r>
    </w:p>
    <w:p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sz w:val="24"/>
        </w:rPr>
      </w:pPr>
      <w:r w:rsidRPr="00DA027E">
        <w:rPr>
          <w:rFonts w:ascii="Times New Roman" w:hAnsi="Times New Roman"/>
          <w:b/>
          <w:bCs/>
          <w:sz w:val="24"/>
        </w:rPr>
        <w:t>Artikel 21</w:t>
      </w: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1. Heeft de partij tegen wie de tenuitvoerlegging zich richt woonplaats in Nederland, dan kan de in artikel 20 bedoelde executoriale titel niet dan na verloop van een maand na betekening, als bedoeld in artikel 55 van de verordening, tegen die partij ten uitvoer worden gelegd.</w:t>
      </w:r>
    </w:p>
    <w:p w:rsidRPr="00DA027E" w:rsidR="00DA027E" w:rsidP="00DA027E" w:rsidRDefault="00DA027E">
      <w:pPr>
        <w:rPr>
          <w:rFonts w:ascii="Times New Roman" w:hAnsi="Times New Roman"/>
          <w:sz w:val="24"/>
        </w:rPr>
      </w:pPr>
      <w:r w:rsidRPr="00DA027E">
        <w:rPr>
          <w:rFonts w:ascii="Times New Roman" w:hAnsi="Times New Roman"/>
          <w:sz w:val="24"/>
        </w:rPr>
        <w:tab/>
        <w:t xml:space="preserve">2. Heeft de partij tegen wie de tenuitvoerlegging zich richt geen woonplaats in Nederland, dan kan de in artikel 20 bedoelde executoriale titel niet dan na verloop van twee maanden na betekening, als bedoeld in artikel 55 van de verordening, tegen die partij ten uitvoer worden gelegd. </w:t>
      </w:r>
    </w:p>
    <w:p w:rsidRPr="00DA027E" w:rsidR="00DA027E" w:rsidP="00DA027E" w:rsidRDefault="00DA027E">
      <w:pPr>
        <w:rPr>
          <w:rFonts w:ascii="Times New Roman" w:hAnsi="Times New Roman"/>
          <w:sz w:val="24"/>
        </w:rPr>
      </w:pPr>
      <w:r w:rsidRPr="00DA027E">
        <w:rPr>
          <w:rFonts w:ascii="Times New Roman" w:hAnsi="Times New Roman"/>
          <w:sz w:val="24"/>
        </w:rPr>
        <w:tab/>
        <w:t xml:space="preserve">3. De voorzieningenrechter van de rechtbank kan, indien daartoe gronden aanwezig zijn, de in het eerste en tweede lid genoemde termijn inkorten op verzoek van de partij die de executoriale titel ten uitvoer wil leggen. Dit verzoek wordt door tussenkomst van een advocaat ingediend bij de voorzieningenrechter van de rechtbank binnen wiens rechtsgebied </w:t>
      </w:r>
      <w:r w:rsidRPr="00DA027E">
        <w:rPr>
          <w:rFonts w:ascii="Times New Roman" w:hAnsi="Times New Roman"/>
          <w:sz w:val="24"/>
        </w:rPr>
        <w:lastRenderedPageBreak/>
        <w:t xml:space="preserve">de persoon tegen wie de tenuitvoerlegging wordt gevraagd of het kind waarop het verzoek betrekking heeft, gewone verblijfplaats heeft dan wel binnen wiens rechtsgebied de tenuitvoerlegging dient plaats te vinden. De partij tegen wie de tenuitvoerlegging zich richt, wordt op dit verzoek niet gehoord. Tegen de beschikking van de voorzieningenrechter staat geen hoger beroep open. </w:t>
      </w:r>
    </w:p>
    <w:p w:rsidRPr="00DA027E" w:rsidR="00DA027E" w:rsidP="00DA027E" w:rsidRDefault="00DA027E">
      <w:pPr>
        <w:rPr>
          <w:rFonts w:ascii="Times New Roman" w:hAnsi="Times New Roman"/>
          <w:sz w:val="24"/>
        </w:rPr>
      </w:pPr>
      <w:r w:rsidRPr="00DA027E">
        <w:rPr>
          <w:rFonts w:ascii="Times New Roman" w:hAnsi="Times New Roman"/>
          <w:sz w:val="24"/>
        </w:rPr>
        <w:tab/>
        <w:t>4. Bij toepassing van het derde lid vermeldt het exploot van de gerechtsdeurwaarder waarmee het certificaat wordt betekend, bedoeld in artikel 55 van de verordening, het door de voorzieningenrechter verleende verlof voor verkorting van de termijn.</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b/>
          <w:bCs/>
          <w:sz w:val="24"/>
        </w:rPr>
        <w:t xml:space="preserve">Artikel 22 </w:t>
      </w: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sz w:val="24"/>
        </w:rPr>
      </w:pPr>
      <w:r w:rsidRPr="00DA027E">
        <w:rPr>
          <w:rFonts w:ascii="Times New Roman" w:hAnsi="Times New Roman"/>
          <w:b/>
          <w:bCs/>
          <w:sz w:val="24"/>
        </w:rPr>
        <w:tab/>
      </w:r>
      <w:r w:rsidRPr="00DA027E">
        <w:rPr>
          <w:rFonts w:ascii="Times New Roman" w:hAnsi="Times New Roman"/>
          <w:sz w:val="24"/>
        </w:rPr>
        <w:t>1. Op de tenuitvoerlegging van een rechterlijke beslissing inzake ouderlijke verantwoordelijkheid, bedoeld in de verordening, zijn de artikelen 812 en 813 van het Wetboek van Burgerlijke Rechtsvordering van overeenkomstige toepassing.</w:t>
      </w:r>
    </w:p>
    <w:p w:rsidRPr="00DA027E" w:rsidR="00DA027E" w:rsidP="00DA027E" w:rsidRDefault="00DA027E">
      <w:pPr>
        <w:rPr>
          <w:rFonts w:ascii="Times New Roman" w:hAnsi="Times New Roman"/>
          <w:sz w:val="24"/>
        </w:rPr>
      </w:pPr>
      <w:r w:rsidRPr="00DA027E">
        <w:rPr>
          <w:rFonts w:ascii="Times New Roman" w:hAnsi="Times New Roman"/>
          <w:sz w:val="24"/>
        </w:rPr>
        <w:tab/>
        <w:t>2. Onverminderd het eerste lid, kan de voorzieningenrechter van de rechtbank op verzoek van de partij die de executoriale titel ten uitvoer wil leggen, bepalen op welke wijze de tenuitvoerlegging van een rechterlijke beslissing moet plaatsvinden. Artikel 18, tweede lid, is van overeenkomstige toepassing op de relatieve bevoegdheid van de voorzieningenrechter.</w:t>
      </w:r>
    </w:p>
    <w:p w:rsidRPr="00DA027E" w:rsidR="00DA027E" w:rsidP="00DA027E" w:rsidRDefault="00DA027E">
      <w:pPr>
        <w:rPr>
          <w:rFonts w:ascii="Times New Roman" w:hAnsi="Times New Roman"/>
          <w:sz w:val="24"/>
        </w:rPr>
      </w:pPr>
      <w:r w:rsidRPr="00DA027E">
        <w:rPr>
          <w:rFonts w:ascii="Times New Roman" w:hAnsi="Times New Roman"/>
          <w:sz w:val="24"/>
        </w:rPr>
        <w:tab/>
        <w:t>3. Een beslissing op een verzoek als bedoeld in het tweede lid wordt gevraagd bij verzoekschrift door tussenkomst van een advocaat. Het verzoekschrift houdt tevens de keuze in van een woonplaats binnen het arrondissement van de rechtbank.</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b/>
          <w:bCs/>
          <w:sz w:val="24"/>
        </w:rPr>
        <w:t>Artikel 23</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1. Het gerecht dat bevoegd is kennis te nemen van het rechtsmiddel, bedoeld in artikel 61 van de verordening, is het gerechtshof. </w:t>
      </w:r>
    </w:p>
    <w:p w:rsidRPr="00DA027E" w:rsidR="00DA027E" w:rsidP="00DA027E" w:rsidRDefault="00DA027E">
      <w:pPr>
        <w:rPr>
          <w:rFonts w:ascii="Times New Roman" w:hAnsi="Times New Roman"/>
          <w:b/>
          <w:bCs/>
          <w:sz w:val="24"/>
        </w:rPr>
      </w:pPr>
      <w:r w:rsidRPr="00DA027E">
        <w:rPr>
          <w:rFonts w:ascii="Times New Roman" w:hAnsi="Times New Roman"/>
          <w:sz w:val="24"/>
        </w:rPr>
        <w:tab/>
        <w:t>2. Het gerecht dat bevoegd is kennis te nemen van het rechtsmiddel, bedoeld in artikel 62 van de verordening, is de Hoge Raad.</w:t>
      </w:r>
      <w:r w:rsidRPr="00DA027E">
        <w:rPr>
          <w:rFonts w:ascii="Times New Roman" w:hAnsi="Times New Roman"/>
          <w:b/>
          <w:bCs/>
          <w:sz w:val="24"/>
        </w:rPr>
        <w:tab/>
      </w: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sz w:val="24"/>
        </w:rPr>
      </w:pPr>
      <w:r w:rsidRPr="00DA027E">
        <w:rPr>
          <w:rFonts w:ascii="Times New Roman" w:hAnsi="Times New Roman"/>
          <w:sz w:val="24"/>
        </w:rPr>
        <w:t>F</w:t>
      </w: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In hoofdstuk 6 wordt na artikel 23 een nieuw artikel ingevoegd, luidende:</w:t>
      </w:r>
    </w:p>
    <w:p w:rsidRPr="00DA027E" w:rsidR="00DA027E" w:rsidP="00DA027E" w:rsidRDefault="00DA027E">
      <w:pPr>
        <w:rPr>
          <w:rFonts w:ascii="Times New Roman" w:hAnsi="Times New Roman"/>
          <w:b/>
          <w:bCs/>
          <w:sz w:val="24"/>
        </w:rPr>
      </w:pPr>
    </w:p>
    <w:p w:rsidR="00DA027E" w:rsidP="00DA027E" w:rsidRDefault="00DA027E">
      <w:pPr>
        <w:rPr>
          <w:rFonts w:ascii="Times New Roman" w:hAnsi="Times New Roman"/>
          <w:b/>
          <w:bCs/>
          <w:sz w:val="24"/>
        </w:rPr>
      </w:pPr>
      <w:r w:rsidRPr="00DA027E">
        <w:rPr>
          <w:rFonts w:ascii="Times New Roman" w:hAnsi="Times New Roman"/>
          <w:b/>
          <w:bCs/>
          <w:sz w:val="24"/>
        </w:rPr>
        <w:t>Artikel 23a</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1. De rechter die de beslissing heeft gegeven, is bevoegd kennis te nemen van een verzoek tot afgifte van een certificaat, als bedoeld in artikel 36, eerste lid, van de verordening.</w:t>
      </w:r>
    </w:p>
    <w:p w:rsidRPr="00DA027E" w:rsidR="00DA027E" w:rsidP="00DA027E" w:rsidRDefault="00DA027E">
      <w:pPr>
        <w:rPr>
          <w:rFonts w:ascii="Times New Roman" w:hAnsi="Times New Roman"/>
          <w:sz w:val="24"/>
        </w:rPr>
      </w:pPr>
      <w:r w:rsidRPr="00DA027E">
        <w:rPr>
          <w:rFonts w:ascii="Times New Roman" w:hAnsi="Times New Roman"/>
          <w:sz w:val="24"/>
        </w:rPr>
        <w:tab/>
        <w:t xml:space="preserve">2. Het certificaat bedoeld in artikel 36, eerste lid, en artikel 47, eerste lid, van de verordening wordt op verzoek van een partij afgegeven zonder dat die partij of andere belanghebbenden worden gehoord. Voor dit verzoek is de tussenkomst van een advocaat niet vereist. </w:t>
      </w:r>
    </w:p>
    <w:p w:rsidRPr="00DA027E" w:rsidR="00DA027E" w:rsidP="00DA027E" w:rsidRDefault="00DA027E">
      <w:pPr>
        <w:rPr>
          <w:rFonts w:ascii="Times New Roman" w:hAnsi="Times New Roman"/>
          <w:sz w:val="24"/>
        </w:rPr>
      </w:pPr>
      <w:r w:rsidRPr="00DA027E">
        <w:rPr>
          <w:rFonts w:ascii="Times New Roman" w:hAnsi="Times New Roman"/>
          <w:sz w:val="24"/>
        </w:rPr>
        <w:tab/>
        <w:t xml:space="preserve">3. Op een verzoek tot rectificatie van het certificaat, als bedoeld in de artikelen 37 en 48, eerste lid, van de verordening, is artikel 31 van het Wetboek van Burgerlijke Rechtsvordering van overeenkomstige toepassing, indien het certificaat door een Nederlandse rechter is afgegeven. De rechter stelt belanghebbenden niet in de gelegenheid om zich over de rectificatie uit te laten. </w:t>
      </w:r>
    </w:p>
    <w:p w:rsidRPr="00DA027E" w:rsidR="00DA027E" w:rsidP="00DA027E" w:rsidRDefault="00DA027E">
      <w:pPr>
        <w:rPr>
          <w:rFonts w:ascii="Times New Roman" w:hAnsi="Times New Roman"/>
          <w:sz w:val="24"/>
        </w:rPr>
      </w:pPr>
      <w:r w:rsidRPr="00DA027E">
        <w:rPr>
          <w:rFonts w:ascii="Times New Roman" w:hAnsi="Times New Roman"/>
          <w:sz w:val="24"/>
        </w:rPr>
        <w:tab/>
        <w:t xml:space="preserve">4. Het verzoek om intrekking van het certificaat, bedoeld in artikel 48, tweede lid, en het verzoek om afgifte van een certificaat van niet-uitvoerbaarheid of beperkte uitvoerbaarheid, bedoeld in artikel 49, eerste lid, van de verordening, worden door tussenkomst van een </w:t>
      </w:r>
      <w:r w:rsidRPr="00DA027E">
        <w:rPr>
          <w:rFonts w:ascii="Times New Roman" w:hAnsi="Times New Roman"/>
          <w:sz w:val="24"/>
        </w:rPr>
        <w:lastRenderedPageBreak/>
        <w:t xml:space="preserve">advocaat ingediend bij de rechter die de beslissing heeft gegeven. De rechter kan bepalen dat een mondelinge behandeling achterwege blijft indien geen van de partijen, na te zijn gewezen op hun recht te worden gehoord, binnen een door de rechter te bepalen termijn heeft verklaard gebruik te willen maken van dit recht. </w:t>
      </w:r>
    </w:p>
    <w:p w:rsidRPr="00DA027E" w:rsidR="00DA027E" w:rsidP="00DA027E" w:rsidRDefault="00DA027E">
      <w:pPr>
        <w:rPr>
          <w:rFonts w:ascii="Times New Roman" w:hAnsi="Times New Roman"/>
          <w:sz w:val="24"/>
        </w:rPr>
      </w:pPr>
      <w:r w:rsidRPr="00DA027E">
        <w:rPr>
          <w:rFonts w:ascii="Times New Roman" w:hAnsi="Times New Roman"/>
          <w:sz w:val="24"/>
        </w:rPr>
        <w:tab/>
        <w:t>5. Tegen beslissingen op verzoeken, als bedoeld in het vierde lid, kan hoger beroep worden ingesteld binnen twee weken na de dagtekening van de beslissing. Tegen de beschikking van het gerechtshof staat geen gewoon rechtsmiddel open.</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G</w:t>
      </w:r>
    </w:p>
    <w:p w:rsidRPr="00DA027E" w:rsidR="00DA027E" w:rsidP="00DA027E" w:rsidRDefault="00DA027E">
      <w:pPr>
        <w:rPr>
          <w:rFonts w:ascii="Times New Roman" w:hAnsi="Times New Roman"/>
          <w:sz w:val="24"/>
        </w:rPr>
      </w:pPr>
    </w:p>
    <w:p w:rsidRPr="00DA027E" w:rsidR="00DA027E" w:rsidP="00DA027E" w:rsidRDefault="00DA027E">
      <w:pPr>
        <w:ind w:firstLine="284"/>
        <w:rPr>
          <w:rFonts w:ascii="Times New Roman" w:hAnsi="Times New Roman"/>
          <w:sz w:val="24"/>
        </w:rPr>
      </w:pPr>
      <w:r w:rsidRPr="00DA027E">
        <w:rPr>
          <w:rFonts w:ascii="Times New Roman" w:hAnsi="Times New Roman"/>
          <w:sz w:val="24"/>
        </w:rPr>
        <w:t xml:space="preserve">In artikel 24, zesde lid, wordt “artikel 15” vervangen door “de artikelen 12 en 13”. </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b/>
          <w:bCs/>
          <w:sz w:val="24"/>
        </w:rPr>
      </w:pPr>
      <w:r w:rsidRPr="00DA027E">
        <w:rPr>
          <w:rFonts w:ascii="Times New Roman" w:hAnsi="Times New Roman"/>
          <w:b/>
          <w:bCs/>
          <w:sz w:val="24"/>
        </w:rPr>
        <w:t>ARTIKEL II</w:t>
      </w: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sz w:val="24"/>
        </w:rPr>
      </w:pPr>
      <w:r w:rsidRPr="00DA027E">
        <w:rPr>
          <w:rFonts w:ascii="Times New Roman" w:hAnsi="Times New Roman"/>
          <w:b/>
          <w:bCs/>
          <w:sz w:val="24"/>
        </w:rPr>
        <w:tab/>
      </w:r>
      <w:r w:rsidRPr="00DA027E">
        <w:rPr>
          <w:rFonts w:ascii="Times New Roman" w:hAnsi="Times New Roman"/>
          <w:sz w:val="24"/>
        </w:rPr>
        <w:t>De</w:t>
      </w:r>
      <w:r w:rsidRPr="00DA027E">
        <w:rPr>
          <w:rFonts w:ascii="Times New Roman" w:hAnsi="Times New Roman"/>
          <w:b/>
          <w:bCs/>
          <w:sz w:val="24"/>
        </w:rPr>
        <w:t xml:space="preserve"> </w:t>
      </w:r>
      <w:r w:rsidRPr="00DA027E">
        <w:rPr>
          <w:rFonts w:ascii="Times New Roman" w:hAnsi="Times New Roman"/>
          <w:bCs/>
          <w:sz w:val="24"/>
        </w:rPr>
        <w:t>Uitvoeringswet internationale kinderontvoering</w:t>
      </w:r>
      <w:r w:rsidRPr="00DA027E">
        <w:rPr>
          <w:rFonts w:ascii="Times New Roman" w:hAnsi="Times New Roman"/>
          <w:b/>
          <w:bCs/>
          <w:sz w:val="24"/>
        </w:rPr>
        <w:t xml:space="preserve"> </w:t>
      </w:r>
      <w:r w:rsidRPr="00DA027E">
        <w:rPr>
          <w:rFonts w:ascii="Times New Roman" w:hAnsi="Times New Roman"/>
          <w:sz w:val="24"/>
        </w:rPr>
        <w:t>wordt als volgt gewijzigd:</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Onder verlettering van onderdeel c tot onderdeel d wordt in artikel 1 een onderdeel ingevoegd, luidende: </w:t>
      </w:r>
    </w:p>
    <w:p w:rsidRPr="00DA027E" w:rsidR="00DA027E" w:rsidP="00DA027E" w:rsidRDefault="00DA027E">
      <w:pPr>
        <w:rPr>
          <w:rFonts w:ascii="Times New Roman" w:hAnsi="Times New Roman"/>
          <w:sz w:val="24"/>
        </w:rPr>
      </w:pPr>
      <w:r w:rsidRPr="00DA027E">
        <w:rPr>
          <w:rFonts w:ascii="Times New Roman" w:hAnsi="Times New Roman"/>
          <w:sz w:val="24"/>
        </w:rPr>
        <w:tab/>
        <w:t>c. de verordening: de Verordening (EU) nr. 2019/1111 van de Raad van 25 juni 2019 betreffende de bevoegdheid, de erkenning en tenuitvoerlegging van beslissingen in huwelijkszaken en inzake de ouderlijke verantwoordelijkheid, en betreffende internationale kinderontvoering (PbEU L 178);</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B</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In artikel 2 wordt “verdragen” vervangen door “verdragen en verordening” en wordt “een verdrag” vervangen door “een verdrag of de verordening”.</w:t>
      </w:r>
    </w:p>
    <w:p w:rsidR="00DA027E" w:rsidP="00DA027E" w:rsidRDefault="00DA027E">
      <w:pPr>
        <w:rPr>
          <w:rFonts w:ascii="Times New Roman" w:hAnsi="Times New Roman"/>
          <w:sz w:val="24"/>
        </w:rPr>
      </w:pPr>
    </w:p>
    <w:p w:rsidRPr="009E3A00" w:rsidR="009E3A00" w:rsidP="009E3A00" w:rsidRDefault="009E3A00">
      <w:pPr>
        <w:rPr>
          <w:rFonts w:ascii="Times New Roman" w:hAnsi="Times New Roman"/>
          <w:sz w:val="24"/>
        </w:rPr>
      </w:pPr>
      <w:r w:rsidRPr="009E3A00">
        <w:rPr>
          <w:rFonts w:ascii="Times New Roman" w:hAnsi="Times New Roman"/>
          <w:sz w:val="24"/>
        </w:rPr>
        <w:t>Ba</w:t>
      </w:r>
    </w:p>
    <w:p w:rsidRPr="009E3A00" w:rsidR="009E3A00" w:rsidP="009E3A00" w:rsidRDefault="009E3A00">
      <w:pPr>
        <w:rPr>
          <w:rFonts w:ascii="Times New Roman" w:hAnsi="Times New Roman"/>
          <w:sz w:val="24"/>
        </w:rPr>
      </w:pPr>
    </w:p>
    <w:p w:rsidR="009E3A00" w:rsidP="009E3A00" w:rsidRDefault="009E3A00">
      <w:pPr>
        <w:rPr>
          <w:rFonts w:ascii="Times New Roman" w:hAnsi="Times New Roman"/>
          <w:sz w:val="24"/>
        </w:rPr>
      </w:pPr>
      <w:r w:rsidRPr="009E3A00">
        <w:rPr>
          <w:rFonts w:ascii="Times New Roman" w:hAnsi="Times New Roman"/>
          <w:sz w:val="24"/>
        </w:rPr>
        <w:tab/>
        <w:t>Aan artikel 11, eerste lid, wordt een zin toegevoegd, luidende: De kinderrechter van deze rechtbank is bevoegd ook kennis te nemen van door partijen tijdens de procedure onderling getroffen regelingen over de ouderlijke verantwoordelijkheid, bedoeld in de verordening, en kan deze geheel of gedeeltelijk in zijn beschikking opnemen.</w:t>
      </w:r>
    </w:p>
    <w:p w:rsidRPr="00DA027E" w:rsidR="009E3A00" w:rsidP="00DA027E" w:rsidRDefault="009E3A00">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C</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In artikel 15 wordt “artikel 1 onder c” vervangen door “artikel 1 onder d”.</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D</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In artikel 16, eerste lid, wordt “een verdrag” vervangen door “een verdrag of de verordening” en wordt “de Wet van 4 juli 1957, </w:t>
      </w:r>
      <w:r w:rsidRPr="00DA027E">
        <w:rPr>
          <w:rFonts w:ascii="Times New Roman" w:hAnsi="Times New Roman"/>
          <w:i/>
          <w:iCs/>
          <w:sz w:val="24"/>
        </w:rPr>
        <w:t>Stb.</w:t>
      </w:r>
      <w:r w:rsidRPr="00DA027E">
        <w:rPr>
          <w:rFonts w:ascii="Times New Roman" w:hAnsi="Times New Roman"/>
          <w:sz w:val="24"/>
        </w:rPr>
        <w:t xml:space="preserve"> 233, tot regeling van de rechtsbijstand aan on- en minvermogenden” vervangen door “de Wet op de rechtsbijstand”.</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E</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Na artikel 16 wordt een nieuwe titel ingevoegd, luidende: </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b/>
          <w:bCs/>
          <w:sz w:val="24"/>
        </w:rPr>
      </w:pPr>
      <w:r w:rsidRPr="00DA027E">
        <w:rPr>
          <w:rFonts w:ascii="Times New Roman" w:hAnsi="Times New Roman"/>
          <w:b/>
          <w:bCs/>
          <w:sz w:val="24"/>
        </w:rPr>
        <w:t>TITEL 4. INTERNATIONALE SAMENWERKING VAN GERECHTEN</w:t>
      </w: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sz w:val="24"/>
        </w:rPr>
      </w:pPr>
      <w:r w:rsidRPr="00DA027E">
        <w:rPr>
          <w:rFonts w:ascii="Times New Roman" w:hAnsi="Times New Roman"/>
          <w:b/>
          <w:bCs/>
          <w:sz w:val="24"/>
        </w:rPr>
        <w:tab/>
        <w:t>Artikel 16a</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Artikel 24 van de Uitvoeringswet internationale kinderbescherming is van overeenkomstige toepassing in gevallen die door de verordening worden bestreken.</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F</w:t>
      </w:r>
    </w:p>
    <w:p w:rsidRPr="00DA027E" w:rsidR="00DA027E" w:rsidP="00DA027E" w:rsidRDefault="00DA027E">
      <w:pPr>
        <w:rPr>
          <w:rFonts w:ascii="Times New Roman" w:hAnsi="Times New Roman"/>
          <w:sz w:val="24"/>
        </w:rPr>
      </w:pPr>
    </w:p>
    <w:p w:rsidR="00DA027E" w:rsidP="00DA027E" w:rsidRDefault="00DA027E">
      <w:pPr>
        <w:rPr>
          <w:rFonts w:ascii="Times New Roman" w:hAnsi="Times New Roman"/>
          <w:sz w:val="24"/>
        </w:rPr>
      </w:pPr>
      <w:r w:rsidRPr="00DA027E">
        <w:rPr>
          <w:rFonts w:ascii="Times New Roman" w:hAnsi="Times New Roman"/>
          <w:sz w:val="24"/>
        </w:rPr>
        <w:tab/>
        <w:t>Het opschrift boven artikel 17 komt te luiden:</w:t>
      </w:r>
    </w:p>
    <w:p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b/>
          <w:bCs/>
          <w:sz w:val="24"/>
        </w:rPr>
        <w:t>TITEL 5. SLOTBEPALINGEN</w:t>
      </w:r>
      <w:r w:rsidRPr="00DA027E">
        <w:rPr>
          <w:rFonts w:ascii="Times New Roman" w:hAnsi="Times New Roman"/>
          <w:sz w:val="24"/>
        </w:rPr>
        <w:t>.</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b/>
          <w:bCs/>
          <w:sz w:val="24"/>
        </w:rPr>
      </w:pPr>
      <w:r w:rsidRPr="00DA027E">
        <w:rPr>
          <w:rFonts w:ascii="Times New Roman" w:hAnsi="Times New Roman"/>
          <w:b/>
          <w:bCs/>
          <w:sz w:val="24"/>
        </w:rPr>
        <w:t>ART</w:t>
      </w:r>
      <w:r>
        <w:rPr>
          <w:rFonts w:ascii="Times New Roman" w:hAnsi="Times New Roman"/>
          <w:b/>
          <w:bCs/>
          <w:sz w:val="24"/>
        </w:rPr>
        <w:t>I</w:t>
      </w:r>
      <w:r w:rsidRPr="00DA027E">
        <w:rPr>
          <w:rFonts w:ascii="Times New Roman" w:hAnsi="Times New Roman"/>
          <w:b/>
          <w:bCs/>
          <w:sz w:val="24"/>
        </w:rPr>
        <w:t>KEL III</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In de </w:t>
      </w:r>
      <w:r w:rsidRPr="00DA027E">
        <w:rPr>
          <w:rFonts w:ascii="Times New Roman" w:hAnsi="Times New Roman"/>
          <w:bCs/>
          <w:sz w:val="24"/>
        </w:rPr>
        <w:t>Uitvoeringswet internationale inning levensonderhoud</w:t>
      </w:r>
      <w:r w:rsidRPr="00DA027E">
        <w:rPr>
          <w:rFonts w:ascii="Times New Roman" w:hAnsi="Times New Roman"/>
          <w:sz w:val="24"/>
        </w:rPr>
        <w:t xml:space="preserve"> wordt na artikel 9 een artikel ingevoegd, luidende: </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b/>
          <w:bCs/>
          <w:sz w:val="24"/>
        </w:rPr>
      </w:pPr>
      <w:r w:rsidRPr="00DA027E">
        <w:rPr>
          <w:rFonts w:ascii="Times New Roman" w:hAnsi="Times New Roman"/>
          <w:b/>
          <w:bCs/>
          <w:sz w:val="24"/>
        </w:rPr>
        <w:t>Artikel 9a</w:t>
      </w: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1. Voor de toepassing van het Tweede Boek van het Wetboek van Burgerlijke Rechtsvordering op een beslissing uit een andere lidstaat worden het afschrift van de beslissing en het formulier, bedoeld in artikel 20, eerste lid, onder a en b, van de verordening tezamen als een executoriale titel in de zin van artikel 430 van het Wetboek van Burgerlijke Rechtsvordering aangemerkt. </w:t>
      </w:r>
    </w:p>
    <w:p w:rsidRPr="00DA027E" w:rsidR="00DA027E" w:rsidP="00DA027E" w:rsidRDefault="00DA027E">
      <w:pPr>
        <w:rPr>
          <w:rFonts w:ascii="Times New Roman" w:hAnsi="Times New Roman"/>
          <w:sz w:val="24"/>
        </w:rPr>
      </w:pPr>
      <w:r w:rsidRPr="00DA027E">
        <w:rPr>
          <w:rFonts w:ascii="Times New Roman" w:hAnsi="Times New Roman"/>
          <w:sz w:val="24"/>
        </w:rPr>
        <w:tab/>
        <w:t>2. Onverminderd artikel 48 van de verordening is het eerste lid van overeenkomstige toepassing op gerechtelijke schikkingen en authentieke akten uit een andere lidstaat.</w:t>
      </w:r>
    </w:p>
    <w:p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b/>
          <w:bCs/>
          <w:sz w:val="24"/>
        </w:rPr>
      </w:pPr>
      <w:r w:rsidRPr="00DA027E">
        <w:rPr>
          <w:rFonts w:ascii="Times New Roman" w:hAnsi="Times New Roman"/>
          <w:b/>
          <w:bCs/>
          <w:sz w:val="24"/>
        </w:rPr>
        <w:t>ARTIKEL IV</w:t>
      </w:r>
    </w:p>
    <w:p w:rsidRPr="00DA027E" w:rsidR="00DA027E" w:rsidP="00DA027E" w:rsidRDefault="00DA027E">
      <w:pPr>
        <w:rPr>
          <w:rFonts w:ascii="Times New Roman" w:hAnsi="Times New Roman"/>
          <w:sz w:val="24"/>
        </w:rPr>
      </w:pPr>
    </w:p>
    <w:p w:rsidRPr="00DA027E" w:rsidR="00DA027E" w:rsidP="00DA027E" w:rsidRDefault="00DA027E">
      <w:pPr>
        <w:rPr>
          <w:rFonts w:ascii="Times New Roman" w:hAnsi="Times New Roman"/>
          <w:sz w:val="24"/>
        </w:rPr>
      </w:pPr>
      <w:r w:rsidRPr="00DA027E">
        <w:rPr>
          <w:rFonts w:ascii="Times New Roman" w:hAnsi="Times New Roman"/>
          <w:sz w:val="24"/>
        </w:rPr>
        <w:tab/>
        <w:t xml:space="preserve">In artikel 4, eerste lid, van het </w:t>
      </w:r>
      <w:r w:rsidRPr="00DA027E">
        <w:rPr>
          <w:rFonts w:ascii="Times New Roman" w:hAnsi="Times New Roman"/>
          <w:bCs/>
          <w:sz w:val="24"/>
        </w:rPr>
        <w:t>Wetboek van Burgerlijke Rechtsvordering</w:t>
      </w:r>
      <w:r w:rsidRPr="00DA027E">
        <w:rPr>
          <w:rFonts w:ascii="Times New Roman" w:hAnsi="Times New Roman"/>
          <w:sz w:val="24"/>
        </w:rPr>
        <w:t xml:space="preserve"> wordt “de Verordening (EG) nr. 2201/2003 van de Raad van de Europese Unie van 27 november 2003 betreffende de bevoegdheid en de erkenning en tenuitvoerlegging van beslissingen in huwelijkszaken en inzake de ouderlijke verantwoordelijkheid, en tot intrekking van verordening (EG) nr. 1347/2000 (PbEU L 338)” ve</w:t>
      </w:r>
      <w:r w:rsidR="009E3A00">
        <w:rPr>
          <w:rFonts w:ascii="Times New Roman" w:hAnsi="Times New Roman"/>
          <w:sz w:val="24"/>
        </w:rPr>
        <w:t>rvangen door “de Verordening (EU</w:t>
      </w:r>
      <w:r w:rsidRPr="00DA027E">
        <w:rPr>
          <w:rFonts w:ascii="Times New Roman" w:hAnsi="Times New Roman"/>
          <w:sz w:val="24"/>
        </w:rPr>
        <w:t>) nr. 2019/1111 van de Raad van 25 juni 2019 betreffende de bevoegdheid en de erkenning en tenuitvoerlegging van beslissingen in huwelijkszaken en inzake de ouderlijke verantwoordelijkheid, en betreffende internationale kinderontvoering (</w:t>
      </w:r>
      <w:r w:rsidRPr="00DA027E">
        <w:rPr>
          <w:rFonts w:ascii="Times New Roman" w:hAnsi="Times New Roman"/>
          <w:i/>
          <w:iCs/>
          <w:sz w:val="24"/>
        </w:rPr>
        <w:t>PbEU</w:t>
      </w:r>
      <w:r w:rsidRPr="00DA027E">
        <w:rPr>
          <w:rFonts w:ascii="Times New Roman" w:hAnsi="Times New Roman"/>
          <w:sz w:val="24"/>
        </w:rPr>
        <w:t xml:space="preserve"> L 178)”. </w:t>
      </w:r>
    </w:p>
    <w:p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b/>
          <w:bCs/>
          <w:sz w:val="24"/>
        </w:rPr>
      </w:pPr>
      <w:r w:rsidRPr="00DA027E">
        <w:rPr>
          <w:rFonts w:ascii="Times New Roman" w:hAnsi="Times New Roman"/>
          <w:b/>
          <w:bCs/>
          <w:sz w:val="24"/>
        </w:rPr>
        <w:t xml:space="preserve">ARTIKEL V </w:t>
      </w:r>
    </w:p>
    <w:p w:rsidRPr="00DA027E" w:rsidR="00DA027E" w:rsidP="00DA027E" w:rsidRDefault="00DA027E">
      <w:pPr>
        <w:rPr>
          <w:rFonts w:ascii="Times New Roman" w:hAnsi="Times New Roman"/>
          <w:b/>
          <w:bCs/>
          <w:sz w:val="24"/>
        </w:rPr>
      </w:pPr>
    </w:p>
    <w:p w:rsidRPr="00DA027E" w:rsidR="00DA027E" w:rsidP="00DA027E" w:rsidRDefault="00DA027E">
      <w:pPr>
        <w:rPr>
          <w:rFonts w:ascii="Times New Roman" w:hAnsi="Times New Roman"/>
          <w:sz w:val="24"/>
        </w:rPr>
      </w:pPr>
      <w:r w:rsidRPr="00DA027E">
        <w:rPr>
          <w:rFonts w:ascii="Times New Roman" w:hAnsi="Times New Roman"/>
          <w:b/>
          <w:bCs/>
          <w:sz w:val="24"/>
        </w:rPr>
        <w:tab/>
      </w:r>
      <w:r w:rsidRPr="00DA027E">
        <w:rPr>
          <w:rFonts w:ascii="Times New Roman" w:hAnsi="Times New Roman"/>
          <w:sz w:val="24"/>
        </w:rPr>
        <w:t>Artikel 113, onderdelen a en b, van</w:t>
      </w:r>
      <w:r w:rsidRPr="00DA027E">
        <w:rPr>
          <w:rFonts w:ascii="Times New Roman" w:hAnsi="Times New Roman"/>
          <w:b/>
          <w:bCs/>
          <w:sz w:val="24"/>
        </w:rPr>
        <w:t xml:space="preserve"> </w:t>
      </w:r>
      <w:r w:rsidRPr="00DA027E">
        <w:rPr>
          <w:rFonts w:ascii="Times New Roman" w:hAnsi="Times New Roman"/>
          <w:bCs/>
          <w:sz w:val="24"/>
        </w:rPr>
        <w:t>Boek 10 van het Burgerlijk Wetboek</w:t>
      </w:r>
      <w:r w:rsidRPr="00DA027E">
        <w:rPr>
          <w:rFonts w:ascii="Times New Roman" w:hAnsi="Times New Roman"/>
          <w:sz w:val="24"/>
        </w:rPr>
        <w:t xml:space="preserve"> komen te luiden: </w:t>
      </w:r>
    </w:p>
    <w:p w:rsidRPr="00DA027E" w:rsidR="00DA027E" w:rsidP="00DA027E" w:rsidRDefault="00DA027E">
      <w:pPr>
        <w:rPr>
          <w:rFonts w:ascii="Times New Roman" w:hAnsi="Times New Roman"/>
          <w:sz w:val="24"/>
        </w:rPr>
      </w:pPr>
      <w:r w:rsidRPr="00DA027E">
        <w:rPr>
          <w:rFonts w:ascii="Times New Roman" w:hAnsi="Times New Roman"/>
          <w:sz w:val="24"/>
        </w:rPr>
        <w:lastRenderedPageBreak/>
        <w:tab/>
        <w:t xml:space="preserve">a. het op 19 oktober 1996 te ’s-Gravenhage tot stand gekomen Verdrag inzake de bevoegdheid, het toepasselijke recht, de erkenning en tenuitvoerlegging en de samenwerking op het gebied van ouderlijke verantwoordelijkheid en maatregelen ter bescherming van kinderen (Trb. 1997, 299), </w:t>
      </w:r>
    </w:p>
    <w:p w:rsidRPr="00DA027E" w:rsidR="00DA027E" w:rsidP="00DA027E" w:rsidRDefault="00DA027E">
      <w:pPr>
        <w:ind w:firstLine="284"/>
        <w:rPr>
          <w:rFonts w:ascii="Times New Roman" w:hAnsi="Times New Roman"/>
          <w:sz w:val="24"/>
        </w:rPr>
      </w:pPr>
      <w:r w:rsidRPr="00DA027E">
        <w:rPr>
          <w:rFonts w:ascii="Times New Roman" w:hAnsi="Times New Roman"/>
          <w:sz w:val="24"/>
        </w:rPr>
        <w:t>b. de Verordening (EU) nr. 2019/1111 van de Raad van 25 juni 2019 betreffende de bevoegdheid, de erkenning en tenuitvoerlegging van beslissingen in huwelijkszaken en inzake de ouderlijke verantwoordelijkheid, en betreffende internationale kinderontvoering (PbEU L 178), en.</w:t>
      </w:r>
    </w:p>
    <w:p w:rsidR="00DA027E" w:rsidP="00DA027E" w:rsidRDefault="00DA027E">
      <w:pPr>
        <w:rPr>
          <w:rFonts w:ascii="Times New Roman" w:hAnsi="Times New Roman"/>
          <w:b/>
          <w:bCs/>
          <w:sz w:val="24"/>
        </w:rPr>
      </w:pPr>
    </w:p>
    <w:p w:rsidR="00DA027E" w:rsidP="00DA027E" w:rsidRDefault="00DA027E">
      <w:pPr>
        <w:rPr>
          <w:rFonts w:ascii="Times New Roman" w:hAnsi="Times New Roman"/>
          <w:b/>
          <w:bCs/>
          <w:sz w:val="24"/>
        </w:rPr>
      </w:pPr>
    </w:p>
    <w:p w:rsidRPr="009E3A00" w:rsidR="009E3A00" w:rsidP="009E3A00" w:rsidRDefault="009E3A00">
      <w:pPr>
        <w:rPr>
          <w:rFonts w:ascii="Times New Roman" w:hAnsi="Times New Roman"/>
          <w:b/>
          <w:bCs/>
          <w:sz w:val="24"/>
        </w:rPr>
      </w:pPr>
      <w:r w:rsidRPr="009E3A00">
        <w:rPr>
          <w:rFonts w:ascii="Times New Roman" w:hAnsi="Times New Roman"/>
          <w:b/>
          <w:bCs/>
          <w:sz w:val="24"/>
        </w:rPr>
        <w:t>ARTIKEL VA</w:t>
      </w:r>
    </w:p>
    <w:p w:rsidRPr="009E3A00" w:rsidR="009E3A00" w:rsidP="009E3A00" w:rsidRDefault="009E3A00">
      <w:pPr>
        <w:rPr>
          <w:rFonts w:ascii="Times New Roman" w:hAnsi="Times New Roman"/>
          <w:b/>
          <w:bCs/>
          <w:sz w:val="24"/>
        </w:rPr>
      </w:pPr>
    </w:p>
    <w:p w:rsidRPr="009E3A00" w:rsidR="009E3A00" w:rsidP="009E3A00" w:rsidRDefault="009E3A00">
      <w:pPr>
        <w:rPr>
          <w:rFonts w:ascii="Times New Roman" w:hAnsi="Times New Roman"/>
          <w:bCs/>
          <w:sz w:val="24"/>
        </w:rPr>
      </w:pPr>
      <w:r w:rsidRPr="009E3A00">
        <w:rPr>
          <w:rFonts w:ascii="Times New Roman" w:hAnsi="Times New Roman"/>
          <w:bCs/>
          <w:sz w:val="24"/>
        </w:rPr>
        <w:tab/>
        <w:t>De artikelen I, II en IV van deze wet zijn van toepassing op procedures, authentieke akten en geregistreerde overeenkomsten als bedoeld in artikel 100, eerste lid, van de Verordening (EU) nr. 2019/1111 van de Raad van 25 juni 2019 betreffende de bevoegdheid, de erkenning en tenuitvoerlegging van beslissingen in huwelijkszaken en inzake de ouderlijke verantwoordelijkheid, en betreffende internationale kinderontvoering (PbEU L 178).</w:t>
      </w:r>
    </w:p>
    <w:p w:rsidR="009E3A00" w:rsidP="00DA027E" w:rsidRDefault="009E3A00">
      <w:pPr>
        <w:rPr>
          <w:rFonts w:ascii="Times New Roman" w:hAnsi="Times New Roman"/>
          <w:b/>
          <w:bCs/>
          <w:sz w:val="24"/>
        </w:rPr>
      </w:pPr>
    </w:p>
    <w:p w:rsidRPr="00DA027E" w:rsidR="009E3A00" w:rsidP="00DA027E" w:rsidRDefault="009E3A00">
      <w:pPr>
        <w:rPr>
          <w:rFonts w:ascii="Times New Roman" w:hAnsi="Times New Roman"/>
          <w:b/>
          <w:bCs/>
          <w:sz w:val="24"/>
        </w:rPr>
      </w:pPr>
    </w:p>
    <w:p w:rsidRPr="00DA027E" w:rsidR="00DA027E" w:rsidP="00DA027E" w:rsidRDefault="00DA027E">
      <w:pPr>
        <w:rPr>
          <w:rFonts w:ascii="Times New Roman" w:hAnsi="Times New Roman"/>
          <w:b/>
          <w:bCs/>
          <w:sz w:val="24"/>
        </w:rPr>
      </w:pPr>
      <w:r w:rsidRPr="00DA027E">
        <w:rPr>
          <w:rFonts w:ascii="Times New Roman" w:hAnsi="Times New Roman"/>
          <w:b/>
          <w:bCs/>
          <w:sz w:val="24"/>
        </w:rPr>
        <w:t xml:space="preserve">ARTIKEL VI </w:t>
      </w:r>
    </w:p>
    <w:p w:rsidRPr="00DA027E" w:rsidR="00DA027E" w:rsidP="00DA027E" w:rsidRDefault="00DA027E">
      <w:pPr>
        <w:rPr>
          <w:rFonts w:ascii="Times New Roman" w:hAnsi="Times New Roman"/>
          <w:sz w:val="24"/>
        </w:rPr>
      </w:pPr>
    </w:p>
    <w:p w:rsidRPr="00DA027E" w:rsidR="00DA027E" w:rsidP="00DA027E" w:rsidRDefault="00DA027E">
      <w:pPr>
        <w:ind w:firstLine="284"/>
        <w:rPr>
          <w:rFonts w:ascii="Times New Roman" w:hAnsi="Times New Roman"/>
          <w:sz w:val="24"/>
        </w:rPr>
      </w:pPr>
      <w:r w:rsidRPr="00DA027E">
        <w:rPr>
          <w:rFonts w:ascii="Times New Roman" w:hAnsi="Times New Roman"/>
          <w:sz w:val="24"/>
        </w:rPr>
        <w:t>Deze wet treedt in werking op een bij koninklijk besluit te bepalen tijdstip, dat voor de verschillende artikelen of onderdelen daarvan verschillend kan worden vastgesteld.</w:t>
      </w:r>
    </w:p>
    <w:p w:rsidRPr="00DA027E" w:rsidR="00DA027E" w:rsidP="00DA027E" w:rsidRDefault="00DA027E">
      <w:pPr>
        <w:rPr>
          <w:rFonts w:ascii="Times New Roman" w:hAnsi="Times New Roman"/>
          <w:i/>
          <w:iCs/>
          <w:sz w:val="24"/>
        </w:rPr>
      </w:pPr>
    </w:p>
    <w:p w:rsidRPr="00DA027E" w:rsidR="00DA027E" w:rsidP="00DA027E" w:rsidRDefault="00DA027E">
      <w:pPr>
        <w:rPr>
          <w:rFonts w:ascii="Times New Roman" w:hAnsi="Times New Roman"/>
          <w:sz w:val="24"/>
        </w:rPr>
      </w:pPr>
    </w:p>
    <w:p w:rsidR="00DC15B3" w:rsidRDefault="00DC15B3">
      <w:pPr>
        <w:rPr>
          <w:rFonts w:ascii="Times New Roman" w:hAnsi="Times New Roman"/>
          <w:sz w:val="24"/>
        </w:rPr>
      </w:pPr>
      <w:r>
        <w:rPr>
          <w:rFonts w:ascii="Times New Roman" w:hAnsi="Times New Roman"/>
          <w:sz w:val="24"/>
        </w:rPr>
        <w:br w:type="page"/>
      </w:r>
    </w:p>
    <w:p w:rsidRPr="00DA027E" w:rsidR="00DA027E" w:rsidP="00DA027E" w:rsidRDefault="00DA027E">
      <w:pPr>
        <w:ind w:firstLine="284"/>
        <w:rPr>
          <w:rFonts w:ascii="Times New Roman" w:hAnsi="Times New Roman"/>
          <w:sz w:val="24"/>
        </w:rPr>
      </w:pPr>
      <w:r w:rsidRPr="00DA027E">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DA027E" w:rsidR="00DA027E" w:rsidP="00DA027E" w:rsidRDefault="00DA027E">
      <w:pPr>
        <w:rPr>
          <w:rFonts w:ascii="Times New Roman" w:hAnsi="Times New Roman"/>
          <w:sz w:val="24"/>
        </w:rPr>
      </w:pPr>
    </w:p>
    <w:p w:rsidR="00DA027E" w:rsidP="00DA027E" w:rsidRDefault="00DA027E">
      <w:pPr>
        <w:rPr>
          <w:rFonts w:ascii="Times New Roman" w:hAnsi="Times New Roman"/>
          <w:sz w:val="24"/>
        </w:rPr>
      </w:pPr>
      <w:r w:rsidRPr="00DA027E">
        <w:rPr>
          <w:rFonts w:ascii="Times New Roman" w:hAnsi="Times New Roman"/>
          <w:sz w:val="24"/>
        </w:rPr>
        <w:t>Gegev</w:t>
      </w:r>
      <w:r w:rsidR="00735C0C">
        <w:rPr>
          <w:rFonts w:ascii="Times New Roman" w:hAnsi="Times New Roman"/>
          <w:sz w:val="24"/>
        </w:rPr>
        <w:t>en</w:t>
      </w:r>
    </w:p>
    <w:p w:rsidR="00DA027E" w:rsidP="00DA027E" w:rsidRDefault="00DA027E">
      <w:pPr>
        <w:rPr>
          <w:rFonts w:ascii="Times New Roman" w:hAnsi="Times New Roman"/>
          <w:sz w:val="24"/>
        </w:rPr>
      </w:pPr>
    </w:p>
    <w:p w:rsidR="00DA027E" w:rsidP="00DA027E" w:rsidRDefault="00DA027E">
      <w:pPr>
        <w:rPr>
          <w:rFonts w:ascii="Times New Roman" w:hAnsi="Times New Roman"/>
          <w:sz w:val="24"/>
        </w:rPr>
      </w:pPr>
    </w:p>
    <w:p w:rsidR="00DA027E" w:rsidP="00DA027E" w:rsidRDefault="00DA027E">
      <w:pPr>
        <w:rPr>
          <w:rFonts w:ascii="Times New Roman" w:hAnsi="Times New Roman"/>
          <w:sz w:val="24"/>
        </w:rPr>
      </w:pPr>
    </w:p>
    <w:p w:rsidR="00DA027E" w:rsidP="00DA027E" w:rsidRDefault="00DA027E">
      <w:pPr>
        <w:rPr>
          <w:rFonts w:ascii="Times New Roman" w:hAnsi="Times New Roman"/>
          <w:sz w:val="24"/>
        </w:rPr>
      </w:pPr>
    </w:p>
    <w:p w:rsidR="00DA027E" w:rsidP="00DA027E" w:rsidRDefault="00DA027E">
      <w:pPr>
        <w:rPr>
          <w:rFonts w:ascii="Times New Roman" w:hAnsi="Times New Roman"/>
          <w:sz w:val="24"/>
        </w:rPr>
      </w:pPr>
    </w:p>
    <w:p w:rsidR="00DA027E" w:rsidP="00DA027E" w:rsidRDefault="00DA027E">
      <w:pPr>
        <w:rPr>
          <w:rFonts w:ascii="Times New Roman" w:hAnsi="Times New Roman"/>
          <w:sz w:val="24"/>
        </w:rPr>
      </w:pPr>
    </w:p>
    <w:p w:rsidR="00DA027E" w:rsidP="00DA027E" w:rsidRDefault="00DA027E">
      <w:pPr>
        <w:rPr>
          <w:rFonts w:ascii="Times New Roman" w:hAnsi="Times New Roman"/>
          <w:sz w:val="24"/>
        </w:rPr>
      </w:pPr>
    </w:p>
    <w:p w:rsidR="00DA027E" w:rsidP="00DA027E" w:rsidRDefault="00DA027E">
      <w:pPr>
        <w:rPr>
          <w:rFonts w:ascii="Times New Roman" w:hAnsi="Times New Roman"/>
          <w:sz w:val="24"/>
        </w:rPr>
      </w:pPr>
    </w:p>
    <w:p w:rsidR="00DA027E" w:rsidP="00DA027E" w:rsidRDefault="00DA027E">
      <w:pPr>
        <w:rPr>
          <w:rFonts w:ascii="Times New Roman" w:hAnsi="Times New Roman"/>
          <w:sz w:val="24"/>
        </w:rPr>
      </w:pPr>
    </w:p>
    <w:p w:rsidR="00735C0C" w:rsidP="00735C0C" w:rsidRDefault="00DA027E">
      <w:pPr>
        <w:rPr>
          <w:rFonts w:ascii="Times New Roman" w:hAnsi="Times New Roman"/>
          <w:sz w:val="24"/>
        </w:rPr>
      </w:pPr>
      <w:r w:rsidRPr="00DA027E">
        <w:rPr>
          <w:rFonts w:ascii="Times New Roman" w:hAnsi="Times New Roman"/>
          <w:sz w:val="24"/>
        </w:rPr>
        <w:t>De Minister voor Rechtsbescherming</w:t>
      </w:r>
      <w:r w:rsidR="00735C0C">
        <w:rPr>
          <w:rFonts w:ascii="Times New Roman" w:hAnsi="Times New Roman"/>
          <w:sz w:val="24"/>
        </w:rPr>
        <w:t>,</w:t>
      </w:r>
      <w:r w:rsidRPr="00735C0C" w:rsidR="00735C0C">
        <w:rPr>
          <w:rFonts w:ascii="Times New Roman" w:hAnsi="Times New Roman"/>
          <w:sz w:val="24"/>
        </w:rPr>
        <w:t xml:space="preserve"> </w:t>
      </w:r>
      <w:bookmarkStart w:name="_GoBack" w:id="0"/>
      <w:bookmarkEnd w:id="0"/>
    </w:p>
    <w:sectPr w:rsidR="00735C0C"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27E" w:rsidRDefault="00DA027E">
      <w:pPr>
        <w:spacing w:line="20" w:lineRule="exact"/>
      </w:pPr>
    </w:p>
  </w:endnote>
  <w:endnote w:type="continuationSeparator" w:id="0">
    <w:p w:rsidR="00DA027E" w:rsidRDefault="00DA027E">
      <w:pPr>
        <w:pStyle w:val="Amendement"/>
      </w:pPr>
      <w:r>
        <w:rPr>
          <w:b w:val="0"/>
          <w:bCs w:val="0"/>
        </w:rPr>
        <w:t xml:space="preserve"> </w:t>
      </w:r>
    </w:p>
  </w:endnote>
  <w:endnote w:type="continuationNotice" w:id="1">
    <w:p w:rsidR="00DA027E" w:rsidRDefault="00DA027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35C0C">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27E" w:rsidRDefault="00DA027E">
      <w:pPr>
        <w:pStyle w:val="Amendement"/>
      </w:pPr>
      <w:r>
        <w:rPr>
          <w:b w:val="0"/>
          <w:bCs w:val="0"/>
        </w:rPr>
        <w:separator/>
      </w:r>
    </w:p>
  </w:footnote>
  <w:footnote w:type="continuationSeparator" w:id="0">
    <w:p w:rsidR="00DA027E" w:rsidRDefault="00DA0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7E"/>
    <w:rsid w:val="00012DBE"/>
    <w:rsid w:val="000A1D81"/>
    <w:rsid w:val="000D3BF6"/>
    <w:rsid w:val="00111ED3"/>
    <w:rsid w:val="001C190E"/>
    <w:rsid w:val="002168F4"/>
    <w:rsid w:val="002A727C"/>
    <w:rsid w:val="002D64A7"/>
    <w:rsid w:val="005D2707"/>
    <w:rsid w:val="00606255"/>
    <w:rsid w:val="006B607A"/>
    <w:rsid w:val="00735C0C"/>
    <w:rsid w:val="007D451C"/>
    <w:rsid w:val="00826224"/>
    <w:rsid w:val="00920D86"/>
    <w:rsid w:val="00930A23"/>
    <w:rsid w:val="009C7354"/>
    <w:rsid w:val="009E3A00"/>
    <w:rsid w:val="009E6D7F"/>
    <w:rsid w:val="00A11E73"/>
    <w:rsid w:val="00A2521E"/>
    <w:rsid w:val="00AE436A"/>
    <w:rsid w:val="00C135B1"/>
    <w:rsid w:val="00C92DF8"/>
    <w:rsid w:val="00CB3578"/>
    <w:rsid w:val="00D20AFA"/>
    <w:rsid w:val="00D55648"/>
    <w:rsid w:val="00DA027E"/>
    <w:rsid w:val="00DC15B3"/>
    <w:rsid w:val="00E16443"/>
    <w:rsid w:val="00E36EE9"/>
    <w:rsid w:val="00E84B65"/>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3CE40"/>
  <w15:docId w15:val="{077BAB96-3B06-4B98-A3C9-68796F0D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DC15B3"/>
    <w:rPr>
      <w:rFonts w:ascii="Segoe UI" w:hAnsi="Segoe UI" w:cs="Segoe UI"/>
      <w:sz w:val="18"/>
      <w:szCs w:val="18"/>
    </w:rPr>
  </w:style>
  <w:style w:type="character" w:customStyle="1" w:styleId="BallontekstChar">
    <w:name w:val="Ballontekst Char"/>
    <w:basedOn w:val="Standaardalinea-lettertype"/>
    <w:link w:val="Ballontekst"/>
    <w:semiHidden/>
    <w:rsid w:val="00DC15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2224</ap:Words>
  <ap:Characters>12705</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14900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2022-01-20T11:37:00.0000000Z</lastPrinted>
  <dcterms:created xsi:type="dcterms:W3CDTF">2022-01-20T11:22:00.0000000Z</dcterms:created>
  <dcterms:modified xsi:type="dcterms:W3CDTF">2022-01-20T11:38:00.0000000Z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