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43D5" w:rsidR="00D309B7" w:rsidP="00701A17" w:rsidRDefault="009C1EB1" w14:paraId="4DAB48CB" w14:textId="2DDDD5AA">
      <w:pPr>
        <w:spacing w:after="0"/>
        <w:rPr>
          <w:rFonts w:eastAsia="Malgun Gothic"/>
          <w:b/>
          <w:szCs w:val="18"/>
          <w:lang w:val="nl-NL" w:eastAsia="ko-KR"/>
        </w:rPr>
      </w:pPr>
      <w:r w:rsidRPr="009743D5">
        <w:rPr>
          <w:b/>
          <w:szCs w:val="18"/>
          <w:lang w:val="nl-NL"/>
        </w:rPr>
        <w:t>GEANNOTEERDE AGENDA RAAD BUITENLANDSE ZAKEN</w:t>
      </w:r>
      <w:r w:rsidR="009C3E5D">
        <w:rPr>
          <w:b/>
          <w:szCs w:val="18"/>
          <w:lang w:val="nl-NL"/>
        </w:rPr>
        <w:t xml:space="preserve"> </w:t>
      </w:r>
      <w:r w:rsidRPr="009743D5" w:rsidR="007972BF">
        <w:rPr>
          <w:b/>
          <w:szCs w:val="18"/>
          <w:lang w:val="nl-NL"/>
        </w:rPr>
        <w:t>HANDEL</w:t>
      </w:r>
      <w:r w:rsidRPr="009743D5">
        <w:rPr>
          <w:b/>
          <w:szCs w:val="18"/>
          <w:lang w:val="nl-NL"/>
        </w:rPr>
        <w:t xml:space="preserve"> VAN </w:t>
      </w:r>
      <w:r w:rsidR="00D46823">
        <w:rPr>
          <w:b/>
          <w:szCs w:val="18"/>
          <w:lang w:val="nl-NL"/>
        </w:rPr>
        <w:t>3 JUNI 2022 EN DE RAAD BUITENLANDSE ZAKEN</w:t>
      </w:r>
      <w:r w:rsidR="009C3E5D">
        <w:rPr>
          <w:b/>
          <w:szCs w:val="18"/>
          <w:lang w:val="nl-NL"/>
        </w:rPr>
        <w:t xml:space="preserve"> </w:t>
      </w:r>
      <w:r w:rsidR="00D46823">
        <w:rPr>
          <w:b/>
          <w:szCs w:val="18"/>
          <w:lang w:val="nl-NL"/>
        </w:rPr>
        <w:t>HANDEL VAN 12 JUNI 2022</w:t>
      </w:r>
    </w:p>
    <w:p w:rsidR="008C757F" w:rsidP="00701A17" w:rsidRDefault="008C757F" w14:paraId="7E189A6D" w14:textId="77777777">
      <w:pPr>
        <w:pStyle w:val="NoSpacing"/>
        <w:rPr>
          <w:szCs w:val="18"/>
          <w:highlight w:val="yellow"/>
          <w:lang w:val="nl-NL"/>
        </w:rPr>
      </w:pPr>
    </w:p>
    <w:p w:rsidR="006D5A7F" w:rsidP="00701A17" w:rsidRDefault="00411529" w14:paraId="13D3A059" w14:textId="2BD4546B">
      <w:pPr>
        <w:pStyle w:val="NoSpacing"/>
        <w:rPr>
          <w:szCs w:val="18"/>
          <w:lang w:val="nl-NL"/>
        </w:rPr>
      </w:pPr>
      <w:r w:rsidRPr="00411529">
        <w:rPr>
          <w:iCs/>
          <w:szCs w:val="18"/>
          <w:lang w:val="nl-NL"/>
        </w:rPr>
        <w:t xml:space="preserve">Op </w:t>
      </w:r>
      <w:r>
        <w:rPr>
          <w:iCs/>
          <w:szCs w:val="18"/>
          <w:lang w:val="nl-NL"/>
        </w:rPr>
        <w:t>3 juni</w:t>
      </w:r>
      <w:r w:rsidRPr="00411529">
        <w:rPr>
          <w:iCs/>
          <w:szCs w:val="18"/>
          <w:lang w:val="nl-NL"/>
        </w:rPr>
        <w:t xml:space="preserve"> 2022 zal in </w:t>
      </w:r>
      <w:r>
        <w:rPr>
          <w:iCs/>
          <w:szCs w:val="18"/>
          <w:lang w:val="nl-NL"/>
        </w:rPr>
        <w:t xml:space="preserve">Luxemburg </w:t>
      </w:r>
      <w:r w:rsidRPr="00411529">
        <w:rPr>
          <w:iCs/>
          <w:szCs w:val="18"/>
          <w:lang w:val="nl-NL"/>
        </w:rPr>
        <w:t xml:space="preserve">de Raad Buitenlandse Zaken Handel onder Frans voorzitterschap plaatsvinden. Tijdens de Raad zal worden gesproken over de WTO, de handelsrelatie tussen de EU en de VS, in het bijzonder de handels- en investering gerelateerde onderwerpen van de EU-VS </w:t>
      </w:r>
      <w:r w:rsidRPr="00497F57">
        <w:rPr>
          <w:i/>
          <w:szCs w:val="18"/>
          <w:lang w:val="nl-NL"/>
        </w:rPr>
        <w:t xml:space="preserve">Trade </w:t>
      </w:r>
      <w:proofErr w:type="spellStart"/>
      <w:r w:rsidRPr="00497F57">
        <w:rPr>
          <w:i/>
          <w:szCs w:val="18"/>
          <w:lang w:val="nl-NL"/>
        </w:rPr>
        <w:t>and</w:t>
      </w:r>
      <w:proofErr w:type="spellEnd"/>
      <w:r w:rsidRPr="00497F57">
        <w:rPr>
          <w:i/>
          <w:szCs w:val="18"/>
          <w:lang w:val="nl-NL"/>
        </w:rPr>
        <w:t xml:space="preserve"> Technology Council</w:t>
      </w:r>
      <w:r w:rsidRPr="00411529">
        <w:rPr>
          <w:iCs/>
          <w:szCs w:val="18"/>
          <w:lang w:val="nl-NL"/>
        </w:rPr>
        <w:t xml:space="preserve"> (TTC)</w:t>
      </w:r>
      <w:r w:rsidR="0041509F">
        <w:rPr>
          <w:iCs/>
          <w:szCs w:val="18"/>
          <w:lang w:val="nl-NL"/>
        </w:rPr>
        <w:t>, en de handelsbetrekkingen met China</w:t>
      </w:r>
      <w:r w:rsidRPr="00411529">
        <w:rPr>
          <w:iCs/>
          <w:szCs w:val="18"/>
          <w:lang w:val="nl-NL"/>
        </w:rPr>
        <w:t>. Daarnaast zal de</w:t>
      </w:r>
      <w:r w:rsidR="0041509F">
        <w:rPr>
          <w:iCs/>
          <w:szCs w:val="18"/>
          <w:lang w:val="nl-NL"/>
        </w:rPr>
        <w:t xml:space="preserve"> Commissie </w:t>
      </w:r>
      <w:r w:rsidRPr="00411529">
        <w:rPr>
          <w:iCs/>
          <w:szCs w:val="18"/>
          <w:lang w:val="nl-NL"/>
        </w:rPr>
        <w:t xml:space="preserve">tijdens de lunch </w:t>
      </w:r>
      <w:r w:rsidR="0041509F">
        <w:rPr>
          <w:iCs/>
          <w:szCs w:val="18"/>
          <w:lang w:val="nl-NL"/>
        </w:rPr>
        <w:t>de Raad informeren over de implementatie van EU-handelsakkoorden</w:t>
      </w:r>
      <w:r w:rsidR="00053D1C">
        <w:rPr>
          <w:iCs/>
          <w:szCs w:val="18"/>
          <w:lang w:val="nl-NL"/>
        </w:rPr>
        <w:t xml:space="preserve"> en over een aantal lopende onderhandelingen.</w:t>
      </w:r>
    </w:p>
    <w:p w:rsidR="0041509F" w:rsidP="00701A17" w:rsidRDefault="0041509F" w14:paraId="61077FC4" w14:textId="77BD60D6">
      <w:pPr>
        <w:pStyle w:val="NoSpacing"/>
        <w:rPr>
          <w:iCs/>
          <w:szCs w:val="18"/>
          <w:lang w:val="nl-NL"/>
        </w:rPr>
      </w:pPr>
    </w:p>
    <w:p w:rsidRPr="00411529" w:rsidR="0041509F" w:rsidP="00701A17" w:rsidRDefault="0041509F" w14:paraId="3738DB64" w14:textId="6DE785C6">
      <w:pPr>
        <w:pStyle w:val="NoSpacing"/>
        <w:rPr>
          <w:iCs/>
          <w:szCs w:val="18"/>
          <w:lang w:val="nl-NL"/>
        </w:rPr>
      </w:pPr>
      <w:r>
        <w:rPr>
          <w:iCs/>
          <w:szCs w:val="18"/>
          <w:lang w:val="nl-NL"/>
        </w:rPr>
        <w:t>Op 12 juni 2022 zal de Raad kort in Gen</w:t>
      </w:r>
      <w:r w:rsidR="009C3E5D">
        <w:rPr>
          <w:iCs/>
          <w:szCs w:val="18"/>
          <w:lang w:val="nl-NL"/>
        </w:rPr>
        <w:t>è</w:t>
      </w:r>
      <w:r>
        <w:rPr>
          <w:iCs/>
          <w:szCs w:val="18"/>
          <w:lang w:val="nl-NL"/>
        </w:rPr>
        <w:t>ve samenkomen ter coördinatie en bespreking van de laatste stand van zaken voor de Ministeriele Conferentie van de WTO (MC12)</w:t>
      </w:r>
      <w:r w:rsidR="006F71B0">
        <w:rPr>
          <w:iCs/>
          <w:szCs w:val="18"/>
          <w:lang w:val="nl-NL"/>
        </w:rPr>
        <w:t>, die zal plaatsvinden van 12-15 juni 2022</w:t>
      </w:r>
      <w:r w:rsidR="0053529D">
        <w:rPr>
          <w:rStyle w:val="FootnoteReference"/>
          <w:iCs/>
          <w:szCs w:val="18"/>
          <w:lang w:val="nl-NL"/>
        </w:rPr>
        <w:footnoteReference w:id="2"/>
      </w:r>
      <w:r>
        <w:rPr>
          <w:iCs/>
          <w:szCs w:val="18"/>
          <w:lang w:val="nl-NL"/>
        </w:rPr>
        <w:t>.</w:t>
      </w:r>
      <w:r w:rsidR="000879B6">
        <w:rPr>
          <w:iCs/>
          <w:szCs w:val="18"/>
          <w:lang w:val="nl-NL"/>
        </w:rPr>
        <w:t xml:space="preserve"> </w:t>
      </w:r>
      <w:r w:rsidR="005D0F45">
        <w:rPr>
          <w:iCs/>
          <w:szCs w:val="18"/>
          <w:lang w:val="nl-NL"/>
        </w:rPr>
        <w:t xml:space="preserve">Afhankelijk van het verloop van MC12 </w:t>
      </w:r>
      <w:r w:rsidR="000879B6">
        <w:rPr>
          <w:iCs/>
          <w:szCs w:val="18"/>
          <w:lang w:val="nl-NL"/>
        </w:rPr>
        <w:t>zal de Raad opnieuw samen komen op 15 of 16 juni</w:t>
      </w:r>
      <w:r w:rsidR="005D0F45">
        <w:rPr>
          <w:iCs/>
          <w:szCs w:val="18"/>
          <w:lang w:val="nl-NL"/>
        </w:rPr>
        <w:t xml:space="preserve"> 2022</w:t>
      </w:r>
      <w:r w:rsidR="000879B6">
        <w:rPr>
          <w:iCs/>
          <w:szCs w:val="18"/>
          <w:lang w:val="nl-NL"/>
        </w:rPr>
        <w:t xml:space="preserve"> om </w:t>
      </w:r>
      <w:r w:rsidR="005D0F45">
        <w:rPr>
          <w:iCs/>
          <w:szCs w:val="18"/>
          <w:lang w:val="nl-NL"/>
        </w:rPr>
        <w:t xml:space="preserve">stil te staan bij </w:t>
      </w:r>
      <w:r w:rsidR="000879B6">
        <w:rPr>
          <w:iCs/>
          <w:szCs w:val="18"/>
          <w:lang w:val="nl-NL"/>
        </w:rPr>
        <w:t xml:space="preserve">de uitkomsten van </w:t>
      </w:r>
      <w:r w:rsidR="005D0F45">
        <w:rPr>
          <w:iCs/>
          <w:szCs w:val="18"/>
          <w:lang w:val="nl-NL"/>
        </w:rPr>
        <w:t>de conferentie</w:t>
      </w:r>
      <w:r w:rsidR="000879B6">
        <w:rPr>
          <w:iCs/>
          <w:szCs w:val="18"/>
          <w:lang w:val="nl-NL"/>
        </w:rPr>
        <w:t>.</w:t>
      </w:r>
    </w:p>
    <w:p w:rsidRPr="00AF0630" w:rsidR="00895EC0" w:rsidP="00701A17" w:rsidRDefault="00895EC0" w14:paraId="1231456C" w14:textId="77777777">
      <w:pPr>
        <w:pStyle w:val="NoSpacing"/>
        <w:rPr>
          <w:rFonts w:cs="Times New Roman"/>
          <w:szCs w:val="18"/>
          <w:lang w:val="nl-NL" w:eastAsia="ja-JP"/>
        </w:rPr>
      </w:pPr>
    </w:p>
    <w:p w:rsidR="008C757F" w:rsidP="00701A17" w:rsidRDefault="00FF0026" w14:paraId="0806B046" w14:textId="2DF54BE8">
      <w:pPr>
        <w:pStyle w:val="NoSpacing"/>
        <w:rPr>
          <w:b/>
          <w:color w:val="FF0000"/>
          <w:szCs w:val="18"/>
          <w:lang w:val="nl-NL"/>
        </w:rPr>
      </w:pPr>
      <w:r>
        <w:rPr>
          <w:b/>
          <w:szCs w:val="18"/>
          <w:lang w:val="nl-NL"/>
        </w:rPr>
        <w:t>Inzet</w:t>
      </w:r>
      <w:r w:rsidR="00D46823">
        <w:rPr>
          <w:b/>
          <w:szCs w:val="18"/>
          <w:lang w:val="nl-NL"/>
        </w:rPr>
        <w:t xml:space="preserve"> WTO MC12</w:t>
      </w:r>
    </w:p>
    <w:p w:rsidR="00FF0026" w:rsidP="00701A17" w:rsidRDefault="00FF0026" w14:paraId="4D21F5A8" w14:textId="77777777">
      <w:pPr>
        <w:pStyle w:val="NoSpacing"/>
        <w:rPr>
          <w:b/>
          <w:szCs w:val="18"/>
          <w:lang w:val="nl-NL"/>
        </w:rPr>
      </w:pPr>
    </w:p>
    <w:p w:rsidR="00FF0026" w:rsidP="00701A17" w:rsidRDefault="00FF0026" w14:paraId="1585EFCB" w14:textId="2346E848">
      <w:pPr>
        <w:pStyle w:val="NoSpacing"/>
        <w:rPr>
          <w:color w:val="211D1F"/>
          <w:szCs w:val="18"/>
          <w:lang w:val="nl-NL"/>
        </w:rPr>
      </w:pPr>
      <w:r w:rsidRPr="00FF0026">
        <w:rPr>
          <w:color w:val="211D1F"/>
          <w:szCs w:val="18"/>
          <w:lang w:val="nl-NL"/>
        </w:rPr>
        <w:t xml:space="preserve">De Raad zal </w:t>
      </w:r>
      <w:r>
        <w:rPr>
          <w:color w:val="211D1F"/>
          <w:szCs w:val="18"/>
          <w:lang w:val="nl-NL"/>
        </w:rPr>
        <w:t xml:space="preserve">op 3 juni </w:t>
      </w:r>
      <w:r w:rsidR="009C3E5D">
        <w:rPr>
          <w:color w:val="211D1F"/>
          <w:szCs w:val="18"/>
          <w:lang w:val="nl-NL"/>
        </w:rPr>
        <w:t>2022</w:t>
      </w:r>
      <w:r w:rsidR="00497F57">
        <w:rPr>
          <w:color w:val="211D1F"/>
          <w:szCs w:val="18"/>
          <w:lang w:val="nl-NL"/>
        </w:rPr>
        <w:t xml:space="preserve"> </w:t>
      </w:r>
      <w:r>
        <w:rPr>
          <w:color w:val="211D1F"/>
          <w:szCs w:val="18"/>
          <w:lang w:val="nl-NL"/>
        </w:rPr>
        <w:t>de Europese inzet voor de 12</w:t>
      </w:r>
      <w:r w:rsidRPr="00FF0026">
        <w:rPr>
          <w:color w:val="211D1F"/>
          <w:szCs w:val="18"/>
          <w:vertAlign w:val="superscript"/>
          <w:lang w:val="nl-NL"/>
        </w:rPr>
        <w:t>e</w:t>
      </w:r>
      <w:r>
        <w:rPr>
          <w:color w:val="211D1F"/>
          <w:szCs w:val="18"/>
          <w:lang w:val="nl-NL"/>
        </w:rPr>
        <w:t xml:space="preserve"> Ministeri</w:t>
      </w:r>
      <w:r w:rsidRPr="00FF0026">
        <w:rPr>
          <w:color w:val="211D1F"/>
          <w:szCs w:val="18"/>
          <w:lang w:val="nl-NL"/>
        </w:rPr>
        <w:t xml:space="preserve">ële Conferentie van de WTO </w:t>
      </w:r>
      <w:r w:rsidR="007E20E9">
        <w:rPr>
          <w:color w:val="211D1F"/>
          <w:szCs w:val="18"/>
          <w:lang w:val="nl-NL"/>
        </w:rPr>
        <w:t xml:space="preserve">(WTO MC12) </w:t>
      </w:r>
      <w:r w:rsidRPr="00FF0026">
        <w:rPr>
          <w:color w:val="211D1F"/>
          <w:szCs w:val="18"/>
          <w:lang w:val="nl-NL"/>
        </w:rPr>
        <w:t>bespreken, die van 12 t</w:t>
      </w:r>
      <w:r w:rsidR="007E20E9">
        <w:rPr>
          <w:color w:val="211D1F"/>
          <w:szCs w:val="18"/>
          <w:lang w:val="nl-NL"/>
        </w:rPr>
        <w:t>ot en met</w:t>
      </w:r>
      <w:r w:rsidRPr="00FF0026">
        <w:rPr>
          <w:color w:val="211D1F"/>
          <w:szCs w:val="18"/>
          <w:lang w:val="nl-NL"/>
        </w:rPr>
        <w:t xml:space="preserve"> 15 juni </w:t>
      </w:r>
      <w:r w:rsidR="009C3E5D">
        <w:rPr>
          <w:color w:val="211D1F"/>
          <w:szCs w:val="18"/>
          <w:lang w:val="nl-NL"/>
        </w:rPr>
        <w:t>2022</w:t>
      </w:r>
      <w:r w:rsidRPr="00FF0026">
        <w:rPr>
          <w:color w:val="211D1F"/>
          <w:szCs w:val="18"/>
          <w:lang w:val="nl-NL"/>
        </w:rPr>
        <w:t xml:space="preserve"> in Gen</w:t>
      </w:r>
      <w:r>
        <w:rPr>
          <w:color w:val="211D1F"/>
          <w:szCs w:val="18"/>
          <w:lang w:val="nl-NL"/>
        </w:rPr>
        <w:t xml:space="preserve">ève plaats zal vinden. </w:t>
      </w:r>
    </w:p>
    <w:p w:rsidR="00FF0026" w:rsidP="00701A17" w:rsidRDefault="00FF0026" w14:paraId="7AE69001" w14:textId="25E9269F">
      <w:pPr>
        <w:pStyle w:val="NoSpacing"/>
        <w:rPr>
          <w:color w:val="211D1F"/>
          <w:szCs w:val="18"/>
          <w:lang w:val="nl-NL"/>
        </w:rPr>
      </w:pPr>
    </w:p>
    <w:p w:rsidR="00D0006A" w:rsidP="00701A17" w:rsidRDefault="00D0006A" w14:paraId="54119C0B" w14:textId="1C54B062">
      <w:pPr>
        <w:spacing w:after="0"/>
        <w:rPr>
          <w:szCs w:val="18"/>
          <w:lang w:val="nl-NL"/>
        </w:rPr>
      </w:pPr>
      <w:r w:rsidRPr="00D0006A">
        <w:rPr>
          <w:bCs/>
          <w:szCs w:val="18"/>
          <w:lang w:val="nl-NL"/>
        </w:rPr>
        <w:t>Het krachtenveld binnen de WTO leent zich helaas slecht voor grote doorbraken</w:t>
      </w:r>
      <w:r>
        <w:rPr>
          <w:bCs/>
          <w:szCs w:val="18"/>
          <w:lang w:val="nl-NL"/>
        </w:rPr>
        <w:t xml:space="preserve"> tijdens MC12. Al voorafgaand aan de uitgestelde Conferentie in november-december</w:t>
      </w:r>
      <w:r w:rsidR="004C5327">
        <w:rPr>
          <w:bCs/>
          <w:szCs w:val="18"/>
          <w:lang w:val="nl-NL"/>
        </w:rPr>
        <w:t xml:space="preserve"> 2021</w:t>
      </w:r>
      <w:r>
        <w:rPr>
          <w:bCs/>
          <w:szCs w:val="18"/>
          <w:lang w:val="nl-NL"/>
        </w:rPr>
        <w:t xml:space="preserve"> </w:t>
      </w:r>
      <w:r w:rsidR="00505046">
        <w:rPr>
          <w:bCs/>
          <w:szCs w:val="18"/>
          <w:lang w:val="nl-NL"/>
        </w:rPr>
        <w:t xml:space="preserve">was het maar zeer de vraag of </w:t>
      </w:r>
      <w:r>
        <w:rPr>
          <w:bCs/>
          <w:szCs w:val="18"/>
          <w:lang w:val="nl-NL"/>
        </w:rPr>
        <w:t>de beoogde resultaten bereik</w:t>
      </w:r>
      <w:r w:rsidR="00505046">
        <w:rPr>
          <w:bCs/>
          <w:szCs w:val="18"/>
          <w:lang w:val="nl-NL"/>
        </w:rPr>
        <w:t>t konden worden</w:t>
      </w:r>
      <w:r>
        <w:rPr>
          <w:bCs/>
          <w:szCs w:val="18"/>
          <w:lang w:val="nl-NL"/>
        </w:rPr>
        <w:t>. De Russische invasie heeft deze situatie verder gecompliceerd.</w:t>
      </w:r>
      <w:r w:rsidRPr="00D0006A">
        <w:rPr>
          <w:bCs/>
          <w:szCs w:val="18"/>
          <w:lang w:val="nl-NL"/>
        </w:rPr>
        <w:t xml:space="preserve"> Nederland zal in de Raad desalniettemin inzetten op </w:t>
      </w:r>
      <w:r>
        <w:rPr>
          <w:bCs/>
          <w:szCs w:val="18"/>
          <w:lang w:val="nl-NL"/>
        </w:rPr>
        <w:t>een</w:t>
      </w:r>
      <w:r w:rsidRPr="00D0006A">
        <w:rPr>
          <w:bCs/>
          <w:szCs w:val="18"/>
          <w:lang w:val="nl-NL"/>
        </w:rPr>
        <w:t xml:space="preserve"> zo ambitieus mogelijke </w:t>
      </w:r>
      <w:r>
        <w:rPr>
          <w:bCs/>
          <w:szCs w:val="18"/>
          <w:lang w:val="nl-NL"/>
        </w:rPr>
        <w:t xml:space="preserve">inzet </w:t>
      </w:r>
      <w:r w:rsidRPr="00D0006A">
        <w:rPr>
          <w:bCs/>
          <w:szCs w:val="18"/>
          <w:lang w:val="nl-NL"/>
        </w:rPr>
        <w:t>voor MC12</w:t>
      </w:r>
      <w:r w:rsidRPr="00D0006A">
        <w:rPr>
          <w:szCs w:val="18"/>
          <w:lang w:val="nl-NL"/>
        </w:rPr>
        <w:t>.</w:t>
      </w:r>
    </w:p>
    <w:p w:rsidR="00D0006A" w:rsidP="00701A17" w:rsidRDefault="00D0006A" w14:paraId="1BFBBE68" w14:textId="586A9F07">
      <w:pPr>
        <w:spacing w:after="0"/>
        <w:rPr>
          <w:szCs w:val="18"/>
          <w:lang w:val="nl-NL"/>
        </w:rPr>
      </w:pPr>
    </w:p>
    <w:p w:rsidRPr="008A6DB9" w:rsidR="008A6DB9" w:rsidP="00701A17" w:rsidRDefault="00D0006A" w14:paraId="68F08715" w14:textId="4F59B4C8">
      <w:pPr>
        <w:spacing w:after="0"/>
        <w:rPr>
          <w:b/>
          <w:szCs w:val="18"/>
          <w:lang w:val="nl-NL"/>
        </w:rPr>
      </w:pPr>
      <w:r>
        <w:rPr>
          <w:szCs w:val="18"/>
          <w:lang w:val="nl-NL"/>
        </w:rPr>
        <w:t xml:space="preserve">Een nieuw thema voor MC12 is voedselzekerheid. </w:t>
      </w:r>
      <w:r w:rsidRPr="00D0006A">
        <w:rPr>
          <w:bCs/>
          <w:szCs w:val="18"/>
          <w:lang w:val="nl-NL"/>
        </w:rPr>
        <w:t xml:space="preserve">De economische gevolgen van de Russische agressie in Oekraïne maken opnieuw het belang duidelijk van open handel in landbouwgoederen ten behoeve van de mondiale voedselzekerheid. Recentelijk is hier al een </w:t>
      </w:r>
      <w:proofErr w:type="spellStart"/>
      <w:r w:rsidRPr="00D0006A">
        <w:rPr>
          <w:bCs/>
          <w:szCs w:val="18"/>
          <w:lang w:val="nl-NL"/>
        </w:rPr>
        <w:t>plurilaterale</w:t>
      </w:r>
      <w:proofErr w:type="spellEnd"/>
      <w:r w:rsidRPr="00D0006A">
        <w:rPr>
          <w:bCs/>
          <w:szCs w:val="18"/>
          <w:lang w:val="nl-NL"/>
        </w:rPr>
        <w:t xml:space="preserve"> verklaring over uitgegaan in de WTO, met steun van Nederland en de EU.</w:t>
      </w:r>
      <w:r w:rsidRPr="009C3E5D">
        <w:rPr>
          <w:bCs/>
          <w:szCs w:val="18"/>
          <w:lang w:val="nl-NL"/>
        </w:rPr>
        <w:t xml:space="preserve"> </w:t>
      </w:r>
      <w:r w:rsidRPr="00D0006A">
        <w:rPr>
          <w:szCs w:val="18"/>
          <w:lang w:val="nl-NL"/>
        </w:rPr>
        <w:t>N</w:t>
      </w:r>
      <w:r>
        <w:rPr>
          <w:szCs w:val="18"/>
          <w:lang w:val="nl-NL"/>
        </w:rPr>
        <w:t>ederland zal in de Raad</w:t>
      </w:r>
      <w:r w:rsidRPr="00D0006A">
        <w:rPr>
          <w:szCs w:val="18"/>
          <w:lang w:val="nl-NL"/>
        </w:rPr>
        <w:t xml:space="preserve"> </w:t>
      </w:r>
      <w:r>
        <w:rPr>
          <w:szCs w:val="18"/>
          <w:lang w:val="nl-NL"/>
        </w:rPr>
        <w:t>steun uitspreken voor de inzet van de EU</w:t>
      </w:r>
      <w:r w:rsidRPr="00D0006A">
        <w:rPr>
          <w:szCs w:val="18"/>
          <w:lang w:val="nl-NL"/>
        </w:rPr>
        <w:t xml:space="preserve"> om </w:t>
      </w:r>
      <w:r w:rsidR="00025957">
        <w:rPr>
          <w:szCs w:val="18"/>
          <w:lang w:val="nl-NL"/>
        </w:rPr>
        <w:t>te streven naar</w:t>
      </w:r>
      <w:r w:rsidRPr="00D0006A">
        <w:rPr>
          <w:szCs w:val="18"/>
          <w:lang w:val="nl-NL"/>
        </w:rPr>
        <w:t xml:space="preserve"> </w:t>
      </w:r>
      <w:r w:rsidRPr="00D0006A">
        <w:rPr>
          <w:bCs/>
          <w:szCs w:val="18"/>
          <w:lang w:val="nl-NL"/>
        </w:rPr>
        <w:t xml:space="preserve">open handel en het </w:t>
      </w:r>
      <w:r w:rsidR="00156784">
        <w:rPr>
          <w:bCs/>
          <w:szCs w:val="18"/>
          <w:lang w:val="nl-NL"/>
        </w:rPr>
        <w:t xml:space="preserve">zo veel mogelijk </w:t>
      </w:r>
      <w:r w:rsidRPr="00D0006A">
        <w:rPr>
          <w:bCs/>
          <w:szCs w:val="18"/>
          <w:lang w:val="nl-NL"/>
        </w:rPr>
        <w:t>voorkomen van exportrestricties op landbouwgoederen</w:t>
      </w:r>
      <w:r w:rsidR="00025957">
        <w:rPr>
          <w:bCs/>
          <w:szCs w:val="18"/>
          <w:lang w:val="nl-NL"/>
        </w:rPr>
        <w:t>.</w:t>
      </w:r>
      <w:r>
        <w:rPr>
          <w:bCs/>
          <w:szCs w:val="18"/>
          <w:lang w:val="nl-NL"/>
        </w:rPr>
        <w:t xml:space="preserve"> </w:t>
      </w:r>
      <w:r w:rsidRPr="008A6DB9" w:rsidR="008A6DB9">
        <w:rPr>
          <w:lang w:val="nl-NL"/>
        </w:rPr>
        <w:t xml:space="preserve">Relevant hiervoor zijn </w:t>
      </w:r>
      <w:r w:rsidRPr="008A6DB9" w:rsidR="008A6DB9">
        <w:rPr>
          <w:color w:val="000000"/>
          <w:lang w:val="nl-NL"/>
        </w:rPr>
        <w:t xml:space="preserve">een </w:t>
      </w:r>
      <w:r w:rsidRPr="008A6DB9" w:rsidR="008A6DB9">
        <w:rPr>
          <w:bCs/>
          <w:color w:val="000000"/>
          <w:lang w:val="nl-NL"/>
        </w:rPr>
        <w:t>inspanningsv</w:t>
      </w:r>
      <w:r w:rsidR="007972CC">
        <w:rPr>
          <w:bCs/>
          <w:color w:val="000000"/>
          <w:lang w:val="nl-NL"/>
        </w:rPr>
        <w:t>erplichting</w:t>
      </w:r>
      <w:r w:rsidRPr="008A6DB9" w:rsidR="008A6DB9">
        <w:rPr>
          <w:color w:val="000000"/>
          <w:lang w:val="nl-NL"/>
        </w:rPr>
        <w:t xml:space="preserve"> </w:t>
      </w:r>
      <w:r w:rsidRPr="008A6DB9" w:rsidR="008A6DB9">
        <w:rPr>
          <w:lang w:val="nl-NL"/>
        </w:rPr>
        <w:t xml:space="preserve">ter voorkoming van exportbeperkingen op voedsel en een voorstel om humanitaire aankopen door het World Food Program in alle gevallen uit te zonderen van handelsbelemmeringen. Verder steunt het kabinet de inzet van de EU </w:t>
      </w:r>
      <w:r w:rsidR="00E02563">
        <w:rPr>
          <w:lang w:val="nl-NL"/>
        </w:rPr>
        <w:t>om</w:t>
      </w:r>
      <w:r w:rsidRPr="008A6DB9" w:rsidR="008A6DB9">
        <w:rPr>
          <w:lang w:val="nl-NL"/>
        </w:rPr>
        <w:t xml:space="preserve"> </w:t>
      </w:r>
      <w:r w:rsidR="005539DC">
        <w:rPr>
          <w:lang w:val="nl-NL"/>
        </w:rPr>
        <w:t>binnen de WTO tot</w:t>
      </w:r>
      <w:r w:rsidRPr="008A6DB9" w:rsidR="008A6DB9">
        <w:rPr>
          <w:lang w:val="nl-NL"/>
        </w:rPr>
        <w:t xml:space="preserve"> een werkprogramma </w:t>
      </w:r>
      <w:r w:rsidR="005539DC">
        <w:rPr>
          <w:lang w:val="nl-NL"/>
        </w:rPr>
        <w:t>te komen om afspraken te maken over</w:t>
      </w:r>
      <w:r w:rsidRPr="008A6DB9" w:rsidR="008A6DB9">
        <w:rPr>
          <w:color w:val="000000"/>
          <w:lang w:val="nl-NL"/>
        </w:rPr>
        <w:t xml:space="preserve"> </w:t>
      </w:r>
      <w:r w:rsidRPr="008A6DB9" w:rsidR="008A6DB9">
        <w:rPr>
          <w:bCs/>
          <w:color w:val="000000"/>
          <w:lang w:val="nl-NL"/>
        </w:rPr>
        <w:t xml:space="preserve">landbouwonderwerpen, </w:t>
      </w:r>
      <w:r w:rsidR="005539DC">
        <w:rPr>
          <w:bCs/>
          <w:color w:val="000000"/>
          <w:lang w:val="nl-NL"/>
        </w:rPr>
        <w:t>zoals</w:t>
      </w:r>
      <w:r w:rsidRPr="008A6DB9" w:rsidR="008A6DB9">
        <w:rPr>
          <w:lang w:val="nl-NL"/>
        </w:rPr>
        <w:t xml:space="preserve"> binnenlandse landbouwsteun</w:t>
      </w:r>
      <w:r w:rsidRPr="008A6DB9" w:rsidR="008A6DB9">
        <w:rPr>
          <w:color w:val="000000"/>
          <w:lang w:val="nl-NL"/>
        </w:rPr>
        <w:t xml:space="preserve"> </w:t>
      </w:r>
      <w:r w:rsidRPr="008A6DB9" w:rsidR="008A6DB9">
        <w:rPr>
          <w:bCs/>
          <w:color w:val="000000"/>
          <w:lang w:val="nl-NL"/>
        </w:rPr>
        <w:t>en</w:t>
      </w:r>
      <w:r w:rsidRPr="008A6DB9" w:rsidR="008A6DB9">
        <w:rPr>
          <w:lang w:val="nl-NL"/>
        </w:rPr>
        <w:t xml:space="preserve"> </w:t>
      </w:r>
      <w:r w:rsidRPr="008A6DB9" w:rsidR="008A6DB9">
        <w:rPr>
          <w:i/>
          <w:iCs/>
          <w:lang w:val="nl-NL"/>
        </w:rPr>
        <w:t>public stockholding</w:t>
      </w:r>
      <w:r w:rsidRPr="008A6DB9" w:rsidR="008A6DB9">
        <w:rPr>
          <w:lang w:val="nl-NL"/>
        </w:rPr>
        <w:t>.</w:t>
      </w:r>
    </w:p>
    <w:p w:rsidR="008A6DB9" w:rsidP="00701A17" w:rsidRDefault="008A6DB9" w14:paraId="257B5EF6" w14:textId="77777777">
      <w:pPr>
        <w:spacing w:after="0"/>
        <w:rPr>
          <w:b/>
          <w:szCs w:val="18"/>
          <w:lang w:val="nl-NL"/>
        </w:rPr>
      </w:pPr>
    </w:p>
    <w:p w:rsidRPr="00272A04" w:rsidR="00D0006A" w:rsidP="00701A17" w:rsidRDefault="00A87904" w14:paraId="7C7B6CD6" w14:textId="217FDDD6">
      <w:pPr>
        <w:spacing w:after="0"/>
        <w:rPr>
          <w:bCs/>
          <w:szCs w:val="18"/>
          <w:lang w:val="nl-NL"/>
        </w:rPr>
      </w:pPr>
      <w:r>
        <w:rPr>
          <w:szCs w:val="18"/>
          <w:lang w:val="nl-NL"/>
        </w:rPr>
        <w:t xml:space="preserve">Het kabinet </w:t>
      </w:r>
      <w:r w:rsidRPr="00D0006A" w:rsidR="00D0006A">
        <w:rPr>
          <w:szCs w:val="18"/>
          <w:lang w:val="nl-NL"/>
        </w:rPr>
        <w:t>hecht</w:t>
      </w:r>
      <w:r>
        <w:rPr>
          <w:szCs w:val="18"/>
          <w:lang w:val="nl-NL"/>
        </w:rPr>
        <w:t xml:space="preserve"> </w:t>
      </w:r>
      <w:r w:rsidRPr="00D0006A" w:rsidR="00D0006A">
        <w:rPr>
          <w:szCs w:val="18"/>
          <w:lang w:val="nl-NL"/>
        </w:rPr>
        <w:t xml:space="preserve">veel waarde aan </w:t>
      </w:r>
      <w:r>
        <w:rPr>
          <w:szCs w:val="18"/>
          <w:lang w:val="nl-NL"/>
        </w:rPr>
        <w:t xml:space="preserve">het bereiken van </w:t>
      </w:r>
      <w:r w:rsidRPr="00272A04" w:rsidR="00D0006A">
        <w:rPr>
          <w:bCs/>
          <w:szCs w:val="18"/>
          <w:lang w:val="nl-NL"/>
        </w:rPr>
        <w:t xml:space="preserve">een akkoord </w:t>
      </w:r>
      <w:r w:rsidRPr="00272A04">
        <w:rPr>
          <w:bCs/>
          <w:szCs w:val="18"/>
          <w:lang w:val="nl-NL"/>
        </w:rPr>
        <w:t xml:space="preserve">tijdens MC12 </w:t>
      </w:r>
      <w:r w:rsidRPr="00272A04" w:rsidR="00D0006A">
        <w:rPr>
          <w:bCs/>
          <w:szCs w:val="18"/>
          <w:lang w:val="nl-NL"/>
        </w:rPr>
        <w:t>om visserijsubsidies in te perken</w:t>
      </w:r>
      <w:r w:rsidR="00025957">
        <w:rPr>
          <w:bCs/>
          <w:szCs w:val="18"/>
          <w:lang w:val="nl-NL"/>
        </w:rPr>
        <w:t xml:space="preserve"> die bijdragen aan overcapaciteit, overbevissing en </w:t>
      </w:r>
      <w:r w:rsidRPr="00025957" w:rsidR="00025957">
        <w:rPr>
          <w:bCs/>
          <w:szCs w:val="18"/>
          <w:lang w:val="nl-NL"/>
        </w:rPr>
        <w:t>illegale, niet gerapporteerde en ongereguleerde</w:t>
      </w:r>
      <w:r w:rsidR="00025957">
        <w:rPr>
          <w:bCs/>
          <w:szCs w:val="18"/>
          <w:lang w:val="nl-NL"/>
        </w:rPr>
        <w:t xml:space="preserve"> </w:t>
      </w:r>
      <w:r w:rsidRPr="00025957" w:rsidR="00025957">
        <w:rPr>
          <w:bCs/>
          <w:szCs w:val="18"/>
          <w:lang w:val="nl-NL"/>
        </w:rPr>
        <w:t>visserij</w:t>
      </w:r>
      <w:r w:rsidRPr="00272A04" w:rsidR="00D0006A">
        <w:rPr>
          <w:bCs/>
          <w:szCs w:val="18"/>
          <w:lang w:val="nl-NL"/>
        </w:rPr>
        <w:t xml:space="preserve">. </w:t>
      </w:r>
      <w:r w:rsidR="00025957">
        <w:rPr>
          <w:bCs/>
          <w:szCs w:val="18"/>
          <w:lang w:val="nl-NL"/>
        </w:rPr>
        <w:t xml:space="preserve">Een dergelijk akkoord zou tot een gelijker speelveld op de mondiale vismarkt leiden, waaronder voor Nederlandse vissers en vaartuigen. </w:t>
      </w:r>
      <w:r w:rsidR="00D8368E">
        <w:rPr>
          <w:bCs/>
          <w:szCs w:val="18"/>
          <w:lang w:val="nl-NL"/>
        </w:rPr>
        <w:t>Minstens zo belangrijk is dat</w:t>
      </w:r>
      <w:r w:rsidR="00025957">
        <w:rPr>
          <w:bCs/>
          <w:szCs w:val="18"/>
          <w:lang w:val="nl-NL"/>
        </w:rPr>
        <w:t xml:space="preserve"> </w:t>
      </w:r>
      <w:r w:rsidR="0069503A">
        <w:rPr>
          <w:bCs/>
          <w:szCs w:val="18"/>
          <w:lang w:val="nl-NL"/>
        </w:rPr>
        <w:t>een dergelijk</w:t>
      </w:r>
      <w:r w:rsidRPr="00272A04">
        <w:rPr>
          <w:bCs/>
          <w:szCs w:val="18"/>
          <w:lang w:val="nl-NL"/>
        </w:rPr>
        <w:t xml:space="preserve"> akkoord</w:t>
      </w:r>
      <w:r w:rsidR="00025957">
        <w:rPr>
          <w:bCs/>
          <w:szCs w:val="18"/>
          <w:lang w:val="nl-NL"/>
        </w:rPr>
        <w:t xml:space="preserve"> </w:t>
      </w:r>
      <w:r w:rsidR="00D8368E">
        <w:rPr>
          <w:bCs/>
          <w:szCs w:val="18"/>
          <w:lang w:val="nl-NL"/>
        </w:rPr>
        <w:t xml:space="preserve">kan </w:t>
      </w:r>
      <w:r w:rsidR="00025957">
        <w:rPr>
          <w:bCs/>
          <w:szCs w:val="18"/>
          <w:lang w:val="nl-NL"/>
        </w:rPr>
        <w:t>bijdragen aan het beschermen van</w:t>
      </w:r>
      <w:r w:rsidRPr="00A87904">
        <w:rPr>
          <w:bCs/>
          <w:szCs w:val="18"/>
          <w:lang w:val="nl-NL"/>
        </w:rPr>
        <w:t xml:space="preserve"> visbestanden en biodiversiteit in de zeeën en oceanen. Nederland zal tijdens de Raad inzetten op een zo constructief mogelijke opstelling van de EU binnen deze onderhandelingen.</w:t>
      </w:r>
      <w:r w:rsidRPr="00272A04">
        <w:rPr>
          <w:bCs/>
          <w:szCs w:val="18"/>
          <w:lang w:val="nl-NL"/>
        </w:rPr>
        <w:t xml:space="preserve"> </w:t>
      </w:r>
      <w:r w:rsidR="00845C26">
        <w:rPr>
          <w:bCs/>
          <w:szCs w:val="18"/>
          <w:lang w:val="nl-NL"/>
        </w:rPr>
        <w:t xml:space="preserve">Uiteraard is het bereiken van het gewenste akkoord niet alleen afhankelijk van de EU. </w:t>
      </w:r>
    </w:p>
    <w:p w:rsidRPr="00272A04" w:rsidR="00A87904" w:rsidP="00701A17" w:rsidRDefault="00A87904" w14:paraId="5B74E936" w14:textId="2F2396AF">
      <w:pPr>
        <w:spacing w:after="0"/>
        <w:rPr>
          <w:bCs/>
          <w:szCs w:val="18"/>
          <w:lang w:val="nl-NL"/>
        </w:rPr>
      </w:pPr>
    </w:p>
    <w:p w:rsidRPr="00272A04" w:rsidR="00732FC7" w:rsidP="00701A17" w:rsidRDefault="00FF0026" w14:paraId="3D51C340" w14:textId="4C2F5EBF">
      <w:pPr>
        <w:spacing w:after="0"/>
        <w:rPr>
          <w:bCs/>
          <w:szCs w:val="18"/>
          <w:lang w:val="nl-NL"/>
        </w:rPr>
      </w:pPr>
      <w:r w:rsidRPr="00272A04">
        <w:rPr>
          <w:bCs/>
          <w:szCs w:val="18"/>
          <w:lang w:val="nl-NL"/>
        </w:rPr>
        <w:t xml:space="preserve">Nederland zal zich binnen de Raad ook inzetten voor </w:t>
      </w:r>
      <w:r w:rsidRPr="00272A04" w:rsidR="00732FC7">
        <w:rPr>
          <w:bCs/>
          <w:szCs w:val="18"/>
          <w:lang w:val="nl-NL"/>
        </w:rPr>
        <w:t xml:space="preserve">een omvattende verklaring op het gebied van </w:t>
      </w:r>
      <w:r w:rsidRPr="00497F57" w:rsidR="00732FC7">
        <w:rPr>
          <w:i/>
          <w:szCs w:val="18"/>
          <w:lang w:val="nl-NL"/>
        </w:rPr>
        <w:t>Trade &amp; Health</w:t>
      </w:r>
      <w:r w:rsidRPr="00272A04" w:rsidR="00732FC7">
        <w:rPr>
          <w:bCs/>
          <w:szCs w:val="18"/>
          <w:lang w:val="nl-NL"/>
        </w:rPr>
        <w:t xml:space="preserve">, met daarin alle essentiële </w:t>
      </w:r>
      <w:r w:rsidRPr="00272A04">
        <w:rPr>
          <w:bCs/>
          <w:szCs w:val="18"/>
          <w:lang w:val="nl-NL"/>
        </w:rPr>
        <w:t>aspecten</w:t>
      </w:r>
      <w:r w:rsidRPr="00272A04" w:rsidR="00732FC7">
        <w:rPr>
          <w:bCs/>
          <w:szCs w:val="18"/>
          <w:lang w:val="nl-NL"/>
        </w:rPr>
        <w:t>, zoals exportbe</w:t>
      </w:r>
      <w:r w:rsidRPr="00272A04">
        <w:rPr>
          <w:bCs/>
          <w:szCs w:val="18"/>
          <w:lang w:val="nl-NL"/>
        </w:rPr>
        <w:t xml:space="preserve">perkingen, intellectuele eigendomsrechten en </w:t>
      </w:r>
      <w:proofErr w:type="spellStart"/>
      <w:r w:rsidRPr="00272A04">
        <w:rPr>
          <w:bCs/>
          <w:szCs w:val="18"/>
          <w:lang w:val="nl-NL"/>
        </w:rPr>
        <w:t>handelsfacilitatie</w:t>
      </w:r>
      <w:proofErr w:type="spellEnd"/>
      <w:r w:rsidRPr="00272A04">
        <w:rPr>
          <w:bCs/>
          <w:szCs w:val="18"/>
          <w:lang w:val="nl-NL"/>
        </w:rPr>
        <w:t xml:space="preserve">. </w:t>
      </w:r>
    </w:p>
    <w:p w:rsidRPr="00272A04" w:rsidR="00732FC7" w:rsidP="00701A17" w:rsidRDefault="00732FC7" w14:paraId="47D598A1" w14:textId="77777777">
      <w:pPr>
        <w:spacing w:after="0"/>
        <w:rPr>
          <w:bCs/>
          <w:szCs w:val="18"/>
          <w:lang w:val="nl-NL"/>
        </w:rPr>
      </w:pPr>
    </w:p>
    <w:p w:rsidRPr="00272A04" w:rsidR="008C757F" w:rsidP="00701A17" w:rsidRDefault="00511D32" w14:paraId="70793B20" w14:textId="04EFEFA2">
      <w:pPr>
        <w:spacing w:after="0"/>
        <w:rPr>
          <w:bCs/>
          <w:szCs w:val="18"/>
          <w:lang w:val="nl-NL"/>
        </w:rPr>
      </w:pPr>
      <w:r>
        <w:rPr>
          <w:bCs/>
          <w:szCs w:val="18"/>
          <w:lang w:val="nl-NL"/>
        </w:rPr>
        <w:t>Ten</w:t>
      </w:r>
      <w:r w:rsidRPr="00272A04" w:rsidR="007625B2">
        <w:rPr>
          <w:bCs/>
          <w:szCs w:val="18"/>
          <w:lang w:val="nl-NL"/>
        </w:rPr>
        <w:t xml:space="preserve">slotte </w:t>
      </w:r>
      <w:r w:rsidR="00272A04">
        <w:rPr>
          <w:bCs/>
          <w:szCs w:val="18"/>
          <w:lang w:val="nl-NL"/>
        </w:rPr>
        <w:t xml:space="preserve">zal Nederland zich ten volste uitspreken voor een </w:t>
      </w:r>
      <w:r w:rsidR="00357B14">
        <w:rPr>
          <w:bCs/>
          <w:szCs w:val="18"/>
          <w:lang w:val="nl-NL"/>
        </w:rPr>
        <w:t>ambitieuze</w:t>
      </w:r>
      <w:r w:rsidR="00272A04">
        <w:rPr>
          <w:bCs/>
          <w:szCs w:val="18"/>
          <w:lang w:val="nl-NL"/>
        </w:rPr>
        <w:t xml:space="preserve"> inzet van de EU op WTO-hervormingen. </w:t>
      </w:r>
      <w:r w:rsidR="00357B14">
        <w:rPr>
          <w:bCs/>
          <w:szCs w:val="18"/>
          <w:lang w:val="nl-NL"/>
        </w:rPr>
        <w:t xml:space="preserve">Hierbij zal </w:t>
      </w:r>
      <w:r w:rsidR="007972CC">
        <w:rPr>
          <w:color w:val="211D1F"/>
          <w:szCs w:val="18"/>
          <w:lang w:val="nl-NL"/>
        </w:rPr>
        <w:t>Nederland inzetten op</w:t>
      </w:r>
      <w:r w:rsidR="007972CC">
        <w:rPr>
          <w:bCs/>
          <w:szCs w:val="18"/>
          <w:lang w:val="nl-NL"/>
        </w:rPr>
        <w:t xml:space="preserve"> nieuwe regels voor een gelijk speelveld – in het bijzonder op het gebied van industriële subsidies en staatsgeleide bedrijven.</w:t>
      </w:r>
      <w:r w:rsidR="00357B14">
        <w:rPr>
          <w:bCs/>
          <w:szCs w:val="18"/>
          <w:lang w:val="nl-NL"/>
        </w:rPr>
        <w:t xml:space="preserve"> Ook hervorming en herstel</w:t>
      </w:r>
      <w:r w:rsidRPr="00272A04" w:rsidR="00FF0026">
        <w:rPr>
          <w:bCs/>
          <w:szCs w:val="18"/>
          <w:lang w:val="nl-NL"/>
        </w:rPr>
        <w:t xml:space="preserve"> van het geschillenbeslechtingssysteem van de WTO</w:t>
      </w:r>
      <w:r w:rsidR="00272A04">
        <w:rPr>
          <w:bCs/>
          <w:szCs w:val="18"/>
          <w:lang w:val="nl-NL"/>
        </w:rPr>
        <w:t xml:space="preserve"> is hierbij een </w:t>
      </w:r>
      <w:r w:rsidR="00357B14">
        <w:rPr>
          <w:bCs/>
          <w:szCs w:val="18"/>
          <w:lang w:val="nl-NL"/>
        </w:rPr>
        <w:t xml:space="preserve">cruciaal </w:t>
      </w:r>
      <w:r w:rsidR="00272A04">
        <w:rPr>
          <w:bCs/>
          <w:szCs w:val="18"/>
          <w:lang w:val="nl-NL"/>
        </w:rPr>
        <w:t xml:space="preserve">element. </w:t>
      </w:r>
      <w:r w:rsidR="00500816">
        <w:rPr>
          <w:bCs/>
          <w:szCs w:val="18"/>
          <w:lang w:val="nl-NL"/>
        </w:rPr>
        <w:t>T</w:t>
      </w:r>
      <w:r w:rsidR="00055869">
        <w:rPr>
          <w:bCs/>
          <w:szCs w:val="18"/>
          <w:lang w:val="nl-NL"/>
        </w:rPr>
        <w:t>evens</w:t>
      </w:r>
      <w:r w:rsidR="00581807">
        <w:rPr>
          <w:bCs/>
          <w:szCs w:val="18"/>
          <w:lang w:val="nl-NL"/>
        </w:rPr>
        <w:t xml:space="preserve"> wil</w:t>
      </w:r>
      <w:r w:rsidR="00A10E9F">
        <w:rPr>
          <w:bCs/>
          <w:szCs w:val="18"/>
          <w:lang w:val="nl-NL"/>
        </w:rPr>
        <w:t xml:space="preserve"> Nederland de </w:t>
      </w:r>
      <w:r w:rsidR="005225E8">
        <w:rPr>
          <w:bCs/>
          <w:szCs w:val="18"/>
          <w:lang w:val="nl-NL"/>
        </w:rPr>
        <w:t xml:space="preserve">milieuagenda </w:t>
      </w:r>
      <w:r w:rsidR="00581807">
        <w:rPr>
          <w:bCs/>
          <w:szCs w:val="18"/>
          <w:lang w:val="nl-NL"/>
        </w:rPr>
        <w:t>in de WTO verder brengen. H</w:t>
      </w:r>
      <w:r w:rsidRPr="005225E8" w:rsidR="005225E8">
        <w:rPr>
          <w:color w:val="211D1F"/>
          <w:szCs w:val="18"/>
          <w:lang w:val="nl-NL"/>
        </w:rPr>
        <w:t xml:space="preserve">et kabinet hecht </w:t>
      </w:r>
      <w:r w:rsidR="00581807">
        <w:rPr>
          <w:color w:val="211D1F"/>
          <w:szCs w:val="18"/>
          <w:lang w:val="nl-NL"/>
        </w:rPr>
        <w:t xml:space="preserve">daarbij </w:t>
      </w:r>
      <w:r w:rsidRPr="005225E8" w:rsidR="005225E8">
        <w:rPr>
          <w:color w:val="211D1F"/>
          <w:szCs w:val="18"/>
          <w:lang w:val="nl-NL"/>
        </w:rPr>
        <w:t xml:space="preserve">aan </w:t>
      </w:r>
      <w:r w:rsidR="00332986">
        <w:rPr>
          <w:color w:val="211D1F"/>
          <w:szCs w:val="18"/>
          <w:lang w:val="nl-NL"/>
        </w:rPr>
        <w:t>spoedige</w:t>
      </w:r>
      <w:r w:rsidRPr="005225E8" w:rsidR="005225E8">
        <w:rPr>
          <w:color w:val="211D1F"/>
          <w:szCs w:val="18"/>
          <w:lang w:val="nl-NL"/>
        </w:rPr>
        <w:t xml:space="preserve"> </w:t>
      </w:r>
      <w:r w:rsidR="00332986">
        <w:rPr>
          <w:color w:val="211D1F"/>
          <w:szCs w:val="18"/>
          <w:lang w:val="nl-NL"/>
        </w:rPr>
        <w:lastRenderedPageBreak/>
        <w:t>opvolging</w:t>
      </w:r>
      <w:r w:rsidRPr="005225E8" w:rsidR="005225E8">
        <w:rPr>
          <w:color w:val="211D1F"/>
          <w:szCs w:val="18"/>
          <w:lang w:val="nl-NL"/>
        </w:rPr>
        <w:t xml:space="preserve"> van </w:t>
      </w:r>
      <w:r w:rsidR="00332986">
        <w:rPr>
          <w:color w:val="211D1F"/>
          <w:szCs w:val="18"/>
          <w:lang w:val="nl-NL"/>
        </w:rPr>
        <w:t xml:space="preserve">de drie </w:t>
      </w:r>
      <w:proofErr w:type="spellStart"/>
      <w:r w:rsidR="00332986">
        <w:rPr>
          <w:color w:val="211D1F"/>
          <w:szCs w:val="18"/>
          <w:lang w:val="nl-NL"/>
        </w:rPr>
        <w:t>plurilaterale</w:t>
      </w:r>
      <w:proofErr w:type="spellEnd"/>
      <w:r w:rsidRPr="005225E8" w:rsidR="005225E8">
        <w:rPr>
          <w:color w:val="211D1F"/>
          <w:szCs w:val="18"/>
          <w:lang w:val="nl-NL"/>
        </w:rPr>
        <w:t xml:space="preserve"> verklaringen </w:t>
      </w:r>
      <w:r w:rsidR="00332986">
        <w:rPr>
          <w:color w:val="211D1F"/>
          <w:szCs w:val="18"/>
          <w:lang w:val="nl-NL"/>
        </w:rPr>
        <w:t xml:space="preserve">inzake </w:t>
      </w:r>
      <w:r w:rsidR="00DE1A26">
        <w:rPr>
          <w:color w:val="211D1F"/>
          <w:szCs w:val="18"/>
          <w:lang w:val="nl-NL"/>
        </w:rPr>
        <w:t xml:space="preserve">handel en </w:t>
      </w:r>
      <w:r w:rsidR="00332986">
        <w:rPr>
          <w:color w:val="211D1F"/>
          <w:szCs w:val="18"/>
          <w:lang w:val="nl-NL"/>
        </w:rPr>
        <w:t>milieu die in december jl. zijn aangenomen</w:t>
      </w:r>
      <w:r w:rsidR="00A10E9F">
        <w:rPr>
          <w:rStyle w:val="FootnoteReference"/>
          <w:color w:val="211D1F"/>
          <w:szCs w:val="18"/>
          <w:lang w:val="nl-NL"/>
        </w:rPr>
        <w:footnoteReference w:id="3"/>
      </w:r>
      <w:r w:rsidRPr="005225E8" w:rsidR="005225E8">
        <w:rPr>
          <w:color w:val="211D1F"/>
          <w:szCs w:val="18"/>
          <w:lang w:val="nl-NL"/>
        </w:rPr>
        <w:t>.</w:t>
      </w:r>
      <w:r w:rsidR="00581807">
        <w:rPr>
          <w:color w:val="211D1F"/>
          <w:szCs w:val="18"/>
          <w:lang w:val="nl-NL"/>
        </w:rPr>
        <w:t xml:space="preserve"> </w:t>
      </w:r>
    </w:p>
    <w:p w:rsidR="00732FC7" w:rsidP="00701A17" w:rsidRDefault="00732FC7" w14:paraId="53C5DB1A" w14:textId="77777777">
      <w:pPr>
        <w:pStyle w:val="NoSpacing"/>
        <w:rPr>
          <w:b/>
          <w:szCs w:val="18"/>
          <w:lang w:val="nl-NL"/>
        </w:rPr>
      </w:pPr>
    </w:p>
    <w:p w:rsidR="001369DD" w:rsidP="00701A17" w:rsidRDefault="00D46823" w14:paraId="3C7A52F6" w14:textId="77777777">
      <w:pPr>
        <w:pStyle w:val="NoSpacing"/>
        <w:rPr>
          <w:i/>
          <w:szCs w:val="18"/>
          <w:lang w:val="nl-NL"/>
        </w:rPr>
      </w:pPr>
      <w:r>
        <w:rPr>
          <w:b/>
          <w:szCs w:val="18"/>
          <w:lang w:val="nl-NL"/>
        </w:rPr>
        <w:t>Handelsbetrekkingen met de VS</w:t>
      </w:r>
    </w:p>
    <w:p w:rsidRPr="00AF0630" w:rsidR="00D46823" w:rsidP="00701A17" w:rsidRDefault="00D46823" w14:paraId="10EB7896" w14:textId="3BCD6E7A">
      <w:pPr>
        <w:pStyle w:val="NoSpacing"/>
        <w:rPr>
          <w:b/>
          <w:color w:val="FF0000"/>
          <w:szCs w:val="18"/>
          <w:lang w:val="nl-NL"/>
        </w:rPr>
      </w:pPr>
    </w:p>
    <w:p w:rsidR="000E1D7C" w:rsidP="00701A17" w:rsidRDefault="000E1D7C" w14:paraId="320BB205" w14:textId="54421700">
      <w:pPr>
        <w:pStyle w:val="NoSpacing"/>
        <w:rPr>
          <w:iCs/>
          <w:szCs w:val="18"/>
          <w:lang w:val="nl-NL"/>
        </w:rPr>
      </w:pPr>
      <w:r>
        <w:rPr>
          <w:iCs/>
          <w:szCs w:val="18"/>
          <w:lang w:val="nl-NL"/>
        </w:rPr>
        <w:t xml:space="preserve">Op 15 en 16 mei jl. vond </w:t>
      </w:r>
      <w:r w:rsidR="00E44730">
        <w:rPr>
          <w:iCs/>
          <w:szCs w:val="18"/>
          <w:lang w:val="nl-NL"/>
        </w:rPr>
        <w:t>op de Universiteit van Paris-</w:t>
      </w:r>
      <w:proofErr w:type="spellStart"/>
      <w:r w:rsidR="00E44730">
        <w:rPr>
          <w:iCs/>
          <w:szCs w:val="18"/>
          <w:lang w:val="nl-NL"/>
        </w:rPr>
        <w:t>Saclay</w:t>
      </w:r>
      <w:proofErr w:type="spellEnd"/>
      <w:r w:rsidR="00E44730">
        <w:rPr>
          <w:iCs/>
          <w:szCs w:val="18"/>
          <w:lang w:val="nl-NL"/>
        </w:rPr>
        <w:t xml:space="preserve"> </w:t>
      </w:r>
      <w:r>
        <w:rPr>
          <w:iCs/>
          <w:szCs w:val="18"/>
          <w:lang w:val="nl-NL"/>
        </w:rPr>
        <w:t>de tweede bijeenkomst op minist</w:t>
      </w:r>
      <w:r w:rsidR="00850D5D">
        <w:rPr>
          <w:iCs/>
          <w:szCs w:val="18"/>
          <w:lang w:val="nl-NL"/>
        </w:rPr>
        <w:t>erieel niveau plaats van de EU-</w:t>
      </w:r>
      <w:r w:rsidR="00497F57">
        <w:rPr>
          <w:iCs/>
          <w:szCs w:val="18"/>
          <w:lang w:val="nl-NL"/>
        </w:rPr>
        <w:t>V</w:t>
      </w:r>
      <w:r>
        <w:rPr>
          <w:iCs/>
          <w:szCs w:val="18"/>
          <w:lang w:val="nl-NL"/>
        </w:rPr>
        <w:t xml:space="preserve">S </w:t>
      </w:r>
      <w:r w:rsidRPr="00497F57">
        <w:rPr>
          <w:i/>
          <w:szCs w:val="18"/>
          <w:lang w:val="nl-NL"/>
        </w:rPr>
        <w:t xml:space="preserve">Trade </w:t>
      </w:r>
      <w:proofErr w:type="spellStart"/>
      <w:r w:rsidRPr="00497F57">
        <w:rPr>
          <w:i/>
          <w:szCs w:val="18"/>
          <w:lang w:val="nl-NL"/>
        </w:rPr>
        <w:t>and</w:t>
      </w:r>
      <w:proofErr w:type="spellEnd"/>
      <w:r w:rsidRPr="00497F57">
        <w:rPr>
          <w:i/>
          <w:szCs w:val="18"/>
          <w:lang w:val="nl-NL"/>
        </w:rPr>
        <w:t xml:space="preserve"> Technology Council</w:t>
      </w:r>
      <w:r>
        <w:rPr>
          <w:iCs/>
          <w:szCs w:val="18"/>
          <w:lang w:val="nl-NL"/>
        </w:rPr>
        <w:t xml:space="preserve"> (TTC). De </w:t>
      </w:r>
      <w:r w:rsidR="00E44730">
        <w:rPr>
          <w:iCs/>
          <w:szCs w:val="18"/>
          <w:lang w:val="nl-NL"/>
        </w:rPr>
        <w:t xml:space="preserve">vaste </w:t>
      </w:r>
      <w:r w:rsidR="00291260">
        <w:rPr>
          <w:iCs/>
          <w:szCs w:val="18"/>
          <w:lang w:val="nl-NL"/>
        </w:rPr>
        <w:t>EU-deelnemers</w:t>
      </w:r>
      <w:r w:rsidR="00E44730">
        <w:rPr>
          <w:iCs/>
          <w:szCs w:val="18"/>
          <w:lang w:val="nl-NL"/>
        </w:rPr>
        <w:t xml:space="preserve"> aan </w:t>
      </w:r>
      <w:r>
        <w:rPr>
          <w:iCs/>
          <w:szCs w:val="18"/>
          <w:lang w:val="nl-NL"/>
        </w:rPr>
        <w:t xml:space="preserve">de TTC zijn </w:t>
      </w:r>
      <w:r w:rsidRPr="000E1D7C">
        <w:rPr>
          <w:iCs/>
          <w:szCs w:val="18"/>
          <w:lang w:val="nl-NL"/>
        </w:rPr>
        <w:t>Commissaris</w:t>
      </w:r>
      <w:r w:rsidR="00E44730">
        <w:rPr>
          <w:iCs/>
          <w:szCs w:val="18"/>
          <w:lang w:val="nl-NL"/>
        </w:rPr>
        <w:t>sen</w:t>
      </w:r>
      <w:r w:rsidRPr="000E1D7C">
        <w:rPr>
          <w:iCs/>
          <w:szCs w:val="18"/>
          <w:lang w:val="nl-NL"/>
        </w:rPr>
        <w:t xml:space="preserve"> </w:t>
      </w:r>
      <w:proofErr w:type="spellStart"/>
      <w:r w:rsidRPr="000E1D7C">
        <w:rPr>
          <w:iCs/>
          <w:szCs w:val="18"/>
          <w:lang w:val="nl-NL"/>
        </w:rPr>
        <w:t>Dombrovskis</w:t>
      </w:r>
      <w:proofErr w:type="spellEnd"/>
      <w:r>
        <w:rPr>
          <w:iCs/>
          <w:szCs w:val="18"/>
          <w:lang w:val="nl-NL"/>
        </w:rPr>
        <w:t xml:space="preserve"> (Handel)</w:t>
      </w:r>
      <w:r w:rsidR="00E44730">
        <w:rPr>
          <w:iCs/>
          <w:szCs w:val="18"/>
          <w:lang w:val="nl-NL"/>
        </w:rPr>
        <w:t xml:space="preserve"> en </w:t>
      </w:r>
      <w:proofErr w:type="spellStart"/>
      <w:r w:rsidRPr="000E1D7C">
        <w:rPr>
          <w:iCs/>
          <w:szCs w:val="18"/>
          <w:lang w:val="nl-NL"/>
        </w:rPr>
        <w:t>Vestager</w:t>
      </w:r>
      <w:proofErr w:type="spellEnd"/>
      <w:r>
        <w:rPr>
          <w:iCs/>
          <w:szCs w:val="18"/>
          <w:lang w:val="nl-NL"/>
        </w:rPr>
        <w:t xml:space="preserve"> (Mededinging). </w:t>
      </w:r>
      <w:r w:rsidR="00850D5D">
        <w:rPr>
          <w:iCs/>
          <w:szCs w:val="18"/>
          <w:lang w:val="nl-NL"/>
        </w:rPr>
        <w:t>Deze keer</w:t>
      </w:r>
      <w:r w:rsidR="00E16D74">
        <w:rPr>
          <w:iCs/>
          <w:szCs w:val="18"/>
          <w:lang w:val="nl-NL"/>
        </w:rPr>
        <w:t xml:space="preserve"> </w:t>
      </w:r>
      <w:r>
        <w:rPr>
          <w:iCs/>
          <w:szCs w:val="18"/>
          <w:lang w:val="nl-NL"/>
        </w:rPr>
        <w:t>nam</w:t>
      </w:r>
      <w:r w:rsidR="00425CBB">
        <w:rPr>
          <w:iCs/>
          <w:szCs w:val="18"/>
          <w:lang w:val="nl-NL"/>
        </w:rPr>
        <w:t>en</w:t>
      </w:r>
      <w:r>
        <w:rPr>
          <w:iCs/>
          <w:szCs w:val="18"/>
          <w:lang w:val="nl-NL"/>
        </w:rPr>
        <w:t xml:space="preserve"> </w:t>
      </w:r>
      <w:r w:rsidR="00E16D74">
        <w:rPr>
          <w:iCs/>
          <w:szCs w:val="18"/>
          <w:lang w:val="nl-NL"/>
        </w:rPr>
        <w:t xml:space="preserve">ook </w:t>
      </w:r>
      <w:r>
        <w:rPr>
          <w:iCs/>
          <w:szCs w:val="18"/>
          <w:lang w:val="nl-NL"/>
        </w:rPr>
        <w:t xml:space="preserve">Commissaris Breton (Interne Markt) </w:t>
      </w:r>
      <w:r w:rsidR="00425CBB">
        <w:rPr>
          <w:iCs/>
          <w:szCs w:val="18"/>
          <w:lang w:val="nl-NL"/>
        </w:rPr>
        <w:t xml:space="preserve">en Hoge Vertegenwoordiger </w:t>
      </w:r>
      <w:proofErr w:type="spellStart"/>
      <w:r w:rsidR="00425CBB">
        <w:rPr>
          <w:iCs/>
          <w:szCs w:val="18"/>
          <w:lang w:val="nl-NL"/>
        </w:rPr>
        <w:t>Borrell</w:t>
      </w:r>
      <w:proofErr w:type="spellEnd"/>
      <w:r>
        <w:rPr>
          <w:iCs/>
          <w:szCs w:val="18"/>
          <w:lang w:val="nl-NL"/>
        </w:rPr>
        <w:t xml:space="preserve"> deel. </w:t>
      </w:r>
      <w:r w:rsidRPr="00850D5D">
        <w:rPr>
          <w:iCs/>
          <w:szCs w:val="18"/>
        </w:rPr>
        <w:t xml:space="preserve">De </w:t>
      </w:r>
      <w:proofErr w:type="spellStart"/>
      <w:r w:rsidRPr="00850D5D" w:rsidR="00850D5D">
        <w:rPr>
          <w:iCs/>
          <w:szCs w:val="18"/>
        </w:rPr>
        <w:t>Amerikaanse</w:t>
      </w:r>
      <w:proofErr w:type="spellEnd"/>
      <w:r w:rsidRPr="00850D5D">
        <w:rPr>
          <w:iCs/>
          <w:szCs w:val="18"/>
        </w:rPr>
        <w:t xml:space="preserve"> </w:t>
      </w:r>
      <w:proofErr w:type="spellStart"/>
      <w:r w:rsidRPr="00850D5D" w:rsidR="00E44730">
        <w:rPr>
          <w:iCs/>
          <w:szCs w:val="18"/>
        </w:rPr>
        <w:t>deelnemers</w:t>
      </w:r>
      <w:proofErr w:type="spellEnd"/>
      <w:r w:rsidRPr="00850D5D" w:rsidR="00E44730">
        <w:rPr>
          <w:iCs/>
          <w:szCs w:val="18"/>
        </w:rPr>
        <w:t xml:space="preserve"> </w:t>
      </w:r>
      <w:proofErr w:type="spellStart"/>
      <w:r w:rsidRPr="00850D5D">
        <w:rPr>
          <w:iCs/>
          <w:szCs w:val="18"/>
        </w:rPr>
        <w:t>zijn</w:t>
      </w:r>
      <w:proofErr w:type="spellEnd"/>
      <w:r w:rsidRPr="00850D5D">
        <w:rPr>
          <w:iCs/>
          <w:szCs w:val="18"/>
        </w:rPr>
        <w:t xml:space="preserve"> Secretary of State </w:t>
      </w:r>
      <w:proofErr w:type="spellStart"/>
      <w:r w:rsidRPr="00850D5D">
        <w:rPr>
          <w:iCs/>
          <w:szCs w:val="18"/>
        </w:rPr>
        <w:t>Blinken</w:t>
      </w:r>
      <w:proofErr w:type="spellEnd"/>
      <w:r w:rsidRPr="00850D5D">
        <w:rPr>
          <w:iCs/>
          <w:szCs w:val="18"/>
        </w:rPr>
        <w:t xml:space="preserve">, Secretary of Commerce Raimondo, en United States Trade Representative Tai. </w:t>
      </w:r>
      <w:r w:rsidR="00E16D74">
        <w:rPr>
          <w:iCs/>
          <w:szCs w:val="18"/>
          <w:lang w:val="nl-NL"/>
        </w:rPr>
        <w:t xml:space="preserve">Vanwege </w:t>
      </w:r>
      <w:r w:rsidR="00850D5D">
        <w:rPr>
          <w:iCs/>
          <w:szCs w:val="18"/>
          <w:lang w:val="nl-NL"/>
        </w:rPr>
        <w:t>de oorlog in Oekraïne</w:t>
      </w:r>
      <w:r>
        <w:rPr>
          <w:iCs/>
          <w:szCs w:val="18"/>
          <w:lang w:val="nl-NL"/>
        </w:rPr>
        <w:t xml:space="preserve"> stond de TTC voor een </w:t>
      </w:r>
      <w:r w:rsidR="00850D5D">
        <w:rPr>
          <w:iCs/>
          <w:szCs w:val="18"/>
          <w:lang w:val="nl-NL"/>
        </w:rPr>
        <w:t xml:space="preserve">belangrijk deel </w:t>
      </w:r>
      <w:r>
        <w:rPr>
          <w:iCs/>
          <w:szCs w:val="18"/>
          <w:lang w:val="nl-NL"/>
        </w:rPr>
        <w:t>in het teken van tran</w:t>
      </w:r>
      <w:r w:rsidR="00850D5D">
        <w:rPr>
          <w:iCs/>
          <w:szCs w:val="18"/>
          <w:lang w:val="nl-NL"/>
        </w:rPr>
        <w:t>s-Atlantische samenwerking vis-à</w:t>
      </w:r>
      <w:r>
        <w:rPr>
          <w:iCs/>
          <w:szCs w:val="18"/>
          <w:lang w:val="nl-NL"/>
        </w:rPr>
        <w:t xml:space="preserve">-vis Rusland en Belarus. </w:t>
      </w:r>
    </w:p>
    <w:p w:rsidR="000E1D7C" w:rsidP="00701A17" w:rsidRDefault="000E1D7C" w14:paraId="1F490DDE" w14:textId="50A5BC10">
      <w:pPr>
        <w:pStyle w:val="NoSpacing"/>
        <w:rPr>
          <w:iCs/>
          <w:szCs w:val="18"/>
          <w:lang w:val="nl-NL"/>
        </w:rPr>
      </w:pPr>
    </w:p>
    <w:p w:rsidRPr="00F42BD6" w:rsidR="00F42BD6" w:rsidP="00701A17" w:rsidRDefault="000E1D7C" w14:paraId="1A5638C8" w14:textId="5BEF8741">
      <w:pPr>
        <w:pStyle w:val="NoSpacing"/>
        <w:rPr>
          <w:iCs/>
          <w:szCs w:val="18"/>
          <w:lang w:val="nl-NL"/>
        </w:rPr>
      </w:pPr>
      <w:r>
        <w:rPr>
          <w:iCs/>
          <w:szCs w:val="18"/>
          <w:lang w:val="nl-NL"/>
        </w:rPr>
        <w:t>Net als na de eerste TTC bijeenkomst (</w:t>
      </w:r>
      <w:r w:rsidR="00E84B8E">
        <w:rPr>
          <w:iCs/>
          <w:szCs w:val="18"/>
          <w:lang w:val="nl-NL"/>
        </w:rPr>
        <w:t>29</w:t>
      </w:r>
      <w:r>
        <w:rPr>
          <w:iCs/>
          <w:szCs w:val="18"/>
          <w:lang w:val="nl-NL"/>
        </w:rPr>
        <w:t xml:space="preserve"> september 2021 in Pittsburgh) werd na afloop van de bijeenkomst een </w:t>
      </w:r>
      <w:r w:rsidR="00E16D74">
        <w:rPr>
          <w:iCs/>
          <w:szCs w:val="18"/>
          <w:lang w:val="nl-NL"/>
        </w:rPr>
        <w:t>gezame</w:t>
      </w:r>
      <w:r w:rsidR="00850D5D">
        <w:rPr>
          <w:iCs/>
          <w:szCs w:val="18"/>
          <w:lang w:val="nl-NL"/>
        </w:rPr>
        <w:t>n</w:t>
      </w:r>
      <w:r w:rsidR="00E16D74">
        <w:rPr>
          <w:iCs/>
          <w:szCs w:val="18"/>
          <w:lang w:val="nl-NL"/>
        </w:rPr>
        <w:t xml:space="preserve">lijke verklaring </w:t>
      </w:r>
      <w:r>
        <w:rPr>
          <w:iCs/>
          <w:szCs w:val="18"/>
          <w:lang w:val="nl-NL"/>
        </w:rPr>
        <w:t>gepubliceerd</w:t>
      </w:r>
      <w:r w:rsidR="00E16D74">
        <w:rPr>
          <w:iCs/>
          <w:szCs w:val="18"/>
          <w:lang w:val="nl-NL"/>
        </w:rPr>
        <w:t>, het Paris-</w:t>
      </w:r>
      <w:proofErr w:type="spellStart"/>
      <w:r w:rsidR="00E16D74">
        <w:rPr>
          <w:iCs/>
          <w:szCs w:val="18"/>
          <w:lang w:val="nl-NL"/>
        </w:rPr>
        <w:t>Saclay</w:t>
      </w:r>
      <w:proofErr w:type="spellEnd"/>
      <w:r w:rsidR="00E16D74">
        <w:rPr>
          <w:iCs/>
          <w:szCs w:val="18"/>
          <w:lang w:val="nl-NL"/>
        </w:rPr>
        <w:t xml:space="preserve"> Joint Statement</w:t>
      </w:r>
      <w:r>
        <w:rPr>
          <w:rStyle w:val="FootnoteReference"/>
          <w:iCs/>
          <w:szCs w:val="18"/>
          <w:lang w:val="nl-NL"/>
        </w:rPr>
        <w:footnoteReference w:id="4"/>
      </w:r>
      <w:r>
        <w:rPr>
          <w:iCs/>
          <w:szCs w:val="18"/>
          <w:lang w:val="nl-NL"/>
        </w:rPr>
        <w:t xml:space="preserve">. </w:t>
      </w:r>
      <w:r w:rsidR="00F42BD6">
        <w:rPr>
          <w:iCs/>
          <w:szCs w:val="18"/>
          <w:lang w:val="nl-NL"/>
        </w:rPr>
        <w:t xml:space="preserve">Hierin wordt </w:t>
      </w:r>
      <w:r w:rsidR="00850D5D">
        <w:rPr>
          <w:iCs/>
          <w:szCs w:val="18"/>
          <w:lang w:val="nl-NL"/>
        </w:rPr>
        <w:t xml:space="preserve">o.a. </w:t>
      </w:r>
      <w:r w:rsidR="00F42BD6">
        <w:rPr>
          <w:iCs/>
          <w:szCs w:val="18"/>
          <w:lang w:val="nl-NL"/>
        </w:rPr>
        <w:t xml:space="preserve">de stand van zaken beschreven </w:t>
      </w:r>
      <w:r w:rsidR="001369DD">
        <w:rPr>
          <w:iCs/>
          <w:szCs w:val="18"/>
          <w:lang w:val="nl-NL"/>
        </w:rPr>
        <w:t xml:space="preserve">van </w:t>
      </w:r>
      <w:r w:rsidR="00F42BD6">
        <w:rPr>
          <w:iCs/>
          <w:szCs w:val="18"/>
          <w:lang w:val="nl-NL"/>
        </w:rPr>
        <w:t xml:space="preserve">de trans-Atlantische samenwerking voor de </w:t>
      </w:r>
      <w:r w:rsidR="00850D5D">
        <w:rPr>
          <w:iCs/>
          <w:szCs w:val="18"/>
          <w:lang w:val="nl-NL"/>
        </w:rPr>
        <w:t xml:space="preserve">tien </w:t>
      </w:r>
      <w:r w:rsidR="00F42BD6">
        <w:rPr>
          <w:iCs/>
          <w:szCs w:val="18"/>
          <w:lang w:val="nl-NL"/>
        </w:rPr>
        <w:t>thematische TTC werkgroepen</w:t>
      </w:r>
      <w:r w:rsidR="00850D5D">
        <w:rPr>
          <w:iCs/>
          <w:szCs w:val="18"/>
          <w:lang w:val="nl-NL"/>
        </w:rPr>
        <w:t xml:space="preserve"> en</w:t>
      </w:r>
      <w:r w:rsidR="001369DD">
        <w:rPr>
          <w:iCs/>
          <w:szCs w:val="18"/>
          <w:lang w:val="nl-NL"/>
        </w:rPr>
        <w:t xml:space="preserve"> worden</w:t>
      </w:r>
      <w:r w:rsidR="00850D5D">
        <w:rPr>
          <w:iCs/>
          <w:szCs w:val="18"/>
          <w:lang w:val="nl-NL"/>
        </w:rPr>
        <w:t xml:space="preserve"> concrete uitkomsten gemarkeerd. </w:t>
      </w:r>
      <w:r w:rsidR="00F42BD6">
        <w:rPr>
          <w:iCs/>
          <w:szCs w:val="18"/>
          <w:lang w:val="nl-NL"/>
        </w:rPr>
        <w:t xml:space="preserve">Voorbeelden </w:t>
      </w:r>
      <w:r w:rsidR="00850D5D">
        <w:rPr>
          <w:iCs/>
          <w:szCs w:val="18"/>
          <w:lang w:val="nl-NL"/>
        </w:rPr>
        <w:t xml:space="preserve">hiervan </w:t>
      </w:r>
      <w:r w:rsidR="00F42BD6">
        <w:rPr>
          <w:iCs/>
          <w:szCs w:val="18"/>
          <w:lang w:val="nl-NL"/>
        </w:rPr>
        <w:t xml:space="preserve">zijn onder meer het opzetten van het </w:t>
      </w:r>
      <w:r w:rsidRPr="00F42BD6" w:rsidR="00F42BD6">
        <w:rPr>
          <w:i/>
          <w:iCs/>
          <w:szCs w:val="18"/>
          <w:lang w:val="nl-NL"/>
        </w:rPr>
        <w:t xml:space="preserve">Strategic </w:t>
      </w:r>
      <w:proofErr w:type="spellStart"/>
      <w:r w:rsidRPr="00F42BD6" w:rsidR="00F42BD6">
        <w:rPr>
          <w:i/>
          <w:iCs/>
          <w:szCs w:val="18"/>
          <w:lang w:val="nl-NL"/>
        </w:rPr>
        <w:t>Standardisation</w:t>
      </w:r>
      <w:proofErr w:type="spellEnd"/>
      <w:r w:rsidRPr="00F42BD6" w:rsidR="00F42BD6">
        <w:rPr>
          <w:i/>
          <w:iCs/>
          <w:szCs w:val="18"/>
          <w:lang w:val="nl-NL"/>
        </w:rPr>
        <w:t xml:space="preserve"> Information</w:t>
      </w:r>
      <w:r w:rsidRPr="00F42BD6" w:rsidR="00F42BD6">
        <w:rPr>
          <w:iCs/>
          <w:szCs w:val="18"/>
          <w:lang w:val="nl-NL"/>
        </w:rPr>
        <w:t xml:space="preserve"> (SSI) mechanisme</w:t>
      </w:r>
      <w:r w:rsidR="00F42BD6">
        <w:rPr>
          <w:iCs/>
          <w:szCs w:val="18"/>
          <w:lang w:val="nl-NL"/>
        </w:rPr>
        <w:t xml:space="preserve">, een </w:t>
      </w:r>
      <w:r w:rsidR="00850D5D">
        <w:rPr>
          <w:iCs/>
          <w:szCs w:val="18"/>
          <w:lang w:val="nl-NL"/>
        </w:rPr>
        <w:t>taakgroep</w:t>
      </w:r>
      <w:r w:rsidRPr="00F42BD6" w:rsidR="00F42BD6">
        <w:rPr>
          <w:iCs/>
          <w:szCs w:val="18"/>
          <w:lang w:val="nl-NL"/>
        </w:rPr>
        <w:t xml:space="preserve"> om financiering te vinden voor veilige ICT </w:t>
      </w:r>
      <w:proofErr w:type="spellStart"/>
      <w:r w:rsidRPr="00F42BD6" w:rsidR="00F42BD6">
        <w:rPr>
          <w:iCs/>
          <w:szCs w:val="18"/>
          <w:lang w:val="nl-NL"/>
        </w:rPr>
        <w:t>waardeketens</w:t>
      </w:r>
      <w:proofErr w:type="spellEnd"/>
      <w:r w:rsidRPr="00F42BD6" w:rsidR="00F42BD6">
        <w:rPr>
          <w:iCs/>
          <w:szCs w:val="18"/>
          <w:lang w:val="nl-NL"/>
        </w:rPr>
        <w:t xml:space="preserve"> in derde landen</w:t>
      </w:r>
      <w:r w:rsidR="00F42BD6">
        <w:rPr>
          <w:iCs/>
          <w:szCs w:val="18"/>
          <w:lang w:val="nl-NL"/>
        </w:rPr>
        <w:t xml:space="preserve">, en een </w:t>
      </w:r>
      <w:r w:rsidRPr="00850D5D" w:rsidR="00850D5D">
        <w:rPr>
          <w:i/>
          <w:iCs/>
          <w:szCs w:val="18"/>
          <w:lang w:val="nl-NL"/>
        </w:rPr>
        <w:t xml:space="preserve">Trade &amp; </w:t>
      </w:r>
      <w:proofErr w:type="spellStart"/>
      <w:r w:rsidRPr="00850D5D" w:rsidR="00850D5D">
        <w:rPr>
          <w:i/>
          <w:iCs/>
          <w:szCs w:val="18"/>
          <w:lang w:val="nl-NL"/>
        </w:rPr>
        <w:t>Labor</w:t>
      </w:r>
      <w:proofErr w:type="spellEnd"/>
      <w:r w:rsidRPr="00850D5D" w:rsidR="00850D5D">
        <w:rPr>
          <w:i/>
          <w:iCs/>
          <w:szCs w:val="18"/>
          <w:lang w:val="nl-NL"/>
        </w:rPr>
        <w:t xml:space="preserve"> </w:t>
      </w:r>
      <w:proofErr w:type="spellStart"/>
      <w:r w:rsidRPr="00850D5D" w:rsidR="00850D5D">
        <w:rPr>
          <w:i/>
          <w:iCs/>
          <w:szCs w:val="18"/>
          <w:lang w:val="nl-NL"/>
        </w:rPr>
        <w:t>Dialogue</w:t>
      </w:r>
      <w:proofErr w:type="spellEnd"/>
      <w:r w:rsidRPr="00F42BD6" w:rsidR="00F42BD6">
        <w:rPr>
          <w:iCs/>
          <w:szCs w:val="18"/>
          <w:lang w:val="nl-NL"/>
        </w:rPr>
        <w:t xml:space="preserve"> met</w:t>
      </w:r>
      <w:r w:rsidR="001D149E">
        <w:rPr>
          <w:iCs/>
          <w:szCs w:val="18"/>
          <w:lang w:val="nl-NL"/>
        </w:rPr>
        <w:t xml:space="preserve"> het</w:t>
      </w:r>
      <w:r w:rsidRPr="00F42BD6" w:rsidR="00F42BD6">
        <w:rPr>
          <w:iCs/>
          <w:szCs w:val="18"/>
          <w:lang w:val="nl-NL"/>
        </w:rPr>
        <w:t xml:space="preserve"> maatschappelijk middenveld</w:t>
      </w:r>
      <w:r w:rsidR="00F42BD6">
        <w:rPr>
          <w:iCs/>
          <w:szCs w:val="18"/>
          <w:lang w:val="nl-NL"/>
        </w:rPr>
        <w:t xml:space="preserve">. </w:t>
      </w:r>
    </w:p>
    <w:p w:rsidR="000E1D7C" w:rsidP="00701A17" w:rsidRDefault="000E1D7C" w14:paraId="012C976B" w14:textId="69A7CE77">
      <w:pPr>
        <w:pStyle w:val="NoSpacing"/>
        <w:rPr>
          <w:iCs/>
          <w:szCs w:val="18"/>
          <w:lang w:val="nl-NL"/>
        </w:rPr>
      </w:pPr>
    </w:p>
    <w:p w:rsidR="00E16D74" w:rsidP="00701A17" w:rsidRDefault="00F42BD6" w14:paraId="041A17B8" w14:textId="263E3C7D">
      <w:pPr>
        <w:pStyle w:val="NoSpacing"/>
        <w:rPr>
          <w:iCs/>
          <w:szCs w:val="18"/>
          <w:lang w:val="nl-NL"/>
        </w:rPr>
      </w:pPr>
      <w:r>
        <w:rPr>
          <w:iCs/>
          <w:szCs w:val="18"/>
          <w:lang w:val="nl-NL"/>
        </w:rPr>
        <w:t xml:space="preserve">Nederland steunt de TTC als platform om trans-Atlantische samenwerking </w:t>
      </w:r>
      <w:r w:rsidR="00850D5D">
        <w:rPr>
          <w:iCs/>
          <w:szCs w:val="18"/>
          <w:lang w:val="nl-NL"/>
        </w:rPr>
        <w:t>te verbreden</w:t>
      </w:r>
      <w:r>
        <w:rPr>
          <w:iCs/>
          <w:szCs w:val="18"/>
          <w:lang w:val="nl-NL"/>
        </w:rPr>
        <w:t xml:space="preserve"> en te verdiepen. </w:t>
      </w:r>
      <w:r w:rsidR="006D1D8F">
        <w:rPr>
          <w:iCs/>
          <w:szCs w:val="18"/>
          <w:lang w:val="nl-NL"/>
        </w:rPr>
        <w:t xml:space="preserve">Binnen de TTC is sprake van een regelmatige dialoog tussen de EU en de VS, zowel op politiek niveau als op werkniveau. </w:t>
      </w:r>
      <w:r w:rsidRPr="00425CBB" w:rsidR="00425CBB">
        <w:rPr>
          <w:iCs/>
          <w:szCs w:val="18"/>
          <w:lang w:val="nl-NL"/>
        </w:rPr>
        <w:t xml:space="preserve">Recent is het belang van deze samenwerking </w:t>
      </w:r>
      <w:r w:rsidR="00E16D74">
        <w:rPr>
          <w:iCs/>
          <w:szCs w:val="18"/>
          <w:lang w:val="nl-NL"/>
        </w:rPr>
        <w:t xml:space="preserve">bijvoorbeeld </w:t>
      </w:r>
      <w:r w:rsidRPr="00425CBB" w:rsidR="00425CBB">
        <w:rPr>
          <w:iCs/>
          <w:szCs w:val="18"/>
          <w:lang w:val="nl-NL"/>
        </w:rPr>
        <w:t>gebleken uit</w:t>
      </w:r>
      <w:r w:rsidR="00E16D74">
        <w:rPr>
          <w:iCs/>
          <w:szCs w:val="18"/>
          <w:lang w:val="nl-NL"/>
        </w:rPr>
        <w:t xml:space="preserve"> het instellen van </w:t>
      </w:r>
      <w:r w:rsidR="00196149">
        <w:rPr>
          <w:iCs/>
          <w:szCs w:val="18"/>
          <w:lang w:val="nl-NL"/>
        </w:rPr>
        <w:t>sancties</w:t>
      </w:r>
      <w:r>
        <w:rPr>
          <w:iCs/>
          <w:szCs w:val="18"/>
          <w:lang w:val="nl-NL"/>
        </w:rPr>
        <w:t xml:space="preserve"> tegen Rusland. </w:t>
      </w:r>
      <w:r w:rsidRPr="00447336" w:rsidR="00E16D74">
        <w:rPr>
          <w:szCs w:val="18"/>
          <w:lang w:val="nl-NL"/>
        </w:rPr>
        <w:t xml:space="preserve">Verder </w:t>
      </w:r>
      <w:r w:rsidR="00E16D74">
        <w:rPr>
          <w:szCs w:val="18"/>
          <w:lang w:val="nl-NL"/>
        </w:rPr>
        <w:t xml:space="preserve">benoemt het </w:t>
      </w:r>
      <w:r>
        <w:rPr>
          <w:iCs/>
          <w:szCs w:val="18"/>
          <w:lang w:val="nl-NL"/>
        </w:rPr>
        <w:t>Paris-</w:t>
      </w:r>
      <w:proofErr w:type="spellStart"/>
      <w:r>
        <w:rPr>
          <w:iCs/>
          <w:szCs w:val="18"/>
          <w:lang w:val="nl-NL"/>
        </w:rPr>
        <w:t>Saclay</w:t>
      </w:r>
      <w:proofErr w:type="spellEnd"/>
      <w:r>
        <w:rPr>
          <w:iCs/>
          <w:szCs w:val="18"/>
          <w:lang w:val="nl-NL"/>
        </w:rPr>
        <w:t xml:space="preserve"> </w:t>
      </w:r>
      <w:r w:rsidR="00E16D74">
        <w:rPr>
          <w:iCs/>
          <w:szCs w:val="18"/>
          <w:lang w:val="nl-NL"/>
        </w:rPr>
        <w:t xml:space="preserve">Joint Statement </w:t>
      </w:r>
      <w:r w:rsidR="00425CBB">
        <w:rPr>
          <w:iCs/>
          <w:szCs w:val="18"/>
          <w:lang w:val="nl-NL"/>
        </w:rPr>
        <w:t>onder meer</w:t>
      </w:r>
      <w:r w:rsidR="00701A17">
        <w:rPr>
          <w:iCs/>
          <w:szCs w:val="18"/>
          <w:lang w:val="nl-NL"/>
        </w:rPr>
        <w:t xml:space="preserve"> het</w:t>
      </w:r>
      <w:r w:rsidRPr="00447336" w:rsidR="00E16D74">
        <w:rPr>
          <w:szCs w:val="18"/>
          <w:lang w:val="nl-NL"/>
        </w:rPr>
        <w:t xml:space="preserve"> </w:t>
      </w:r>
      <w:r w:rsidRPr="003658F1" w:rsidR="00E16D74">
        <w:rPr>
          <w:rFonts w:eastAsia="Times New Roman" w:cs="Times New Roman"/>
          <w:szCs w:val="18"/>
          <w:lang w:val="nl-NL" w:eastAsia="nl-NL"/>
        </w:rPr>
        <w:t>belang van de WTO (en een succesvol</w:t>
      </w:r>
      <w:r w:rsidR="00120157">
        <w:rPr>
          <w:rFonts w:eastAsia="Times New Roman" w:cs="Times New Roman"/>
          <w:szCs w:val="18"/>
          <w:lang w:val="nl-NL" w:eastAsia="nl-NL"/>
        </w:rPr>
        <w:t xml:space="preserve">le </w:t>
      </w:r>
      <w:r w:rsidRPr="003658F1" w:rsidR="00E16D74">
        <w:rPr>
          <w:rFonts w:eastAsia="Times New Roman" w:cs="Times New Roman"/>
          <w:szCs w:val="18"/>
          <w:lang w:val="nl-NL" w:eastAsia="nl-NL"/>
        </w:rPr>
        <w:t>MC12) voor het wereldwijde handelssysteem</w:t>
      </w:r>
      <w:r w:rsidRPr="00447336" w:rsidR="00E16D74">
        <w:rPr>
          <w:szCs w:val="18"/>
          <w:lang w:val="nl-NL"/>
        </w:rPr>
        <w:t>,</w:t>
      </w:r>
      <w:r w:rsidR="001D149E">
        <w:rPr>
          <w:szCs w:val="18"/>
          <w:lang w:val="nl-NL"/>
        </w:rPr>
        <w:t xml:space="preserve"> het verdiepen van de</w:t>
      </w:r>
      <w:r w:rsidRPr="00447336" w:rsidR="00E16D74">
        <w:rPr>
          <w:szCs w:val="18"/>
          <w:lang w:val="nl-NL"/>
        </w:rPr>
        <w:t xml:space="preserve"> s</w:t>
      </w:r>
      <w:r w:rsidRPr="003658F1" w:rsidR="00E16D74">
        <w:rPr>
          <w:rFonts w:eastAsia="Times New Roman" w:cs="Times New Roman"/>
          <w:szCs w:val="18"/>
          <w:lang w:val="nl-NL" w:eastAsia="nl-NL"/>
        </w:rPr>
        <w:t>amenwerking op sensitieve technologie</w:t>
      </w:r>
      <w:r w:rsidRPr="00447336" w:rsidR="00E16D74">
        <w:rPr>
          <w:szCs w:val="18"/>
          <w:lang w:val="nl-NL"/>
        </w:rPr>
        <w:t>, s</w:t>
      </w:r>
      <w:r w:rsidRPr="003658F1" w:rsidR="00E16D74">
        <w:rPr>
          <w:rFonts w:eastAsia="Times New Roman" w:cs="Times New Roman"/>
          <w:szCs w:val="18"/>
          <w:lang w:val="nl-NL" w:eastAsia="nl-NL"/>
        </w:rPr>
        <w:t>amenwerking op klimaat</w:t>
      </w:r>
      <w:r w:rsidRPr="00447336" w:rsidR="00E16D74">
        <w:rPr>
          <w:szCs w:val="18"/>
          <w:lang w:val="nl-NL"/>
        </w:rPr>
        <w:t xml:space="preserve">, en het belang van het betrekken van </w:t>
      </w:r>
      <w:r w:rsidRPr="003658F1" w:rsidR="00E16D74">
        <w:rPr>
          <w:rFonts w:eastAsia="Times New Roman" w:cs="Times New Roman"/>
          <w:szCs w:val="18"/>
          <w:lang w:val="nl-NL" w:eastAsia="nl-NL"/>
        </w:rPr>
        <w:t xml:space="preserve">het bedrijfsleven </w:t>
      </w:r>
      <w:r w:rsidR="00701A17">
        <w:rPr>
          <w:rFonts w:eastAsia="Times New Roman" w:cs="Times New Roman"/>
          <w:szCs w:val="18"/>
          <w:lang w:val="nl-NL" w:eastAsia="nl-NL"/>
        </w:rPr>
        <w:t>bij</w:t>
      </w:r>
      <w:r w:rsidRPr="003658F1" w:rsidR="00701A17">
        <w:rPr>
          <w:rFonts w:eastAsia="Times New Roman" w:cs="Times New Roman"/>
          <w:szCs w:val="18"/>
          <w:lang w:val="nl-NL" w:eastAsia="nl-NL"/>
        </w:rPr>
        <w:t xml:space="preserve"> </w:t>
      </w:r>
      <w:r w:rsidRPr="003658F1" w:rsidR="00E16D74">
        <w:rPr>
          <w:rFonts w:eastAsia="Times New Roman" w:cs="Times New Roman"/>
          <w:szCs w:val="18"/>
          <w:lang w:val="nl-NL" w:eastAsia="nl-NL"/>
        </w:rPr>
        <w:t xml:space="preserve">het oplossen van verstoringen </w:t>
      </w:r>
      <w:r w:rsidR="00850D5D">
        <w:rPr>
          <w:rFonts w:eastAsia="Times New Roman" w:cs="Times New Roman"/>
          <w:szCs w:val="18"/>
          <w:lang w:val="nl-NL" w:eastAsia="nl-NL"/>
        </w:rPr>
        <w:t>van</w:t>
      </w:r>
      <w:r w:rsidRPr="003658F1" w:rsidR="00E16D74">
        <w:rPr>
          <w:rFonts w:eastAsia="Times New Roman" w:cs="Times New Roman"/>
          <w:szCs w:val="18"/>
          <w:lang w:val="nl-NL" w:eastAsia="nl-NL"/>
        </w:rPr>
        <w:t xml:space="preserve"> </w:t>
      </w:r>
      <w:proofErr w:type="spellStart"/>
      <w:r w:rsidRPr="003658F1" w:rsidR="00E16D74">
        <w:rPr>
          <w:rFonts w:eastAsia="Times New Roman" w:cs="Times New Roman"/>
          <w:szCs w:val="18"/>
          <w:lang w:val="nl-NL" w:eastAsia="nl-NL"/>
        </w:rPr>
        <w:t>waardeketens</w:t>
      </w:r>
      <w:proofErr w:type="spellEnd"/>
      <w:r w:rsidRPr="003658F1" w:rsidR="00E16D74">
        <w:rPr>
          <w:rFonts w:eastAsia="Times New Roman" w:cs="Times New Roman"/>
          <w:szCs w:val="18"/>
          <w:lang w:val="nl-NL" w:eastAsia="nl-NL"/>
        </w:rPr>
        <w:t>.</w:t>
      </w:r>
      <w:r w:rsidR="00E16D74">
        <w:rPr>
          <w:rFonts w:eastAsia="Times New Roman" w:cs="Times New Roman"/>
          <w:szCs w:val="18"/>
          <w:lang w:val="nl-NL" w:eastAsia="nl-NL"/>
        </w:rPr>
        <w:t xml:space="preserve"> </w:t>
      </w:r>
      <w:r w:rsidR="00447336">
        <w:rPr>
          <w:iCs/>
          <w:szCs w:val="18"/>
          <w:lang w:val="nl-NL"/>
        </w:rPr>
        <w:t xml:space="preserve">Het kabinet </w:t>
      </w:r>
      <w:r w:rsidR="00120157">
        <w:rPr>
          <w:iCs/>
          <w:szCs w:val="18"/>
          <w:lang w:val="nl-NL"/>
        </w:rPr>
        <w:t xml:space="preserve">is dan ook voornemens tevredenheid uit te spreken </w:t>
      </w:r>
      <w:r w:rsidR="00A85F9E">
        <w:rPr>
          <w:iCs/>
          <w:szCs w:val="18"/>
          <w:lang w:val="nl-NL"/>
        </w:rPr>
        <w:t>over</w:t>
      </w:r>
      <w:r w:rsidR="00120157">
        <w:rPr>
          <w:iCs/>
          <w:szCs w:val="18"/>
          <w:lang w:val="nl-NL"/>
        </w:rPr>
        <w:t xml:space="preserve"> de</w:t>
      </w:r>
      <w:r w:rsidR="00447336">
        <w:rPr>
          <w:iCs/>
          <w:szCs w:val="18"/>
          <w:lang w:val="nl-NL"/>
        </w:rPr>
        <w:t xml:space="preserve"> inhoud van </w:t>
      </w:r>
      <w:r w:rsidR="00E16D74">
        <w:rPr>
          <w:iCs/>
          <w:szCs w:val="18"/>
          <w:lang w:val="nl-NL"/>
        </w:rPr>
        <w:t>de verklaring</w:t>
      </w:r>
      <w:r w:rsidR="00120157">
        <w:rPr>
          <w:iCs/>
          <w:szCs w:val="18"/>
          <w:lang w:val="nl-NL"/>
        </w:rPr>
        <w:t xml:space="preserve"> en de Commissie op</w:t>
      </w:r>
      <w:r w:rsidR="00A85F9E">
        <w:rPr>
          <w:iCs/>
          <w:szCs w:val="18"/>
          <w:lang w:val="nl-NL"/>
        </w:rPr>
        <w:t xml:space="preserve"> te </w:t>
      </w:r>
      <w:r w:rsidR="00120157">
        <w:rPr>
          <w:iCs/>
          <w:szCs w:val="18"/>
          <w:lang w:val="nl-NL"/>
        </w:rPr>
        <w:t>roepen de samenwerking met de VS binnen de TTC voort te zetten.</w:t>
      </w:r>
    </w:p>
    <w:p w:rsidR="00E16D74" w:rsidP="00701A17" w:rsidRDefault="00E16D74" w14:paraId="5E1780ED" w14:textId="77777777">
      <w:pPr>
        <w:pStyle w:val="NoSpacing"/>
        <w:rPr>
          <w:iCs/>
          <w:szCs w:val="18"/>
          <w:lang w:val="nl-NL"/>
        </w:rPr>
      </w:pPr>
    </w:p>
    <w:p w:rsidRPr="000E1D7C" w:rsidR="00D46823" w:rsidP="00701A17" w:rsidRDefault="00447336" w14:paraId="56B09D51" w14:textId="7D758CA4">
      <w:pPr>
        <w:pStyle w:val="NoSpacing"/>
        <w:rPr>
          <w:b/>
          <w:color w:val="FF0000"/>
          <w:szCs w:val="18"/>
          <w:lang w:val="nl-NL"/>
        </w:rPr>
      </w:pPr>
      <w:r>
        <w:rPr>
          <w:iCs/>
          <w:szCs w:val="18"/>
          <w:lang w:val="nl-NL"/>
        </w:rPr>
        <w:t xml:space="preserve">De volgende (derde) TTC bijeenkomst op politiek niveau zal waarschijnlijk </w:t>
      </w:r>
      <w:r w:rsidR="00850D5D">
        <w:rPr>
          <w:iCs/>
          <w:szCs w:val="18"/>
          <w:lang w:val="nl-NL"/>
        </w:rPr>
        <w:t>aan het einde van het jaar</w:t>
      </w:r>
      <w:r>
        <w:rPr>
          <w:iCs/>
          <w:szCs w:val="18"/>
          <w:lang w:val="nl-NL"/>
        </w:rPr>
        <w:t xml:space="preserve"> in de VS </w:t>
      </w:r>
      <w:r w:rsidR="00701A17">
        <w:rPr>
          <w:iCs/>
          <w:szCs w:val="18"/>
          <w:lang w:val="nl-NL"/>
        </w:rPr>
        <w:t>plaatsvinden</w:t>
      </w:r>
      <w:r>
        <w:rPr>
          <w:iCs/>
          <w:szCs w:val="18"/>
          <w:lang w:val="nl-NL"/>
        </w:rPr>
        <w:t xml:space="preserve">. </w:t>
      </w:r>
    </w:p>
    <w:p w:rsidRPr="000E1D7C" w:rsidR="00D46823" w:rsidP="00701A17" w:rsidRDefault="00D46823" w14:paraId="50902296" w14:textId="77777777">
      <w:pPr>
        <w:pStyle w:val="NoSpacing"/>
        <w:rPr>
          <w:rFonts w:cs="Times New Roman"/>
          <w:szCs w:val="18"/>
          <w:lang w:val="nl-NL" w:eastAsia="ja-JP"/>
        </w:rPr>
      </w:pPr>
    </w:p>
    <w:p w:rsidR="00D46823" w:rsidP="00701A17" w:rsidRDefault="00D46823" w14:paraId="448BBF7D" w14:textId="4F29EB9C">
      <w:pPr>
        <w:pStyle w:val="NoSpacing"/>
        <w:rPr>
          <w:b/>
          <w:szCs w:val="18"/>
          <w:lang w:val="nl-NL"/>
        </w:rPr>
      </w:pPr>
      <w:r>
        <w:rPr>
          <w:b/>
          <w:szCs w:val="18"/>
          <w:lang w:val="nl-NL"/>
        </w:rPr>
        <w:t>Handelsbetrekkingen met China</w:t>
      </w:r>
    </w:p>
    <w:p w:rsidR="00701A17" w:rsidP="00701A17" w:rsidRDefault="00701A17" w14:paraId="0383EF20" w14:textId="77777777">
      <w:pPr>
        <w:pStyle w:val="NoSpacing"/>
        <w:rPr>
          <w:iCs/>
          <w:szCs w:val="18"/>
          <w:lang w:val="nl-NL"/>
        </w:rPr>
      </w:pPr>
    </w:p>
    <w:p w:rsidR="006A3300" w:rsidP="00701A17" w:rsidRDefault="00BB316F" w14:paraId="61FC6547" w14:textId="69EB69AD">
      <w:pPr>
        <w:pStyle w:val="NoSpacing"/>
        <w:rPr>
          <w:iCs/>
          <w:szCs w:val="18"/>
          <w:lang w:val="nl-NL"/>
        </w:rPr>
      </w:pPr>
      <w:r>
        <w:rPr>
          <w:iCs/>
          <w:szCs w:val="18"/>
          <w:lang w:val="nl-NL"/>
        </w:rPr>
        <w:t xml:space="preserve">Vervolgens zal de Raad de EU-China handelsbetrekkingen bespreken. </w:t>
      </w:r>
      <w:r w:rsidR="00B41CE9">
        <w:rPr>
          <w:iCs/>
          <w:szCs w:val="18"/>
          <w:lang w:val="nl-NL"/>
        </w:rPr>
        <w:t xml:space="preserve">De EU-China handelsrelatie staat </w:t>
      </w:r>
      <w:r w:rsidR="006A3300">
        <w:rPr>
          <w:iCs/>
          <w:szCs w:val="18"/>
          <w:lang w:val="nl-NL"/>
        </w:rPr>
        <w:t>onder druk, zowel door onevenwichtigheden in de economische relatie als</w:t>
      </w:r>
      <w:r w:rsidR="00701A17">
        <w:rPr>
          <w:iCs/>
          <w:szCs w:val="18"/>
          <w:lang w:val="nl-NL"/>
        </w:rPr>
        <w:t xml:space="preserve"> door</w:t>
      </w:r>
      <w:r w:rsidR="006A3300">
        <w:rPr>
          <w:iCs/>
          <w:szCs w:val="18"/>
          <w:lang w:val="nl-NL"/>
        </w:rPr>
        <w:t xml:space="preserve"> geopolitieke ontwikkelingen. </w:t>
      </w:r>
    </w:p>
    <w:p w:rsidR="006A3300" w:rsidP="00701A17" w:rsidRDefault="006A3300" w14:paraId="78C0EC06" w14:textId="1C2BA814">
      <w:pPr>
        <w:pStyle w:val="NoSpacing"/>
        <w:rPr>
          <w:iCs/>
          <w:szCs w:val="18"/>
          <w:lang w:val="nl-NL"/>
        </w:rPr>
      </w:pPr>
    </w:p>
    <w:p w:rsidRPr="00F91BE8" w:rsidR="001C6C69" w:rsidP="00701A17" w:rsidRDefault="0092766D" w14:paraId="011915CE" w14:textId="7A428F4A">
      <w:pPr>
        <w:pStyle w:val="NoSpacing"/>
        <w:rPr>
          <w:iCs/>
          <w:szCs w:val="18"/>
          <w:lang w:val="nl-NL"/>
        </w:rPr>
      </w:pPr>
      <w:r>
        <w:rPr>
          <w:iCs/>
          <w:szCs w:val="18"/>
          <w:lang w:val="nl-NL"/>
        </w:rPr>
        <w:t xml:space="preserve">Binnen de EU bestaan grote zorgen over mensenrechtenschendingen in </w:t>
      </w:r>
      <w:proofErr w:type="spellStart"/>
      <w:r>
        <w:rPr>
          <w:iCs/>
          <w:szCs w:val="18"/>
          <w:lang w:val="nl-NL"/>
        </w:rPr>
        <w:t>Xinjiang</w:t>
      </w:r>
      <w:proofErr w:type="spellEnd"/>
      <w:r>
        <w:rPr>
          <w:iCs/>
          <w:szCs w:val="18"/>
          <w:lang w:val="nl-NL"/>
        </w:rPr>
        <w:t xml:space="preserve"> en het gebruik van dwangarbeid in China. </w:t>
      </w:r>
      <w:r w:rsidR="00291260">
        <w:rPr>
          <w:iCs/>
          <w:szCs w:val="18"/>
          <w:lang w:val="nl-NL"/>
        </w:rPr>
        <w:t>EU-maatregelen</w:t>
      </w:r>
      <w:r>
        <w:rPr>
          <w:iCs/>
          <w:szCs w:val="18"/>
          <w:lang w:val="nl-NL"/>
        </w:rPr>
        <w:t xml:space="preserve"> hiertegen werden in maart 2021 beantwoord met Chinese sancties tegen </w:t>
      </w:r>
      <w:r w:rsidR="00291260">
        <w:rPr>
          <w:iCs/>
          <w:szCs w:val="18"/>
          <w:lang w:val="nl-NL"/>
        </w:rPr>
        <w:t>EU-politici</w:t>
      </w:r>
      <w:r w:rsidR="005A3B00">
        <w:rPr>
          <w:iCs/>
          <w:szCs w:val="18"/>
          <w:lang w:val="nl-NL"/>
        </w:rPr>
        <w:t xml:space="preserve">. Dit heeft geleid tot het tot stilstand komen van de </w:t>
      </w:r>
      <w:r w:rsidR="00856F1F">
        <w:rPr>
          <w:iCs/>
          <w:szCs w:val="18"/>
          <w:lang w:val="nl-NL"/>
        </w:rPr>
        <w:t xml:space="preserve">werkzaamheden gericht op het opstarten van de </w:t>
      </w:r>
      <w:r w:rsidR="005A3B00">
        <w:rPr>
          <w:iCs/>
          <w:szCs w:val="18"/>
          <w:lang w:val="nl-NL"/>
        </w:rPr>
        <w:t xml:space="preserve">goedkeuringsprocedure </w:t>
      </w:r>
      <w:r w:rsidR="00856F1F">
        <w:rPr>
          <w:iCs/>
          <w:szCs w:val="18"/>
          <w:lang w:val="nl-NL"/>
        </w:rPr>
        <w:t xml:space="preserve">van </w:t>
      </w:r>
      <w:r w:rsidR="006A3300">
        <w:rPr>
          <w:iCs/>
          <w:szCs w:val="18"/>
          <w:lang w:val="nl-NL"/>
        </w:rPr>
        <w:t>het China-EU investeringsakkoord (CAI)</w:t>
      </w:r>
      <w:r w:rsidR="005A3B00">
        <w:rPr>
          <w:iCs/>
          <w:szCs w:val="18"/>
          <w:lang w:val="nl-NL"/>
        </w:rPr>
        <w:t>.</w:t>
      </w:r>
      <w:r w:rsidR="00F91BE8">
        <w:rPr>
          <w:iCs/>
          <w:szCs w:val="18"/>
          <w:lang w:val="nl-NL"/>
        </w:rPr>
        <w:t xml:space="preserve"> In de context van de handelsrelatie met China staa</w:t>
      </w:r>
      <w:r w:rsidR="00701A17">
        <w:rPr>
          <w:iCs/>
          <w:szCs w:val="18"/>
          <w:lang w:val="nl-NL"/>
        </w:rPr>
        <w:t>t</w:t>
      </w:r>
      <w:r w:rsidR="00F91BE8">
        <w:rPr>
          <w:iCs/>
          <w:szCs w:val="18"/>
          <w:lang w:val="nl-NL"/>
        </w:rPr>
        <w:t xml:space="preserve"> ook d</w:t>
      </w:r>
      <w:r w:rsidRPr="00F91BE8" w:rsidR="00F91BE8">
        <w:rPr>
          <w:iCs/>
          <w:szCs w:val="18"/>
          <w:lang w:val="nl-NL"/>
        </w:rPr>
        <w:t>e discussie over de open strategische autonomie van de EU onverminderd hoog op de Europese agenda.</w:t>
      </w:r>
    </w:p>
    <w:p w:rsidR="00242FE2" w:rsidP="00701A17" w:rsidRDefault="00242FE2" w14:paraId="2446E2E7" w14:textId="4E7B6E64">
      <w:pPr>
        <w:pStyle w:val="NoSpacing"/>
        <w:rPr>
          <w:iCs/>
          <w:szCs w:val="18"/>
          <w:lang w:val="nl-NL"/>
        </w:rPr>
      </w:pPr>
    </w:p>
    <w:p w:rsidRPr="00F91BE8" w:rsidR="00242FE2" w:rsidP="00701A17" w:rsidRDefault="00242FE2" w14:paraId="7046CE30" w14:textId="39B236D6">
      <w:pPr>
        <w:pStyle w:val="NoSpacing"/>
        <w:rPr>
          <w:iCs/>
          <w:szCs w:val="18"/>
          <w:lang w:val="nl-NL"/>
        </w:rPr>
      </w:pPr>
      <w:r>
        <w:rPr>
          <w:iCs/>
          <w:szCs w:val="18"/>
          <w:lang w:val="nl-NL"/>
        </w:rPr>
        <w:t xml:space="preserve">Voor Nederland </w:t>
      </w:r>
      <w:r w:rsidR="00A85F9E">
        <w:rPr>
          <w:iCs/>
          <w:szCs w:val="18"/>
          <w:lang w:val="nl-NL"/>
        </w:rPr>
        <w:t>is</w:t>
      </w:r>
      <w:r>
        <w:rPr>
          <w:iCs/>
          <w:szCs w:val="18"/>
          <w:lang w:val="nl-NL"/>
        </w:rPr>
        <w:t xml:space="preserve"> er een aantal prioriteiten in de EU-China relatie. Het is van groot belang dat de EU gezamenlijk optreed</w:t>
      </w:r>
      <w:r w:rsidR="00701A17">
        <w:rPr>
          <w:iCs/>
          <w:szCs w:val="18"/>
          <w:lang w:val="nl-NL"/>
        </w:rPr>
        <w:t>t</w:t>
      </w:r>
      <w:r>
        <w:rPr>
          <w:iCs/>
          <w:szCs w:val="18"/>
          <w:lang w:val="nl-NL"/>
        </w:rPr>
        <w:t xml:space="preserve"> en zich niet uit elkaar laat spelen bij </w:t>
      </w:r>
      <w:r w:rsidR="00856F1F">
        <w:rPr>
          <w:iCs/>
          <w:szCs w:val="18"/>
          <w:lang w:val="nl-NL"/>
        </w:rPr>
        <w:t>handels</w:t>
      </w:r>
      <w:r>
        <w:rPr>
          <w:iCs/>
          <w:szCs w:val="18"/>
          <w:lang w:val="nl-NL"/>
        </w:rPr>
        <w:t>geschillen met China. Een goed voorbeeld hiervan is de eendrachtige EU</w:t>
      </w:r>
      <w:r w:rsidR="00A85F9E">
        <w:rPr>
          <w:iCs/>
          <w:szCs w:val="18"/>
          <w:lang w:val="nl-NL"/>
        </w:rPr>
        <w:t>-</w:t>
      </w:r>
      <w:r>
        <w:rPr>
          <w:iCs/>
          <w:szCs w:val="18"/>
          <w:lang w:val="nl-NL"/>
        </w:rPr>
        <w:t xml:space="preserve">reactie op de Chinese handelsmaatregelen tegen </w:t>
      </w:r>
      <w:r w:rsidR="00856F1F">
        <w:rPr>
          <w:iCs/>
          <w:szCs w:val="18"/>
          <w:lang w:val="nl-NL"/>
        </w:rPr>
        <w:t>Litouwen</w:t>
      </w:r>
      <w:r>
        <w:rPr>
          <w:iCs/>
          <w:szCs w:val="18"/>
          <w:lang w:val="nl-NL"/>
        </w:rPr>
        <w:t>.</w:t>
      </w:r>
      <w:r w:rsidR="001818E5">
        <w:rPr>
          <w:iCs/>
          <w:szCs w:val="18"/>
          <w:lang w:val="nl-NL"/>
        </w:rPr>
        <w:t xml:space="preserve"> </w:t>
      </w:r>
      <w:proofErr w:type="spellStart"/>
      <w:r w:rsidRPr="001818E5" w:rsidR="001818E5">
        <w:rPr>
          <w:iCs/>
          <w:szCs w:val="18"/>
        </w:rPr>
        <w:t>Deze</w:t>
      </w:r>
      <w:proofErr w:type="spellEnd"/>
      <w:r w:rsidRPr="001818E5" w:rsidR="001818E5">
        <w:rPr>
          <w:iCs/>
          <w:szCs w:val="18"/>
        </w:rPr>
        <w:t xml:space="preserve"> casus </w:t>
      </w:r>
      <w:proofErr w:type="spellStart"/>
      <w:r w:rsidRPr="001818E5" w:rsidR="001818E5">
        <w:rPr>
          <w:iCs/>
          <w:szCs w:val="18"/>
        </w:rPr>
        <w:t>toont</w:t>
      </w:r>
      <w:proofErr w:type="spellEnd"/>
      <w:r w:rsidRPr="001818E5" w:rsidR="001818E5">
        <w:rPr>
          <w:iCs/>
          <w:szCs w:val="18"/>
        </w:rPr>
        <w:t xml:space="preserve"> het </w:t>
      </w:r>
      <w:proofErr w:type="spellStart"/>
      <w:r w:rsidRPr="001818E5" w:rsidR="001818E5">
        <w:rPr>
          <w:iCs/>
          <w:szCs w:val="18"/>
        </w:rPr>
        <w:t>belang</w:t>
      </w:r>
      <w:proofErr w:type="spellEnd"/>
      <w:r w:rsidRPr="001818E5" w:rsidR="001818E5">
        <w:rPr>
          <w:iCs/>
          <w:szCs w:val="18"/>
        </w:rPr>
        <w:t xml:space="preserve"> </w:t>
      </w:r>
      <w:proofErr w:type="spellStart"/>
      <w:r w:rsidRPr="001818E5" w:rsidR="001818E5">
        <w:rPr>
          <w:iCs/>
          <w:szCs w:val="18"/>
        </w:rPr>
        <w:t>aan</w:t>
      </w:r>
      <w:proofErr w:type="spellEnd"/>
      <w:r w:rsidRPr="001818E5" w:rsidR="001818E5">
        <w:rPr>
          <w:iCs/>
          <w:szCs w:val="18"/>
        </w:rPr>
        <w:t xml:space="preserve"> van </w:t>
      </w:r>
      <w:proofErr w:type="spellStart"/>
      <w:r w:rsidRPr="001818E5" w:rsidR="001818E5">
        <w:rPr>
          <w:iCs/>
          <w:szCs w:val="18"/>
        </w:rPr>
        <w:t>een</w:t>
      </w:r>
      <w:proofErr w:type="spellEnd"/>
      <w:r w:rsidRPr="001818E5" w:rsidR="001818E5">
        <w:rPr>
          <w:iCs/>
          <w:szCs w:val="18"/>
        </w:rPr>
        <w:t xml:space="preserve"> breed EU-</w:t>
      </w:r>
      <w:proofErr w:type="spellStart"/>
      <w:r w:rsidRPr="001818E5" w:rsidR="001818E5">
        <w:rPr>
          <w:iCs/>
          <w:szCs w:val="18"/>
        </w:rPr>
        <w:t>instrumentarium</w:t>
      </w:r>
      <w:proofErr w:type="spellEnd"/>
      <w:r w:rsidRPr="001818E5" w:rsidR="001818E5">
        <w:rPr>
          <w:iCs/>
          <w:szCs w:val="18"/>
        </w:rPr>
        <w:t xml:space="preserve"> om </w:t>
      </w:r>
      <w:proofErr w:type="spellStart"/>
      <w:r w:rsidRPr="001818E5" w:rsidR="001818E5">
        <w:rPr>
          <w:iCs/>
          <w:szCs w:val="18"/>
        </w:rPr>
        <w:t>soortgelijke</w:t>
      </w:r>
      <w:proofErr w:type="spellEnd"/>
      <w:r w:rsidRPr="001818E5" w:rsidR="001818E5">
        <w:rPr>
          <w:iCs/>
          <w:szCs w:val="18"/>
        </w:rPr>
        <w:t xml:space="preserve"> </w:t>
      </w:r>
      <w:proofErr w:type="spellStart"/>
      <w:r w:rsidRPr="001818E5" w:rsidR="001818E5">
        <w:rPr>
          <w:iCs/>
          <w:szCs w:val="18"/>
        </w:rPr>
        <w:t>situaties</w:t>
      </w:r>
      <w:proofErr w:type="spellEnd"/>
      <w:r w:rsidRPr="001818E5" w:rsidR="001818E5">
        <w:rPr>
          <w:iCs/>
          <w:szCs w:val="18"/>
        </w:rPr>
        <w:t xml:space="preserve"> in de </w:t>
      </w:r>
      <w:proofErr w:type="spellStart"/>
      <w:r w:rsidRPr="001818E5" w:rsidR="001818E5">
        <w:rPr>
          <w:iCs/>
          <w:szCs w:val="18"/>
        </w:rPr>
        <w:t>toekomst</w:t>
      </w:r>
      <w:proofErr w:type="spellEnd"/>
      <w:r w:rsidRPr="001818E5" w:rsidR="001818E5">
        <w:rPr>
          <w:iCs/>
          <w:szCs w:val="18"/>
        </w:rPr>
        <w:t xml:space="preserve"> </w:t>
      </w:r>
      <w:proofErr w:type="spellStart"/>
      <w:r w:rsidRPr="001818E5" w:rsidR="001818E5">
        <w:rPr>
          <w:iCs/>
          <w:szCs w:val="18"/>
        </w:rPr>
        <w:t>effectief</w:t>
      </w:r>
      <w:proofErr w:type="spellEnd"/>
      <w:r w:rsidRPr="001818E5" w:rsidR="001818E5">
        <w:rPr>
          <w:iCs/>
          <w:szCs w:val="18"/>
        </w:rPr>
        <w:t xml:space="preserve"> het </w:t>
      </w:r>
      <w:proofErr w:type="spellStart"/>
      <w:r w:rsidRPr="001818E5" w:rsidR="001818E5">
        <w:rPr>
          <w:iCs/>
          <w:szCs w:val="18"/>
        </w:rPr>
        <w:t>hoofd</w:t>
      </w:r>
      <w:proofErr w:type="spellEnd"/>
      <w:r w:rsidRPr="001818E5" w:rsidR="001818E5">
        <w:rPr>
          <w:iCs/>
          <w:szCs w:val="18"/>
        </w:rPr>
        <w:t xml:space="preserve"> </w:t>
      </w:r>
      <w:proofErr w:type="spellStart"/>
      <w:r w:rsidRPr="001818E5" w:rsidR="001818E5">
        <w:rPr>
          <w:iCs/>
          <w:szCs w:val="18"/>
        </w:rPr>
        <w:t>te</w:t>
      </w:r>
      <w:proofErr w:type="spellEnd"/>
      <w:r w:rsidRPr="001818E5" w:rsidR="001818E5">
        <w:rPr>
          <w:iCs/>
          <w:szCs w:val="18"/>
        </w:rPr>
        <w:t xml:space="preserve"> </w:t>
      </w:r>
      <w:proofErr w:type="spellStart"/>
      <w:r w:rsidRPr="001818E5" w:rsidR="001818E5">
        <w:rPr>
          <w:iCs/>
          <w:szCs w:val="18"/>
        </w:rPr>
        <w:t>kunnen</w:t>
      </w:r>
      <w:proofErr w:type="spellEnd"/>
      <w:r w:rsidRPr="001818E5" w:rsidR="001818E5">
        <w:rPr>
          <w:iCs/>
          <w:szCs w:val="18"/>
        </w:rPr>
        <w:t xml:space="preserve"> </w:t>
      </w:r>
      <w:proofErr w:type="spellStart"/>
      <w:r w:rsidRPr="001818E5" w:rsidR="001818E5">
        <w:rPr>
          <w:iCs/>
          <w:szCs w:val="18"/>
        </w:rPr>
        <w:t>bieden</w:t>
      </w:r>
      <w:proofErr w:type="spellEnd"/>
      <w:r w:rsidRPr="001818E5" w:rsidR="001818E5">
        <w:rPr>
          <w:iCs/>
          <w:szCs w:val="18"/>
        </w:rPr>
        <w:t xml:space="preserve">. Het door de Commissie </w:t>
      </w:r>
      <w:proofErr w:type="spellStart"/>
      <w:r w:rsidRPr="001818E5" w:rsidR="001818E5">
        <w:rPr>
          <w:iCs/>
          <w:szCs w:val="18"/>
        </w:rPr>
        <w:t>voorgestelde</w:t>
      </w:r>
      <w:proofErr w:type="spellEnd"/>
      <w:r w:rsidRPr="001818E5" w:rsidR="001818E5">
        <w:rPr>
          <w:iCs/>
          <w:szCs w:val="18"/>
        </w:rPr>
        <w:t xml:space="preserve"> anti-</w:t>
      </w:r>
      <w:proofErr w:type="spellStart"/>
      <w:r w:rsidRPr="001818E5" w:rsidR="001818E5">
        <w:rPr>
          <w:iCs/>
          <w:szCs w:val="18"/>
        </w:rPr>
        <w:t>dwang</w:t>
      </w:r>
      <w:proofErr w:type="spellEnd"/>
      <w:r w:rsidRPr="001818E5" w:rsidR="001818E5">
        <w:rPr>
          <w:iCs/>
          <w:szCs w:val="18"/>
        </w:rPr>
        <w:t xml:space="preserve"> instrument </w:t>
      </w:r>
      <w:proofErr w:type="spellStart"/>
      <w:r w:rsidRPr="001818E5" w:rsidR="001818E5">
        <w:rPr>
          <w:iCs/>
          <w:szCs w:val="18"/>
        </w:rPr>
        <w:t>vormt</w:t>
      </w:r>
      <w:proofErr w:type="spellEnd"/>
      <w:r w:rsidRPr="001818E5" w:rsidR="001818E5">
        <w:rPr>
          <w:iCs/>
          <w:szCs w:val="18"/>
        </w:rPr>
        <w:t xml:space="preserve"> </w:t>
      </w:r>
      <w:proofErr w:type="spellStart"/>
      <w:r w:rsidRPr="001818E5" w:rsidR="001818E5">
        <w:rPr>
          <w:iCs/>
          <w:szCs w:val="18"/>
        </w:rPr>
        <w:t>een</w:t>
      </w:r>
      <w:proofErr w:type="spellEnd"/>
      <w:r w:rsidRPr="001818E5" w:rsidR="001818E5">
        <w:rPr>
          <w:iCs/>
          <w:szCs w:val="18"/>
        </w:rPr>
        <w:t xml:space="preserve"> </w:t>
      </w:r>
      <w:proofErr w:type="spellStart"/>
      <w:r w:rsidRPr="001818E5" w:rsidR="001818E5">
        <w:rPr>
          <w:iCs/>
          <w:szCs w:val="18"/>
        </w:rPr>
        <w:t>belangrijke</w:t>
      </w:r>
      <w:proofErr w:type="spellEnd"/>
      <w:r w:rsidRPr="001818E5" w:rsidR="001818E5">
        <w:rPr>
          <w:iCs/>
          <w:szCs w:val="18"/>
        </w:rPr>
        <w:t xml:space="preserve"> </w:t>
      </w:r>
      <w:proofErr w:type="spellStart"/>
      <w:r w:rsidRPr="001818E5" w:rsidR="001818E5">
        <w:rPr>
          <w:iCs/>
          <w:szCs w:val="18"/>
        </w:rPr>
        <w:t>aanvulling</w:t>
      </w:r>
      <w:proofErr w:type="spellEnd"/>
      <w:r w:rsidRPr="001818E5" w:rsidR="001818E5">
        <w:rPr>
          <w:iCs/>
          <w:szCs w:val="18"/>
        </w:rPr>
        <w:t xml:space="preserve"> op de </w:t>
      </w:r>
      <w:proofErr w:type="spellStart"/>
      <w:r w:rsidRPr="001818E5" w:rsidR="001818E5">
        <w:rPr>
          <w:iCs/>
          <w:szCs w:val="18"/>
        </w:rPr>
        <w:t>bestaande</w:t>
      </w:r>
      <w:proofErr w:type="spellEnd"/>
      <w:r w:rsidRPr="001818E5" w:rsidR="001818E5">
        <w:rPr>
          <w:iCs/>
          <w:szCs w:val="18"/>
        </w:rPr>
        <w:t xml:space="preserve"> </w:t>
      </w:r>
      <w:proofErr w:type="spellStart"/>
      <w:r w:rsidRPr="001818E5" w:rsidR="001818E5">
        <w:rPr>
          <w:iCs/>
          <w:szCs w:val="18"/>
        </w:rPr>
        <w:t>mogelijkheden</w:t>
      </w:r>
      <w:proofErr w:type="spellEnd"/>
      <w:r w:rsidRPr="001818E5" w:rsidR="001818E5">
        <w:rPr>
          <w:iCs/>
          <w:szCs w:val="18"/>
        </w:rPr>
        <w:t xml:space="preserve">. Het </w:t>
      </w:r>
      <w:proofErr w:type="spellStart"/>
      <w:r w:rsidRPr="001818E5" w:rsidR="001818E5">
        <w:rPr>
          <w:iCs/>
          <w:szCs w:val="18"/>
        </w:rPr>
        <w:t>kabinet</w:t>
      </w:r>
      <w:proofErr w:type="spellEnd"/>
      <w:r w:rsidRPr="001818E5" w:rsidR="001818E5">
        <w:rPr>
          <w:iCs/>
          <w:szCs w:val="18"/>
        </w:rPr>
        <w:t xml:space="preserve"> </w:t>
      </w:r>
      <w:proofErr w:type="spellStart"/>
      <w:r w:rsidRPr="001818E5" w:rsidR="001818E5">
        <w:rPr>
          <w:iCs/>
          <w:szCs w:val="18"/>
        </w:rPr>
        <w:t>zet</w:t>
      </w:r>
      <w:proofErr w:type="spellEnd"/>
      <w:r w:rsidRPr="001818E5" w:rsidR="001818E5">
        <w:rPr>
          <w:iCs/>
          <w:szCs w:val="18"/>
        </w:rPr>
        <w:t xml:space="preserve"> dan </w:t>
      </w:r>
      <w:proofErr w:type="spellStart"/>
      <w:r w:rsidRPr="001818E5" w:rsidR="001818E5">
        <w:rPr>
          <w:iCs/>
          <w:szCs w:val="18"/>
        </w:rPr>
        <w:t>ook</w:t>
      </w:r>
      <w:proofErr w:type="spellEnd"/>
      <w:r w:rsidRPr="001818E5" w:rsidR="001818E5">
        <w:rPr>
          <w:iCs/>
          <w:szCs w:val="18"/>
        </w:rPr>
        <w:t xml:space="preserve"> in op </w:t>
      </w:r>
      <w:proofErr w:type="spellStart"/>
      <w:r w:rsidRPr="001818E5" w:rsidR="001818E5">
        <w:rPr>
          <w:iCs/>
          <w:szCs w:val="18"/>
        </w:rPr>
        <w:t>spoedige</w:t>
      </w:r>
      <w:proofErr w:type="spellEnd"/>
      <w:r w:rsidRPr="001818E5" w:rsidR="001818E5">
        <w:rPr>
          <w:iCs/>
          <w:szCs w:val="18"/>
        </w:rPr>
        <w:t xml:space="preserve"> </w:t>
      </w:r>
      <w:proofErr w:type="spellStart"/>
      <w:r w:rsidRPr="001818E5" w:rsidR="001818E5">
        <w:rPr>
          <w:iCs/>
          <w:szCs w:val="18"/>
        </w:rPr>
        <w:t>totstandkoming</w:t>
      </w:r>
      <w:proofErr w:type="spellEnd"/>
      <w:r w:rsidRPr="001818E5" w:rsidR="001818E5">
        <w:rPr>
          <w:iCs/>
          <w:szCs w:val="18"/>
        </w:rPr>
        <w:t xml:space="preserve"> van </w:t>
      </w:r>
      <w:proofErr w:type="spellStart"/>
      <w:r w:rsidRPr="001818E5" w:rsidR="001818E5">
        <w:rPr>
          <w:iCs/>
          <w:szCs w:val="18"/>
        </w:rPr>
        <w:t>dit</w:t>
      </w:r>
      <w:proofErr w:type="spellEnd"/>
      <w:r w:rsidRPr="001818E5" w:rsidR="001818E5">
        <w:rPr>
          <w:iCs/>
          <w:szCs w:val="18"/>
        </w:rPr>
        <w:t xml:space="preserve"> instrument. </w:t>
      </w:r>
      <w:r w:rsidR="009673F7">
        <w:rPr>
          <w:iCs/>
          <w:szCs w:val="18"/>
          <w:lang w:val="nl-NL"/>
        </w:rPr>
        <w:t>Daarnaast moet de EU China blijven aanspreken op het verslechterende zakenklimaat voor buitenlandse bedrijven</w:t>
      </w:r>
      <w:r w:rsidR="000C4B07">
        <w:rPr>
          <w:iCs/>
          <w:szCs w:val="18"/>
          <w:lang w:val="nl-NL"/>
        </w:rPr>
        <w:t xml:space="preserve"> en het veelvuldige gebruik van </w:t>
      </w:r>
      <w:r w:rsidR="000C4B07">
        <w:rPr>
          <w:iCs/>
          <w:szCs w:val="18"/>
          <w:lang w:val="nl-NL"/>
        </w:rPr>
        <w:lastRenderedPageBreak/>
        <w:t>industriële subsidies</w:t>
      </w:r>
      <w:r w:rsidR="009673F7">
        <w:rPr>
          <w:iCs/>
          <w:szCs w:val="18"/>
          <w:lang w:val="nl-NL"/>
        </w:rPr>
        <w:t xml:space="preserve">. Ook is het voor </w:t>
      </w:r>
      <w:r w:rsidR="00EA2B16">
        <w:rPr>
          <w:iCs/>
          <w:szCs w:val="18"/>
          <w:lang w:val="nl-NL"/>
        </w:rPr>
        <w:t xml:space="preserve">de </w:t>
      </w:r>
      <w:r w:rsidR="009673F7">
        <w:rPr>
          <w:iCs/>
          <w:szCs w:val="18"/>
          <w:lang w:val="nl-NL"/>
        </w:rPr>
        <w:t>voor</w:t>
      </w:r>
      <w:r w:rsidR="00EA2B16">
        <w:rPr>
          <w:iCs/>
          <w:szCs w:val="18"/>
          <w:lang w:val="nl-NL"/>
        </w:rPr>
        <w:t>t</w:t>
      </w:r>
      <w:r w:rsidR="009673F7">
        <w:rPr>
          <w:iCs/>
          <w:szCs w:val="18"/>
          <w:lang w:val="nl-NL"/>
        </w:rPr>
        <w:t>gang in de WTO belangrijk dat China geen aanspraak</w:t>
      </w:r>
      <w:r w:rsidR="00856F1F">
        <w:rPr>
          <w:iCs/>
          <w:szCs w:val="18"/>
          <w:lang w:val="nl-NL"/>
        </w:rPr>
        <w:t xml:space="preserve"> meer</w:t>
      </w:r>
      <w:r w:rsidR="009673F7">
        <w:rPr>
          <w:iCs/>
          <w:szCs w:val="18"/>
          <w:lang w:val="nl-NL"/>
        </w:rPr>
        <w:t xml:space="preserve"> maakt op de voordelen die gepaard gaan met </w:t>
      </w:r>
      <w:r w:rsidR="00856F1F">
        <w:rPr>
          <w:iCs/>
          <w:szCs w:val="18"/>
          <w:lang w:val="nl-NL"/>
        </w:rPr>
        <w:t xml:space="preserve">de status van </w:t>
      </w:r>
      <w:r w:rsidR="009673F7">
        <w:rPr>
          <w:iCs/>
          <w:szCs w:val="18"/>
          <w:lang w:val="nl-NL"/>
        </w:rPr>
        <w:t>ontwikkelingsland</w:t>
      </w:r>
      <w:r w:rsidR="00856F1F">
        <w:rPr>
          <w:iCs/>
          <w:szCs w:val="18"/>
          <w:lang w:val="nl-NL"/>
        </w:rPr>
        <w:t xml:space="preserve"> in de WTO</w:t>
      </w:r>
      <w:r w:rsidR="009673F7">
        <w:rPr>
          <w:iCs/>
          <w:szCs w:val="18"/>
          <w:lang w:val="nl-NL"/>
        </w:rPr>
        <w:t xml:space="preserve">. </w:t>
      </w:r>
    </w:p>
    <w:p w:rsidR="006A3300" w:rsidP="00701A17" w:rsidRDefault="006A3300" w14:paraId="4898058A" w14:textId="0B195ED2">
      <w:pPr>
        <w:pStyle w:val="NoSpacing"/>
        <w:rPr>
          <w:iCs/>
          <w:szCs w:val="18"/>
          <w:lang w:val="nl-NL"/>
        </w:rPr>
      </w:pPr>
    </w:p>
    <w:p w:rsidRPr="00F91BE8" w:rsidR="000C4B07" w:rsidP="00701A17" w:rsidRDefault="000C4B07" w14:paraId="6757500A" w14:textId="3BD5F182">
      <w:pPr>
        <w:pStyle w:val="NoSpacing"/>
        <w:rPr>
          <w:iCs/>
          <w:szCs w:val="18"/>
          <w:lang w:val="nl-NL"/>
        </w:rPr>
      </w:pPr>
      <w:r>
        <w:rPr>
          <w:iCs/>
          <w:szCs w:val="18"/>
          <w:lang w:val="nl-NL"/>
        </w:rPr>
        <w:t xml:space="preserve">Tegelijkertijd is het belangrijk om met China te blijven samenwerken waar mogelijk. Met name op het gebied van klimaatverandering is China een cruciale partner. Nederland zal na de zomer een </w:t>
      </w:r>
      <w:r w:rsidRPr="00701A17" w:rsidR="00701A17">
        <w:rPr>
          <w:i/>
          <w:szCs w:val="18"/>
          <w:lang w:val="nl-NL"/>
        </w:rPr>
        <w:t>J</w:t>
      </w:r>
      <w:r w:rsidRPr="00701A17">
        <w:rPr>
          <w:i/>
          <w:szCs w:val="18"/>
          <w:lang w:val="nl-NL"/>
        </w:rPr>
        <w:t xml:space="preserve">oint </w:t>
      </w:r>
      <w:proofErr w:type="spellStart"/>
      <w:r w:rsidRPr="00701A17" w:rsidR="00701A17">
        <w:rPr>
          <w:i/>
          <w:szCs w:val="18"/>
          <w:lang w:val="nl-NL"/>
        </w:rPr>
        <w:t>E</w:t>
      </w:r>
      <w:r w:rsidRPr="00701A17">
        <w:rPr>
          <w:i/>
          <w:szCs w:val="18"/>
          <w:lang w:val="nl-NL"/>
        </w:rPr>
        <w:t>conomic</w:t>
      </w:r>
      <w:proofErr w:type="spellEnd"/>
      <w:r w:rsidRPr="00701A17">
        <w:rPr>
          <w:i/>
          <w:szCs w:val="18"/>
          <w:lang w:val="nl-NL"/>
        </w:rPr>
        <w:t xml:space="preserve"> </w:t>
      </w:r>
      <w:proofErr w:type="spellStart"/>
      <w:r w:rsidRPr="00701A17" w:rsidR="00701A17">
        <w:rPr>
          <w:i/>
          <w:szCs w:val="18"/>
          <w:lang w:val="nl-NL"/>
        </w:rPr>
        <w:t>D</w:t>
      </w:r>
      <w:r w:rsidRPr="00701A17">
        <w:rPr>
          <w:i/>
          <w:szCs w:val="18"/>
          <w:lang w:val="nl-NL"/>
        </w:rPr>
        <w:t>ialogue</w:t>
      </w:r>
      <w:proofErr w:type="spellEnd"/>
      <w:r>
        <w:rPr>
          <w:iCs/>
          <w:szCs w:val="18"/>
          <w:lang w:val="nl-NL"/>
        </w:rPr>
        <w:t xml:space="preserve"> (JED) met China houden en steunt </w:t>
      </w:r>
      <w:r w:rsidR="008C5DE8">
        <w:rPr>
          <w:iCs/>
          <w:szCs w:val="18"/>
          <w:lang w:val="nl-NL"/>
        </w:rPr>
        <w:t xml:space="preserve">het zoeken van een nieuwe datum voor de EU-China </w:t>
      </w:r>
      <w:r w:rsidRPr="00701A17" w:rsidR="008C5DE8">
        <w:rPr>
          <w:i/>
          <w:szCs w:val="18"/>
          <w:lang w:val="nl-NL"/>
        </w:rPr>
        <w:t xml:space="preserve">high-level </w:t>
      </w:r>
      <w:proofErr w:type="spellStart"/>
      <w:r w:rsidRPr="00701A17" w:rsidR="008C5DE8">
        <w:rPr>
          <w:i/>
          <w:szCs w:val="18"/>
          <w:lang w:val="nl-NL"/>
        </w:rPr>
        <w:t>economic</w:t>
      </w:r>
      <w:proofErr w:type="spellEnd"/>
      <w:r w:rsidRPr="00701A17" w:rsidR="008C5DE8">
        <w:rPr>
          <w:i/>
          <w:szCs w:val="18"/>
          <w:lang w:val="nl-NL"/>
        </w:rPr>
        <w:t xml:space="preserve"> </w:t>
      </w:r>
      <w:proofErr w:type="spellStart"/>
      <w:r w:rsidRPr="00701A17" w:rsidR="008C5DE8">
        <w:rPr>
          <w:i/>
          <w:szCs w:val="18"/>
          <w:lang w:val="nl-NL"/>
        </w:rPr>
        <w:t>dialogue</w:t>
      </w:r>
      <w:proofErr w:type="spellEnd"/>
      <w:r w:rsidR="008C5DE8">
        <w:rPr>
          <w:iCs/>
          <w:szCs w:val="18"/>
          <w:lang w:val="nl-NL"/>
        </w:rPr>
        <w:t xml:space="preserve">.  </w:t>
      </w:r>
    </w:p>
    <w:p w:rsidRPr="00310C63" w:rsidR="00C0794F" w:rsidP="00701A17" w:rsidRDefault="00C0794F" w14:paraId="39957969" w14:textId="1C85746A">
      <w:pPr>
        <w:pStyle w:val="NoSpacing"/>
        <w:rPr>
          <w:szCs w:val="18"/>
          <w:lang w:val="nl-NL"/>
        </w:rPr>
      </w:pPr>
    </w:p>
    <w:p w:rsidR="00D46823" w:rsidP="00701A17" w:rsidRDefault="00D46823" w14:paraId="6DDE5E7E" w14:textId="1EF035E2">
      <w:pPr>
        <w:pStyle w:val="NoSpacing"/>
        <w:rPr>
          <w:b/>
          <w:color w:val="FF0000"/>
          <w:szCs w:val="18"/>
          <w:lang w:val="nl-NL"/>
        </w:rPr>
      </w:pPr>
      <w:r>
        <w:rPr>
          <w:b/>
          <w:szCs w:val="18"/>
          <w:lang w:val="nl-NL"/>
        </w:rPr>
        <w:t>Lunchbijeenkomst: onderhandelingen en implementatie bilaterale handelsverdragen</w:t>
      </w:r>
      <w:r w:rsidRPr="009743D5">
        <w:rPr>
          <w:i/>
          <w:szCs w:val="18"/>
          <w:lang w:val="nl-NL"/>
        </w:rPr>
        <w:t xml:space="preserve"> </w:t>
      </w:r>
    </w:p>
    <w:p w:rsidR="00701A17" w:rsidP="00701A17" w:rsidRDefault="00701A17" w14:paraId="7DE66845" w14:textId="77777777">
      <w:pPr>
        <w:pStyle w:val="NoSpacing"/>
        <w:rPr>
          <w:bCs/>
          <w:szCs w:val="18"/>
          <w:lang w:val="nl-NL"/>
        </w:rPr>
      </w:pPr>
    </w:p>
    <w:p w:rsidR="00237FC1" w:rsidP="00701A17" w:rsidRDefault="00E4556C" w14:paraId="5784297E" w14:textId="5AD30B5C">
      <w:pPr>
        <w:pStyle w:val="NoSpacing"/>
        <w:rPr>
          <w:bCs/>
          <w:szCs w:val="18"/>
          <w:lang w:val="nl-NL"/>
        </w:rPr>
      </w:pPr>
      <w:r w:rsidRPr="00E4556C">
        <w:rPr>
          <w:bCs/>
          <w:szCs w:val="18"/>
          <w:lang w:val="nl-NL"/>
        </w:rPr>
        <w:t>Tijdens</w:t>
      </w:r>
      <w:r w:rsidR="008F6D78">
        <w:rPr>
          <w:bCs/>
          <w:szCs w:val="18"/>
          <w:lang w:val="nl-NL"/>
        </w:rPr>
        <w:t xml:space="preserve"> de lunch </w:t>
      </w:r>
      <w:r w:rsidR="00497F57">
        <w:rPr>
          <w:bCs/>
          <w:szCs w:val="18"/>
          <w:lang w:val="nl-NL"/>
        </w:rPr>
        <w:t xml:space="preserve">en marge van de Raad Buitenlandse Zaken Handel van 3 juni a.s. </w:t>
      </w:r>
      <w:r w:rsidR="008F6D78">
        <w:rPr>
          <w:bCs/>
          <w:szCs w:val="18"/>
          <w:lang w:val="nl-NL"/>
        </w:rPr>
        <w:t xml:space="preserve">zal Commissaris </w:t>
      </w:r>
      <w:proofErr w:type="spellStart"/>
      <w:r w:rsidR="008F6D78">
        <w:rPr>
          <w:bCs/>
          <w:szCs w:val="18"/>
          <w:lang w:val="nl-NL"/>
        </w:rPr>
        <w:t>Dombrovskis</w:t>
      </w:r>
      <w:proofErr w:type="spellEnd"/>
      <w:r w:rsidR="008F6D78">
        <w:rPr>
          <w:bCs/>
          <w:szCs w:val="18"/>
          <w:lang w:val="nl-NL"/>
        </w:rPr>
        <w:t xml:space="preserve"> de Raad informeren over de stand van zaken van </w:t>
      </w:r>
      <w:r w:rsidR="00856F1F">
        <w:rPr>
          <w:bCs/>
          <w:szCs w:val="18"/>
          <w:lang w:val="nl-NL"/>
        </w:rPr>
        <w:t xml:space="preserve">lopende </w:t>
      </w:r>
      <w:r w:rsidR="008F6D78">
        <w:rPr>
          <w:bCs/>
          <w:szCs w:val="18"/>
          <w:lang w:val="nl-NL"/>
        </w:rPr>
        <w:t>onderhandelingen</w:t>
      </w:r>
      <w:r w:rsidR="00856F1F">
        <w:rPr>
          <w:bCs/>
          <w:szCs w:val="18"/>
          <w:lang w:val="nl-NL"/>
        </w:rPr>
        <w:t xml:space="preserve"> over een aantal handelsakkoorden</w:t>
      </w:r>
      <w:r w:rsidR="008F6D78">
        <w:rPr>
          <w:bCs/>
          <w:szCs w:val="18"/>
          <w:lang w:val="nl-NL"/>
        </w:rPr>
        <w:t xml:space="preserve"> en </w:t>
      </w:r>
      <w:r w:rsidR="00856F1F">
        <w:rPr>
          <w:bCs/>
          <w:szCs w:val="18"/>
          <w:lang w:val="nl-NL"/>
        </w:rPr>
        <w:t xml:space="preserve">over de </w:t>
      </w:r>
      <w:r w:rsidR="008F6D78">
        <w:rPr>
          <w:bCs/>
          <w:szCs w:val="18"/>
          <w:lang w:val="nl-NL"/>
        </w:rPr>
        <w:t xml:space="preserve">implementatie van </w:t>
      </w:r>
      <w:r w:rsidR="00856F1F">
        <w:rPr>
          <w:bCs/>
          <w:szCs w:val="18"/>
          <w:lang w:val="nl-NL"/>
        </w:rPr>
        <w:t xml:space="preserve">bestaande </w:t>
      </w:r>
      <w:r w:rsidR="00291260">
        <w:rPr>
          <w:bCs/>
          <w:szCs w:val="18"/>
          <w:lang w:val="nl-NL"/>
        </w:rPr>
        <w:t>EU-handelsakkoorden</w:t>
      </w:r>
      <w:r w:rsidR="008F6D78">
        <w:rPr>
          <w:bCs/>
          <w:szCs w:val="18"/>
          <w:lang w:val="nl-NL"/>
        </w:rPr>
        <w:t>.</w:t>
      </w:r>
      <w:r w:rsidR="00360FD3">
        <w:rPr>
          <w:bCs/>
          <w:szCs w:val="18"/>
          <w:lang w:val="nl-NL"/>
        </w:rPr>
        <w:t xml:space="preserve"> De </w:t>
      </w:r>
      <w:r w:rsidRPr="00360FD3" w:rsidR="00360FD3">
        <w:rPr>
          <w:lang w:val="nl-NL"/>
        </w:rPr>
        <w:t>Russische agressie en invasie van Oekraïne, alsook de COVID-pandemie maken eens te meer duidelijk</w:t>
      </w:r>
      <w:r w:rsidR="00360FD3">
        <w:rPr>
          <w:lang w:val="nl-NL"/>
        </w:rPr>
        <w:t xml:space="preserve"> dat</w:t>
      </w:r>
      <w:r w:rsidRPr="00360FD3" w:rsidR="00360FD3">
        <w:rPr>
          <w:lang w:val="nl-NL"/>
        </w:rPr>
        <w:t xml:space="preserve"> weerbare </w:t>
      </w:r>
      <w:proofErr w:type="spellStart"/>
      <w:r w:rsidRPr="00360FD3" w:rsidR="00360FD3">
        <w:rPr>
          <w:lang w:val="nl-NL"/>
        </w:rPr>
        <w:t>waardeketens</w:t>
      </w:r>
      <w:proofErr w:type="spellEnd"/>
      <w:r w:rsidRPr="00360FD3" w:rsidR="00360FD3">
        <w:rPr>
          <w:lang w:val="nl-NL"/>
        </w:rPr>
        <w:t>, strategische partnerschappen, ken</w:t>
      </w:r>
      <w:r w:rsidR="00360FD3">
        <w:rPr>
          <w:lang w:val="nl-NL"/>
        </w:rPr>
        <w:t>nisuitwisseling en open handel van groot belang zijn</w:t>
      </w:r>
      <w:r w:rsidRPr="00360FD3" w:rsidR="00360FD3">
        <w:rPr>
          <w:lang w:val="nl-NL"/>
        </w:rPr>
        <w:t xml:space="preserve">. Juist </w:t>
      </w:r>
      <w:r w:rsidR="00360FD3">
        <w:rPr>
          <w:lang w:val="nl-NL"/>
        </w:rPr>
        <w:t>in deze context</w:t>
      </w:r>
      <w:r w:rsidRPr="00360FD3" w:rsidR="00360FD3">
        <w:rPr>
          <w:lang w:val="nl-NL"/>
        </w:rPr>
        <w:t xml:space="preserve"> moet de EU beter gebruik maken van haar potentieel om de mondiale handelsagenda en haar regels vorm te geven. Dit vraagt om een proactief, open en eerlijk handelsbeleid</w:t>
      </w:r>
      <w:r w:rsidR="00360FD3">
        <w:rPr>
          <w:lang w:val="nl-NL"/>
        </w:rPr>
        <w:t>, conform de inzet van het kabinet. Handelsakkoorden zijn een belangrijk instrument in het kader van actief EU</w:t>
      </w:r>
      <w:r w:rsidR="001D5668">
        <w:rPr>
          <w:lang w:val="nl-NL"/>
        </w:rPr>
        <w:t>-</w:t>
      </w:r>
      <w:r w:rsidR="00360FD3">
        <w:rPr>
          <w:lang w:val="nl-NL"/>
        </w:rPr>
        <w:t xml:space="preserve">handelsbeleid. </w:t>
      </w:r>
      <w:r w:rsidRPr="00360FD3" w:rsidR="00360FD3">
        <w:rPr>
          <w:lang w:val="nl-NL"/>
        </w:rPr>
        <w:t xml:space="preserve"> </w:t>
      </w:r>
      <w:r w:rsidR="008F6D78">
        <w:rPr>
          <w:bCs/>
          <w:szCs w:val="18"/>
          <w:lang w:val="nl-NL"/>
        </w:rPr>
        <w:t xml:space="preserve"> </w:t>
      </w:r>
    </w:p>
    <w:p w:rsidRPr="004234A7" w:rsidR="004234A7" w:rsidP="004234A7" w:rsidRDefault="004234A7" w14:paraId="7EB12EDB" w14:textId="77777777">
      <w:pPr>
        <w:pStyle w:val="NoSpacing"/>
        <w:rPr>
          <w:bCs/>
          <w:iCs/>
          <w:szCs w:val="18"/>
          <w:lang w:val="nl-NL"/>
        </w:rPr>
      </w:pPr>
    </w:p>
    <w:p w:rsidRPr="00295215" w:rsidR="004234A7" w:rsidP="004234A7" w:rsidRDefault="004234A7" w14:paraId="6E5F892F" w14:textId="77777777">
      <w:pPr>
        <w:pStyle w:val="NoSpacing"/>
        <w:rPr>
          <w:b/>
          <w:iCs/>
          <w:szCs w:val="18"/>
          <w:lang w:val="nl-NL"/>
        </w:rPr>
      </w:pPr>
      <w:r w:rsidRPr="00295215">
        <w:rPr>
          <w:b/>
          <w:iCs/>
          <w:szCs w:val="18"/>
          <w:lang w:val="nl-NL"/>
        </w:rPr>
        <w:t xml:space="preserve">Wetsvoorstel voor tijdelijk opschorten importheffingen voor producten uit Oekraïne </w:t>
      </w:r>
    </w:p>
    <w:p w:rsidRPr="004234A7" w:rsidR="004234A7" w:rsidP="004234A7" w:rsidRDefault="004234A7" w14:paraId="621EB334" w14:textId="77777777">
      <w:pPr>
        <w:pStyle w:val="NoSpacing"/>
        <w:rPr>
          <w:bCs/>
          <w:iCs/>
          <w:szCs w:val="18"/>
          <w:lang w:val="nl-NL"/>
        </w:rPr>
      </w:pPr>
    </w:p>
    <w:p w:rsidRPr="00DD0A62" w:rsidR="00295215" w:rsidP="004234A7" w:rsidRDefault="004234A7" w14:paraId="75F7A292" w14:textId="76802B32">
      <w:pPr>
        <w:pStyle w:val="NoSpacing"/>
        <w:rPr>
          <w:bCs/>
          <w:iCs/>
          <w:szCs w:val="18"/>
          <w:lang w:val="nl-NL"/>
        </w:rPr>
      </w:pPr>
      <w:r>
        <w:rPr>
          <w:bCs/>
          <w:iCs/>
          <w:szCs w:val="18"/>
          <w:lang w:val="nl-NL"/>
        </w:rPr>
        <w:t xml:space="preserve">In tegenstelling tot de </w:t>
      </w:r>
      <w:r w:rsidR="007D44F6">
        <w:rPr>
          <w:bCs/>
          <w:iCs/>
          <w:szCs w:val="18"/>
          <w:lang w:val="nl-NL"/>
        </w:rPr>
        <w:t xml:space="preserve">eerder aangekondigde </w:t>
      </w:r>
      <w:r>
        <w:rPr>
          <w:bCs/>
          <w:iCs/>
          <w:szCs w:val="18"/>
          <w:lang w:val="nl-NL"/>
        </w:rPr>
        <w:t xml:space="preserve">agendering </w:t>
      </w:r>
      <w:r w:rsidR="00295215">
        <w:rPr>
          <w:bCs/>
          <w:iCs/>
          <w:szCs w:val="18"/>
          <w:lang w:val="nl-NL"/>
        </w:rPr>
        <w:t xml:space="preserve">ter </w:t>
      </w:r>
      <w:r w:rsidR="007D44F6">
        <w:rPr>
          <w:bCs/>
          <w:iCs/>
          <w:szCs w:val="18"/>
          <w:lang w:val="nl-NL"/>
        </w:rPr>
        <w:t xml:space="preserve">besluitvorming over het wetsvoorstel voor de tijdelijke opheffing van </w:t>
      </w:r>
      <w:r w:rsidR="00295215">
        <w:rPr>
          <w:bCs/>
          <w:iCs/>
          <w:szCs w:val="18"/>
          <w:lang w:val="nl-NL"/>
        </w:rPr>
        <w:t xml:space="preserve">resterende importheffingen voor producten uit Oekraïne </w:t>
      </w:r>
      <w:r>
        <w:rPr>
          <w:bCs/>
          <w:iCs/>
          <w:szCs w:val="18"/>
          <w:lang w:val="nl-NL"/>
        </w:rPr>
        <w:t xml:space="preserve">tijdens de </w:t>
      </w:r>
      <w:r w:rsidRPr="00DD0A62">
        <w:rPr>
          <w:bCs/>
          <w:iCs/>
          <w:szCs w:val="18"/>
          <w:lang w:val="nl-NL"/>
        </w:rPr>
        <w:t xml:space="preserve">Raad van 3 juni a.s., is het wetsvoorstel </w:t>
      </w:r>
      <w:r w:rsidRPr="00DD0A62" w:rsidR="00295215">
        <w:rPr>
          <w:bCs/>
          <w:iCs/>
          <w:szCs w:val="18"/>
          <w:lang w:val="nl-NL"/>
        </w:rPr>
        <w:t xml:space="preserve">vanwege de </w:t>
      </w:r>
      <w:r w:rsidRPr="00DD0A62">
        <w:rPr>
          <w:bCs/>
          <w:iCs/>
          <w:szCs w:val="18"/>
          <w:lang w:val="nl-NL"/>
        </w:rPr>
        <w:t xml:space="preserve">hoge mate van </w:t>
      </w:r>
      <w:r w:rsidRPr="00DD0A62" w:rsidR="00504A7E">
        <w:rPr>
          <w:bCs/>
          <w:iCs/>
          <w:szCs w:val="18"/>
          <w:lang w:val="nl-NL"/>
        </w:rPr>
        <w:t xml:space="preserve">urgentie </w:t>
      </w:r>
      <w:r w:rsidRPr="00DD0A62">
        <w:rPr>
          <w:bCs/>
          <w:iCs/>
          <w:szCs w:val="18"/>
          <w:lang w:val="nl-NL"/>
        </w:rPr>
        <w:t xml:space="preserve">reeds </w:t>
      </w:r>
      <w:r w:rsidRPr="00DD0A62" w:rsidR="00295215">
        <w:rPr>
          <w:bCs/>
          <w:iCs/>
          <w:szCs w:val="18"/>
          <w:lang w:val="nl-NL"/>
        </w:rPr>
        <w:t xml:space="preserve">op </w:t>
      </w:r>
      <w:r w:rsidRPr="00DD0A62">
        <w:rPr>
          <w:bCs/>
          <w:iCs/>
          <w:szCs w:val="18"/>
          <w:lang w:val="nl-NL"/>
        </w:rPr>
        <w:t xml:space="preserve">24 mei jl. </w:t>
      </w:r>
      <w:r w:rsidRPr="00DD0A62" w:rsidR="00295215">
        <w:rPr>
          <w:bCs/>
          <w:iCs/>
          <w:szCs w:val="18"/>
          <w:lang w:val="nl-NL"/>
        </w:rPr>
        <w:t xml:space="preserve">geagendeerd en aangenomen </w:t>
      </w:r>
      <w:r w:rsidRPr="00DD0A62" w:rsidR="00D17F5C">
        <w:rPr>
          <w:bCs/>
          <w:iCs/>
          <w:szCs w:val="18"/>
          <w:lang w:val="nl-NL"/>
        </w:rPr>
        <w:t>tijdens</w:t>
      </w:r>
      <w:r w:rsidRPr="00DD0A62">
        <w:rPr>
          <w:bCs/>
          <w:iCs/>
          <w:szCs w:val="18"/>
          <w:lang w:val="nl-NL"/>
        </w:rPr>
        <w:t xml:space="preserve"> de Raad Economische en Financiële Zaken (</w:t>
      </w:r>
      <w:proofErr w:type="spellStart"/>
      <w:r w:rsidRPr="00DD0A62">
        <w:rPr>
          <w:bCs/>
          <w:iCs/>
          <w:szCs w:val="18"/>
          <w:lang w:val="nl-NL"/>
        </w:rPr>
        <w:t>Ecofin</w:t>
      </w:r>
      <w:proofErr w:type="spellEnd"/>
      <w:r w:rsidRPr="00DD0A62">
        <w:rPr>
          <w:bCs/>
          <w:iCs/>
          <w:szCs w:val="18"/>
          <w:lang w:val="nl-NL"/>
        </w:rPr>
        <w:t>).</w:t>
      </w:r>
      <w:r w:rsidRPr="00DD0A62" w:rsidR="007D44F6">
        <w:rPr>
          <w:bCs/>
          <w:iCs/>
          <w:szCs w:val="18"/>
          <w:lang w:val="nl-NL"/>
        </w:rPr>
        <w:t xml:space="preserve"> </w:t>
      </w:r>
      <w:r w:rsidRPr="00DD0A62" w:rsidR="00295215">
        <w:rPr>
          <w:bCs/>
          <w:iCs/>
          <w:szCs w:val="18"/>
          <w:lang w:val="nl-NL"/>
        </w:rPr>
        <w:t xml:space="preserve">Uw Kamer is hierover op </w:t>
      </w:r>
      <w:r w:rsidRPr="00DD0A62" w:rsidR="004075BF">
        <w:rPr>
          <w:bCs/>
          <w:iCs/>
          <w:szCs w:val="18"/>
          <w:lang w:val="nl-NL"/>
        </w:rPr>
        <w:t>23</w:t>
      </w:r>
      <w:r w:rsidRPr="00DD0A62" w:rsidR="00295215">
        <w:rPr>
          <w:bCs/>
          <w:iCs/>
          <w:szCs w:val="18"/>
          <w:lang w:val="nl-NL"/>
        </w:rPr>
        <w:t xml:space="preserve"> mei 2022 geïnformeerd middels een </w:t>
      </w:r>
      <w:r w:rsidRPr="00DD0A62" w:rsidR="00A76108">
        <w:rPr>
          <w:bCs/>
          <w:iCs/>
          <w:szCs w:val="18"/>
          <w:lang w:val="nl-NL"/>
        </w:rPr>
        <w:t>separate kamerbrief</w:t>
      </w:r>
      <w:r w:rsidRPr="00DD0A62" w:rsidR="004075BF">
        <w:rPr>
          <w:bCs/>
          <w:iCs/>
          <w:szCs w:val="18"/>
          <w:lang w:val="nl-NL"/>
        </w:rPr>
        <w:t>.</w:t>
      </w:r>
      <w:r w:rsidRPr="00DD0A62" w:rsidR="003D3E6B">
        <w:rPr>
          <w:rStyle w:val="FootnoteReference"/>
          <w:bCs/>
          <w:iCs/>
          <w:szCs w:val="18"/>
          <w:lang w:val="nl-NL"/>
        </w:rPr>
        <w:footnoteReference w:id="5"/>
      </w:r>
    </w:p>
    <w:p w:rsidRPr="004234A7" w:rsidR="004234A7" w:rsidP="004234A7" w:rsidRDefault="007D44F6" w14:paraId="450DE1EA" w14:textId="5D2EEC62">
      <w:pPr>
        <w:pStyle w:val="NoSpacing"/>
        <w:rPr>
          <w:bCs/>
          <w:iCs/>
          <w:szCs w:val="18"/>
          <w:lang w:val="nl-NL"/>
        </w:rPr>
      </w:pPr>
      <w:r w:rsidRPr="00DD0A62">
        <w:rPr>
          <w:bCs/>
          <w:iCs/>
          <w:szCs w:val="18"/>
          <w:lang w:val="nl-NL"/>
        </w:rPr>
        <w:t xml:space="preserve">Uw Kamer </w:t>
      </w:r>
      <w:r w:rsidRPr="00DD0A62" w:rsidR="00291260">
        <w:rPr>
          <w:bCs/>
          <w:iCs/>
          <w:szCs w:val="18"/>
          <w:lang w:val="nl-NL"/>
        </w:rPr>
        <w:t>is eerder</w:t>
      </w:r>
      <w:r w:rsidRPr="00DD0A62" w:rsidR="00A76108">
        <w:rPr>
          <w:bCs/>
          <w:iCs/>
          <w:szCs w:val="18"/>
          <w:lang w:val="nl-NL"/>
        </w:rPr>
        <w:t>, op</w:t>
      </w:r>
      <w:r w:rsidRPr="00DD0A62">
        <w:rPr>
          <w:bCs/>
          <w:iCs/>
          <w:szCs w:val="18"/>
          <w:lang w:val="nl-NL"/>
        </w:rPr>
        <w:t xml:space="preserve"> 13 mei jl.</w:t>
      </w:r>
      <w:r w:rsidRPr="00DD0A62" w:rsidR="00A76108">
        <w:rPr>
          <w:bCs/>
          <w:iCs/>
          <w:szCs w:val="18"/>
          <w:lang w:val="nl-NL"/>
        </w:rPr>
        <w:t>,</w:t>
      </w:r>
      <w:r w:rsidRPr="00DD0A62">
        <w:rPr>
          <w:bCs/>
          <w:iCs/>
          <w:szCs w:val="18"/>
          <w:lang w:val="nl-NL"/>
        </w:rPr>
        <w:t xml:space="preserve"> per brief geïnformeerd over de kabinetspositie ten aanzien van het wetsvoorstel voor de tijdelijke opschorting van resterende importheffingen over Oekraïense producten alsook</w:t>
      </w:r>
      <w:r w:rsidRPr="00DD0A62" w:rsidR="00EA2B16">
        <w:rPr>
          <w:bCs/>
          <w:iCs/>
          <w:szCs w:val="18"/>
          <w:lang w:val="nl-NL"/>
        </w:rPr>
        <w:t xml:space="preserve"> over</w:t>
      </w:r>
      <w:r w:rsidRPr="00DD0A62">
        <w:rPr>
          <w:bCs/>
          <w:iCs/>
          <w:szCs w:val="18"/>
          <w:lang w:val="nl-NL"/>
        </w:rPr>
        <w:t xml:space="preserve"> de agendering van het voorstel.</w:t>
      </w:r>
      <w:r w:rsidRPr="00DD0A62" w:rsidR="003D3E6B">
        <w:rPr>
          <w:rStyle w:val="FootnoteReference"/>
          <w:bCs/>
          <w:iCs/>
          <w:szCs w:val="18"/>
          <w:lang w:val="nl-NL"/>
        </w:rPr>
        <w:footnoteReference w:id="6"/>
      </w:r>
    </w:p>
    <w:p w:rsidRPr="00D46823" w:rsidR="004D4AA5" w:rsidP="00701A17" w:rsidRDefault="004D4AA5" w14:paraId="3A8B4952" w14:textId="77777777">
      <w:pPr>
        <w:autoSpaceDE w:val="0"/>
        <w:autoSpaceDN w:val="0"/>
        <w:adjustRightInd w:val="0"/>
        <w:spacing w:after="0"/>
        <w:rPr>
          <w:szCs w:val="18"/>
          <w:lang w:val="nl-NL"/>
        </w:rPr>
      </w:pPr>
    </w:p>
    <w:sectPr w:rsidRPr="00D46823" w:rsidR="004D4AA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200AB" w14:textId="77777777" w:rsidR="00BF34B5" w:rsidRDefault="00BF34B5" w:rsidP="007155D9">
      <w:pPr>
        <w:spacing w:after="0"/>
      </w:pPr>
      <w:r>
        <w:separator/>
      </w:r>
    </w:p>
  </w:endnote>
  <w:endnote w:type="continuationSeparator" w:id="0">
    <w:p w14:paraId="6D5DAE62" w14:textId="77777777" w:rsidR="00BF34B5" w:rsidRDefault="00BF34B5" w:rsidP="007155D9">
      <w:pPr>
        <w:spacing w:after="0"/>
      </w:pPr>
      <w:r>
        <w:continuationSeparator/>
      </w:r>
    </w:p>
  </w:endnote>
  <w:endnote w:type="continuationNotice" w:id="1">
    <w:p w14:paraId="67D0BD42" w14:textId="77777777" w:rsidR="00BF34B5" w:rsidRDefault="00BF3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rofont">
    <w:altName w:val="BPG Ingiri Contrast"/>
    <w:charset w:val="00"/>
    <w:family w:val="swiss"/>
    <w:pitch w:val="variable"/>
    <w:sig w:usb0="00000003"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3049" w14:textId="77777777" w:rsidR="00BF34B5" w:rsidRDefault="00BF34B5" w:rsidP="007155D9">
      <w:pPr>
        <w:spacing w:after="0"/>
      </w:pPr>
      <w:r>
        <w:separator/>
      </w:r>
    </w:p>
  </w:footnote>
  <w:footnote w:type="continuationSeparator" w:id="0">
    <w:p w14:paraId="363AB34D" w14:textId="77777777" w:rsidR="00BF34B5" w:rsidRDefault="00BF34B5" w:rsidP="007155D9">
      <w:pPr>
        <w:spacing w:after="0"/>
      </w:pPr>
      <w:r>
        <w:continuationSeparator/>
      </w:r>
    </w:p>
  </w:footnote>
  <w:footnote w:type="continuationNotice" w:id="1">
    <w:p w14:paraId="09CC35AB" w14:textId="77777777" w:rsidR="00BF34B5" w:rsidRDefault="00BF34B5">
      <w:pPr>
        <w:spacing w:after="0"/>
      </w:pPr>
    </w:p>
  </w:footnote>
  <w:footnote w:id="2">
    <w:p w14:paraId="6FF96C80" w14:textId="7821DF0E" w:rsidR="00BF34B5" w:rsidRPr="0053529D" w:rsidRDefault="00BF34B5">
      <w:pPr>
        <w:pStyle w:val="FootnoteText"/>
        <w:rPr>
          <w:lang w:val="nl-NL"/>
        </w:rPr>
      </w:pPr>
      <w:r>
        <w:rPr>
          <w:rStyle w:val="FootnoteReference"/>
        </w:rPr>
        <w:footnoteRef/>
      </w:r>
      <w:r w:rsidRPr="0053529D">
        <w:rPr>
          <w:lang w:val="nl-NL"/>
        </w:rPr>
        <w:t xml:space="preserve"> </w:t>
      </w:r>
      <w:r w:rsidRPr="0053529D">
        <w:rPr>
          <w:sz w:val="16"/>
          <w:szCs w:val="16"/>
          <w:lang w:val="nl-NL"/>
        </w:rPr>
        <w:t xml:space="preserve">Zie </w:t>
      </w:r>
      <w:r>
        <w:rPr>
          <w:sz w:val="16"/>
          <w:szCs w:val="16"/>
          <w:lang w:val="nl-NL"/>
        </w:rPr>
        <w:t xml:space="preserve">ook Kamerstuk </w:t>
      </w:r>
      <w:r w:rsidRPr="006E0FF6">
        <w:rPr>
          <w:sz w:val="16"/>
          <w:szCs w:val="16"/>
          <w:lang w:val="nl-NL"/>
        </w:rPr>
        <w:t>2022Z09614</w:t>
      </w:r>
      <w:r>
        <w:rPr>
          <w:sz w:val="16"/>
          <w:szCs w:val="16"/>
          <w:lang w:val="nl-NL"/>
        </w:rPr>
        <w:t xml:space="preserve"> d.d. 17 mei 2022, met daarin een</w:t>
      </w:r>
      <w:r w:rsidRPr="0053529D">
        <w:rPr>
          <w:sz w:val="16"/>
          <w:szCs w:val="16"/>
          <w:lang w:val="nl-NL"/>
        </w:rPr>
        <w:t xml:space="preserve"> uitnodiging voor vertegenwoordigers van de Tweede Kamer voor de </w:t>
      </w:r>
      <w:proofErr w:type="spellStart"/>
      <w:r w:rsidRPr="0053529D">
        <w:rPr>
          <w:sz w:val="16"/>
          <w:szCs w:val="16"/>
          <w:lang w:val="nl-NL"/>
        </w:rPr>
        <w:t>Koninkrijksdelegatie</w:t>
      </w:r>
      <w:proofErr w:type="spellEnd"/>
      <w:r w:rsidRPr="0053529D">
        <w:rPr>
          <w:sz w:val="16"/>
          <w:szCs w:val="16"/>
          <w:lang w:val="nl-NL"/>
        </w:rPr>
        <w:t xml:space="preserve"> naar MC12.</w:t>
      </w:r>
      <w:r>
        <w:rPr>
          <w:rFonts w:cs="Arial"/>
          <w:color w:val="3D3F3F"/>
          <w:sz w:val="16"/>
          <w:szCs w:val="16"/>
          <w:shd w:val="clear" w:color="auto" w:fill="E0E7EA"/>
          <w:lang w:val="nl-NL"/>
        </w:rPr>
        <w:t xml:space="preserve"> </w:t>
      </w:r>
    </w:p>
  </w:footnote>
  <w:footnote w:id="3">
    <w:p w14:paraId="356AD357" w14:textId="3B7FD2EC" w:rsidR="00BF34B5" w:rsidRPr="00A10E9F" w:rsidRDefault="00BF34B5">
      <w:pPr>
        <w:pStyle w:val="FootnoteText"/>
        <w:rPr>
          <w:sz w:val="16"/>
          <w:szCs w:val="16"/>
          <w:lang w:val="nl-NL"/>
        </w:rPr>
      </w:pPr>
      <w:r w:rsidRPr="00A10E9F">
        <w:rPr>
          <w:rStyle w:val="FootnoteReference"/>
          <w:sz w:val="16"/>
          <w:szCs w:val="16"/>
        </w:rPr>
        <w:footnoteRef/>
      </w:r>
      <w:r w:rsidRPr="00A10E9F">
        <w:rPr>
          <w:sz w:val="16"/>
          <w:szCs w:val="16"/>
          <w:lang w:val="nl-NL"/>
        </w:rPr>
        <w:t xml:space="preserve"> Zie ook de Geannoteerde Agenda RBZ Handel van 11 november 2021, Kamerstuk 21 501-02, nr. 2427</w:t>
      </w:r>
    </w:p>
  </w:footnote>
  <w:footnote w:id="4">
    <w:p w14:paraId="06C218FB" w14:textId="41914856" w:rsidR="00BF34B5" w:rsidRPr="000E1D7C" w:rsidRDefault="00BF34B5">
      <w:pPr>
        <w:pStyle w:val="FootnoteText"/>
        <w:rPr>
          <w:lang w:val="nl-NL"/>
        </w:rPr>
      </w:pPr>
      <w:r w:rsidRPr="006E0FF6">
        <w:rPr>
          <w:rStyle w:val="FootnoteReference"/>
          <w:sz w:val="16"/>
          <w:szCs w:val="16"/>
        </w:rPr>
        <w:footnoteRef/>
      </w:r>
      <w:r w:rsidRPr="006E0FF6">
        <w:rPr>
          <w:sz w:val="16"/>
          <w:szCs w:val="16"/>
          <w:lang w:val="nl-NL"/>
        </w:rPr>
        <w:t xml:space="preserve"> </w:t>
      </w:r>
      <w:r w:rsidRPr="00701A17">
        <w:rPr>
          <w:sz w:val="16"/>
          <w:szCs w:val="16"/>
          <w:lang w:val="nl-NL"/>
        </w:rPr>
        <w:t>https://circabc.europa.eu/ui/group/09242a36-a438-40fd-a7af-fe32e36cbd0e/library/14bf0332-62ee-411b-8c74-bea38cd79efb/details</w:t>
      </w:r>
    </w:p>
  </w:footnote>
  <w:footnote w:id="5">
    <w:p w14:paraId="74C2695F" w14:textId="796DFA73" w:rsidR="003D3E6B" w:rsidRPr="00B45C63" w:rsidRDefault="003D3E6B">
      <w:pPr>
        <w:pStyle w:val="FootnoteText"/>
        <w:rPr>
          <w:sz w:val="16"/>
          <w:szCs w:val="16"/>
          <w:lang w:val="nl-NL"/>
        </w:rPr>
      </w:pPr>
      <w:r w:rsidRPr="00B45C63">
        <w:rPr>
          <w:sz w:val="16"/>
          <w:szCs w:val="16"/>
          <w:lang w:val="nl-NL"/>
        </w:rPr>
        <w:footnoteRef/>
      </w:r>
      <w:r w:rsidRPr="00B45C63">
        <w:rPr>
          <w:sz w:val="16"/>
          <w:szCs w:val="16"/>
          <w:lang w:val="nl-NL"/>
        </w:rPr>
        <w:t xml:space="preserve"> Kamerstuk 2022Z10216 d.d. 23 mei 2022</w:t>
      </w:r>
    </w:p>
  </w:footnote>
  <w:footnote w:id="6">
    <w:p w14:paraId="6C2F4956" w14:textId="4DF6D60D" w:rsidR="003D3E6B" w:rsidRPr="003D3E6B" w:rsidRDefault="003D3E6B">
      <w:pPr>
        <w:pStyle w:val="FootnoteText"/>
        <w:rPr>
          <w:rStyle w:val="FootnoteReference"/>
          <w:sz w:val="16"/>
          <w:szCs w:val="16"/>
        </w:rPr>
      </w:pPr>
      <w:r w:rsidRPr="00B45C63">
        <w:rPr>
          <w:sz w:val="16"/>
          <w:szCs w:val="16"/>
          <w:lang w:val="nl-NL"/>
        </w:rPr>
        <w:footnoteRef/>
      </w:r>
      <w:r w:rsidRPr="00B45C63">
        <w:rPr>
          <w:sz w:val="16"/>
          <w:szCs w:val="16"/>
          <w:lang w:val="nl-NL"/>
        </w:rPr>
        <w:t xml:space="preserve"> Kamerstuk 36045, nr. 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1" w15:restartNumberingAfterBreak="0">
    <w:nsid w:val="15004FBA"/>
    <w:multiLevelType w:val="hybridMultilevel"/>
    <w:tmpl w:val="CBA03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2F329A"/>
    <w:multiLevelType w:val="hybridMultilevel"/>
    <w:tmpl w:val="DF88F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9F40C9"/>
    <w:multiLevelType w:val="hybridMultilevel"/>
    <w:tmpl w:val="002CD766"/>
    <w:lvl w:ilvl="0" w:tplc="13446122">
      <w:start w:val="1"/>
      <w:numFmt w:val="bullet"/>
      <w:lvlText w:val="­"/>
      <w:lvlJc w:val="left"/>
      <w:pPr>
        <w:ind w:left="1428" w:hanging="360"/>
      </w:pPr>
      <w:rPr>
        <w:rFonts w:ascii="Courier New" w:hAnsi="Courier New" w:cs="Times New Roman" w:hint="default"/>
        <w:color w:val="000000"/>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5" w15:restartNumberingAfterBreak="0">
    <w:nsid w:val="5661204D"/>
    <w:multiLevelType w:val="hybridMultilevel"/>
    <w:tmpl w:val="CD303A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282707"/>
    <w:multiLevelType w:val="hybridMultilevel"/>
    <w:tmpl w:val="2B56D34A"/>
    <w:lvl w:ilvl="0" w:tplc="0409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41D633C2">
      <w:numFmt w:val="bullet"/>
      <w:lvlText w:val="-"/>
      <w:lvlJc w:val="left"/>
      <w:pPr>
        <w:ind w:left="2520" w:hanging="360"/>
      </w:pPr>
      <w:rPr>
        <w:rFonts w:ascii="Agrofont" w:eastAsia="MS Mincho" w:hAnsi="Agrofont"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9A2C7D"/>
    <w:multiLevelType w:val="hybridMultilevel"/>
    <w:tmpl w:val="C77C6C5C"/>
    <w:lvl w:ilvl="0" w:tplc="98080E36">
      <w:start w:val="1"/>
      <w:numFmt w:val="bullet"/>
      <w:lvlText w:val=""/>
      <w:lvlJc w:val="left"/>
      <w:pPr>
        <w:ind w:left="708" w:hanging="360"/>
      </w:pPr>
      <w:rPr>
        <w:rFonts w:ascii="Symbol" w:hAnsi="Symbol" w:hint="default"/>
        <w:color w:val="000000"/>
      </w:rPr>
    </w:lvl>
    <w:lvl w:ilvl="1" w:tplc="04130003">
      <w:start w:val="1"/>
      <w:numFmt w:val="bullet"/>
      <w:lvlText w:val="o"/>
      <w:lvlJc w:val="left"/>
      <w:pPr>
        <w:ind w:left="1428" w:hanging="360"/>
      </w:pPr>
      <w:rPr>
        <w:rFonts w:ascii="Courier New" w:hAnsi="Courier New" w:cs="Courier New" w:hint="default"/>
      </w:rPr>
    </w:lvl>
    <w:lvl w:ilvl="2" w:tplc="04130005">
      <w:start w:val="1"/>
      <w:numFmt w:val="bullet"/>
      <w:lvlText w:val=""/>
      <w:lvlJc w:val="left"/>
      <w:pPr>
        <w:ind w:left="2148" w:hanging="360"/>
      </w:pPr>
      <w:rPr>
        <w:rFonts w:ascii="Wingdings" w:hAnsi="Wingdings" w:hint="default"/>
      </w:rPr>
    </w:lvl>
    <w:lvl w:ilvl="3" w:tplc="04130001">
      <w:start w:val="1"/>
      <w:numFmt w:val="bullet"/>
      <w:lvlText w:val=""/>
      <w:lvlJc w:val="left"/>
      <w:pPr>
        <w:ind w:left="2868" w:hanging="360"/>
      </w:pPr>
      <w:rPr>
        <w:rFonts w:ascii="Symbol" w:hAnsi="Symbol" w:hint="default"/>
      </w:rPr>
    </w:lvl>
    <w:lvl w:ilvl="4" w:tplc="04130003">
      <w:start w:val="1"/>
      <w:numFmt w:val="bullet"/>
      <w:lvlText w:val="o"/>
      <w:lvlJc w:val="left"/>
      <w:pPr>
        <w:ind w:left="3588" w:hanging="360"/>
      </w:pPr>
      <w:rPr>
        <w:rFonts w:ascii="Courier New" w:hAnsi="Courier New" w:cs="Courier New" w:hint="default"/>
      </w:rPr>
    </w:lvl>
    <w:lvl w:ilvl="5" w:tplc="04130005">
      <w:start w:val="1"/>
      <w:numFmt w:val="bullet"/>
      <w:lvlText w:val=""/>
      <w:lvlJc w:val="left"/>
      <w:pPr>
        <w:ind w:left="4308" w:hanging="360"/>
      </w:pPr>
      <w:rPr>
        <w:rFonts w:ascii="Wingdings" w:hAnsi="Wingdings" w:hint="default"/>
      </w:rPr>
    </w:lvl>
    <w:lvl w:ilvl="6" w:tplc="04130001">
      <w:start w:val="1"/>
      <w:numFmt w:val="bullet"/>
      <w:lvlText w:val=""/>
      <w:lvlJc w:val="left"/>
      <w:pPr>
        <w:ind w:left="5028" w:hanging="360"/>
      </w:pPr>
      <w:rPr>
        <w:rFonts w:ascii="Symbol" w:hAnsi="Symbol" w:hint="default"/>
      </w:rPr>
    </w:lvl>
    <w:lvl w:ilvl="7" w:tplc="04130003">
      <w:start w:val="1"/>
      <w:numFmt w:val="bullet"/>
      <w:lvlText w:val="o"/>
      <w:lvlJc w:val="left"/>
      <w:pPr>
        <w:ind w:left="5748" w:hanging="360"/>
      </w:pPr>
      <w:rPr>
        <w:rFonts w:ascii="Courier New" w:hAnsi="Courier New" w:cs="Courier New" w:hint="default"/>
      </w:rPr>
    </w:lvl>
    <w:lvl w:ilvl="8" w:tplc="04130005">
      <w:start w:val="1"/>
      <w:numFmt w:val="bullet"/>
      <w:lvlText w:val=""/>
      <w:lvlJc w:val="left"/>
      <w:pPr>
        <w:ind w:left="6468" w:hanging="360"/>
      </w:pPr>
      <w:rPr>
        <w:rFonts w:ascii="Wingdings" w:hAnsi="Wingdings" w:hint="default"/>
      </w:rPr>
    </w:lvl>
  </w:abstractNum>
  <w:abstractNum w:abstractNumId="8" w15:restartNumberingAfterBreak="0">
    <w:nsid w:val="6E2A7DD4"/>
    <w:multiLevelType w:val="hybridMultilevel"/>
    <w:tmpl w:val="39746056"/>
    <w:lvl w:ilvl="0" w:tplc="4B0203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990570D"/>
    <w:multiLevelType w:val="hybridMultilevel"/>
    <w:tmpl w:val="7CF68F04"/>
    <w:lvl w:ilvl="0" w:tplc="33C8084A">
      <w:start w:val="1"/>
      <w:numFmt w:val="bullet"/>
      <w:lvlText w:val=""/>
      <w:lvlJc w:val="left"/>
      <w:pPr>
        <w:ind w:left="720" w:hanging="360"/>
      </w:pPr>
      <w:rPr>
        <w:rFonts w:ascii="Symbol" w:eastAsia="Calibri" w:hAnsi="Symbol"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8"/>
  </w:num>
  <w:num w:numId="5">
    <w:abstractNumId w:val="9"/>
  </w:num>
  <w:num w:numId="6">
    <w:abstractNumId w:val="4"/>
  </w:num>
  <w:num w:numId="7">
    <w:abstractNumId w:val="0"/>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B1"/>
    <w:rsid w:val="000018F6"/>
    <w:rsid w:val="000044E5"/>
    <w:rsid w:val="00004DAC"/>
    <w:rsid w:val="00010AF1"/>
    <w:rsid w:val="00010B42"/>
    <w:rsid w:val="000225E3"/>
    <w:rsid w:val="000246F6"/>
    <w:rsid w:val="00025957"/>
    <w:rsid w:val="000268D9"/>
    <w:rsid w:val="00030C75"/>
    <w:rsid w:val="00033B38"/>
    <w:rsid w:val="00034534"/>
    <w:rsid w:val="0003594B"/>
    <w:rsid w:val="00043604"/>
    <w:rsid w:val="00043977"/>
    <w:rsid w:val="00043CEF"/>
    <w:rsid w:val="00044D69"/>
    <w:rsid w:val="000458FA"/>
    <w:rsid w:val="000462F7"/>
    <w:rsid w:val="00050D7E"/>
    <w:rsid w:val="00051234"/>
    <w:rsid w:val="0005360B"/>
    <w:rsid w:val="00053D1C"/>
    <w:rsid w:val="00055869"/>
    <w:rsid w:val="00064F90"/>
    <w:rsid w:val="00064FB3"/>
    <w:rsid w:val="00070473"/>
    <w:rsid w:val="00075A13"/>
    <w:rsid w:val="00077200"/>
    <w:rsid w:val="0008057B"/>
    <w:rsid w:val="00082FF7"/>
    <w:rsid w:val="000879B6"/>
    <w:rsid w:val="00090CC5"/>
    <w:rsid w:val="000956C6"/>
    <w:rsid w:val="00096DC2"/>
    <w:rsid w:val="000A0381"/>
    <w:rsid w:val="000A0FA1"/>
    <w:rsid w:val="000A67E9"/>
    <w:rsid w:val="000B19E3"/>
    <w:rsid w:val="000B33CD"/>
    <w:rsid w:val="000B5B1F"/>
    <w:rsid w:val="000B6A08"/>
    <w:rsid w:val="000C1A3C"/>
    <w:rsid w:val="000C4B07"/>
    <w:rsid w:val="000C79B3"/>
    <w:rsid w:val="000C7E3A"/>
    <w:rsid w:val="000D0489"/>
    <w:rsid w:val="000D1F67"/>
    <w:rsid w:val="000D7B2A"/>
    <w:rsid w:val="000E11C6"/>
    <w:rsid w:val="000E14FB"/>
    <w:rsid w:val="000E1D7C"/>
    <w:rsid w:val="000E2E5F"/>
    <w:rsid w:val="000E4749"/>
    <w:rsid w:val="000F3DB1"/>
    <w:rsid w:val="000F50CC"/>
    <w:rsid w:val="0010230C"/>
    <w:rsid w:val="00104143"/>
    <w:rsid w:val="001048D8"/>
    <w:rsid w:val="00105600"/>
    <w:rsid w:val="00110184"/>
    <w:rsid w:val="00112831"/>
    <w:rsid w:val="00117628"/>
    <w:rsid w:val="00120157"/>
    <w:rsid w:val="00121E96"/>
    <w:rsid w:val="00130AC5"/>
    <w:rsid w:val="00130D7E"/>
    <w:rsid w:val="00134E9A"/>
    <w:rsid w:val="0013694C"/>
    <w:rsid w:val="001369DD"/>
    <w:rsid w:val="00140043"/>
    <w:rsid w:val="00141558"/>
    <w:rsid w:val="001432BF"/>
    <w:rsid w:val="001459E5"/>
    <w:rsid w:val="00156784"/>
    <w:rsid w:val="00162EC0"/>
    <w:rsid w:val="00165455"/>
    <w:rsid w:val="00165FAF"/>
    <w:rsid w:val="00166691"/>
    <w:rsid w:val="001666FC"/>
    <w:rsid w:val="00167155"/>
    <w:rsid w:val="001706B4"/>
    <w:rsid w:val="00170E13"/>
    <w:rsid w:val="0017143C"/>
    <w:rsid w:val="00180695"/>
    <w:rsid w:val="00180E19"/>
    <w:rsid w:val="001818E5"/>
    <w:rsid w:val="001845FC"/>
    <w:rsid w:val="00184F5E"/>
    <w:rsid w:val="00196149"/>
    <w:rsid w:val="001A1D22"/>
    <w:rsid w:val="001A300D"/>
    <w:rsid w:val="001A3C49"/>
    <w:rsid w:val="001A54DD"/>
    <w:rsid w:val="001B0E7C"/>
    <w:rsid w:val="001B2D71"/>
    <w:rsid w:val="001C572E"/>
    <w:rsid w:val="001C6833"/>
    <w:rsid w:val="001C6A12"/>
    <w:rsid w:val="001C6C69"/>
    <w:rsid w:val="001D149E"/>
    <w:rsid w:val="001D183C"/>
    <w:rsid w:val="001D1E80"/>
    <w:rsid w:val="001D36E1"/>
    <w:rsid w:val="001D3A48"/>
    <w:rsid w:val="001D4C8C"/>
    <w:rsid w:val="001D5668"/>
    <w:rsid w:val="001D6581"/>
    <w:rsid w:val="001D794F"/>
    <w:rsid w:val="001D7973"/>
    <w:rsid w:val="001D7993"/>
    <w:rsid w:val="001E28C2"/>
    <w:rsid w:val="001E4968"/>
    <w:rsid w:val="001F2C86"/>
    <w:rsid w:val="001F42A4"/>
    <w:rsid w:val="001F57EC"/>
    <w:rsid w:val="001F65CF"/>
    <w:rsid w:val="00200925"/>
    <w:rsid w:val="00201BE4"/>
    <w:rsid w:val="0020523F"/>
    <w:rsid w:val="00206171"/>
    <w:rsid w:val="00211945"/>
    <w:rsid w:val="00215ADA"/>
    <w:rsid w:val="00216B7E"/>
    <w:rsid w:val="00222183"/>
    <w:rsid w:val="002255B8"/>
    <w:rsid w:val="00226ABC"/>
    <w:rsid w:val="002341D1"/>
    <w:rsid w:val="00235CC2"/>
    <w:rsid w:val="002365F0"/>
    <w:rsid w:val="00237FC1"/>
    <w:rsid w:val="00240186"/>
    <w:rsid w:val="002417B9"/>
    <w:rsid w:val="00242946"/>
    <w:rsid w:val="00242FE2"/>
    <w:rsid w:val="00246D81"/>
    <w:rsid w:val="00246E19"/>
    <w:rsid w:val="0025161E"/>
    <w:rsid w:val="002605E8"/>
    <w:rsid w:val="00262FE9"/>
    <w:rsid w:val="002702EF"/>
    <w:rsid w:val="00271802"/>
    <w:rsid w:val="00272A04"/>
    <w:rsid w:val="00273906"/>
    <w:rsid w:val="00274884"/>
    <w:rsid w:val="0027517E"/>
    <w:rsid w:val="002773BB"/>
    <w:rsid w:val="00277BEB"/>
    <w:rsid w:val="00281312"/>
    <w:rsid w:val="00284532"/>
    <w:rsid w:val="0028717D"/>
    <w:rsid w:val="002874FA"/>
    <w:rsid w:val="00291260"/>
    <w:rsid w:val="00292B43"/>
    <w:rsid w:val="002934C8"/>
    <w:rsid w:val="00295215"/>
    <w:rsid w:val="002952F5"/>
    <w:rsid w:val="00295C10"/>
    <w:rsid w:val="002962B5"/>
    <w:rsid w:val="002A12CE"/>
    <w:rsid w:val="002A4E53"/>
    <w:rsid w:val="002A58B1"/>
    <w:rsid w:val="002A63B1"/>
    <w:rsid w:val="002B08A3"/>
    <w:rsid w:val="002B2331"/>
    <w:rsid w:val="002B5C42"/>
    <w:rsid w:val="002B706B"/>
    <w:rsid w:val="002C089E"/>
    <w:rsid w:val="002C139D"/>
    <w:rsid w:val="002C2841"/>
    <w:rsid w:val="002C5CBA"/>
    <w:rsid w:val="002C7D1E"/>
    <w:rsid w:val="002D175A"/>
    <w:rsid w:val="002D1C78"/>
    <w:rsid w:val="002D21BC"/>
    <w:rsid w:val="002D2E66"/>
    <w:rsid w:val="002D3AE9"/>
    <w:rsid w:val="002D5CEE"/>
    <w:rsid w:val="002E4586"/>
    <w:rsid w:val="002E5577"/>
    <w:rsid w:val="002E77AA"/>
    <w:rsid w:val="002F115F"/>
    <w:rsid w:val="002F14E4"/>
    <w:rsid w:val="002F3358"/>
    <w:rsid w:val="002F4F20"/>
    <w:rsid w:val="002F7130"/>
    <w:rsid w:val="002F71C3"/>
    <w:rsid w:val="0030100D"/>
    <w:rsid w:val="0030354E"/>
    <w:rsid w:val="003049A4"/>
    <w:rsid w:val="00306D5E"/>
    <w:rsid w:val="0031097A"/>
    <w:rsid w:val="00310C63"/>
    <w:rsid w:val="00314798"/>
    <w:rsid w:val="003154EF"/>
    <w:rsid w:val="00322D28"/>
    <w:rsid w:val="00331406"/>
    <w:rsid w:val="00332986"/>
    <w:rsid w:val="00333BC4"/>
    <w:rsid w:val="0033782F"/>
    <w:rsid w:val="00341AB4"/>
    <w:rsid w:val="00346E52"/>
    <w:rsid w:val="00355249"/>
    <w:rsid w:val="00355B45"/>
    <w:rsid w:val="00357B14"/>
    <w:rsid w:val="00360FD3"/>
    <w:rsid w:val="0037575F"/>
    <w:rsid w:val="003813C9"/>
    <w:rsid w:val="00386580"/>
    <w:rsid w:val="00386661"/>
    <w:rsid w:val="0039014E"/>
    <w:rsid w:val="00392C5D"/>
    <w:rsid w:val="003A0B32"/>
    <w:rsid w:val="003A0FAB"/>
    <w:rsid w:val="003A11D5"/>
    <w:rsid w:val="003A12BC"/>
    <w:rsid w:val="003A2A16"/>
    <w:rsid w:val="003A5B3E"/>
    <w:rsid w:val="003B434E"/>
    <w:rsid w:val="003B4F31"/>
    <w:rsid w:val="003B60A1"/>
    <w:rsid w:val="003B7402"/>
    <w:rsid w:val="003C0C88"/>
    <w:rsid w:val="003C1A03"/>
    <w:rsid w:val="003C1FEF"/>
    <w:rsid w:val="003C205A"/>
    <w:rsid w:val="003D0A5A"/>
    <w:rsid w:val="003D3E6B"/>
    <w:rsid w:val="003D6201"/>
    <w:rsid w:val="003D65D8"/>
    <w:rsid w:val="003E2821"/>
    <w:rsid w:val="003E5588"/>
    <w:rsid w:val="003E79F8"/>
    <w:rsid w:val="003E7BD0"/>
    <w:rsid w:val="003F219B"/>
    <w:rsid w:val="003F7167"/>
    <w:rsid w:val="0040250A"/>
    <w:rsid w:val="0040291B"/>
    <w:rsid w:val="0040327E"/>
    <w:rsid w:val="00404867"/>
    <w:rsid w:val="00405023"/>
    <w:rsid w:val="004075BF"/>
    <w:rsid w:val="004114D3"/>
    <w:rsid w:val="00411529"/>
    <w:rsid w:val="00412D40"/>
    <w:rsid w:val="0041509F"/>
    <w:rsid w:val="00417B7C"/>
    <w:rsid w:val="00422088"/>
    <w:rsid w:val="004234A7"/>
    <w:rsid w:val="00423DFF"/>
    <w:rsid w:val="00425481"/>
    <w:rsid w:val="00425CBB"/>
    <w:rsid w:val="00425D22"/>
    <w:rsid w:val="0043060A"/>
    <w:rsid w:val="0043071A"/>
    <w:rsid w:val="00436DC6"/>
    <w:rsid w:val="00437B06"/>
    <w:rsid w:val="00444389"/>
    <w:rsid w:val="00447336"/>
    <w:rsid w:val="0045746F"/>
    <w:rsid w:val="00461A4D"/>
    <w:rsid w:val="004662A9"/>
    <w:rsid w:val="0046685A"/>
    <w:rsid w:val="00467676"/>
    <w:rsid w:val="0047425D"/>
    <w:rsid w:val="0047553B"/>
    <w:rsid w:val="004831A8"/>
    <w:rsid w:val="004841B6"/>
    <w:rsid w:val="004843F5"/>
    <w:rsid w:val="00485FC5"/>
    <w:rsid w:val="0049035E"/>
    <w:rsid w:val="00490A7E"/>
    <w:rsid w:val="00493B4C"/>
    <w:rsid w:val="00494E47"/>
    <w:rsid w:val="00497F57"/>
    <w:rsid w:val="004A0218"/>
    <w:rsid w:val="004A1A99"/>
    <w:rsid w:val="004A2501"/>
    <w:rsid w:val="004A2BA7"/>
    <w:rsid w:val="004A3A96"/>
    <w:rsid w:val="004A3F7E"/>
    <w:rsid w:val="004A65A1"/>
    <w:rsid w:val="004B3059"/>
    <w:rsid w:val="004B5294"/>
    <w:rsid w:val="004B5A51"/>
    <w:rsid w:val="004B7B06"/>
    <w:rsid w:val="004C1E12"/>
    <w:rsid w:val="004C5325"/>
    <w:rsid w:val="004C5327"/>
    <w:rsid w:val="004D00EB"/>
    <w:rsid w:val="004D13E6"/>
    <w:rsid w:val="004D1658"/>
    <w:rsid w:val="004D3D4A"/>
    <w:rsid w:val="004D4AA5"/>
    <w:rsid w:val="004E05D4"/>
    <w:rsid w:val="004E467F"/>
    <w:rsid w:val="004E4E32"/>
    <w:rsid w:val="004E59C5"/>
    <w:rsid w:val="004E6664"/>
    <w:rsid w:val="004F50E5"/>
    <w:rsid w:val="00500816"/>
    <w:rsid w:val="005016A0"/>
    <w:rsid w:val="0050491E"/>
    <w:rsid w:val="00504A7E"/>
    <w:rsid w:val="00504D3C"/>
    <w:rsid w:val="00505046"/>
    <w:rsid w:val="0050589C"/>
    <w:rsid w:val="00506062"/>
    <w:rsid w:val="00511D32"/>
    <w:rsid w:val="0051344E"/>
    <w:rsid w:val="005225E8"/>
    <w:rsid w:val="0052489E"/>
    <w:rsid w:val="005248BF"/>
    <w:rsid w:val="00524A01"/>
    <w:rsid w:val="005271A5"/>
    <w:rsid w:val="00533C44"/>
    <w:rsid w:val="0053529D"/>
    <w:rsid w:val="00540497"/>
    <w:rsid w:val="00541A9B"/>
    <w:rsid w:val="00542245"/>
    <w:rsid w:val="00542EC4"/>
    <w:rsid w:val="00543E32"/>
    <w:rsid w:val="005472C5"/>
    <w:rsid w:val="00553189"/>
    <w:rsid w:val="005539DC"/>
    <w:rsid w:val="00554C3B"/>
    <w:rsid w:val="00554F95"/>
    <w:rsid w:val="005572FB"/>
    <w:rsid w:val="00557548"/>
    <w:rsid w:val="00557869"/>
    <w:rsid w:val="00560EC9"/>
    <w:rsid w:val="00560FE0"/>
    <w:rsid w:val="00561489"/>
    <w:rsid w:val="00562A5A"/>
    <w:rsid w:val="00566ECD"/>
    <w:rsid w:val="00571683"/>
    <w:rsid w:val="005733E5"/>
    <w:rsid w:val="00576FE9"/>
    <w:rsid w:val="0057729A"/>
    <w:rsid w:val="00581807"/>
    <w:rsid w:val="005844F4"/>
    <w:rsid w:val="005854B6"/>
    <w:rsid w:val="00587855"/>
    <w:rsid w:val="00587CAA"/>
    <w:rsid w:val="0059422E"/>
    <w:rsid w:val="00594858"/>
    <w:rsid w:val="0059661E"/>
    <w:rsid w:val="00597CE8"/>
    <w:rsid w:val="005A047E"/>
    <w:rsid w:val="005A3B00"/>
    <w:rsid w:val="005A71ED"/>
    <w:rsid w:val="005A7562"/>
    <w:rsid w:val="005A79CA"/>
    <w:rsid w:val="005B033A"/>
    <w:rsid w:val="005B034A"/>
    <w:rsid w:val="005B6E29"/>
    <w:rsid w:val="005C1B55"/>
    <w:rsid w:val="005C20EB"/>
    <w:rsid w:val="005C2A0A"/>
    <w:rsid w:val="005C2E7F"/>
    <w:rsid w:val="005C466E"/>
    <w:rsid w:val="005C66F4"/>
    <w:rsid w:val="005C7DA7"/>
    <w:rsid w:val="005D0D84"/>
    <w:rsid w:val="005D0F45"/>
    <w:rsid w:val="005D23C0"/>
    <w:rsid w:val="005E2DB0"/>
    <w:rsid w:val="005E3E80"/>
    <w:rsid w:val="005E7BF2"/>
    <w:rsid w:val="005F2FC8"/>
    <w:rsid w:val="005F3B9B"/>
    <w:rsid w:val="006002F7"/>
    <w:rsid w:val="0060124D"/>
    <w:rsid w:val="0060261C"/>
    <w:rsid w:val="0061168B"/>
    <w:rsid w:val="00611A52"/>
    <w:rsid w:val="006148CC"/>
    <w:rsid w:val="0061495E"/>
    <w:rsid w:val="00621DE0"/>
    <w:rsid w:val="00622342"/>
    <w:rsid w:val="006265E8"/>
    <w:rsid w:val="00632075"/>
    <w:rsid w:val="006329D4"/>
    <w:rsid w:val="00634D95"/>
    <w:rsid w:val="006358B1"/>
    <w:rsid w:val="00636734"/>
    <w:rsid w:val="006368D7"/>
    <w:rsid w:val="006369C0"/>
    <w:rsid w:val="0064071F"/>
    <w:rsid w:val="00650823"/>
    <w:rsid w:val="00653BAA"/>
    <w:rsid w:val="00655064"/>
    <w:rsid w:val="00655EEA"/>
    <w:rsid w:val="00661BB7"/>
    <w:rsid w:val="00663166"/>
    <w:rsid w:val="00663772"/>
    <w:rsid w:val="00666BE1"/>
    <w:rsid w:val="00667E94"/>
    <w:rsid w:val="00671A80"/>
    <w:rsid w:val="00672039"/>
    <w:rsid w:val="00675C41"/>
    <w:rsid w:val="0067690E"/>
    <w:rsid w:val="00676F8C"/>
    <w:rsid w:val="00680790"/>
    <w:rsid w:val="0068325B"/>
    <w:rsid w:val="006836C5"/>
    <w:rsid w:val="00686CCB"/>
    <w:rsid w:val="006908F3"/>
    <w:rsid w:val="00692E13"/>
    <w:rsid w:val="006942A2"/>
    <w:rsid w:val="0069503A"/>
    <w:rsid w:val="00696D4C"/>
    <w:rsid w:val="006A0A6E"/>
    <w:rsid w:val="006A3217"/>
    <w:rsid w:val="006A3300"/>
    <w:rsid w:val="006A367C"/>
    <w:rsid w:val="006A7CA8"/>
    <w:rsid w:val="006B1EDD"/>
    <w:rsid w:val="006B29A5"/>
    <w:rsid w:val="006B2B66"/>
    <w:rsid w:val="006B4F63"/>
    <w:rsid w:val="006B5923"/>
    <w:rsid w:val="006B6007"/>
    <w:rsid w:val="006C5A3E"/>
    <w:rsid w:val="006D08E5"/>
    <w:rsid w:val="006D1D8F"/>
    <w:rsid w:val="006D2D33"/>
    <w:rsid w:val="006D43E6"/>
    <w:rsid w:val="006D53AD"/>
    <w:rsid w:val="006D5A7F"/>
    <w:rsid w:val="006D68BB"/>
    <w:rsid w:val="006D6A15"/>
    <w:rsid w:val="006D6B3F"/>
    <w:rsid w:val="006E0FF6"/>
    <w:rsid w:val="006E33B6"/>
    <w:rsid w:val="006E4710"/>
    <w:rsid w:val="006E68A0"/>
    <w:rsid w:val="006E78C4"/>
    <w:rsid w:val="006E7D24"/>
    <w:rsid w:val="006F0D57"/>
    <w:rsid w:val="006F45F5"/>
    <w:rsid w:val="006F5E9B"/>
    <w:rsid w:val="006F71B0"/>
    <w:rsid w:val="006F74CD"/>
    <w:rsid w:val="00701A17"/>
    <w:rsid w:val="007026ED"/>
    <w:rsid w:val="00702AE3"/>
    <w:rsid w:val="00702F97"/>
    <w:rsid w:val="0070329E"/>
    <w:rsid w:val="0070353F"/>
    <w:rsid w:val="00712A69"/>
    <w:rsid w:val="00714B25"/>
    <w:rsid w:val="007155D9"/>
    <w:rsid w:val="0071748D"/>
    <w:rsid w:val="00720395"/>
    <w:rsid w:val="00721926"/>
    <w:rsid w:val="00721F07"/>
    <w:rsid w:val="00723E87"/>
    <w:rsid w:val="0072427C"/>
    <w:rsid w:val="00732FC7"/>
    <w:rsid w:val="00741707"/>
    <w:rsid w:val="00741913"/>
    <w:rsid w:val="007419DA"/>
    <w:rsid w:val="00742F36"/>
    <w:rsid w:val="00743F89"/>
    <w:rsid w:val="00744265"/>
    <w:rsid w:val="00744E11"/>
    <w:rsid w:val="00747C40"/>
    <w:rsid w:val="00747F7B"/>
    <w:rsid w:val="00760BB5"/>
    <w:rsid w:val="007625B2"/>
    <w:rsid w:val="00766B73"/>
    <w:rsid w:val="00772E09"/>
    <w:rsid w:val="00777D39"/>
    <w:rsid w:val="00781995"/>
    <w:rsid w:val="007829A1"/>
    <w:rsid w:val="00794EF5"/>
    <w:rsid w:val="007954B0"/>
    <w:rsid w:val="0079633C"/>
    <w:rsid w:val="007972BF"/>
    <w:rsid w:val="007972CC"/>
    <w:rsid w:val="007A0D57"/>
    <w:rsid w:val="007A27DB"/>
    <w:rsid w:val="007A4BA7"/>
    <w:rsid w:val="007A605F"/>
    <w:rsid w:val="007B1FC4"/>
    <w:rsid w:val="007B4675"/>
    <w:rsid w:val="007C1A2D"/>
    <w:rsid w:val="007C7BA6"/>
    <w:rsid w:val="007D0F3D"/>
    <w:rsid w:val="007D1893"/>
    <w:rsid w:val="007D3022"/>
    <w:rsid w:val="007D431F"/>
    <w:rsid w:val="007D44F6"/>
    <w:rsid w:val="007D4A4F"/>
    <w:rsid w:val="007D5279"/>
    <w:rsid w:val="007D6196"/>
    <w:rsid w:val="007E20E9"/>
    <w:rsid w:val="007E7820"/>
    <w:rsid w:val="007F4B44"/>
    <w:rsid w:val="007F626C"/>
    <w:rsid w:val="007F64B5"/>
    <w:rsid w:val="007F6CBF"/>
    <w:rsid w:val="00802BC5"/>
    <w:rsid w:val="00805ED1"/>
    <w:rsid w:val="00814F81"/>
    <w:rsid w:val="00816952"/>
    <w:rsid w:val="00820841"/>
    <w:rsid w:val="00824D43"/>
    <w:rsid w:val="008272FA"/>
    <w:rsid w:val="008311AE"/>
    <w:rsid w:val="00831C11"/>
    <w:rsid w:val="00833F09"/>
    <w:rsid w:val="008366AD"/>
    <w:rsid w:val="00843422"/>
    <w:rsid w:val="00843DC7"/>
    <w:rsid w:val="00845C26"/>
    <w:rsid w:val="00850D5D"/>
    <w:rsid w:val="008530EE"/>
    <w:rsid w:val="00853A99"/>
    <w:rsid w:val="00855331"/>
    <w:rsid w:val="00855368"/>
    <w:rsid w:val="00856C56"/>
    <w:rsid w:val="00856F1F"/>
    <w:rsid w:val="00863F72"/>
    <w:rsid w:val="00867FAD"/>
    <w:rsid w:val="00874078"/>
    <w:rsid w:val="00884B60"/>
    <w:rsid w:val="00885D9A"/>
    <w:rsid w:val="00886C8B"/>
    <w:rsid w:val="008908A7"/>
    <w:rsid w:val="008920CE"/>
    <w:rsid w:val="00893556"/>
    <w:rsid w:val="008942D6"/>
    <w:rsid w:val="00895EC0"/>
    <w:rsid w:val="00897743"/>
    <w:rsid w:val="008A1D22"/>
    <w:rsid w:val="008A218D"/>
    <w:rsid w:val="008A2342"/>
    <w:rsid w:val="008A384E"/>
    <w:rsid w:val="008A6DB9"/>
    <w:rsid w:val="008B12BB"/>
    <w:rsid w:val="008B4C6B"/>
    <w:rsid w:val="008C3A47"/>
    <w:rsid w:val="008C5DE8"/>
    <w:rsid w:val="008C679F"/>
    <w:rsid w:val="008C6FAB"/>
    <w:rsid w:val="008C757F"/>
    <w:rsid w:val="008D21EA"/>
    <w:rsid w:val="008D3570"/>
    <w:rsid w:val="008E284A"/>
    <w:rsid w:val="008E3D96"/>
    <w:rsid w:val="008E5E38"/>
    <w:rsid w:val="008E697E"/>
    <w:rsid w:val="008F1899"/>
    <w:rsid w:val="008F3236"/>
    <w:rsid w:val="008F3EAB"/>
    <w:rsid w:val="008F6D78"/>
    <w:rsid w:val="00901553"/>
    <w:rsid w:val="009106AF"/>
    <w:rsid w:val="00913D11"/>
    <w:rsid w:val="00916B55"/>
    <w:rsid w:val="0092766D"/>
    <w:rsid w:val="00931AEA"/>
    <w:rsid w:val="0094120A"/>
    <w:rsid w:val="00943F5B"/>
    <w:rsid w:val="009446FA"/>
    <w:rsid w:val="009451B4"/>
    <w:rsid w:val="00951C4E"/>
    <w:rsid w:val="00952B59"/>
    <w:rsid w:val="00956449"/>
    <w:rsid w:val="00957D8F"/>
    <w:rsid w:val="0096130E"/>
    <w:rsid w:val="00962420"/>
    <w:rsid w:val="00965D52"/>
    <w:rsid w:val="00967250"/>
    <w:rsid w:val="009673F7"/>
    <w:rsid w:val="0097014B"/>
    <w:rsid w:val="009743D5"/>
    <w:rsid w:val="00981775"/>
    <w:rsid w:val="00982B90"/>
    <w:rsid w:val="00982E87"/>
    <w:rsid w:val="009835B7"/>
    <w:rsid w:val="009840E8"/>
    <w:rsid w:val="0099388D"/>
    <w:rsid w:val="009972F2"/>
    <w:rsid w:val="00997C50"/>
    <w:rsid w:val="00997FA9"/>
    <w:rsid w:val="009A0450"/>
    <w:rsid w:val="009A376E"/>
    <w:rsid w:val="009A4E41"/>
    <w:rsid w:val="009A61DB"/>
    <w:rsid w:val="009A67C6"/>
    <w:rsid w:val="009A73D2"/>
    <w:rsid w:val="009B1BD5"/>
    <w:rsid w:val="009B3E8A"/>
    <w:rsid w:val="009B5AD9"/>
    <w:rsid w:val="009B6378"/>
    <w:rsid w:val="009B65A5"/>
    <w:rsid w:val="009B6A3E"/>
    <w:rsid w:val="009B6F62"/>
    <w:rsid w:val="009B72F6"/>
    <w:rsid w:val="009C1EB1"/>
    <w:rsid w:val="009C22E5"/>
    <w:rsid w:val="009C3E5D"/>
    <w:rsid w:val="009C421D"/>
    <w:rsid w:val="009D07C5"/>
    <w:rsid w:val="009D1075"/>
    <w:rsid w:val="009E2D26"/>
    <w:rsid w:val="009E541F"/>
    <w:rsid w:val="009E7488"/>
    <w:rsid w:val="009F1381"/>
    <w:rsid w:val="009F1D57"/>
    <w:rsid w:val="009F2CC0"/>
    <w:rsid w:val="009F4E50"/>
    <w:rsid w:val="009F77D7"/>
    <w:rsid w:val="00A0634A"/>
    <w:rsid w:val="00A10E9F"/>
    <w:rsid w:val="00A12F6B"/>
    <w:rsid w:val="00A13147"/>
    <w:rsid w:val="00A132ED"/>
    <w:rsid w:val="00A137EA"/>
    <w:rsid w:val="00A148B2"/>
    <w:rsid w:val="00A14C9F"/>
    <w:rsid w:val="00A20826"/>
    <w:rsid w:val="00A2342B"/>
    <w:rsid w:val="00A250A1"/>
    <w:rsid w:val="00A45EFF"/>
    <w:rsid w:val="00A46ED3"/>
    <w:rsid w:val="00A51558"/>
    <w:rsid w:val="00A53696"/>
    <w:rsid w:val="00A568F9"/>
    <w:rsid w:val="00A57B01"/>
    <w:rsid w:val="00A60B0E"/>
    <w:rsid w:val="00A60FD7"/>
    <w:rsid w:val="00A62269"/>
    <w:rsid w:val="00A6461A"/>
    <w:rsid w:val="00A70EB4"/>
    <w:rsid w:val="00A72569"/>
    <w:rsid w:val="00A76108"/>
    <w:rsid w:val="00A80B7D"/>
    <w:rsid w:val="00A82149"/>
    <w:rsid w:val="00A83741"/>
    <w:rsid w:val="00A85F9E"/>
    <w:rsid w:val="00A86D72"/>
    <w:rsid w:val="00A87904"/>
    <w:rsid w:val="00A91C36"/>
    <w:rsid w:val="00A92406"/>
    <w:rsid w:val="00A93DD6"/>
    <w:rsid w:val="00A94728"/>
    <w:rsid w:val="00A95B47"/>
    <w:rsid w:val="00A96670"/>
    <w:rsid w:val="00A967AF"/>
    <w:rsid w:val="00A97932"/>
    <w:rsid w:val="00AA04A5"/>
    <w:rsid w:val="00AA12E8"/>
    <w:rsid w:val="00AA5D9E"/>
    <w:rsid w:val="00AB09F5"/>
    <w:rsid w:val="00AB3A83"/>
    <w:rsid w:val="00AC2A1C"/>
    <w:rsid w:val="00AC3133"/>
    <w:rsid w:val="00AC3EAC"/>
    <w:rsid w:val="00AC4722"/>
    <w:rsid w:val="00AC56B4"/>
    <w:rsid w:val="00AC63E1"/>
    <w:rsid w:val="00AD2D85"/>
    <w:rsid w:val="00AD3E90"/>
    <w:rsid w:val="00AD4F80"/>
    <w:rsid w:val="00AD7B1B"/>
    <w:rsid w:val="00AE0E84"/>
    <w:rsid w:val="00AE1ADC"/>
    <w:rsid w:val="00AE28D6"/>
    <w:rsid w:val="00AE3156"/>
    <w:rsid w:val="00AE375A"/>
    <w:rsid w:val="00AE3CAA"/>
    <w:rsid w:val="00AE6472"/>
    <w:rsid w:val="00AE7725"/>
    <w:rsid w:val="00AF0630"/>
    <w:rsid w:val="00AF37F4"/>
    <w:rsid w:val="00AF398E"/>
    <w:rsid w:val="00AF4138"/>
    <w:rsid w:val="00AF4E7D"/>
    <w:rsid w:val="00AF5F97"/>
    <w:rsid w:val="00B00079"/>
    <w:rsid w:val="00B01E96"/>
    <w:rsid w:val="00B0319F"/>
    <w:rsid w:val="00B05D1F"/>
    <w:rsid w:val="00B07C71"/>
    <w:rsid w:val="00B11C72"/>
    <w:rsid w:val="00B12D15"/>
    <w:rsid w:val="00B1499C"/>
    <w:rsid w:val="00B172A2"/>
    <w:rsid w:val="00B20057"/>
    <w:rsid w:val="00B23CC3"/>
    <w:rsid w:val="00B23FD0"/>
    <w:rsid w:val="00B264FB"/>
    <w:rsid w:val="00B30358"/>
    <w:rsid w:val="00B3355B"/>
    <w:rsid w:val="00B33DB2"/>
    <w:rsid w:val="00B36007"/>
    <w:rsid w:val="00B36943"/>
    <w:rsid w:val="00B36F6D"/>
    <w:rsid w:val="00B40A23"/>
    <w:rsid w:val="00B40BCC"/>
    <w:rsid w:val="00B41C0F"/>
    <w:rsid w:val="00B41CE9"/>
    <w:rsid w:val="00B43422"/>
    <w:rsid w:val="00B4576A"/>
    <w:rsid w:val="00B45C63"/>
    <w:rsid w:val="00B45C87"/>
    <w:rsid w:val="00B45D4F"/>
    <w:rsid w:val="00B6327C"/>
    <w:rsid w:val="00B6766A"/>
    <w:rsid w:val="00B723E1"/>
    <w:rsid w:val="00B74EB0"/>
    <w:rsid w:val="00B77BE1"/>
    <w:rsid w:val="00B80101"/>
    <w:rsid w:val="00B833FE"/>
    <w:rsid w:val="00B847E1"/>
    <w:rsid w:val="00B85813"/>
    <w:rsid w:val="00B858A3"/>
    <w:rsid w:val="00B9000B"/>
    <w:rsid w:val="00B91F52"/>
    <w:rsid w:val="00B93BCC"/>
    <w:rsid w:val="00B9497B"/>
    <w:rsid w:val="00B94B0C"/>
    <w:rsid w:val="00B94B27"/>
    <w:rsid w:val="00B97252"/>
    <w:rsid w:val="00BA33F0"/>
    <w:rsid w:val="00BA51BA"/>
    <w:rsid w:val="00BB0637"/>
    <w:rsid w:val="00BB24D0"/>
    <w:rsid w:val="00BB316F"/>
    <w:rsid w:val="00BB3C4B"/>
    <w:rsid w:val="00BB5621"/>
    <w:rsid w:val="00BB5D10"/>
    <w:rsid w:val="00BB5FC1"/>
    <w:rsid w:val="00BC03D9"/>
    <w:rsid w:val="00BC0809"/>
    <w:rsid w:val="00BC25AC"/>
    <w:rsid w:val="00BC5F59"/>
    <w:rsid w:val="00BD4FE4"/>
    <w:rsid w:val="00BE082A"/>
    <w:rsid w:val="00BE3823"/>
    <w:rsid w:val="00BE5495"/>
    <w:rsid w:val="00BE5AD0"/>
    <w:rsid w:val="00BF0959"/>
    <w:rsid w:val="00BF34B5"/>
    <w:rsid w:val="00BF4131"/>
    <w:rsid w:val="00C04BBB"/>
    <w:rsid w:val="00C05C2A"/>
    <w:rsid w:val="00C0794F"/>
    <w:rsid w:val="00C10863"/>
    <w:rsid w:val="00C12AF7"/>
    <w:rsid w:val="00C13FE3"/>
    <w:rsid w:val="00C203D5"/>
    <w:rsid w:val="00C209B1"/>
    <w:rsid w:val="00C24C9B"/>
    <w:rsid w:val="00C3117A"/>
    <w:rsid w:val="00C34474"/>
    <w:rsid w:val="00C4055A"/>
    <w:rsid w:val="00C427C8"/>
    <w:rsid w:val="00C45469"/>
    <w:rsid w:val="00C52222"/>
    <w:rsid w:val="00C528B8"/>
    <w:rsid w:val="00C60869"/>
    <w:rsid w:val="00C616B0"/>
    <w:rsid w:val="00C61764"/>
    <w:rsid w:val="00C62ECA"/>
    <w:rsid w:val="00C67C8C"/>
    <w:rsid w:val="00C700C1"/>
    <w:rsid w:val="00C70C36"/>
    <w:rsid w:val="00C70DA1"/>
    <w:rsid w:val="00C73D3D"/>
    <w:rsid w:val="00C76A06"/>
    <w:rsid w:val="00C84294"/>
    <w:rsid w:val="00C86095"/>
    <w:rsid w:val="00C866E9"/>
    <w:rsid w:val="00C91114"/>
    <w:rsid w:val="00C91137"/>
    <w:rsid w:val="00C914D2"/>
    <w:rsid w:val="00C93209"/>
    <w:rsid w:val="00C93F5D"/>
    <w:rsid w:val="00C954B5"/>
    <w:rsid w:val="00CA030A"/>
    <w:rsid w:val="00CA39E5"/>
    <w:rsid w:val="00CA3F53"/>
    <w:rsid w:val="00CA6554"/>
    <w:rsid w:val="00CB0D47"/>
    <w:rsid w:val="00CB1E20"/>
    <w:rsid w:val="00CB2A62"/>
    <w:rsid w:val="00CB6346"/>
    <w:rsid w:val="00CB7776"/>
    <w:rsid w:val="00CD4BC8"/>
    <w:rsid w:val="00CE3CEF"/>
    <w:rsid w:val="00CE42A1"/>
    <w:rsid w:val="00CE4DC7"/>
    <w:rsid w:val="00CE70C1"/>
    <w:rsid w:val="00CF09B0"/>
    <w:rsid w:val="00CF234C"/>
    <w:rsid w:val="00CF6009"/>
    <w:rsid w:val="00D0006A"/>
    <w:rsid w:val="00D00263"/>
    <w:rsid w:val="00D10B2B"/>
    <w:rsid w:val="00D123B6"/>
    <w:rsid w:val="00D16303"/>
    <w:rsid w:val="00D17F5C"/>
    <w:rsid w:val="00D20C51"/>
    <w:rsid w:val="00D2127D"/>
    <w:rsid w:val="00D25EC4"/>
    <w:rsid w:val="00D26D27"/>
    <w:rsid w:val="00D27D90"/>
    <w:rsid w:val="00D309B7"/>
    <w:rsid w:val="00D30D86"/>
    <w:rsid w:val="00D311A8"/>
    <w:rsid w:val="00D34229"/>
    <w:rsid w:val="00D36E5C"/>
    <w:rsid w:val="00D41F1E"/>
    <w:rsid w:val="00D43AB4"/>
    <w:rsid w:val="00D46823"/>
    <w:rsid w:val="00D505EF"/>
    <w:rsid w:val="00D50828"/>
    <w:rsid w:val="00D52279"/>
    <w:rsid w:val="00D54718"/>
    <w:rsid w:val="00D551B6"/>
    <w:rsid w:val="00D564AB"/>
    <w:rsid w:val="00D6154C"/>
    <w:rsid w:val="00D6240F"/>
    <w:rsid w:val="00D63D63"/>
    <w:rsid w:val="00D7007B"/>
    <w:rsid w:val="00D71BEC"/>
    <w:rsid w:val="00D73901"/>
    <w:rsid w:val="00D73C1C"/>
    <w:rsid w:val="00D8024C"/>
    <w:rsid w:val="00D81BC1"/>
    <w:rsid w:val="00D8368E"/>
    <w:rsid w:val="00D85CF2"/>
    <w:rsid w:val="00D86AC1"/>
    <w:rsid w:val="00D874EF"/>
    <w:rsid w:val="00D933CC"/>
    <w:rsid w:val="00D93AF4"/>
    <w:rsid w:val="00D95601"/>
    <w:rsid w:val="00DA11CD"/>
    <w:rsid w:val="00DA34C3"/>
    <w:rsid w:val="00DB066E"/>
    <w:rsid w:val="00DB3C6A"/>
    <w:rsid w:val="00DB536F"/>
    <w:rsid w:val="00DB56BF"/>
    <w:rsid w:val="00DB615F"/>
    <w:rsid w:val="00DC7F50"/>
    <w:rsid w:val="00DD0A62"/>
    <w:rsid w:val="00DD14A4"/>
    <w:rsid w:val="00DD2B41"/>
    <w:rsid w:val="00DD34AC"/>
    <w:rsid w:val="00DD5890"/>
    <w:rsid w:val="00DD64B5"/>
    <w:rsid w:val="00DE1A26"/>
    <w:rsid w:val="00DE4BF7"/>
    <w:rsid w:val="00DE4C8D"/>
    <w:rsid w:val="00DE5BD7"/>
    <w:rsid w:val="00DF0543"/>
    <w:rsid w:val="00DF234A"/>
    <w:rsid w:val="00DF5548"/>
    <w:rsid w:val="00DF69A5"/>
    <w:rsid w:val="00DF6C6B"/>
    <w:rsid w:val="00E02563"/>
    <w:rsid w:val="00E0320D"/>
    <w:rsid w:val="00E0418E"/>
    <w:rsid w:val="00E07B33"/>
    <w:rsid w:val="00E07F49"/>
    <w:rsid w:val="00E15A7B"/>
    <w:rsid w:val="00E16D74"/>
    <w:rsid w:val="00E209A1"/>
    <w:rsid w:val="00E21505"/>
    <w:rsid w:val="00E2322C"/>
    <w:rsid w:val="00E23F1B"/>
    <w:rsid w:val="00E265D8"/>
    <w:rsid w:val="00E26D30"/>
    <w:rsid w:val="00E306A0"/>
    <w:rsid w:val="00E310DA"/>
    <w:rsid w:val="00E3346F"/>
    <w:rsid w:val="00E334FA"/>
    <w:rsid w:val="00E33833"/>
    <w:rsid w:val="00E36B01"/>
    <w:rsid w:val="00E36F41"/>
    <w:rsid w:val="00E44730"/>
    <w:rsid w:val="00E45557"/>
    <w:rsid w:val="00E4556C"/>
    <w:rsid w:val="00E46985"/>
    <w:rsid w:val="00E46E83"/>
    <w:rsid w:val="00E5725A"/>
    <w:rsid w:val="00E60BAB"/>
    <w:rsid w:val="00E616D5"/>
    <w:rsid w:val="00E61842"/>
    <w:rsid w:val="00E63C83"/>
    <w:rsid w:val="00E63E17"/>
    <w:rsid w:val="00E63E6B"/>
    <w:rsid w:val="00E75835"/>
    <w:rsid w:val="00E75F53"/>
    <w:rsid w:val="00E77DC4"/>
    <w:rsid w:val="00E832B2"/>
    <w:rsid w:val="00E847C6"/>
    <w:rsid w:val="00E84B8E"/>
    <w:rsid w:val="00E92BAD"/>
    <w:rsid w:val="00E94DFE"/>
    <w:rsid w:val="00E95FDF"/>
    <w:rsid w:val="00E96D9F"/>
    <w:rsid w:val="00E97318"/>
    <w:rsid w:val="00E97F4B"/>
    <w:rsid w:val="00EA082F"/>
    <w:rsid w:val="00EA19E9"/>
    <w:rsid w:val="00EA2B16"/>
    <w:rsid w:val="00EA6111"/>
    <w:rsid w:val="00EB1B45"/>
    <w:rsid w:val="00EB1F36"/>
    <w:rsid w:val="00EB2344"/>
    <w:rsid w:val="00EB277F"/>
    <w:rsid w:val="00EB5342"/>
    <w:rsid w:val="00EB7CFB"/>
    <w:rsid w:val="00EC06EB"/>
    <w:rsid w:val="00EC0A40"/>
    <w:rsid w:val="00EC1953"/>
    <w:rsid w:val="00EC30C7"/>
    <w:rsid w:val="00EC373A"/>
    <w:rsid w:val="00EC7092"/>
    <w:rsid w:val="00EC797D"/>
    <w:rsid w:val="00ED5580"/>
    <w:rsid w:val="00ED5CC9"/>
    <w:rsid w:val="00EE01E3"/>
    <w:rsid w:val="00EE12BD"/>
    <w:rsid w:val="00EE4D43"/>
    <w:rsid w:val="00EF1B0E"/>
    <w:rsid w:val="00EF2690"/>
    <w:rsid w:val="00EF4DBA"/>
    <w:rsid w:val="00EF4FEF"/>
    <w:rsid w:val="00EF7ABA"/>
    <w:rsid w:val="00F0390B"/>
    <w:rsid w:val="00F07376"/>
    <w:rsid w:val="00F10D38"/>
    <w:rsid w:val="00F10FFC"/>
    <w:rsid w:val="00F11378"/>
    <w:rsid w:val="00F15CB7"/>
    <w:rsid w:val="00F21BE8"/>
    <w:rsid w:val="00F2509C"/>
    <w:rsid w:val="00F26C88"/>
    <w:rsid w:val="00F26CCD"/>
    <w:rsid w:val="00F27E16"/>
    <w:rsid w:val="00F35767"/>
    <w:rsid w:val="00F41E69"/>
    <w:rsid w:val="00F4264E"/>
    <w:rsid w:val="00F42BD6"/>
    <w:rsid w:val="00F43028"/>
    <w:rsid w:val="00F430C0"/>
    <w:rsid w:val="00F43709"/>
    <w:rsid w:val="00F458C4"/>
    <w:rsid w:val="00F4658F"/>
    <w:rsid w:val="00F46A7E"/>
    <w:rsid w:val="00F51D9C"/>
    <w:rsid w:val="00F5287D"/>
    <w:rsid w:val="00F52F40"/>
    <w:rsid w:val="00F535D5"/>
    <w:rsid w:val="00F56305"/>
    <w:rsid w:val="00F6176D"/>
    <w:rsid w:val="00F61966"/>
    <w:rsid w:val="00F6323E"/>
    <w:rsid w:val="00F6600B"/>
    <w:rsid w:val="00F67498"/>
    <w:rsid w:val="00F702B2"/>
    <w:rsid w:val="00F70B7D"/>
    <w:rsid w:val="00F70C1B"/>
    <w:rsid w:val="00F7230C"/>
    <w:rsid w:val="00F72C9F"/>
    <w:rsid w:val="00F74327"/>
    <w:rsid w:val="00F743AC"/>
    <w:rsid w:val="00F74E35"/>
    <w:rsid w:val="00F7596C"/>
    <w:rsid w:val="00F75ADE"/>
    <w:rsid w:val="00F8335F"/>
    <w:rsid w:val="00F84822"/>
    <w:rsid w:val="00F91BE8"/>
    <w:rsid w:val="00F96077"/>
    <w:rsid w:val="00F965C4"/>
    <w:rsid w:val="00FA1FC6"/>
    <w:rsid w:val="00FA42E1"/>
    <w:rsid w:val="00FA4F68"/>
    <w:rsid w:val="00FA6428"/>
    <w:rsid w:val="00FA69EF"/>
    <w:rsid w:val="00FA70BA"/>
    <w:rsid w:val="00FB4703"/>
    <w:rsid w:val="00FB796D"/>
    <w:rsid w:val="00FC2005"/>
    <w:rsid w:val="00FC23A8"/>
    <w:rsid w:val="00FC4C26"/>
    <w:rsid w:val="00FD09E5"/>
    <w:rsid w:val="00FD0E98"/>
    <w:rsid w:val="00FD1333"/>
    <w:rsid w:val="00FD38E6"/>
    <w:rsid w:val="00FE3059"/>
    <w:rsid w:val="00FE633F"/>
    <w:rsid w:val="00FE7388"/>
    <w:rsid w:val="00FF0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C1E10427-D6E7-458B-9367-93088A9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972BF"/>
    <w:pPr>
      <w:spacing w:after="0"/>
      <w:ind w:left="720"/>
    </w:pPr>
    <w:rPr>
      <w:rFonts w:ascii="Calibri" w:eastAsiaTheme="minorHAnsi" w:hAnsi="Calibri" w:cs="Calibri"/>
      <w:sz w:val="22"/>
      <w:lang w:val="nl-NL" w:eastAsia="nl-NL"/>
    </w:rPr>
  </w:style>
  <w:style w:type="paragraph" w:styleId="FootnoteText">
    <w:name w:val="footnote text"/>
    <w:basedOn w:val="Normal"/>
    <w:link w:val="FootnoteTextChar"/>
    <w:uiPriority w:val="99"/>
    <w:semiHidden/>
    <w:unhideWhenUsed/>
    <w:rsid w:val="007155D9"/>
    <w:pPr>
      <w:spacing w:after="0"/>
    </w:pPr>
    <w:rPr>
      <w:sz w:val="20"/>
      <w:szCs w:val="20"/>
    </w:rPr>
  </w:style>
  <w:style w:type="character" w:customStyle="1" w:styleId="FootnoteTextChar">
    <w:name w:val="Footnote Text Char"/>
    <w:basedOn w:val="DefaultParagraphFont"/>
    <w:link w:val="FootnoteText"/>
    <w:uiPriority w:val="99"/>
    <w:semiHidden/>
    <w:rsid w:val="007155D9"/>
    <w:rPr>
      <w:sz w:val="20"/>
      <w:szCs w:val="20"/>
    </w:rPr>
  </w:style>
  <w:style w:type="character" w:styleId="FootnoteReference">
    <w:name w:val="footnote reference"/>
    <w:basedOn w:val="DefaultParagraphFont"/>
    <w:uiPriority w:val="99"/>
    <w:semiHidden/>
    <w:unhideWhenUsed/>
    <w:rsid w:val="007155D9"/>
    <w:rPr>
      <w:vertAlign w:val="superscript"/>
    </w:rPr>
  </w:style>
  <w:style w:type="character" w:styleId="CommentReference">
    <w:name w:val="annotation reference"/>
    <w:basedOn w:val="DefaultParagraphFont"/>
    <w:uiPriority w:val="99"/>
    <w:semiHidden/>
    <w:unhideWhenUsed/>
    <w:rsid w:val="00A53696"/>
    <w:rPr>
      <w:sz w:val="16"/>
      <w:szCs w:val="16"/>
    </w:rPr>
  </w:style>
  <w:style w:type="paragraph" w:styleId="CommentText">
    <w:name w:val="annotation text"/>
    <w:basedOn w:val="Normal"/>
    <w:link w:val="CommentTextChar"/>
    <w:uiPriority w:val="99"/>
    <w:semiHidden/>
    <w:unhideWhenUsed/>
    <w:rsid w:val="00A53696"/>
    <w:rPr>
      <w:sz w:val="20"/>
      <w:szCs w:val="20"/>
    </w:rPr>
  </w:style>
  <w:style w:type="character" w:customStyle="1" w:styleId="CommentTextChar">
    <w:name w:val="Comment Text Char"/>
    <w:basedOn w:val="DefaultParagraphFont"/>
    <w:link w:val="CommentText"/>
    <w:uiPriority w:val="99"/>
    <w:semiHidden/>
    <w:rsid w:val="00A53696"/>
    <w:rPr>
      <w:sz w:val="20"/>
      <w:szCs w:val="20"/>
    </w:rPr>
  </w:style>
  <w:style w:type="paragraph" w:styleId="CommentSubject">
    <w:name w:val="annotation subject"/>
    <w:basedOn w:val="CommentText"/>
    <w:next w:val="CommentText"/>
    <w:link w:val="CommentSubjectChar"/>
    <w:uiPriority w:val="99"/>
    <w:semiHidden/>
    <w:unhideWhenUsed/>
    <w:rsid w:val="00A53696"/>
    <w:rPr>
      <w:b/>
      <w:bCs/>
    </w:rPr>
  </w:style>
  <w:style w:type="character" w:customStyle="1" w:styleId="CommentSubjectChar">
    <w:name w:val="Comment Subject Char"/>
    <w:basedOn w:val="CommentTextChar"/>
    <w:link w:val="CommentSubject"/>
    <w:uiPriority w:val="99"/>
    <w:semiHidden/>
    <w:rsid w:val="00A53696"/>
    <w:rPr>
      <w:b/>
      <w:bCs/>
      <w:sz w:val="20"/>
      <w:szCs w:val="20"/>
    </w:rPr>
  </w:style>
  <w:style w:type="paragraph" w:styleId="Header">
    <w:name w:val="header"/>
    <w:basedOn w:val="Normal"/>
    <w:link w:val="HeaderChar"/>
    <w:uiPriority w:val="99"/>
    <w:unhideWhenUsed/>
    <w:rsid w:val="00B00079"/>
    <w:pPr>
      <w:tabs>
        <w:tab w:val="center" w:pos="4513"/>
        <w:tab w:val="right" w:pos="9026"/>
      </w:tabs>
      <w:spacing w:after="0"/>
    </w:pPr>
  </w:style>
  <w:style w:type="character" w:customStyle="1" w:styleId="HeaderChar">
    <w:name w:val="Header Char"/>
    <w:basedOn w:val="DefaultParagraphFont"/>
    <w:link w:val="Header"/>
    <w:uiPriority w:val="99"/>
    <w:rsid w:val="00B00079"/>
  </w:style>
  <w:style w:type="paragraph" w:styleId="Footer">
    <w:name w:val="footer"/>
    <w:basedOn w:val="Normal"/>
    <w:link w:val="FooterChar"/>
    <w:uiPriority w:val="99"/>
    <w:unhideWhenUsed/>
    <w:rsid w:val="00B00079"/>
    <w:pPr>
      <w:tabs>
        <w:tab w:val="center" w:pos="4513"/>
        <w:tab w:val="right" w:pos="9026"/>
      </w:tabs>
      <w:spacing w:after="0"/>
    </w:pPr>
  </w:style>
  <w:style w:type="character" w:customStyle="1" w:styleId="FooterChar">
    <w:name w:val="Footer Char"/>
    <w:basedOn w:val="DefaultParagraphFont"/>
    <w:link w:val="Footer"/>
    <w:uiPriority w:val="99"/>
    <w:rsid w:val="00B00079"/>
  </w:style>
  <w:style w:type="character" w:styleId="Hyperlink">
    <w:name w:val="Hyperlink"/>
    <w:basedOn w:val="DefaultParagraphFont"/>
    <w:uiPriority w:val="99"/>
    <w:unhideWhenUsed/>
    <w:rsid w:val="00F52F40"/>
    <w:rPr>
      <w:color w:val="0000FF" w:themeColor="hyperlink"/>
      <w:u w:val="single"/>
    </w:rPr>
  </w:style>
  <w:style w:type="paragraph" w:styleId="NormalWeb">
    <w:name w:val="Normal (Web)"/>
    <w:basedOn w:val="Normal"/>
    <w:uiPriority w:val="99"/>
    <w:unhideWhenUsed/>
    <w:rsid w:val="009446FA"/>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C67C8C"/>
    <w:pPr>
      <w:spacing w:after="0"/>
    </w:pPr>
  </w:style>
  <w:style w:type="paragraph" w:styleId="NoSpacing">
    <w:name w:val="No Spacing"/>
    <w:uiPriority w:val="1"/>
    <w:qFormat/>
    <w:rsid w:val="00EB5342"/>
    <w:pPr>
      <w:spacing w:after="0"/>
    </w:pPr>
  </w:style>
  <w:style w:type="character" w:styleId="FollowedHyperlink">
    <w:name w:val="FollowedHyperlink"/>
    <w:basedOn w:val="DefaultParagraphFont"/>
    <w:uiPriority w:val="99"/>
    <w:semiHidden/>
    <w:unhideWhenUsed/>
    <w:rsid w:val="00DD5890"/>
    <w:rPr>
      <w:color w:val="800080" w:themeColor="followedHyperlink"/>
      <w:u w:val="single"/>
    </w:rPr>
  </w:style>
  <w:style w:type="paragraph" w:styleId="BodyText">
    <w:name w:val="Body Text"/>
    <w:basedOn w:val="Normal"/>
    <w:link w:val="BodyTextChar"/>
    <w:uiPriority w:val="1"/>
    <w:qFormat/>
    <w:rsid w:val="009835B7"/>
    <w:pPr>
      <w:widowControl w:val="0"/>
      <w:autoSpaceDE w:val="0"/>
      <w:autoSpaceDN w:val="0"/>
      <w:spacing w:after="0"/>
    </w:pPr>
    <w:rPr>
      <w:rFonts w:eastAsia="Verdana" w:cs="Verdana"/>
      <w:szCs w:val="18"/>
    </w:rPr>
  </w:style>
  <w:style w:type="character" w:customStyle="1" w:styleId="BodyTextChar">
    <w:name w:val="Body Text Char"/>
    <w:basedOn w:val="DefaultParagraphFont"/>
    <w:link w:val="BodyText"/>
    <w:uiPriority w:val="1"/>
    <w:rsid w:val="009835B7"/>
    <w:rPr>
      <w:rFonts w:eastAsia="Verdana" w:cs="Verdana"/>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63C83"/>
    <w:rPr>
      <w:rFonts w:ascii="Calibri" w:eastAsiaTheme="minorHAnsi" w:hAnsi="Calibri" w:cs="Calibri"/>
      <w:sz w:val="22"/>
      <w:lang w:val="nl-NL" w:eastAsia="nl-NL"/>
    </w:rPr>
  </w:style>
  <w:style w:type="table" w:styleId="TableGrid">
    <w:name w:val="Table Grid"/>
    <w:basedOn w:val="TableNormal"/>
    <w:uiPriority w:val="59"/>
    <w:rsid w:val="00EA19E9"/>
    <w:pPr>
      <w:spacing w:after="0"/>
    </w:pPr>
    <w:rPr>
      <w:rFonts w:asciiTheme="minorHAnsi" w:hAnsiTheme="minorHAnsi" w:cs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20A"/>
    <w:rPr>
      <w:b/>
      <w:bCs/>
    </w:rPr>
  </w:style>
  <w:style w:type="character" w:styleId="Emphasis">
    <w:name w:val="Emphasis"/>
    <w:basedOn w:val="DefaultParagraphFont"/>
    <w:uiPriority w:val="20"/>
    <w:qFormat/>
    <w:rsid w:val="0094120A"/>
    <w:rPr>
      <w:i/>
      <w:iCs/>
    </w:rPr>
  </w:style>
  <w:style w:type="paragraph" w:customStyle="1" w:styleId="Default">
    <w:name w:val="Default"/>
    <w:rsid w:val="00692E13"/>
    <w:pPr>
      <w:autoSpaceDE w:val="0"/>
      <w:autoSpaceDN w:val="0"/>
      <w:adjustRightInd w:val="0"/>
      <w:spacing w:after="0"/>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771">
      <w:bodyDiv w:val="1"/>
      <w:marLeft w:val="0"/>
      <w:marRight w:val="0"/>
      <w:marTop w:val="0"/>
      <w:marBottom w:val="0"/>
      <w:divBdr>
        <w:top w:val="none" w:sz="0" w:space="0" w:color="auto"/>
        <w:left w:val="none" w:sz="0" w:space="0" w:color="auto"/>
        <w:bottom w:val="none" w:sz="0" w:space="0" w:color="auto"/>
        <w:right w:val="none" w:sz="0" w:space="0" w:color="auto"/>
      </w:divBdr>
    </w:div>
    <w:div w:id="38168709">
      <w:bodyDiv w:val="1"/>
      <w:marLeft w:val="0"/>
      <w:marRight w:val="0"/>
      <w:marTop w:val="0"/>
      <w:marBottom w:val="0"/>
      <w:divBdr>
        <w:top w:val="none" w:sz="0" w:space="0" w:color="auto"/>
        <w:left w:val="none" w:sz="0" w:space="0" w:color="auto"/>
        <w:bottom w:val="none" w:sz="0" w:space="0" w:color="auto"/>
        <w:right w:val="none" w:sz="0" w:space="0" w:color="auto"/>
      </w:divBdr>
    </w:div>
    <w:div w:id="215167202">
      <w:bodyDiv w:val="1"/>
      <w:marLeft w:val="0"/>
      <w:marRight w:val="0"/>
      <w:marTop w:val="0"/>
      <w:marBottom w:val="0"/>
      <w:divBdr>
        <w:top w:val="none" w:sz="0" w:space="0" w:color="auto"/>
        <w:left w:val="none" w:sz="0" w:space="0" w:color="auto"/>
        <w:bottom w:val="none" w:sz="0" w:space="0" w:color="auto"/>
        <w:right w:val="none" w:sz="0" w:space="0" w:color="auto"/>
      </w:divBdr>
    </w:div>
    <w:div w:id="216478172">
      <w:bodyDiv w:val="1"/>
      <w:marLeft w:val="0"/>
      <w:marRight w:val="0"/>
      <w:marTop w:val="0"/>
      <w:marBottom w:val="0"/>
      <w:divBdr>
        <w:top w:val="none" w:sz="0" w:space="0" w:color="auto"/>
        <w:left w:val="none" w:sz="0" w:space="0" w:color="auto"/>
        <w:bottom w:val="none" w:sz="0" w:space="0" w:color="auto"/>
        <w:right w:val="none" w:sz="0" w:space="0" w:color="auto"/>
      </w:divBdr>
    </w:div>
    <w:div w:id="262301603">
      <w:bodyDiv w:val="1"/>
      <w:marLeft w:val="0"/>
      <w:marRight w:val="0"/>
      <w:marTop w:val="0"/>
      <w:marBottom w:val="0"/>
      <w:divBdr>
        <w:top w:val="none" w:sz="0" w:space="0" w:color="auto"/>
        <w:left w:val="none" w:sz="0" w:space="0" w:color="auto"/>
        <w:bottom w:val="none" w:sz="0" w:space="0" w:color="auto"/>
        <w:right w:val="none" w:sz="0" w:space="0" w:color="auto"/>
      </w:divBdr>
    </w:div>
    <w:div w:id="320547848">
      <w:bodyDiv w:val="1"/>
      <w:marLeft w:val="0"/>
      <w:marRight w:val="0"/>
      <w:marTop w:val="0"/>
      <w:marBottom w:val="0"/>
      <w:divBdr>
        <w:top w:val="none" w:sz="0" w:space="0" w:color="auto"/>
        <w:left w:val="none" w:sz="0" w:space="0" w:color="auto"/>
        <w:bottom w:val="none" w:sz="0" w:space="0" w:color="auto"/>
        <w:right w:val="none" w:sz="0" w:space="0" w:color="auto"/>
      </w:divBdr>
    </w:div>
    <w:div w:id="478571298">
      <w:bodyDiv w:val="1"/>
      <w:marLeft w:val="0"/>
      <w:marRight w:val="0"/>
      <w:marTop w:val="0"/>
      <w:marBottom w:val="0"/>
      <w:divBdr>
        <w:top w:val="none" w:sz="0" w:space="0" w:color="auto"/>
        <w:left w:val="none" w:sz="0" w:space="0" w:color="auto"/>
        <w:bottom w:val="none" w:sz="0" w:space="0" w:color="auto"/>
        <w:right w:val="none" w:sz="0" w:space="0" w:color="auto"/>
      </w:divBdr>
    </w:div>
    <w:div w:id="510410623">
      <w:bodyDiv w:val="1"/>
      <w:marLeft w:val="0"/>
      <w:marRight w:val="0"/>
      <w:marTop w:val="0"/>
      <w:marBottom w:val="0"/>
      <w:divBdr>
        <w:top w:val="none" w:sz="0" w:space="0" w:color="auto"/>
        <w:left w:val="none" w:sz="0" w:space="0" w:color="auto"/>
        <w:bottom w:val="none" w:sz="0" w:space="0" w:color="auto"/>
        <w:right w:val="none" w:sz="0" w:space="0" w:color="auto"/>
      </w:divBdr>
    </w:div>
    <w:div w:id="712071954">
      <w:bodyDiv w:val="1"/>
      <w:marLeft w:val="0"/>
      <w:marRight w:val="0"/>
      <w:marTop w:val="0"/>
      <w:marBottom w:val="0"/>
      <w:divBdr>
        <w:top w:val="none" w:sz="0" w:space="0" w:color="auto"/>
        <w:left w:val="none" w:sz="0" w:space="0" w:color="auto"/>
        <w:bottom w:val="none" w:sz="0" w:space="0" w:color="auto"/>
        <w:right w:val="none" w:sz="0" w:space="0" w:color="auto"/>
      </w:divBdr>
    </w:div>
    <w:div w:id="929972634">
      <w:bodyDiv w:val="1"/>
      <w:marLeft w:val="0"/>
      <w:marRight w:val="0"/>
      <w:marTop w:val="0"/>
      <w:marBottom w:val="0"/>
      <w:divBdr>
        <w:top w:val="none" w:sz="0" w:space="0" w:color="auto"/>
        <w:left w:val="none" w:sz="0" w:space="0" w:color="auto"/>
        <w:bottom w:val="none" w:sz="0" w:space="0" w:color="auto"/>
        <w:right w:val="none" w:sz="0" w:space="0" w:color="auto"/>
      </w:divBdr>
    </w:div>
    <w:div w:id="1442794948">
      <w:bodyDiv w:val="1"/>
      <w:marLeft w:val="0"/>
      <w:marRight w:val="0"/>
      <w:marTop w:val="0"/>
      <w:marBottom w:val="0"/>
      <w:divBdr>
        <w:top w:val="none" w:sz="0" w:space="0" w:color="auto"/>
        <w:left w:val="none" w:sz="0" w:space="0" w:color="auto"/>
        <w:bottom w:val="none" w:sz="0" w:space="0" w:color="auto"/>
        <w:right w:val="none" w:sz="0" w:space="0" w:color="auto"/>
      </w:divBdr>
    </w:div>
    <w:div w:id="1525166323">
      <w:bodyDiv w:val="1"/>
      <w:marLeft w:val="0"/>
      <w:marRight w:val="0"/>
      <w:marTop w:val="0"/>
      <w:marBottom w:val="0"/>
      <w:divBdr>
        <w:top w:val="none" w:sz="0" w:space="0" w:color="auto"/>
        <w:left w:val="none" w:sz="0" w:space="0" w:color="auto"/>
        <w:bottom w:val="none" w:sz="0" w:space="0" w:color="auto"/>
        <w:right w:val="none" w:sz="0" w:space="0" w:color="auto"/>
      </w:divBdr>
    </w:div>
    <w:div w:id="1681276370">
      <w:bodyDiv w:val="1"/>
      <w:marLeft w:val="0"/>
      <w:marRight w:val="0"/>
      <w:marTop w:val="0"/>
      <w:marBottom w:val="0"/>
      <w:divBdr>
        <w:top w:val="none" w:sz="0" w:space="0" w:color="auto"/>
        <w:left w:val="none" w:sz="0" w:space="0" w:color="auto"/>
        <w:bottom w:val="none" w:sz="0" w:space="0" w:color="auto"/>
        <w:right w:val="none" w:sz="0" w:space="0" w:color="auto"/>
      </w:divBdr>
    </w:div>
    <w:div w:id="19047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1549</ap:Words>
  <ap:Characters>8525</ap:Characters>
  <ap:DocSecurity>0</ap:DocSecurity>
  <ap:Lines>71</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GA RBZ-Handel - 9 november 2018</vt:lpstr>
      <vt:lpstr>GA RBZ-Handel - 9 november 2018</vt:lpstr>
    </vt:vector>
  </ap:TitlesOfParts>
  <ap:LinksUpToDate>false</ap:LinksUpToDate>
  <ap:CharactersWithSpaces>10054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2022-05-25T15:44:00.0000000Z</dcterms:created>
  <dcterms:modified xsi:type="dcterms:W3CDTF">2022-05-25T15:44:00.0000000Z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0x0101009FFE7A2FBA144D4699EC54818DF680F200ED641DC89D8F69419615C958996BF561</vt:lpwstr>
  </property>
  <property fmtid="{D5CDD505-2E9C-101B-9397-08002B2CF9AE}" pid="3" name="Land0">
    <vt:lpwstr/>
  </property>
  <property fmtid="{D5CDD505-2E9C-101B-9397-08002B2CF9AE}" pid="4" name="Forum">
    <vt:lpwstr/>
  </property>
  <property fmtid="{D5CDD505-2E9C-101B-9397-08002B2CF9AE}" pid="5" name="BinnengekomenOp">
    <vt:filetime>2018-10-11T12:47:26Z</vt:filetime>
  </property>
  <property fmtid="{D5CDD505-2E9C-101B-9397-08002B2CF9AE}" pid="6" name="ReferentieKamer">
    <vt:lpwstr>Min-BuZa.2018.060</vt:lpwstr>
  </property>
  <property fmtid="{D5CDD505-2E9C-101B-9397-08002B2CF9AE}" pid="7" name="_dlc_DocIdItemGuid">
    <vt:lpwstr>84f8d407-d335-42be-be32-38d1dbc7f5a1</vt:lpwstr>
  </property>
  <property fmtid="{D5CDD505-2E9C-101B-9397-08002B2CF9AE}" pid="8" name="_docset_NoMedatataSyncRequired">
    <vt:lpwstr>False</vt:lpwstr>
  </property>
  <property fmtid="{D5CDD505-2E9C-101B-9397-08002B2CF9AE}" pid="9" name="IsMyDocuments">
    <vt:bool>true</vt:bool>
  </property>
  <property fmtid="{D5CDD505-2E9C-101B-9397-08002B2CF9AE}" pid="10" name="BZ_Country">
    <vt:lpwstr>3;#The Netherlands|7f69a7bb-478c-499d-a6cf-5869916dfee4</vt:lpwstr>
  </property>
  <property fmtid="{D5CDD505-2E9C-101B-9397-08002B2CF9AE}" pid="11" name="BZ_Classification">
    <vt:lpwstr>5;#Unclassified|d92c6340-bc14-4cb2-a9a6-6deda93c493b</vt:lpwstr>
  </property>
  <property fmtid="{D5CDD505-2E9C-101B-9397-08002B2CF9AE}" pid="12" name="BZ_Forum">
    <vt:lpwstr>4;#EU|4d8f9873-61b3-4ee5-b6f7-0bb00c6df5e8</vt:lpwstr>
  </property>
  <property fmtid="{D5CDD505-2E9C-101B-9397-08002B2CF9AE}" pid="13" name="BZ_Theme">
    <vt:lpwstr>1;#Organization|d3f777fe-abca-43dd-b11c-a7496ad32ea5;#2;#Visits (logistic)|53e8069b-a40e-4a89-b4f3-9b7112716272</vt:lpwstr>
  </property>
</Properties>
</file>