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W03.16.0428/II/K</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23 februari 2017</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C57398" w:rsidRDefault="00A37DE7">
              <w:r>
                <w:t>Bij brief van de voorzitter van de Tweede Kamer der Staten-Generaal van 16 december 2016 heeft de Tweede Kamer, bij de Afdeling advisering van de Raad van State van het Koninkrijk ter overweging aanhangig gemaakt het voorstel van rijkswet van de leden Sjoerdsma en Marcouch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 met memorie van toelichting.</w:t>
              </w:r>
            </w:p>
          </w:sdtContent>
        </w:sdt>
        <w:p w:rsidR="00EF6FDD" w:rsidP="003819B6" w:rsidRDefault="00EF6FDD"/>
        <w:sdt>
          <w:sdtPr>
            <w:alias w:val="VrijeTekst1"/>
            <w:tag w:val="VrijeTekst1"/>
            <w:id w:val="-437221631"/>
            <w:lock w:val="sdtLocked"/>
          </w:sdtPr>
          <w:sdtEndPr>
            <w:rPr>
              <w:b/>
            </w:rPr>
          </w:sdtEndPr>
          <w:sdtContent>
            <w:sdt>
              <w:sdtPr>
                <w:alias w:val="VrijeTekst1"/>
                <w:tag w:val="VrijeTekst1"/>
                <w:id w:val="-693459364"/>
              </w:sdtPr>
              <w:sdtEndPr>
                <w:rPr>
                  <w:b/>
                </w:rPr>
              </w:sdtEndPr>
              <w:sdtContent>
                <w:p w:rsidR="00C66ACE" w:rsidP="009F198F" w:rsidRDefault="00A37DE7">
                  <w:r w:rsidRPr="00566D36">
                    <w:t>Voorgesteld wordt om de</w:t>
                  </w:r>
                  <w:r>
                    <w:t xml:space="preserve"> in de </w:t>
                  </w:r>
                  <w:r w:rsidRPr="00566D36">
                    <w:t>Rijkswet op het Nederlanderschap (</w:t>
                  </w:r>
                  <w:r>
                    <w:t xml:space="preserve">hierna: </w:t>
                  </w:r>
                  <w:r w:rsidRPr="00566D36">
                    <w:t xml:space="preserve">RWN) </w:t>
                  </w:r>
                  <w:r>
                    <w:t>opgenomen</w:t>
                  </w:r>
                  <w:r w:rsidRPr="00566D36">
                    <w:t xml:space="preserve"> afstandsverplichtingen</w:t>
                  </w:r>
                  <w:r>
                    <w:t xml:space="preserve"> te schrappen</w:t>
                  </w:r>
                  <w:r w:rsidRPr="00566D36">
                    <w:t xml:space="preserve">. Het gaat </w:t>
                  </w:r>
                  <w:r>
                    <w:t xml:space="preserve">enerzijds </w:t>
                  </w:r>
                  <w:r w:rsidRPr="00566D36">
                    <w:t>om de verplichting voor buitenlanders die in een van de landen van het Koninkrijk wonen en die een verzoek doen om Nederlander te worden om afstand te doen van de oorspronkelijke nationaliteit</w:t>
                  </w:r>
                  <w:r>
                    <w:t xml:space="preserve">; anderzijds om </w:t>
                  </w:r>
                  <w:r w:rsidRPr="00566D36">
                    <w:t>de verplichting voor Nederlanders die buiten het Koninkrijk wonen en vrijwillig een andere nationaliteit willen aannemen, om afstand te doen van de Nederlandse nationaliteit.</w:t>
                  </w:r>
                  <w:r>
                    <w:t xml:space="preserve"> </w:t>
                  </w:r>
                  <w:r w:rsidRPr="00566D36">
                    <w:t>Daarnaast bevat het voorstel een voornemen tot opzegging van Hoofdstuk I van het Verdrag van Straatsburg en tot opzegging van het Tweede Protocol bij het Verdrag van Straatsburg.</w:t>
                  </w:r>
                  <w:r w:rsidRPr="00566D36">
                    <w:rPr>
                      <w:vertAlign w:val="superscript"/>
                    </w:rPr>
                    <w:footnoteReference w:id="1"/>
                  </w:r>
                </w:p>
                <w:p w:rsidR="009A6299" w:rsidP="009F198F" w:rsidRDefault="001B5818"/>
                <w:p w:rsidRPr="00C66ACE" w:rsidR="00C66ACE" w:rsidP="00C66ACE" w:rsidRDefault="00A37DE7">
                  <w:r w:rsidRPr="00C66ACE">
                    <w:t xml:space="preserve">De Afdeling </w:t>
                  </w:r>
                  <w:r>
                    <w:t xml:space="preserve">maakt </w:t>
                  </w:r>
                  <w:r w:rsidRPr="00C66ACE">
                    <w:t xml:space="preserve">opmerkingen </w:t>
                  </w:r>
                  <w:r>
                    <w:t xml:space="preserve">over </w:t>
                  </w:r>
                  <w:r w:rsidRPr="00C66ACE">
                    <w:t>de mogelijke gevolgen van het wetsvoorstel. Deze betreffen het vraagstuk van conflicterende loyaliteiten en andere mogelijke complicaties v</w:t>
                  </w:r>
                  <w:r>
                    <w:t>an meervoudige nationaliteit</w:t>
                  </w:r>
                  <w:r w:rsidRPr="00C66ACE">
                    <w:t xml:space="preserve">. Op deze mogelijke gevolgen wordt in de toelichting nauwelijks ingegaan. De Afdeling adviseert dit alsnog te doen. </w:t>
                  </w:r>
                </w:p>
                <w:p w:rsidRPr="00566D36" w:rsidR="00FC362E" w:rsidP="00FC362E" w:rsidRDefault="001B5818"/>
                <w:p w:rsidRPr="00566D36" w:rsidR="00713949" w:rsidP="00713949" w:rsidRDefault="00A37DE7">
                  <w:pPr>
                    <w:keepNext/>
                  </w:pPr>
                  <w:r w:rsidRPr="00566D36">
                    <w:t xml:space="preserve">1. </w:t>
                  </w:r>
                  <w:r w:rsidRPr="00566D36">
                    <w:tab/>
                  </w:r>
                  <w:r w:rsidRPr="00566D36">
                    <w:rPr>
                      <w:u w:val="single"/>
                    </w:rPr>
                    <w:t xml:space="preserve">Inleiding </w:t>
                  </w:r>
                </w:p>
                <w:p w:rsidRPr="00566D36" w:rsidR="00713949" w:rsidP="00713949" w:rsidRDefault="001B5818">
                  <w:pPr>
                    <w:keepNext/>
                  </w:pPr>
                </w:p>
                <w:p w:rsidR="00713949" w:rsidP="00713949" w:rsidRDefault="00A37DE7">
                  <w:r>
                    <w:t>Uitgangspunt van de RWN is het beperken van een dubbele of meervoudige nationaliteit. Dit komt in de RWN tot uitdrukking in de zogenoemde afstandsverplichtingen.</w:t>
                  </w:r>
                  <w:r w:rsidRPr="00566D36">
                    <w:rPr>
                      <w:vertAlign w:val="superscript"/>
                    </w:rPr>
                    <w:footnoteReference w:id="2"/>
                  </w:r>
                  <w:r>
                    <w:t xml:space="preserve"> </w:t>
                  </w:r>
                  <w:r w:rsidRPr="00566D36">
                    <w:t xml:space="preserve">In de toelichting wordt </w:t>
                  </w:r>
                  <w:r>
                    <w:t>‘</w:t>
                  </w:r>
                  <w:r w:rsidRPr="00566D36">
                    <w:t>de ontwikkeling van de Rijkswet op het Nederlanderschap</w:t>
                  </w:r>
                  <w:r>
                    <w:t>’</w:t>
                  </w:r>
                  <w:r w:rsidRPr="00566D36">
                    <w:t xml:space="preserve"> geschetst. Gesteld wordt dat</w:t>
                  </w:r>
                  <w:r>
                    <w:t xml:space="preserve"> </w:t>
                  </w:r>
                  <w:r w:rsidRPr="00566D36">
                    <w:t xml:space="preserve">sprake is van een trend </w:t>
                  </w:r>
                  <w:r>
                    <w:t xml:space="preserve">van het beperken van meervoudige nationaliteit </w:t>
                  </w:r>
                  <w:r w:rsidRPr="00566D36">
                    <w:t>naar een minder restrictieve omgang met meervoudige nationaliteit.</w:t>
                  </w:r>
                  <w:r>
                    <w:t xml:space="preserve"> V</w:t>
                  </w:r>
                  <w:r w:rsidRPr="009A5243">
                    <w:t xml:space="preserve">oor </w:t>
                  </w:r>
                  <w:r>
                    <w:t>de duiding</w:t>
                  </w:r>
                  <w:r w:rsidRPr="009A5243">
                    <w:t xml:space="preserve"> van deze trend in de to</w:t>
                  </w:r>
                  <w:r>
                    <w:t xml:space="preserve">elichting is niet alleen </w:t>
                  </w:r>
                  <w:r w:rsidRPr="009A5243">
                    <w:t>de parlementaire geschiedenis van de RWN</w:t>
                  </w:r>
                  <w:r>
                    <w:t xml:space="preserve"> bezien</w:t>
                  </w:r>
                  <w:r w:rsidRPr="009A5243">
                    <w:t xml:space="preserve">, maar is </w:t>
                  </w:r>
                  <w:r>
                    <w:t xml:space="preserve">ook onder andere </w:t>
                  </w:r>
                  <w:r w:rsidRPr="009A5243">
                    <w:t xml:space="preserve">geput uit </w:t>
                  </w:r>
                  <w:r>
                    <w:t xml:space="preserve">onderzoek ter zake met betrekking tot Europa en wereldwijd en uit feiten </w:t>
                  </w:r>
                  <w:r>
                    <w:lastRenderedPageBreak/>
                    <w:t>betreffende de deels of gehele opzegging van het Verdrag van Straatsburg door een groot deel van de lidstaten bij dat Verdrag.</w:t>
                  </w:r>
                  <w:r w:rsidRPr="00566D36">
                    <w:rPr>
                      <w:vertAlign w:val="superscript"/>
                    </w:rPr>
                    <w:footnoteReference w:id="3"/>
                  </w:r>
                  <w:r>
                    <w:t xml:space="preserve">  </w:t>
                  </w:r>
                </w:p>
                <w:p w:rsidRPr="00566D36" w:rsidR="00713949" w:rsidP="00713949" w:rsidRDefault="00A37DE7">
                  <w:r w:rsidRPr="00566D36">
                    <w:t>De initiatiefnemers staan een modernisering van het nationaliteitsrecht voor.</w:t>
                  </w:r>
                  <w:r w:rsidRPr="00566D36">
                    <w:rPr>
                      <w:vertAlign w:val="superscript"/>
                    </w:rPr>
                    <w:footnoteReference w:id="4"/>
                  </w:r>
                  <w:r w:rsidRPr="00566D36">
                    <w:t xml:space="preserve"> Zij constateren dat een grote meerderheid van de staten tegenwoordig positief staat tegenover de mogelijkheid van burgers om meer nationaliteiten te hebben. Verder </w:t>
                  </w:r>
                  <w:r>
                    <w:t>vermeldt</w:t>
                  </w:r>
                  <w:r w:rsidRPr="00566D36">
                    <w:t xml:space="preserve"> de toelichting dat veel Nederlanders in het buitenland en veel niet-Nederlanders in Nederland tegen praktische problemen aanlopen bij de gedwongen keuze voor één nationaliteit: </w:t>
                  </w:r>
                </w:p>
                <w:p w:rsidRPr="00566D36" w:rsidR="00713949" w:rsidP="00713949" w:rsidRDefault="001B5818"/>
                <w:p w:rsidRPr="00566D36" w:rsidR="00713949" w:rsidP="00713949" w:rsidRDefault="00A37DE7">
                  <w:pPr>
                    <w:ind w:left="708"/>
                  </w:pPr>
                  <w:r w:rsidRPr="00566D36">
                    <w:t xml:space="preserve">“Zij willen bijvoorbeeld hun oorspronkelijke </w:t>
                  </w:r>
                  <w:r>
                    <w:t xml:space="preserve">nationaliteit behouden omwille </w:t>
                  </w:r>
                  <w:r w:rsidRPr="00566D36">
                    <w:t>van erfrechtelijke redenen, het gemakkelijk</w:t>
                  </w:r>
                  <w:r>
                    <w:t xml:space="preserve">er kunnen reizen naar het land </w:t>
                  </w:r>
                  <w:r w:rsidRPr="00566D36">
                    <w:t>van herkomst, of een eventuele repatr</w:t>
                  </w:r>
                  <w:r>
                    <w:t xml:space="preserve">iëring niet belemmeren. In een </w:t>
                  </w:r>
                  <w:r w:rsidRPr="00566D36">
                    <w:t xml:space="preserve">globaliserende wereld zijn mensen steeds vaker </w:t>
                  </w:r>
                  <w:r>
                    <w:t xml:space="preserve">vanwege afkomst, relaties </w:t>
                  </w:r>
                  <w:r w:rsidRPr="00566D36">
                    <w:t>of werk niet slechts aan een land geb</w:t>
                  </w:r>
                  <w:r>
                    <w:t xml:space="preserve">onden, maar hebben zij met </w:t>
                  </w:r>
                  <w:r w:rsidRPr="00566D36">
                    <w:t xml:space="preserve">meerdere landen een effectieve band. De belangen van deze mensen mogen niet worden veronachtzaamd. Het is juist </w:t>
                  </w:r>
                  <w:r>
                    <w:t xml:space="preserve">daarom dat de initiatiefnemers </w:t>
                  </w:r>
                  <w:r w:rsidRPr="00566D36">
                    <w:t xml:space="preserve">met dit wetsvoorstel de afstandsverplichtingen uit de RWN schrappen.” </w:t>
                  </w:r>
                </w:p>
                <w:p w:rsidRPr="00566D36" w:rsidR="00713949" w:rsidP="00713949" w:rsidRDefault="001B5818"/>
                <w:p w:rsidR="00713949" w:rsidP="00713949" w:rsidRDefault="00A37DE7">
                  <w:pPr>
                    <w:rPr>
                      <w:b/>
                    </w:rPr>
                  </w:pPr>
                  <w:r w:rsidRPr="00566D36">
                    <w:t xml:space="preserve">De Afdeling begrijpt </w:t>
                  </w:r>
                  <w:r>
                    <w:t>de toelichting aldus,</w:t>
                  </w:r>
                  <w:r w:rsidRPr="00566D36">
                    <w:t xml:space="preserve"> dat het doel van het wetsvoorstel is de erkenning van de belangen van burgers die effectieve banden met verschillende landen hebben.</w:t>
                  </w:r>
                  <w:r w:rsidRPr="00566D36">
                    <w:rPr>
                      <w:b/>
                    </w:rPr>
                    <w:t xml:space="preserve"> </w:t>
                  </w:r>
                </w:p>
                <w:p w:rsidR="00713949" w:rsidP="00713949" w:rsidRDefault="001B5818">
                  <w:pPr>
                    <w:rPr>
                      <w:b/>
                    </w:rPr>
                  </w:pPr>
                </w:p>
                <w:p w:rsidRPr="004A59E7" w:rsidR="00713949" w:rsidP="00713949" w:rsidRDefault="00A37DE7">
                  <w:r w:rsidRPr="004A59E7">
                    <w:t xml:space="preserve">De Afdeling stelt voorop </w:t>
                  </w:r>
                  <w:r>
                    <w:t xml:space="preserve">dat de voorgestelde andere omgang met </w:t>
                  </w:r>
                  <w:r w:rsidRPr="00B44191">
                    <w:t>meervoudige nationaliteit</w:t>
                  </w:r>
                  <w:r>
                    <w:t xml:space="preserve"> als uitgangspunt bij de advisering over het wetsvoorstel wordt gehanteerd. Wel heeft de Afdeling opmerkingen bij de mogelijke gevolgen van het wetsvoorstel. </w:t>
                  </w:r>
                </w:p>
                <w:p w:rsidRPr="00566D36" w:rsidR="00713949" w:rsidP="00713949" w:rsidRDefault="001B5818"/>
                <w:p w:rsidRPr="00566D36" w:rsidR="00713949" w:rsidP="00713949" w:rsidRDefault="00A37DE7">
                  <w:pPr>
                    <w:keepNext/>
                  </w:pPr>
                  <w:r w:rsidRPr="00566D36">
                    <w:t xml:space="preserve">2. </w:t>
                  </w:r>
                  <w:r w:rsidRPr="00566D36">
                    <w:tab/>
                  </w:r>
                  <w:r w:rsidRPr="00566D36">
                    <w:rPr>
                      <w:u w:val="single"/>
                    </w:rPr>
                    <w:t>Mogelijke gevolgen</w:t>
                  </w:r>
                  <w:r w:rsidRPr="00566D36">
                    <w:rPr>
                      <w:b/>
                    </w:rPr>
                    <w:t xml:space="preserve"> </w:t>
                  </w:r>
                </w:p>
                <w:p w:rsidRPr="00566D36" w:rsidR="00713949" w:rsidP="00713949" w:rsidRDefault="001B5818">
                  <w:pPr>
                    <w:keepNext/>
                    <w:rPr>
                      <w:b/>
                    </w:rPr>
                  </w:pPr>
                </w:p>
                <w:p w:rsidRPr="00566D36" w:rsidR="00713949" w:rsidP="00713949" w:rsidRDefault="00A37DE7">
                  <w:r w:rsidRPr="00566D36">
                    <w:t xml:space="preserve">Het wetsvoorstel ziet </w:t>
                  </w:r>
                  <w:r>
                    <w:t xml:space="preserve">zowel </w:t>
                  </w:r>
                  <w:r w:rsidRPr="00566D36">
                    <w:t xml:space="preserve">op Nederlanders die ingezetene zijn in het buitenland en die overwegen om een andere nationaliteit aan te nemen </w:t>
                  </w:r>
                  <w:r>
                    <w:t xml:space="preserve">als </w:t>
                  </w:r>
                  <w:r w:rsidRPr="00566D36">
                    <w:t>op ingezetenen in een van de landen van het Koninkrijk met een andere dan de Nederlandse nationaliteit die een aanvraag</w:t>
                  </w:r>
                  <w:r>
                    <w:t xml:space="preserve"> doen tot naturalisatie tot Nederlander. </w:t>
                  </w:r>
                  <w:r w:rsidRPr="00566D36">
                    <w:t xml:space="preserve"> </w:t>
                  </w:r>
                </w:p>
                <w:p w:rsidRPr="00566D36" w:rsidR="00713949" w:rsidP="00713949" w:rsidRDefault="001B5818"/>
                <w:p w:rsidRPr="00566D36" w:rsidR="00713949" w:rsidP="00713949" w:rsidRDefault="00A37DE7">
                  <w:r w:rsidRPr="00566D36">
                    <w:t xml:space="preserve">Zoals vermeld onder </w:t>
                  </w:r>
                  <w:r>
                    <w:t>punt 1 van dit advies,</w:t>
                  </w:r>
                  <w:r w:rsidRPr="00566D36">
                    <w:t xml:space="preserve"> zijn in de inleiding van de toelichting </w:t>
                  </w:r>
                  <w:r>
                    <w:t>een aantal</w:t>
                  </w:r>
                  <w:r w:rsidRPr="00566D36">
                    <w:t xml:space="preserve"> praktische voordelen voor de betrokken burgers genoemd van meervoudige nationaliteit. </w:t>
                  </w:r>
                  <w:r>
                    <w:t>De Afdeling merkt</w:t>
                  </w:r>
                  <w:r w:rsidRPr="00566D36">
                    <w:t xml:space="preserve"> op dat mogelijke </w:t>
                  </w:r>
                  <w:r>
                    <w:t xml:space="preserve">andere </w:t>
                  </w:r>
                  <w:r w:rsidRPr="00566D36">
                    <w:t xml:space="preserve">gevolgen </w:t>
                  </w:r>
                  <w:r>
                    <w:t xml:space="preserve">in de toelichting </w:t>
                  </w:r>
                  <w:r w:rsidRPr="00566D36">
                    <w:t xml:space="preserve">niet of </w:t>
                  </w:r>
                  <w:r>
                    <w:t>onvoldoende</w:t>
                  </w:r>
                  <w:r w:rsidRPr="00566D36">
                    <w:t xml:space="preserve"> worden besproken</w:t>
                  </w:r>
                  <w:r>
                    <w:t xml:space="preserve"> en wijst in dit verband op het volgende.</w:t>
                  </w:r>
                  <w:r w:rsidRPr="00566D36">
                    <w:t xml:space="preserve">  </w:t>
                  </w:r>
                </w:p>
                <w:p w:rsidR="00713949" w:rsidP="00713949" w:rsidRDefault="001B5818">
                  <w:pPr>
                    <w:rPr>
                      <w:i/>
                    </w:rPr>
                  </w:pPr>
                </w:p>
                <w:p w:rsidR="002424DE" w:rsidP="00713949" w:rsidRDefault="001B5818">
                  <w:pPr>
                    <w:rPr>
                      <w:i/>
                    </w:rPr>
                  </w:pPr>
                </w:p>
                <w:p w:rsidRPr="00566D36" w:rsidR="00713949" w:rsidP="00713949" w:rsidRDefault="00A37DE7">
                  <w:pPr>
                    <w:rPr>
                      <w:i/>
                    </w:rPr>
                  </w:pPr>
                  <w:r w:rsidRPr="00566D36">
                    <w:rPr>
                      <w:i/>
                    </w:rPr>
                    <w:t>a.</w:t>
                  </w:r>
                  <w:r w:rsidRPr="00566D36">
                    <w:rPr>
                      <w:i/>
                    </w:rPr>
                    <w:tab/>
                    <w:t xml:space="preserve">Tegenstrijdige loyaliteiten </w:t>
                  </w:r>
                </w:p>
                <w:p w:rsidRPr="00566D36" w:rsidR="00713949" w:rsidP="00713949" w:rsidRDefault="00A37DE7">
                  <w:r w:rsidRPr="00566D36">
                    <w:t xml:space="preserve">In de toelichting wordt </w:t>
                  </w:r>
                  <w:r>
                    <w:t xml:space="preserve">ingegaan op </w:t>
                  </w:r>
                  <w:r w:rsidRPr="00566D36">
                    <w:t xml:space="preserve">een </w:t>
                  </w:r>
                  <w:r>
                    <w:t>vaak aangevoerd</w:t>
                  </w:r>
                  <w:r w:rsidRPr="00566D36">
                    <w:t xml:space="preserve"> bezwaar tegen meervoudige nationaliteit</w:t>
                  </w:r>
                  <w:r>
                    <w:t xml:space="preserve">, namelijk </w:t>
                  </w:r>
                  <w:r w:rsidRPr="00566D36">
                    <w:t>het ontstaan van een conflict van loyaliteiten.</w:t>
                  </w:r>
                  <w:r w:rsidRPr="00566D36">
                    <w:rPr>
                      <w:vertAlign w:val="superscript"/>
                    </w:rPr>
                    <w:footnoteReference w:id="5"/>
                  </w:r>
                  <w:r w:rsidRPr="00566D36">
                    <w:t xml:space="preserve"> </w:t>
                  </w:r>
                  <w:r>
                    <w:t xml:space="preserve">Vermeld wordt </w:t>
                  </w:r>
                  <w:r w:rsidRPr="00566D36">
                    <w:t xml:space="preserve">dat </w:t>
                  </w:r>
                  <w:r>
                    <w:t>de</w:t>
                  </w:r>
                  <w:r w:rsidRPr="00566D36">
                    <w:t xml:space="preserve"> idee dat een dubbele nationaliteit leidt tot tegenstrijdige loyaliteiten is gebaseerd op een gedateerd beeld.</w:t>
                  </w:r>
                  <w:r w:rsidRPr="00566D36">
                    <w:rPr>
                      <w:vertAlign w:val="superscript"/>
                    </w:rPr>
                    <w:footnoteReference w:id="6"/>
                  </w:r>
                  <w:r w:rsidRPr="00566D36">
                    <w:t xml:space="preserve"> Daarbij wordt gesteld dat militaire verplichtingen als gevolg van </w:t>
                  </w:r>
                  <w:r w:rsidRPr="00566D36">
                    <w:lastRenderedPageBreak/>
                    <w:t>dubbele nationaliteit verdragsrechtelijk zijn geregeld en dat problemen van tegenstrijdige loyaliteiten met betrekking tot de dienstplicht zich niet of nauwelijks hebben voorgedaan.</w:t>
                  </w:r>
                  <w:r w:rsidRPr="00566D36">
                    <w:rPr>
                      <w:vertAlign w:val="superscript"/>
                    </w:rPr>
                    <w:footnoteReference w:id="7"/>
                  </w:r>
                  <w:r w:rsidRPr="00566D36">
                    <w:t xml:space="preserve">  </w:t>
                  </w:r>
                </w:p>
                <w:p w:rsidRPr="00566D36" w:rsidR="00713949" w:rsidP="00713949" w:rsidRDefault="001B5818"/>
                <w:p w:rsidR="002E3892" w:rsidP="00713949" w:rsidRDefault="00A37DE7">
                  <w:r>
                    <w:t xml:space="preserve">De enkele verwijzing in de toelichting dat zich met betrekking tot militaire verplichtingen nauwelijks problemen hebben voorgedaan, is onvoldoende grond voor </w:t>
                  </w:r>
                  <w:r w:rsidRPr="00566D36">
                    <w:t>de stelling dat de idee dat meervoudige nationaliteit leidt tot tegenstrijdige loyaliteit op een gedateerd beeld van de werkelijkheid berust</w:t>
                  </w:r>
                  <w:r>
                    <w:t xml:space="preserve">. De Afdeling merkt op dat het zich voordoen van conflicterende loyaliteiten al geruime tijd in Nederland in discussie is. Die discussie beperkt zich niet tot militaire verplichtingen, maar is veel breder. Het gaat daarbij om twijfel aan de loyaliteit van een burger aan de samenleving waar hij deel van uitmaakt en/of de overheid van het land wiens nationaliteit hij heeft, ook zonder dat sprake is van militaire verplichtingen. Die breedte van de discussie wordt niet in de toelichting onderkend. </w:t>
                  </w:r>
                </w:p>
                <w:p w:rsidR="002E3892" w:rsidP="00713949" w:rsidRDefault="001B5818"/>
                <w:p w:rsidR="002E3892" w:rsidP="00713949" w:rsidRDefault="00A37DE7">
                  <w:r>
                    <w:t xml:space="preserve">De Afdeling adviseert hierop in de memorie van toelichting in te gaan.   </w:t>
                  </w:r>
                </w:p>
                <w:p w:rsidRPr="00566D36" w:rsidR="00713949" w:rsidP="00713949" w:rsidRDefault="001B5818">
                  <w:pPr>
                    <w:rPr>
                      <w:i/>
                    </w:rPr>
                  </w:pPr>
                </w:p>
                <w:p w:rsidRPr="00566D36" w:rsidR="00713949" w:rsidP="00713949" w:rsidRDefault="00A37DE7">
                  <w:pPr>
                    <w:rPr>
                      <w:i/>
                    </w:rPr>
                  </w:pPr>
                  <w:r w:rsidRPr="00566D36">
                    <w:rPr>
                      <w:i/>
                    </w:rPr>
                    <w:t>b.</w:t>
                  </w:r>
                  <w:r w:rsidRPr="00566D36">
                    <w:rPr>
                      <w:i/>
                    </w:rPr>
                    <w:tab/>
                    <w:t xml:space="preserve">Mogelijke andere gevolgen </w:t>
                  </w:r>
                </w:p>
                <w:p w:rsidR="00713949" w:rsidP="00713949" w:rsidRDefault="00A37DE7">
                  <w:r>
                    <w:t>De Afdeling merkt</w:t>
                  </w:r>
                  <w:r w:rsidRPr="00566D36">
                    <w:t xml:space="preserve"> op dat de toelichting niet ingaat op mogelijke andere gevolgen van het toestaan van meervoudige nationaliteit. Dit </w:t>
                  </w:r>
                  <w:r>
                    <w:t>is</w:t>
                  </w:r>
                  <w:r w:rsidRPr="00566D36">
                    <w:t xml:space="preserve"> temeer</w:t>
                  </w:r>
                  <w:r>
                    <w:t xml:space="preserve"> opmerkelijk</w:t>
                  </w:r>
                  <w:r w:rsidRPr="00566D36">
                    <w:t xml:space="preserve">, nu </w:t>
                  </w:r>
                  <w:r>
                    <w:t>de</w:t>
                  </w:r>
                  <w:r w:rsidRPr="00566D36">
                    <w:t xml:space="preserve"> mogelijke gevolgen van meervoudige nationaliteit herhaaldelijk</w:t>
                  </w:r>
                  <w:r w:rsidRPr="00566D36">
                    <w:rPr>
                      <w:vertAlign w:val="superscript"/>
                    </w:rPr>
                    <w:footnoteReference w:id="8"/>
                  </w:r>
                  <w:r w:rsidRPr="00566D36">
                    <w:t xml:space="preserve"> door de regering zijn geschetst</w:t>
                  </w:r>
                  <w:r>
                    <w:t xml:space="preserve">. In dit verband verwijst de Afdeling naar de reactie van het kabinet op vragen van de Eerste Kamer over dubbele nationaliteit bij het wetsvoorstel tot </w:t>
                  </w:r>
                  <w:r w:rsidRPr="00621710">
                    <w:t>wijziging van de RWN ter verlenging van de termijnen voor verlening van het Nederlanderschap en enige andere wijzigingen</w:t>
                  </w:r>
                  <w:r>
                    <w:t>.</w:t>
                  </w:r>
                  <w:r>
                    <w:rPr>
                      <w:rStyle w:val="Voetnootmarkering"/>
                    </w:rPr>
                    <w:footnoteReference w:id="9"/>
                  </w:r>
                  <w:r>
                    <w:t xml:space="preserve"> Het kabinet stelt:  </w:t>
                  </w:r>
                </w:p>
                <w:p w:rsidR="00713949" w:rsidP="00713949" w:rsidRDefault="001B5818"/>
                <w:p w:rsidR="00713949" w:rsidP="00FD55BD" w:rsidRDefault="00A37DE7">
                  <w:pPr>
                    <w:ind w:left="709" w:hanging="709"/>
                  </w:pPr>
                  <w:r>
                    <w:tab/>
                    <w:t>“H</w:t>
                  </w:r>
                  <w:r w:rsidRPr="00B44191">
                    <w:t>et belang dat een staat</w:t>
                  </w:r>
                  <w:r>
                    <w:t xml:space="preserve"> erbij</w:t>
                  </w:r>
                  <w:r w:rsidRPr="00B44191">
                    <w:t xml:space="preserve"> heeft dat zijn burgers niet ee</w:t>
                  </w:r>
                  <w:r>
                    <w:t xml:space="preserve">n andere nationaliteit bezitten, bestaat in de regel hierin </w:t>
                  </w:r>
                  <w:r w:rsidRPr="00B44191">
                    <w:t>dat de betrekkingen over en weer vrij blijven va</w:t>
                  </w:r>
                  <w:r>
                    <w:t xml:space="preserve">n inmenging van andere staten. </w:t>
                  </w:r>
                  <w:r w:rsidRPr="00B44191">
                    <w:t>Het is onwenselijk dat een burger die in Nederland woont zich aan zijn verplichtingen jegens de Nederlandse overheid en samenleving kan onttrekken met een beroep op verplichtingen die hij jegens een andere staat heeft</w:t>
                  </w:r>
                  <w:r>
                    <w:t xml:space="preserve"> (…). </w:t>
                  </w:r>
                  <w:r w:rsidRPr="002E3892">
                    <w:t>Onderwerpen waarop meervoudige nationaliteit tot complicaties aanleiding kan</w:t>
                  </w:r>
                  <w:r>
                    <w:t xml:space="preserve"> </w:t>
                  </w:r>
                  <w:r w:rsidRPr="002E3892">
                    <w:t>geven, betreffen kwesties als bescherming en bijstand vanwege diplomatieke</w:t>
                  </w:r>
                  <w:r>
                    <w:t xml:space="preserve"> </w:t>
                  </w:r>
                  <w:r w:rsidRPr="002E3892">
                    <w:t>onderscheidenlijk consulaire ve</w:t>
                  </w:r>
                  <w:r>
                    <w:t xml:space="preserve">rtegenwoordigers, dienstplicht, </w:t>
                  </w:r>
                  <w:r w:rsidRPr="002E3892">
                    <w:t>fiscale</w:t>
                  </w:r>
                  <w:r>
                    <w:t xml:space="preserve"> verplichtingen, gebruik </w:t>
                  </w:r>
                  <w:r w:rsidRPr="002E3892">
                    <w:t>van financiële voorzieningen en uitlevering</w:t>
                  </w:r>
                  <w:r>
                    <w:t xml:space="preserve">. </w:t>
                  </w:r>
                  <w:r w:rsidRPr="00B44191">
                    <w:t>Het komt daarbij voor dat de rechten en plichten van het ene land in juridische zin conflicteren met de rechten en plichten van het andere land. Problemen op dit vlak kunnen door harmonisatie van wetgeving worden opgelost”</w:t>
                  </w:r>
                  <w:r>
                    <w:t xml:space="preserve">. </w:t>
                  </w:r>
                </w:p>
                <w:p w:rsidR="00713949" w:rsidP="00713949" w:rsidRDefault="001B5818"/>
                <w:p w:rsidR="00713949" w:rsidP="00713949" w:rsidRDefault="00A37DE7">
                  <w:r>
                    <w:t xml:space="preserve">De Afdeling merkt op dat de toelichting bij het voorliggende wetsvoorstel wel kort ingaat op de dienstplicht, maar dat de andere door het kabinet bij herhaling genoemde mogelijke gevolgen van meervoudige nationaliteit onbesproken blijven.  </w:t>
                  </w:r>
                </w:p>
                <w:p w:rsidR="00713949" w:rsidP="00713949" w:rsidRDefault="001B5818"/>
                <w:p w:rsidR="00713949" w:rsidP="00713949" w:rsidRDefault="00A37DE7">
                  <w:r w:rsidRPr="00B44191">
                    <w:lastRenderedPageBreak/>
                    <w:t xml:space="preserve">De Afdeling adviseert in de </w:t>
                  </w:r>
                  <w:r>
                    <w:t xml:space="preserve">memorie van </w:t>
                  </w:r>
                  <w:r w:rsidRPr="00B44191">
                    <w:t xml:space="preserve">toelichting in te gaan op de </w:t>
                  </w:r>
                  <w:r>
                    <w:t xml:space="preserve">vermelde complicaties bij het hanteren </w:t>
                  </w:r>
                  <w:r w:rsidRPr="00B44191">
                    <w:t>van meervoudige nationaliteit</w:t>
                  </w:r>
                  <w:r>
                    <w:t xml:space="preserve"> als uitgangspunt</w:t>
                  </w:r>
                  <w:r w:rsidRPr="00B44191">
                    <w:t xml:space="preserve">. </w:t>
                  </w:r>
                </w:p>
                <w:p w:rsidR="00713949" w:rsidP="00713949" w:rsidRDefault="001B5818"/>
                <w:p w:rsidRPr="00566D36" w:rsidR="00713949" w:rsidP="00713949" w:rsidRDefault="00A37DE7">
                  <w:pPr>
                    <w:rPr>
                      <w:bCs/>
                    </w:rPr>
                  </w:pPr>
                  <w:r w:rsidRPr="00566D36">
                    <w:rPr>
                      <w:bCs/>
                    </w:rPr>
                    <w:t>3.</w:t>
                  </w:r>
                  <w:r w:rsidRPr="00566D36">
                    <w:rPr>
                      <w:bCs/>
                    </w:rPr>
                    <w:tab/>
                  </w:r>
                  <w:r w:rsidRPr="00566D36">
                    <w:rPr>
                      <w:bCs/>
                      <w:u w:val="single"/>
                    </w:rPr>
                    <w:t xml:space="preserve">Mogelijkheden om </w:t>
                  </w:r>
                  <w:r>
                    <w:rPr>
                      <w:bCs/>
                      <w:u w:val="single"/>
                    </w:rPr>
                    <w:t xml:space="preserve">het </w:t>
                  </w:r>
                  <w:r w:rsidRPr="00566D36">
                    <w:rPr>
                      <w:bCs/>
                      <w:u w:val="single"/>
                    </w:rPr>
                    <w:t>Nederlanderschap terug te krijgen</w:t>
                  </w:r>
                  <w:r w:rsidRPr="00566D36">
                    <w:rPr>
                      <w:bCs/>
                    </w:rPr>
                    <w:t xml:space="preserve"> </w:t>
                  </w:r>
                </w:p>
                <w:p w:rsidRPr="00566D36" w:rsidR="00713949" w:rsidP="00713949" w:rsidRDefault="001B5818">
                  <w:pPr>
                    <w:rPr>
                      <w:bCs/>
                    </w:rPr>
                  </w:pPr>
                </w:p>
                <w:p w:rsidRPr="00566D36" w:rsidR="00713949" w:rsidP="00713949" w:rsidRDefault="00A37DE7">
                  <w:pPr>
                    <w:rPr>
                      <w:bCs/>
                    </w:rPr>
                  </w:pPr>
                  <w:r w:rsidRPr="00566D36">
                    <w:rPr>
                      <w:bCs/>
                    </w:rPr>
                    <w:t xml:space="preserve">De toelichting </w:t>
                  </w:r>
                  <w:r>
                    <w:rPr>
                      <w:bCs/>
                    </w:rPr>
                    <w:t>vermeldt</w:t>
                  </w:r>
                  <w:r w:rsidRPr="00566D36">
                    <w:rPr>
                      <w:bCs/>
                    </w:rPr>
                    <w:t xml:space="preserve"> dat Nederlanders in het buitenland geregeld voor onaangename verrassingen komen te staan door het automatische verval van het paspoort bij de vrijwillige aanname van een andere nationaliteit.</w:t>
                  </w:r>
                  <w:r w:rsidRPr="00566D36">
                    <w:rPr>
                      <w:bCs/>
                      <w:vertAlign w:val="superscript"/>
                    </w:rPr>
                    <w:footnoteReference w:id="10"/>
                  </w:r>
                  <w:r w:rsidRPr="00566D36">
                    <w:rPr>
                      <w:bCs/>
                    </w:rPr>
                    <w:t xml:space="preserve"> Vaak lijken burgers zich niet bewust dat zij hun Nederlandse nationaliteit verliezen, aldus ook de Nationale Ombudsman na een onderzoek naar het ongewild verliezen van het Nederlanderschap.</w:t>
                  </w:r>
                  <w:r w:rsidRPr="00566D36">
                    <w:rPr>
                      <w:bCs/>
                      <w:vertAlign w:val="superscript"/>
                    </w:rPr>
                    <w:footnoteReference w:id="11"/>
                  </w:r>
                  <w:r w:rsidRPr="00566D36">
                    <w:rPr>
                      <w:bCs/>
                    </w:rPr>
                    <w:t xml:space="preserve"> </w:t>
                  </w:r>
                </w:p>
                <w:p w:rsidRPr="00566D36" w:rsidR="00713949" w:rsidP="00713949" w:rsidRDefault="001B5818">
                  <w:pPr>
                    <w:rPr>
                      <w:bCs/>
                    </w:rPr>
                  </w:pPr>
                </w:p>
                <w:p w:rsidRPr="00566D36" w:rsidR="00713949" w:rsidP="00713949" w:rsidRDefault="00A37DE7">
                  <w:pPr>
                    <w:rPr>
                      <w:bCs/>
                    </w:rPr>
                  </w:pPr>
                  <w:r w:rsidRPr="00566D36">
                    <w:rPr>
                      <w:bCs/>
                    </w:rPr>
                    <w:t>De Afdeling merkt op dat de problemen voor Nederlanders in het buitenland in de toelichting in het kader worden gesteld van de knellende werking van de huidige wetgeving. De toelichting gaat echter niet in op de mogelijkheden om het Nederlanderschap te herkrijgen.</w:t>
                  </w:r>
                  <w:r w:rsidRPr="00566D36">
                    <w:rPr>
                      <w:bCs/>
                      <w:vertAlign w:val="superscript"/>
                    </w:rPr>
                    <w:footnoteReference w:id="12"/>
                  </w:r>
                  <w:r w:rsidRPr="00566D36">
                    <w:rPr>
                      <w:bCs/>
                    </w:rPr>
                    <w:t xml:space="preserve"> In de eerste plaats kan men in bezwaar of beroep gaan tegen de weigering om een paspoort te vernieuwen</w:t>
                  </w:r>
                  <w:r>
                    <w:rPr>
                      <w:bCs/>
                    </w:rPr>
                    <w:t>.</w:t>
                  </w:r>
                  <w:r>
                    <w:rPr>
                      <w:rStyle w:val="Voetnootmarkering"/>
                      <w:bCs/>
                    </w:rPr>
                    <w:footnoteReference w:id="13"/>
                  </w:r>
                  <w:r w:rsidRPr="00566D36">
                    <w:rPr>
                      <w:bCs/>
                    </w:rPr>
                    <w:t xml:space="preserve"> </w:t>
                  </w:r>
                </w:p>
                <w:p w:rsidRPr="00DA4DC1" w:rsidR="00713949" w:rsidP="00713949" w:rsidRDefault="00A37DE7">
                  <w:pPr>
                    <w:rPr>
                      <w:bCs/>
                    </w:rPr>
                  </w:pPr>
                  <w:r w:rsidRPr="00566D36">
                    <w:rPr>
                      <w:bCs/>
                    </w:rPr>
                    <w:t>Wanneer het Nederlanderschap definitief is verloren, bestaan er vervolgens mogelijkheden om opnieuw Nederlander te worden door optie of naturalisatie.</w:t>
                  </w:r>
                  <w:r w:rsidRPr="00566D36">
                    <w:rPr>
                      <w:bCs/>
                      <w:i/>
                    </w:rPr>
                    <w:t xml:space="preserve"> </w:t>
                  </w:r>
                  <w:r w:rsidRPr="00566D36">
                    <w:rPr>
                      <w:bCs/>
                    </w:rPr>
                    <w:t>De mogelijkheid van optie geldt voor oud-Nederlanders die tenminste een jaar legaal in het Koninkrijk wonen met een geldige verblijfsvergunning voor een niet tijdelijk doel, zoals gezinshereniging.</w:t>
                  </w:r>
                  <w:r w:rsidRPr="00566D36">
                    <w:rPr>
                      <w:bCs/>
                      <w:vertAlign w:val="superscript"/>
                    </w:rPr>
                    <w:footnoteReference w:id="14"/>
                  </w:r>
                  <w:r w:rsidRPr="00566D36">
                    <w:rPr>
                      <w:bCs/>
                    </w:rPr>
                    <w:t xml:space="preserve"> Ook voor een verzoek tot </w:t>
                  </w:r>
                  <w:r w:rsidRPr="00566D36">
                    <w:rPr>
                      <w:bCs/>
                      <w:i/>
                    </w:rPr>
                    <w:t xml:space="preserve">naturalisatie </w:t>
                  </w:r>
                  <w:r w:rsidRPr="00566D36">
                    <w:rPr>
                      <w:bCs/>
                    </w:rPr>
                    <w:t>is onder meer vereist dat betrokkene in het Koninkrijk woont en beschikt over een verblijfsvergunning met een niet tijdelijk doel.</w:t>
                  </w:r>
                  <w:r w:rsidRPr="00566D36">
                    <w:rPr>
                      <w:bCs/>
                      <w:vertAlign w:val="superscript"/>
                    </w:rPr>
                    <w:footnoteReference w:id="15"/>
                  </w:r>
                  <w:r w:rsidRPr="00566D36">
                    <w:rPr>
                      <w:bCs/>
                    </w:rPr>
                    <w:t xml:space="preserve"> </w:t>
                  </w:r>
                  <w:r w:rsidRPr="00DA4DC1">
                    <w:rPr>
                      <w:bCs/>
                    </w:rPr>
                    <w:t xml:space="preserve">Bovendien is in het wetsvoorstel tot het verlengen van de naturalisatietermijn van vijf naar zeven jaar een </w:t>
                  </w:r>
                  <w:r>
                    <w:rPr>
                      <w:bCs/>
                    </w:rPr>
                    <w:t>spijtoptantenregeling opgenomen</w:t>
                  </w:r>
                  <w:r w:rsidRPr="00DA4DC1">
                    <w:rPr>
                      <w:bCs/>
                    </w:rPr>
                    <w:t xml:space="preserve"> voor een ieder die het Nederlanderschap recent verloren heeft.</w:t>
                  </w:r>
                  <w:r w:rsidRPr="00DA4DC1">
                    <w:rPr>
                      <w:bCs/>
                      <w:vertAlign w:val="superscript"/>
                    </w:rPr>
                    <w:footnoteReference w:id="16"/>
                  </w:r>
                  <w:r w:rsidRPr="00DA4DC1">
                    <w:rPr>
                      <w:bCs/>
                    </w:rPr>
                    <w:t xml:space="preserve"> </w:t>
                  </w:r>
                </w:p>
                <w:p w:rsidRPr="00566D36" w:rsidR="00713949" w:rsidP="00713949" w:rsidRDefault="001B5818">
                  <w:pPr>
                    <w:rPr>
                      <w:bCs/>
                    </w:rPr>
                  </w:pPr>
                </w:p>
                <w:p w:rsidR="00713949" w:rsidP="00713949" w:rsidRDefault="00A37DE7">
                  <w:pPr>
                    <w:rPr>
                      <w:bCs/>
                    </w:rPr>
                  </w:pPr>
                  <w:r w:rsidRPr="00566D36">
                    <w:rPr>
                      <w:bCs/>
                    </w:rPr>
                    <w:t xml:space="preserve">In de toelichting wordt niet ingegaan op de vraag of en waarom de bestaande </w:t>
                  </w:r>
                  <w:r>
                    <w:rPr>
                      <w:bCs/>
                    </w:rPr>
                    <w:t xml:space="preserve">en toekomstige </w:t>
                  </w:r>
                  <w:r w:rsidRPr="00566D36">
                    <w:rPr>
                      <w:bCs/>
                    </w:rPr>
                    <w:t>mogelijkheden</w:t>
                  </w:r>
                  <w:r>
                    <w:rPr>
                      <w:bCs/>
                    </w:rPr>
                    <w:t xml:space="preserve"> </w:t>
                  </w:r>
                  <w:r w:rsidRPr="00566D36">
                    <w:rPr>
                      <w:bCs/>
                    </w:rPr>
                    <w:t xml:space="preserve">voor oud-Nederlanders om hun Nederlandse nationaliteit na een onvrijwillig verlies terug te krijgen, wel of niet voldoen. </w:t>
                  </w:r>
                </w:p>
                <w:p w:rsidR="00713949" w:rsidP="00713949" w:rsidRDefault="001B5818">
                  <w:pPr>
                    <w:rPr>
                      <w:bCs/>
                    </w:rPr>
                  </w:pPr>
                </w:p>
                <w:p w:rsidRPr="00566D36" w:rsidR="00713949" w:rsidP="00713949" w:rsidRDefault="00A37DE7">
                  <w:pPr>
                    <w:rPr>
                      <w:bCs/>
                    </w:rPr>
                  </w:pPr>
                  <w:r w:rsidRPr="00566D36">
                    <w:rPr>
                      <w:bCs/>
                    </w:rPr>
                    <w:t xml:space="preserve">De Afdeling adviseert hierop in de memorie van toelichting in te gaan. </w:t>
                  </w:r>
                </w:p>
                <w:p w:rsidRPr="00566D36" w:rsidR="00713949" w:rsidP="00713949" w:rsidRDefault="001B5818">
                  <w:pPr>
                    <w:rPr>
                      <w:bCs/>
                    </w:rPr>
                  </w:pPr>
                </w:p>
                <w:p w:rsidRPr="00566D36" w:rsidR="00713949" w:rsidP="00713949" w:rsidRDefault="00A37DE7">
                  <w:r w:rsidRPr="00566D36">
                    <w:rPr>
                      <w:bCs/>
                    </w:rPr>
                    <w:t>4.</w:t>
                  </w:r>
                  <w:r w:rsidRPr="00566D36">
                    <w:t xml:space="preserve"> </w:t>
                  </w:r>
                  <w:r w:rsidRPr="00566D36">
                    <w:tab/>
                  </w:r>
                  <w:r w:rsidRPr="00566D36">
                    <w:rPr>
                      <w:u w:val="single"/>
                    </w:rPr>
                    <w:t>Raadplegen adviesorganen</w:t>
                  </w:r>
                </w:p>
                <w:p w:rsidR="00713949" w:rsidP="00713949" w:rsidRDefault="001B5818"/>
                <w:p w:rsidR="00713949" w:rsidP="00713949" w:rsidRDefault="00A37DE7">
                  <w:r w:rsidRPr="00566D36">
                    <w:t xml:space="preserve">De Afdeling acht het van belang dat advies met betrekking tot de voorgestelde wijzigingen wordt gevraagd aan organisaties die over dergelijke wetsvoorstellen gewoonlijk worden gehoord of die er in de praktijk mee moeten werken, zoals de Adviescommissie voor Vreemdelingenzaken, de Raad voor de rechtspraak, de </w:t>
                  </w:r>
                  <w:r w:rsidRPr="00566D36">
                    <w:lastRenderedPageBreak/>
                    <w:t>Nederlandse vereniging voor rechtspraak en de Vereniging van Nederlandse Gemeenten.</w:t>
                  </w:r>
                  <w:r w:rsidRPr="00566D36">
                    <w:rPr>
                      <w:vertAlign w:val="superscript"/>
                    </w:rPr>
                    <w:footnoteReference w:id="17"/>
                  </w:r>
                </w:p>
                <w:p w:rsidRPr="00566D36" w:rsidR="00713949" w:rsidP="00713949" w:rsidRDefault="001B5818"/>
                <w:p w:rsidRPr="00026CE9" w:rsidR="00F81E90" w:rsidP="00713949" w:rsidRDefault="00A37DE7">
                  <w:r w:rsidRPr="00566D36">
                    <w:t>De Afdeling</w:t>
                  </w:r>
                  <w:r>
                    <w:t xml:space="preserve"> adviseert daartoe</w:t>
                  </w:r>
                  <w:r w:rsidRPr="00566D36">
                    <w:t xml:space="preserve">.  </w:t>
                  </w:r>
                </w:p>
              </w:sdtContent>
            </w:sdt>
          </w:sdtContent>
        </w:sdt>
        <w:p w:rsidR="004227C2" w:rsidRDefault="004227C2"/>
        <w:p w:rsidR="004227C2" w:rsidRDefault="004227C2"/>
        <w:sdt>
          <w:sdtPr>
            <w:alias w:val="Dictum"/>
            <w:tag w:val="Dictum"/>
            <w:id w:val="-351264612"/>
            <w:lock w:val="contentLocked"/>
            <w:text w:multiLine="1"/>
          </w:sdtPr>
          <w:sdtEndPr/>
          <w:sdtContent>
            <w:p w:rsidR="00C57398" w:rsidRDefault="00A37DE7">
              <w:r>
                <w:t>De waarnemend vice-president van de Raad van State van het Koninkrijk,</w:t>
              </w:r>
              <w:r>
                <w:br/>
              </w:r>
              <w:r>
                <w:br/>
                <w:t>(get.) Wortmann</w:t>
              </w:r>
              <w:r>
                <w:br/>
              </w:r>
            </w:p>
          </w:sdtContent>
        </w:sdt>
      </w:sdtContent>
    </w:sdt>
    <w:sectPr w:rsidR="00C57398"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E7" w:rsidRDefault="00A37DE7" w:rsidP="005B3E03">
      <w:r>
        <w:separator/>
      </w:r>
    </w:p>
  </w:endnote>
  <w:endnote w:type="continuationSeparator" w:id="0">
    <w:p w:rsidR="00A37DE7" w:rsidRDefault="00A37DE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E7" w:rsidRDefault="00A37DE7" w:rsidP="005B3E03">
      <w:r>
        <w:separator/>
      </w:r>
    </w:p>
  </w:footnote>
  <w:footnote w:type="continuationSeparator" w:id="0">
    <w:p w:rsidR="00A37DE7" w:rsidRDefault="00A37DE7" w:rsidP="005B3E03">
      <w:r>
        <w:continuationSeparator/>
      </w:r>
    </w:p>
  </w:footnote>
  <w:footnote w:id="1">
    <w:p w:rsidR="00FC362E" w:rsidRDefault="00A37DE7" w:rsidP="00FC362E">
      <w:pPr>
        <w:pStyle w:val="Voetnoottekst"/>
      </w:pPr>
      <w:r>
        <w:rPr>
          <w:rStyle w:val="Voetnootmarkering"/>
        </w:rPr>
        <w:footnoteRef/>
      </w:r>
      <w:r>
        <w:t xml:space="preserve"> </w:t>
      </w:r>
      <w:r w:rsidRPr="00D8307D">
        <w:tab/>
        <w:t xml:space="preserve">Hoofdstuk I van het Verdrag </w:t>
      </w:r>
      <w:r>
        <w:t xml:space="preserve">van Straatsburg </w:t>
      </w:r>
      <w:r w:rsidRPr="00D8307D">
        <w:t xml:space="preserve">draagt als titel: Beperking van gevallen van meervoudige nationaliteit. </w:t>
      </w:r>
      <w:r>
        <w:t xml:space="preserve">Het Tweede Protocol bevat enkele uitzonderingen op het uitgangspunt van het Verdrag van Straatsburg van het beperken van meervoudige nationaliteit.  </w:t>
      </w:r>
    </w:p>
  </w:footnote>
  <w:footnote w:id="2">
    <w:p w:rsidR="00713949" w:rsidRDefault="00A37DE7" w:rsidP="00713949">
      <w:pPr>
        <w:pStyle w:val="Voetnoottekst"/>
      </w:pPr>
      <w:r>
        <w:rPr>
          <w:rStyle w:val="Voetnootmarkering"/>
        </w:rPr>
        <w:footnoteRef/>
      </w:r>
      <w:r>
        <w:t xml:space="preserve"> </w:t>
      </w:r>
      <w:r>
        <w:tab/>
        <w:t xml:space="preserve">De geldende wet kent veel uitzonderingen op het uitgangspunt van het doen van afstand bij naturalisatie. Bij ruim 60% van de naturalisaties blijkt het onmogelijk of onredelijk afstand te doen van de oude nationaliteit. Vergelijk Kamerstukken II 2002/03, 28 689, nr. 19 (Notitie meervoudige nationaliteit en integratie), alsmede Betty de Hart, Een tweede paspoort, 2012, blz. 285. Volgens het CBS hadden in 2014 1,3 miljoen Nederlanders een dubbele nationaliteit; er zijn in 2014 27.000 mensen door naturalisatie Nederlander geworden. </w:t>
      </w:r>
      <w:r w:rsidRPr="00A52406">
        <w:t>https://www.cbs.nl/nl-nl/nieuws/2015/32/aantal-nederlanders-met-dubbele-nationaliteit-gestegen-naar-1-3-miljoen</w:t>
      </w:r>
      <w:r>
        <w:t xml:space="preserve">. </w:t>
      </w:r>
    </w:p>
  </w:footnote>
  <w:footnote w:id="3">
    <w:p w:rsidR="00713949" w:rsidRDefault="00A37DE7" w:rsidP="00713949">
      <w:pPr>
        <w:pStyle w:val="Voetnoottekst"/>
      </w:pPr>
      <w:r>
        <w:rPr>
          <w:rStyle w:val="Voetnootmarkering"/>
        </w:rPr>
        <w:footnoteRef/>
      </w:r>
      <w:r>
        <w:t xml:space="preserve"> </w:t>
      </w:r>
      <w:r w:rsidRPr="00755631">
        <w:tab/>
        <w:t xml:space="preserve">In de in de toelichting opgenomen schets van de ontwikkeling mist de Afdeling het voorstel tot Wijziging van de RWN tot beperking van meervoudige nationaliteit en tot invoering van het verlies van het Nederlanderschap wegens het toebrengen van ernstige schade aan essentiële belangen van het Koninkrijk uit 2007.   </w:t>
      </w:r>
    </w:p>
  </w:footnote>
  <w:footnote w:id="4">
    <w:p w:rsidR="00713949" w:rsidRDefault="00A37DE7" w:rsidP="00713949">
      <w:pPr>
        <w:pStyle w:val="Voetnoottekst"/>
      </w:pPr>
      <w:r>
        <w:rPr>
          <w:rStyle w:val="Voetnootmarkering"/>
        </w:rPr>
        <w:footnoteRef/>
      </w:r>
      <w:r>
        <w:t xml:space="preserve"> </w:t>
      </w:r>
      <w:r>
        <w:tab/>
        <w:t xml:space="preserve">Toelichting, paragraaf 1 Inleiding. </w:t>
      </w:r>
    </w:p>
  </w:footnote>
  <w:footnote w:id="5">
    <w:p w:rsidR="00713949" w:rsidRDefault="00A37DE7" w:rsidP="00713949">
      <w:pPr>
        <w:pStyle w:val="Voetnoottekst"/>
      </w:pPr>
      <w:r>
        <w:rPr>
          <w:rStyle w:val="Voetnootmarkering"/>
        </w:rPr>
        <w:footnoteRef/>
      </w:r>
      <w:r>
        <w:t xml:space="preserve"> </w:t>
      </w:r>
      <w:r>
        <w:tab/>
        <w:t xml:space="preserve">Toelichting, paragraaf 5. </w:t>
      </w:r>
    </w:p>
  </w:footnote>
  <w:footnote w:id="6">
    <w:p w:rsidR="00713949" w:rsidRDefault="00A37DE7" w:rsidP="00713949">
      <w:pPr>
        <w:pStyle w:val="Voetnoottekst"/>
      </w:pPr>
      <w:r>
        <w:rPr>
          <w:rStyle w:val="Voetnootmarkering"/>
        </w:rPr>
        <w:footnoteRef/>
      </w:r>
      <w:r>
        <w:t xml:space="preserve"> </w:t>
      </w:r>
      <w:r>
        <w:tab/>
        <w:t xml:space="preserve">Toelichting, paragraaf 5, tweede tekstblok. </w:t>
      </w:r>
    </w:p>
  </w:footnote>
  <w:footnote w:id="7">
    <w:p w:rsidR="00713949" w:rsidRDefault="00A37DE7" w:rsidP="00713949">
      <w:pPr>
        <w:pStyle w:val="Voetnoottekst"/>
      </w:pPr>
      <w:r>
        <w:rPr>
          <w:rStyle w:val="Voetnootmarkering"/>
        </w:rPr>
        <w:footnoteRef/>
      </w:r>
      <w:r>
        <w:t xml:space="preserve"> </w:t>
      </w:r>
      <w:r>
        <w:tab/>
        <w:t>Toelichting, paragraaf</w:t>
      </w:r>
      <w:r w:rsidRPr="006E2C60">
        <w:t xml:space="preserve"> 5, tweede tekstblok. </w:t>
      </w:r>
    </w:p>
  </w:footnote>
  <w:footnote w:id="8">
    <w:p w:rsidR="00713949" w:rsidRDefault="00A37DE7" w:rsidP="00713949">
      <w:pPr>
        <w:pStyle w:val="Voetnoottekst"/>
      </w:pPr>
      <w:r>
        <w:rPr>
          <w:rStyle w:val="Voetnootmarkering"/>
        </w:rPr>
        <w:footnoteRef/>
      </w:r>
      <w:r>
        <w:t xml:space="preserve"> </w:t>
      </w:r>
      <w:r>
        <w:tab/>
        <w:t xml:space="preserve">Vergelijk onder meer Kamerstukken I 2016/17, 33 852, C, blz. 12-13; Kamerstukken II 2007/08, 30 166, nr. 25, blz. 2; Kamerstukken II 2004/05, 30 166, nr. 3, blz. 3; Kamerstukken II 2003/04, 28 689, nr. 19, blz. 7; </w:t>
      </w:r>
      <w:r w:rsidRPr="00ED737B">
        <w:t>Kamerstukken I 1995/96, 23 029, nr. 26b, blz. 8</w:t>
      </w:r>
      <w:r>
        <w:t xml:space="preserve">.   </w:t>
      </w:r>
    </w:p>
  </w:footnote>
  <w:footnote w:id="9">
    <w:p w:rsidR="00713949" w:rsidRDefault="00A37DE7" w:rsidP="00713949">
      <w:pPr>
        <w:pStyle w:val="Voetnoottekst"/>
      </w:pPr>
      <w:r>
        <w:rPr>
          <w:rStyle w:val="Voetnootmarkering"/>
        </w:rPr>
        <w:footnoteRef/>
      </w:r>
      <w:r>
        <w:t xml:space="preserve"> </w:t>
      </w:r>
      <w:r>
        <w:tab/>
      </w:r>
      <w:r w:rsidRPr="00B44191">
        <w:t>Kamerstukken</w:t>
      </w:r>
      <w:r>
        <w:t xml:space="preserve"> I 2016/17 33 852, C blz. 12-13; Wetsvoorstel tot </w:t>
      </w:r>
      <w:r w:rsidRPr="00B44191">
        <w:t>Wijziging van de Rijkswet op het Nederlanderschap ter verlenging van de termijnen voor verlening van het Nederlanderschap en enige andere wijzigingen</w:t>
      </w:r>
      <w:r>
        <w:t xml:space="preserve">. </w:t>
      </w:r>
    </w:p>
  </w:footnote>
  <w:footnote w:id="10">
    <w:p w:rsidR="00713949" w:rsidRDefault="00A37DE7" w:rsidP="00713949">
      <w:pPr>
        <w:pStyle w:val="Voetnoottekst"/>
      </w:pPr>
      <w:r>
        <w:rPr>
          <w:rStyle w:val="Voetnootmarkering"/>
        </w:rPr>
        <w:footnoteRef/>
      </w:r>
      <w:r>
        <w:t xml:space="preserve"> </w:t>
      </w:r>
      <w:r>
        <w:tab/>
        <w:t xml:space="preserve">Toelichting, paragraaf 4, tweede tekstblok. </w:t>
      </w:r>
    </w:p>
  </w:footnote>
  <w:footnote w:id="11">
    <w:p w:rsidR="00713949" w:rsidRDefault="00A37DE7" w:rsidP="00713949">
      <w:pPr>
        <w:pStyle w:val="Voetnoottekst"/>
      </w:pPr>
      <w:r>
        <w:rPr>
          <w:rStyle w:val="Voetnootmarkering"/>
        </w:rPr>
        <w:footnoteRef/>
      </w:r>
      <w:r>
        <w:t xml:space="preserve"> </w:t>
      </w:r>
      <w:r>
        <w:tab/>
      </w:r>
      <w:r w:rsidRPr="00823BD6">
        <w:t>Rapport Verlies Nederlanderschap, Nationale Ombudsman, 10 mei 2016</w:t>
      </w:r>
      <w:r>
        <w:t xml:space="preserve">. </w:t>
      </w:r>
    </w:p>
  </w:footnote>
  <w:footnote w:id="12">
    <w:p w:rsidR="00713949" w:rsidRDefault="00A37DE7" w:rsidP="00713949">
      <w:pPr>
        <w:pStyle w:val="Voetnoottekst"/>
      </w:pPr>
      <w:r>
        <w:rPr>
          <w:rStyle w:val="Voetnootmarkering"/>
        </w:rPr>
        <w:footnoteRef/>
      </w:r>
      <w:r>
        <w:t xml:space="preserve"> </w:t>
      </w:r>
      <w:r>
        <w:tab/>
        <w:t xml:space="preserve">Opmerking verdient dat in de toelichting onder het kopje overgangsrecht wel wordt gewezen op de mogelijkheden na het verlies van het Nederlanderschap. </w:t>
      </w:r>
    </w:p>
  </w:footnote>
  <w:footnote w:id="13">
    <w:p w:rsidR="00713949" w:rsidRDefault="00A37DE7" w:rsidP="00713949">
      <w:pPr>
        <w:pStyle w:val="Voetnoottekst"/>
      </w:pPr>
      <w:r>
        <w:rPr>
          <w:rStyle w:val="Voetnootmarkering"/>
        </w:rPr>
        <w:footnoteRef/>
      </w:r>
      <w:r>
        <w:t xml:space="preserve"> </w:t>
      </w:r>
      <w:r>
        <w:tab/>
        <w:t xml:space="preserve">Vergelijk Hoofdstuk III en VI van de Paspoortwet. </w:t>
      </w:r>
    </w:p>
  </w:footnote>
  <w:footnote w:id="14">
    <w:p w:rsidR="00713949" w:rsidRDefault="00A37DE7" w:rsidP="00713949">
      <w:pPr>
        <w:pStyle w:val="Voetnoottekst"/>
      </w:pPr>
      <w:r>
        <w:rPr>
          <w:rStyle w:val="Voetnootmarkering"/>
        </w:rPr>
        <w:footnoteRef/>
      </w:r>
      <w:r>
        <w:t xml:space="preserve"> </w:t>
      </w:r>
      <w:r>
        <w:tab/>
        <w:t xml:space="preserve">Vergelijk artikel 6, eerste lid, onderdeel f, RWN. </w:t>
      </w:r>
    </w:p>
  </w:footnote>
  <w:footnote w:id="15">
    <w:p w:rsidR="00713949" w:rsidRDefault="00A37DE7" w:rsidP="00713949">
      <w:pPr>
        <w:pStyle w:val="Voetnoottekst"/>
      </w:pPr>
      <w:r>
        <w:rPr>
          <w:rStyle w:val="Voetnootmarkering"/>
        </w:rPr>
        <w:footnoteRef/>
      </w:r>
      <w:r>
        <w:t xml:space="preserve"> </w:t>
      </w:r>
      <w:r>
        <w:tab/>
        <w:t xml:space="preserve">Vergelijk artikel 8, tweede lid, RWN. </w:t>
      </w:r>
    </w:p>
  </w:footnote>
  <w:footnote w:id="16">
    <w:p w:rsidR="00713949" w:rsidRDefault="00A37DE7" w:rsidP="00713949">
      <w:pPr>
        <w:pStyle w:val="Voetnoottekst"/>
      </w:pPr>
      <w:r>
        <w:rPr>
          <w:rStyle w:val="Voetnootmarkering"/>
        </w:rPr>
        <w:footnoteRef/>
      </w:r>
      <w:r>
        <w:t xml:space="preserve"> </w:t>
      </w:r>
      <w:r>
        <w:tab/>
        <w:t xml:space="preserve">Artikel 15, eerste lid, onderdeel c, van de RWN. </w:t>
      </w:r>
      <w:r w:rsidRPr="00E458C1">
        <w:t xml:space="preserve">Kamerstukken </w:t>
      </w:r>
      <w:r>
        <w:t xml:space="preserve">II 2015/16, 33 852, </w:t>
      </w:r>
      <w:r w:rsidRPr="00E458C1">
        <w:t>nr. 48</w:t>
      </w:r>
      <w:r>
        <w:t xml:space="preserve">. </w:t>
      </w:r>
      <w:r w:rsidRPr="00E458C1">
        <w:t xml:space="preserve"> </w:t>
      </w:r>
    </w:p>
  </w:footnote>
  <w:footnote w:id="17">
    <w:p w:rsidR="00713949" w:rsidRDefault="00A37DE7" w:rsidP="00713949">
      <w:pPr>
        <w:pStyle w:val="Voetnoottekst"/>
      </w:pPr>
      <w:r>
        <w:rPr>
          <w:rStyle w:val="Voetnootmarkering"/>
        </w:rPr>
        <w:footnoteRef/>
      </w:r>
      <w:r>
        <w:t xml:space="preserve"> </w:t>
      </w:r>
      <w:r>
        <w:tab/>
      </w:r>
      <w:r w:rsidRPr="00283FAF">
        <w:t>Wel</w:t>
      </w:r>
      <w:r>
        <w:t>iswaar heeft de ACVZ in 2008 het</w:t>
      </w:r>
      <w:r w:rsidRPr="00283FAF">
        <w:t xml:space="preserve"> advies</w:t>
      </w:r>
      <w:r>
        <w:t xml:space="preserve"> Nederlanderschap in een onbegrensde wereld</w:t>
      </w:r>
      <w:r w:rsidRPr="00283FAF">
        <w:t xml:space="preserve"> uitgebracht</w:t>
      </w:r>
      <w:r>
        <w:t xml:space="preserve">. Daarin concludeert de ACVZ dat er geen wezenlijke bezwaren zijn tegen meervoudige nationaliteit. De vraag of dit advies nog actueel is.  </w:t>
      </w:r>
    </w:p>
    <w:p w:rsidR="00713949" w:rsidRDefault="00A37DE7" w:rsidP="00713949">
      <w:pPr>
        <w:pStyle w:val="Voetnoottekst"/>
      </w:pPr>
      <w:r>
        <w:tab/>
        <w:t xml:space="preserve">Bij de Goedkeuringswet van het Europees Verdrag inzake nationaliteit vroeg de regering de Staatscommissie voor internationaal privaatrecht om advies over de internationaal-privaatrechtelijke aspecten van het verdrag. Vergelijk Kamerstukken II 1999/2000, 26 990, nr. 3, blz.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B5818">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75BF"/>
    <w:multiLevelType w:val="hybridMultilevel"/>
    <w:tmpl w:val="1116E47A"/>
    <w:lvl w:ilvl="0" w:tplc="6ED08CB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9AC4CEF"/>
    <w:multiLevelType w:val="hybridMultilevel"/>
    <w:tmpl w:val="C9961FCC"/>
    <w:lvl w:ilvl="0" w:tplc="AB5A18C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8774B7D"/>
    <w:multiLevelType w:val="hybridMultilevel"/>
    <w:tmpl w:val="96F47498"/>
    <w:lvl w:ilvl="0" w:tplc="302093B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B5818"/>
    <w:rsid w:val="001F694A"/>
    <w:rsid w:val="00275756"/>
    <w:rsid w:val="0028249C"/>
    <w:rsid w:val="002B2D68"/>
    <w:rsid w:val="002B3794"/>
    <w:rsid w:val="002E6459"/>
    <w:rsid w:val="003819B6"/>
    <w:rsid w:val="004227C2"/>
    <w:rsid w:val="004A0E99"/>
    <w:rsid w:val="00521B20"/>
    <w:rsid w:val="00564A94"/>
    <w:rsid w:val="006F2CE1"/>
    <w:rsid w:val="00744956"/>
    <w:rsid w:val="00857398"/>
    <w:rsid w:val="00925C70"/>
    <w:rsid w:val="009E4442"/>
    <w:rsid w:val="009E72D2"/>
    <w:rsid w:val="00A37DE7"/>
    <w:rsid w:val="00A91877"/>
    <w:rsid w:val="00C03BC5"/>
    <w:rsid w:val="00C5066A"/>
    <w:rsid w:val="00C50D4F"/>
    <w:rsid w:val="00C57398"/>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B6189"/>
    <w:rPr>
      <w:vertAlign w:val="superscript"/>
    </w:rPr>
  </w:style>
  <w:style w:type="character" w:styleId="Nadruk">
    <w:name w:val="Emphasis"/>
    <w:basedOn w:val="Standaardalinea-lettertype"/>
    <w:qFormat/>
    <w:rsid w:val="008C0AE0"/>
    <w:rPr>
      <w:i/>
      <w:iCs/>
    </w:rPr>
  </w:style>
  <w:style w:type="character" w:styleId="Hyperlink">
    <w:name w:val="Hyperlink"/>
    <w:basedOn w:val="Standaardalinea-lettertype"/>
    <w:rsid w:val="00026CE9"/>
    <w:rPr>
      <w:color w:val="0000FF" w:themeColor="hyperlink"/>
      <w:u w:val="single"/>
    </w:rPr>
  </w:style>
  <w:style w:type="character" w:styleId="Verwijzingopmerking">
    <w:name w:val="annotation reference"/>
    <w:basedOn w:val="Standaardalinea-lettertype"/>
    <w:rsid w:val="00621710"/>
    <w:rPr>
      <w:sz w:val="16"/>
      <w:szCs w:val="16"/>
    </w:rPr>
  </w:style>
  <w:style w:type="paragraph" w:styleId="Tekstopmerking">
    <w:name w:val="annotation text"/>
    <w:basedOn w:val="Standaard"/>
    <w:link w:val="TekstopmerkingChar"/>
    <w:rsid w:val="00621710"/>
    <w:rPr>
      <w:sz w:val="20"/>
      <w:szCs w:val="20"/>
    </w:rPr>
  </w:style>
  <w:style w:type="character" w:customStyle="1" w:styleId="TekstopmerkingChar">
    <w:name w:val="Tekst opmerking Char"/>
    <w:basedOn w:val="Standaardalinea-lettertype"/>
    <w:link w:val="Tekstopmerking"/>
    <w:rsid w:val="00621710"/>
    <w:rPr>
      <w:rFonts w:ascii="Univers" w:hAnsi="Univers"/>
    </w:rPr>
  </w:style>
  <w:style w:type="paragraph" w:styleId="Onderwerpvanopmerking">
    <w:name w:val="annotation subject"/>
    <w:basedOn w:val="Tekstopmerking"/>
    <w:next w:val="Tekstopmerking"/>
    <w:link w:val="OnderwerpvanopmerkingChar"/>
    <w:rsid w:val="00621710"/>
    <w:rPr>
      <w:b/>
      <w:bCs/>
    </w:rPr>
  </w:style>
  <w:style w:type="character" w:customStyle="1" w:styleId="OnderwerpvanopmerkingChar">
    <w:name w:val="Onderwerp van opmerking Char"/>
    <w:basedOn w:val="TekstopmerkingChar"/>
    <w:link w:val="Onderwerpvanopmerking"/>
    <w:rsid w:val="00621710"/>
    <w:rPr>
      <w:rFonts w:ascii="Univers" w:hAnsi="Univers"/>
      <w:b/>
      <w:bCs/>
    </w:rPr>
  </w:style>
  <w:style w:type="paragraph" w:styleId="Revisie">
    <w:name w:val="Revision"/>
    <w:hidden/>
    <w:uiPriority w:val="99"/>
    <w:semiHidden/>
    <w:rsid w:val="00621710"/>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B6189"/>
    <w:rPr>
      <w:vertAlign w:val="superscript"/>
    </w:rPr>
  </w:style>
  <w:style w:type="character" w:styleId="Nadruk">
    <w:name w:val="Emphasis"/>
    <w:basedOn w:val="Standaardalinea-lettertype"/>
    <w:qFormat/>
    <w:rsid w:val="008C0AE0"/>
    <w:rPr>
      <w:i/>
      <w:iCs/>
    </w:rPr>
  </w:style>
  <w:style w:type="character" w:styleId="Hyperlink">
    <w:name w:val="Hyperlink"/>
    <w:basedOn w:val="Standaardalinea-lettertype"/>
    <w:rsid w:val="00026CE9"/>
    <w:rPr>
      <w:color w:val="0000FF" w:themeColor="hyperlink"/>
      <w:u w:val="single"/>
    </w:rPr>
  </w:style>
  <w:style w:type="character" w:styleId="Verwijzingopmerking">
    <w:name w:val="annotation reference"/>
    <w:basedOn w:val="Standaardalinea-lettertype"/>
    <w:rsid w:val="00621710"/>
    <w:rPr>
      <w:sz w:val="16"/>
      <w:szCs w:val="16"/>
    </w:rPr>
  </w:style>
  <w:style w:type="paragraph" w:styleId="Tekstopmerking">
    <w:name w:val="annotation text"/>
    <w:basedOn w:val="Standaard"/>
    <w:link w:val="TekstopmerkingChar"/>
    <w:rsid w:val="00621710"/>
    <w:rPr>
      <w:sz w:val="20"/>
      <w:szCs w:val="20"/>
    </w:rPr>
  </w:style>
  <w:style w:type="character" w:customStyle="1" w:styleId="TekstopmerkingChar">
    <w:name w:val="Tekst opmerking Char"/>
    <w:basedOn w:val="Standaardalinea-lettertype"/>
    <w:link w:val="Tekstopmerking"/>
    <w:rsid w:val="00621710"/>
    <w:rPr>
      <w:rFonts w:ascii="Univers" w:hAnsi="Univers"/>
    </w:rPr>
  </w:style>
  <w:style w:type="paragraph" w:styleId="Onderwerpvanopmerking">
    <w:name w:val="annotation subject"/>
    <w:basedOn w:val="Tekstopmerking"/>
    <w:next w:val="Tekstopmerking"/>
    <w:link w:val="OnderwerpvanopmerkingChar"/>
    <w:rsid w:val="00621710"/>
    <w:rPr>
      <w:b/>
      <w:bCs/>
    </w:rPr>
  </w:style>
  <w:style w:type="character" w:customStyle="1" w:styleId="OnderwerpvanopmerkingChar">
    <w:name w:val="Onderwerp van opmerking Char"/>
    <w:basedOn w:val="TekstopmerkingChar"/>
    <w:link w:val="Onderwerpvanopmerking"/>
    <w:rsid w:val="00621710"/>
    <w:rPr>
      <w:rFonts w:ascii="Univers" w:hAnsi="Univers"/>
      <w:b/>
      <w:bCs/>
    </w:rPr>
  </w:style>
  <w:style w:type="paragraph" w:styleId="Revisie">
    <w:name w:val="Revision"/>
    <w:hidden/>
    <w:uiPriority w:val="99"/>
    <w:semiHidden/>
    <w:rsid w:val="0062171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11BEB"/>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1520</ap:Words>
  <ap:Characters>9035</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2017-02-23T08:48:00.0000000Z</lastPrinted>
  <dcterms:created xsi:type="dcterms:W3CDTF">2017-02-23T15:17:00.0000000Z</dcterms:created>
  <dcterms:modified xsi:type="dcterms:W3CDTF">2017-02-23T15:17:00.0000000Z</dcterms:modified>
  <dc:description>------------------------</dc:description>
  <dc:subject/>
  <dc:title/>
  <keywords/>
  <version/>
  <category/>
</coreProperties>
</file>