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52935" w:rsidR="00C532C3" w:rsidP="00C532C3" w:rsidRDefault="00C532C3" w14:paraId="014BBF02" w14:textId="77777777">
      <w:pPr>
        <w:pStyle w:val="Geenafstand"/>
        <w:rPr>
          <w:rFonts w:ascii="Verdana" w:hAnsi="Verdana"/>
          <w:b/>
          <w:sz w:val="26"/>
          <w:szCs w:val="26"/>
        </w:rPr>
      </w:pPr>
      <w:r w:rsidRPr="00B52935">
        <w:rPr>
          <w:rFonts w:ascii="Verdana" w:hAnsi="Verdana"/>
          <w:b/>
          <w:sz w:val="26"/>
          <w:szCs w:val="26"/>
        </w:rPr>
        <w:t>Notitie rapporteurs blok Overig</w:t>
      </w:r>
    </w:p>
    <w:p w:rsidRPr="00B52935" w:rsidR="00C532C3" w:rsidP="00C532C3" w:rsidRDefault="00C532C3" w14:paraId="51EB6B5E" w14:textId="77777777">
      <w:pPr>
        <w:pStyle w:val="Geenafstand"/>
        <w:rPr>
          <w:rFonts w:ascii="Verdana" w:hAnsi="Verdana"/>
          <w:i/>
          <w:sz w:val="20"/>
          <w:szCs w:val="20"/>
        </w:rPr>
      </w:pPr>
      <w:r w:rsidRPr="00B52935">
        <w:rPr>
          <w:rFonts w:ascii="Verdana" w:hAnsi="Verdana"/>
          <w:i/>
          <w:sz w:val="20"/>
          <w:szCs w:val="20"/>
        </w:rPr>
        <w:t>Hilde Palland (CDA), Caroline van der Plas (BBB) en Senna Maatoug (GL)</w:t>
      </w:r>
    </w:p>
    <w:p w:rsidRPr="00B52935" w:rsidR="00C532C3" w:rsidP="00C532C3" w:rsidRDefault="00C532C3" w14:paraId="4F82E577" w14:textId="77777777">
      <w:pPr>
        <w:pStyle w:val="Geenafstand"/>
        <w:rPr>
          <w:rFonts w:ascii="Verdana" w:hAnsi="Verdana"/>
          <w:i/>
          <w:sz w:val="20"/>
          <w:szCs w:val="20"/>
        </w:rPr>
      </w:pPr>
    </w:p>
    <w:p w:rsidRPr="00097808" w:rsidR="00C532C3" w:rsidP="00C532C3" w:rsidRDefault="00C532C3" w14:paraId="6BA9F63F" w14:textId="77777777">
      <w:pPr>
        <w:pStyle w:val="Geenafstand"/>
        <w:rPr>
          <w:rFonts w:ascii="Verdana" w:hAnsi="Verdana"/>
          <w:b/>
          <w:sz w:val="20"/>
          <w:szCs w:val="20"/>
        </w:rPr>
      </w:pPr>
      <w:r w:rsidRPr="00097808">
        <w:rPr>
          <w:rFonts w:ascii="Verdana" w:hAnsi="Verdana"/>
          <w:b/>
          <w:sz w:val="20"/>
          <w:szCs w:val="20"/>
        </w:rPr>
        <w:t>Kern</w:t>
      </w:r>
    </w:p>
    <w:p w:rsidRPr="00097808" w:rsidR="00C532C3" w:rsidP="00C532C3" w:rsidRDefault="00C532C3" w14:paraId="7258BDED" w14:textId="5AC3249B">
      <w:pPr>
        <w:pStyle w:val="Geenafstand"/>
        <w:rPr>
          <w:rFonts w:ascii="Verdana" w:hAnsi="Verdana"/>
          <w:sz w:val="20"/>
          <w:szCs w:val="20"/>
        </w:rPr>
      </w:pPr>
      <w:r w:rsidRPr="00097808">
        <w:rPr>
          <w:rFonts w:ascii="Verdana" w:hAnsi="Verdana"/>
          <w:sz w:val="20"/>
          <w:szCs w:val="20"/>
        </w:rPr>
        <w:t>In deze notitie vind</w:t>
      </w:r>
      <w:r w:rsidR="00CC100C">
        <w:rPr>
          <w:rFonts w:ascii="Verdana" w:hAnsi="Verdana"/>
          <w:sz w:val="20"/>
          <w:szCs w:val="20"/>
        </w:rPr>
        <w:t>t</w:t>
      </w:r>
      <w:bookmarkStart w:name="_GoBack" w:id="0"/>
      <w:bookmarkEnd w:id="0"/>
      <w:r w:rsidRPr="00097808">
        <w:rPr>
          <w:rFonts w:ascii="Verdana" w:hAnsi="Verdana"/>
          <w:sz w:val="20"/>
          <w:szCs w:val="20"/>
        </w:rPr>
        <w:t xml:space="preserve"> u in het kader van de </w:t>
      </w:r>
      <w:r w:rsidRPr="00097808" w:rsidR="00462A2D">
        <w:rPr>
          <w:rFonts w:ascii="Verdana" w:hAnsi="Verdana"/>
          <w:sz w:val="20"/>
          <w:szCs w:val="20"/>
        </w:rPr>
        <w:t>artikelsgewijze</w:t>
      </w:r>
      <w:r w:rsidRPr="00097808" w:rsidR="00590201">
        <w:rPr>
          <w:rFonts w:ascii="Verdana" w:hAnsi="Verdana"/>
          <w:sz w:val="20"/>
          <w:szCs w:val="20"/>
        </w:rPr>
        <w:t xml:space="preserve"> behandeling van de Wet toekomst p</w:t>
      </w:r>
      <w:r w:rsidRPr="00097808">
        <w:rPr>
          <w:rFonts w:ascii="Verdana" w:hAnsi="Verdana"/>
          <w:sz w:val="20"/>
          <w:szCs w:val="20"/>
        </w:rPr>
        <w:t>ensioen</w:t>
      </w:r>
      <w:r w:rsidRPr="00097808" w:rsidR="00590201">
        <w:rPr>
          <w:rFonts w:ascii="Verdana" w:hAnsi="Verdana"/>
          <w:sz w:val="20"/>
          <w:szCs w:val="20"/>
        </w:rPr>
        <w:t>en (Wtp</w:t>
      </w:r>
      <w:r w:rsidRPr="00097808">
        <w:rPr>
          <w:rFonts w:ascii="Verdana" w:hAnsi="Verdana"/>
          <w:sz w:val="20"/>
          <w:szCs w:val="20"/>
        </w:rPr>
        <w:t xml:space="preserve">) de vragen over de artikelen betreffende o.a. de thema’s keuzebegeleiding, governance, ZZP experimenten en overgangsrecht. Het betreft de volgende artikelen. </w:t>
      </w:r>
    </w:p>
    <w:p w:rsidRPr="00097808" w:rsidR="00C532C3" w:rsidP="00C532C3" w:rsidRDefault="00C532C3" w14:paraId="517B34CB" w14:textId="77777777">
      <w:pPr>
        <w:pStyle w:val="Geenafstand"/>
        <w:rPr>
          <w:rFonts w:ascii="Verdana" w:hAnsi="Verdana"/>
          <w:sz w:val="20"/>
          <w:szCs w:val="20"/>
        </w:rPr>
      </w:pPr>
    </w:p>
    <w:tbl>
      <w:tblPr>
        <w:tblStyle w:val="Tabelraster"/>
        <w:tblW w:w="8500" w:type="dxa"/>
        <w:tblLook w:val="04A0" w:firstRow="1" w:lastRow="0" w:firstColumn="1" w:lastColumn="0" w:noHBand="0" w:noVBand="1"/>
      </w:tblPr>
      <w:tblGrid>
        <w:gridCol w:w="1381"/>
        <w:gridCol w:w="7119"/>
      </w:tblGrid>
      <w:tr w:rsidRPr="00097808" w:rsidR="00C532C3" w:rsidTr="00097808" w14:paraId="5386046C" w14:textId="77777777">
        <w:tc>
          <w:tcPr>
            <w:tcW w:w="1381" w:type="dxa"/>
          </w:tcPr>
          <w:p w:rsidRPr="00097808" w:rsidR="00C532C3" w:rsidP="00F0174B" w:rsidRDefault="00C532C3" w14:paraId="7EA527C9" w14:textId="77777777">
            <w:pPr>
              <w:rPr>
                <w:sz w:val="20"/>
              </w:rPr>
            </w:pPr>
            <w:r w:rsidRPr="00097808">
              <w:rPr>
                <w:b/>
                <w:sz w:val="20"/>
                <w:lang w:val="de-DE"/>
              </w:rPr>
              <w:t>Artikel-nummers</w:t>
            </w:r>
          </w:p>
        </w:tc>
        <w:tc>
          <w:tcPr>
            <w:tcW w:w="7119" w:type="dxa"/>
          </w:tcPr>
          <w:p w:rsidRPr="00097808" w:rsidR="00C532C3" w:rsidP="00F0174B" w:rsidRDefault="00C532C3" w14:paraId="20F43445" w14:textId="77777777">
            <w:pPr>
              <w:rPr>
                <w:sz w:val="20"/>
              </w:rPr>
            </w:pPr>
            <w:r w:rsidRPr="00097808">
              <w:rPr>
                <w:b/>
                <w:sz w:val="20"/>
              </w:rPr>
              <w:t>Subthema</w:t>
            </w:r>
          </w:p>
        </w:tc>
      </w:tr>
      <w:tr w:rsidRPr="00097808" w:rsidR="00AD39F6" w:rsidTr="00097808" w14:paraId="0489730A" w14:textId="77777777">
        <w:tc>
          <w:tcPr>
            <w:tcW w:w="1381" w:type="dxa"/>
          </w:tcPr>
          <w:p w:rsidRPr="00097808" w:rsidR="00AD39F6" w:rsidP="00AD39F6" w:rsidRDefault="00AD39F6" w14:paraId="17D83593" w14:textId="462F17C2">
            <w:pPr>
              <w:rPr>
                <w:b/>
                <w:sz w:val="20"/>
                <w:lang w:val="de-DE"/>
              </w:rPr>
            </w:pPr>
            <w:r w:rsidRPr="00097808">
              <w:rPr>
                <w:sz w:val="20"/>
                <w:lang w:val="de-DE"/>
              </w:rPr>
              <w:t>18</w:t>
            </w:r>
          </w:p>
        </w:tc>
        <w:tc>
          <w:tcPr>
            <w:tcW w:w="7119" w:type="dxa"/>
          </w:tcPr>
          <w:p w:rsidRPr="00097808" w:rsidR="00AD39F6" w:rsidP="00AD39F6" w:rsidRDefault="00AD39F6" w14:paraId="5C8C1188" w14:textId="62C54D30">
            <w:pPr>
              <w:rPr>
                <w:b/>
                <w:sz w:val="20"/>
              </w:rPr>
            </w:pPr>
            <w:r w:rsidRPr="00097808">
              <w:rPr>
                <w:sz w:val="20"/>
              </w:rPr>
              <w:t>Wet op de loonbelasting 1964</w:t>
            </w:r>
          </w:p>
        </w:tc>
      </w:tr>
      <w:tr w:rsidRPr="00097808" w:rsidR="00AD39F6" w:rsidTr="00097808" w14:paraId="1D314B3F" w14:textId="77777777">
        <w:tc>
          <w:tcPr>
            <w:tcW w:w="1381" w:type="dxa"/>
          </w:tcPr>
          <w:p w:rsidR="00AD39F6" w:rsidP="00AD39F6" w:rsidRDefault="00AD39F6" w14:paraId="2EF81D35" w14:textId="77777777">
            <w:pPr>
              <w:rPr>
                <w:sz w:val="20"/>
              </w:rPr>
            </w:pPr>
            <w:r>
              <w:rPr>
                <w:sz w:val="20"/>
              </w:rPr>
              <w:t>48</w:t>
            </w:r>
          </w:p>
          <w:p w:rsidRPr="00097808" w:rsidR="00AD39F6" w:rsidP="00AD39F6" w:rsidRDefault="00AD39F6" w14:paraId="57647667" w14:textId="006E9FE1">
            <w:pPr>
              <w:rPr>
                <w:sz w:val="20"/>
              </w:rPr>
            </w:pPr>
            <w:r w:rsidRPr="00097808">
              <w:rPr>
                <w:sz w:val="20"/>
              </w:rPr>
              <w:t>48a</w:t>
            </w:r>
          </w:p>
          <w:p w:rsidRPr="00097808" w:rsidR="00AD39F6" w:rsidP="00AD39F6" w:rsidRDefault="00AD39F6" w14:paraId="7DC3F785" w14:textId="2304E3B4">
            <w:pPr>
              <w:rPr>
                <w:sz w:val="20"/>
              </w:rPr>
            </w:pPr>
            <w:r w:rsidRPr="00097808">
              <w:rPr>
                <w:sz w:val="20"/>
              </w:rPr>
              <w:t>48b</w:t>
            </w:r>
          </w:p>
        </w:tc>
        <w:tc>
          <w:tcPr>
            <w:tcW w:w="7119" w:type="dxa"/>
          </w:tcPr>
          <w:p w:rsidR="00AD39F6" w:rsidP="00AD39F6" w:rsidRDefault="00AD39F6" w14:paraId="36689761" w14:textId="268FDB90">
            <w:pPr>
              <w:rPr>
                <w:sz w:val="20"/>
              </w:rPr>
            </w:pPr>
            <w:r>
              <w:rPr>
                <w:sz w:val="20"/>
              </w:rPr>
              <w:t>Eisen aan informatieverstrekking</w:t>
            </w:r>
          </w:p>
          <w:p w:rsidRPr="00097808" w:rsidR="00AD39F6" w:rsidP="00AD39F6" w:rsidRDefault="00AD39F6" w14:paraId="61FBA2EC" w14:textId="7F854302">
            <w:pPr>
              <w:rPr>
                <w:sz w:val="20"/>
              </w:rPr>
            </w:pPr>
            <w:r w:rsidRPr="00097808">
              <w:rPr>
                <w:sz w:val="20"/>
              </w:rPr>
              <w:t>Keuzebegeleiding</w:t>
            </w:r>
          </w:p>
          <w:p w:rsidRPr="00097808" w:rsidR="00AD39F6" w:rsidP="00AD39F6" w:rsidRDefault="00AD39F6" w14:paraId="3B9D50CB" w14:textId="637FD88D">
            <w:pPr>
              <w:rPr>
                <w:sz w:val="20"/>
              </w:rPr>
            </w:pPr>
            <w:r w:rsidRPr="00097808">
              <w:rPr>
                <w:sz w:val="20"/>
              </w:rPr>
              <w:t>Klachten- en geschillenprocedure</w:t>
            </w:r>
          </w:p>
        </w:tc>
      </w:tr>
      <w:tr w:rsidRPr="00097808" w:rsidR="00AD39F6" w:rsidTr="00097808" w14:paraId="297BF550" w14:textId="77777777">
        <w:tc>
          <w:tcPr>
            <w:tcW w:w="1381" w:type="dxa"/>
          </w:tcPr>
          <w:p w:rsidRPr="00097808" w:rsidR="00AD39F6" w:rsidP="00AD39F6" w:rsidRDefault="00AD39F6" w14:paraId="52F24552" w14:textId="77777777">
            <w:pPr>
              <w:rPr>
                <w:sz w:val="20"/>
              </w:rPr>
            </w:pPr>
            <w:r w:rsidRPr="00097808">
              <w:rPr>
                <w:sz w:val="20"/>
              </w:rPr>
              <w:t>54</w:t>
            </w:r>
          </w:p>
        </w:tc>
        <w:tc>
          <w:tcPr>
            <w:tcW w:w="7119" w:type="dxa"/>
          </w:tcPr>
          <w:p w:rsidRPr="00097808" w:rsidR="00AD39F6" w:rsidP="00AD39F6" w:rsidRDefault="00AD39F6" w14:paraId="335A47A9" w14:textId="77777777">
            <w:pPr>
              <w:rPr>
                <w:sz w:val="20"/>
              </w:rPr>
            </w:pPr>
            <w:r w:rsidRPr="00097808">
              <w:rPr>
                <w:sz w:val="20"/>
              </w:rPr>
              <w:t>Aanpassing voorwaarden vrijwillige voortzetting pensioenregeling</w:t>
            </w:r>
          </w:p>
        </w:tc>
      </w:tr>
      <w:tr w:rsidRPr="00097808" w:rsidR="00AD39F6" w:rsidTr="00097808" w14:paraId="35660061" w14:textId="77777777">
        <w:tc>
          <w:tcPr>
            <w:tcW w:w="1381" w:type="dxa"/>
          </w:tcPr>
          <w:p w:rsidRPr="00097808" w:rsidR="00AD39F6" w:rsidP="00AD39F6" w:rsidRDefault="00AD39F6" w14:paraId="4653C45C" w14:textId="6D6CD8D1">
            <w:pPr>
              <w:rPr>
                <w:sz w:val="20"/>
              </w:rPr>
            </w:pPr>
            <w:r>
              <w:rPr>
                <w:sz w:val="20"/>
              </w:rPr>
              <w:t>81b</w:t>
            </w:r>
          </w:p>
        </w:tc>
        <w:tc>
          <w:tcPr>
            <w:tcW w:w="7119" w:type="dxa"/>
          </w:tcPr>
          <w:p w:rsidRPr="00097808" w:rsidR="00AD39F6" w:rsidP="00AD39F6" w:rsidRDefault="00AD39F6" w14:paraId="16A0E460" w14:textId="2A8357F2">
            <w:pPr>
              <w:rPr>
                <w:sz w:val="20"/>
              </w:rPr>
            </w:pPr>
            <w:r w:rsidRPr="00097808">
              <w:rPr>
                <w:sz w:val="20"/>
              </w:rPr>
              <w:t>Bevoegdheid tot waardeoverdracht voor tussentijdse omzetting in pensioenuitkering</w:t>
            </w:r>
          </w:p>
        </w:tc>
      </w:tr>
      <w:tr w:rsidRPr="00097808" w:rsidR="00AD39F6" w:rsidTr="00097808" w14:paraId="3B0449B7" w14:textId="77777777">
        <w:tc>
          <w:tcPr>
            <w:tcW w:w="1381" w:type="dxa"/>
          </w:tcPr>
          <w:p w:rsidRPr="00097808" w:rsidR="00AD39F6" w:rsidP="00AD39F6" w:rsidRDefault="00AD39F6" w14:paraId="0BC3B2C4" w14:textId="77777777">
            <w:pPr>
              <w:rPr>
                <w:sz w:val="20"/>
              </w:rPr>
            </w:pPr>
            <w:r w:rsidRPr="00097808">
              <w:rPr>
                <w:sz w:val="20"/>
              </w:rPr>
              <w:t>120</w:t>
            </w:r>
          </w:p>
        </w:tc>
        <w:tc>
          <w:tcPr>
            <w:tcW w:w="7119" w:type="dxa"/>
          </w:tcPr>
          <w:p w:rsidRPr="00097808" w:rsidR="00AD39F6" w:rsidP="00AD39F6" w:rsidRDefault="00AD39F6" w14:paraId="6DADAE4A" w14:textId="77777777">
            <w:pPr>
              <w:rPr>
                <w:sz w:val="20"/>
              </w:rPr>
            </w:pPr>
            <w:r w:rsidRPr="00097808">
              <w:rPr>
                <w:sz w:val="20"/>
              </w:rPr>
              <w:t>Eisen taakafbakening</w:t>
            </w:r>
          </w:p>
        </w:tc>
      </w:tr>
      <w:tr w:rsidRPr="00097808" w:rsidR="00AD39F6" w:rsidTr="00097808" w14:paraId="32C0A7B0" w14:textId="77777777">
        <w:tc>
          <w:tcPr>
            <w:tcW w:w="1381" w:type="dxa"/>
          </w:tcPr>
          <w:p w:rsidRPr="00097808" w:rsidR="00AD39F6" w:rsidP="00AD39F6" w:rsidRDefault="00AD39F6" w14:paraId="2E8CBCA3" w14:textId="77777777">
            <w:pPr>
              <w:rPr>
                <w:sz w:val="20"/>
              </w:rPr>
            </w:pPr>
            <w:r w:rsidRPr="00097808">
              <w:rPr>
                <w:sz w:val="20"/>
              </w:rPr>
              <w:t>123</w:t>
            </w:r>
          </w:p>
        </w:tc>
        <w:tc>
          <w:tcPr>
            <w:tcW w:w="7119" w:type="dxa"/>
          </w:tcPr>
          <w:p w:rsidRPr="00097808" w:rsidR="00AD39F6" w:rsidP="00AD39F6" w:rsidRDefault="00AD39F6" w14:paraId="682D73CF" w14:textId="77777777">
            <w:pPr>
              <w:rPr>
                <w:sz w:val="20"/>
              </w:rPr>
            </w:pPr>
            <w:r w:rsidRPr="00097808">
              <w:rPr>
                <w:sz w:val="20"/>
              </w:rPr>
              <w:t xml:space="preserve">Aanpassing eisen een financieel geheel </w:t>
            </w:r>
          </w:p>
        </w:tc>
      </w:tr>
      <w:tr w:rsidRPr="00097808" w:rsidR="00AD39F6" w:rsidTr="00097808" w14:paraId="61AF2950" w14:textId="77777777">
        <w:tc>
          <w:tcPr>
            <w:tcW w:w="1381" w:type="dxa"/>
          </w:tcPr>
          <w:p w:rsidRPr="00097808" w:rsidR="00AD39F6" w:rsidP="00AD39F6" w:rsidRDefault="00AD39F6" w14:paraId="5C3117EA" w14:textId="735138B9">
            <w:pPr>
              <w:rPr>
                <w:sz w:val="20"/>
              </w:rPr>
            </w:pPr>
            <w:r>
              <w:rPr>
                <w:sz w:val="20"/>
              </w:rPr>
              <w:t>140</w:t>
            </w:r>
          </w:p>
        </w:tc>
        <w:tc>
          <w:tcPr>
            <w:tcW w:w="7119" w:type="dxa"/>
          </w:tcPr>
          <w:p w:rsidRPr="00097808" w:rsidR="00AD39F6" w:rsidP="00AD39F6" w:rsidRDefault="00AD39F6" w14:paraId="626F44CC" w14:textId="796A7EB7">
            <w:pPr>
              <w:rPr>
                <w:sz w:val="20"/>
              </w:rPr>
            </w:pPr>
            <w:r w:rsidRPr="0089061D">
              <w:rPr>
                <w:sz w:val="20"/>
              </w:rPr>
              <w:t>Maatregel Minimaal Vereist Eigen Vermogen (MVEV)</w:t>
            </w:r>
          </w:p>
        </w:tc>
      </w:tr>
      <w:tr w:rsidRPr="00097808" w:rsidR="00AD39F6" w:rsidTr="00097808" w14:paraId="70752E41" w14:textId="77777777">
        <w:tc>
          <w:tcPr>
            <w:tcW w:w="1381" w:type="dxa"/>
          </w:tcPr>
          <w:p w:rsidRPr="00097808" w:rsidR="00AD39F6" w:rsidP="00AD39F6" w:rsidRDefault="00AD39F6" w14:paraId="23EDDC76" w14:textId="77777777">
            <w:pPr>
              <w:rPr>
                <w:sz w:val="20"/>
              </w:rPr>
            </w:pPr>
            <w:r w:rsidRPr="00097808">
              <w:rPr>
                <w:sz w:val="20"/>
              </w:rPr>
              <w:t>150a</w:t>
            </w:r>
          </w:p>
        </w:tc>
        <w:tc>
          <w:tcPr>
            <w:tcW w:w="7119" w:type="dxa"/>
          </w:tcPr>
          <w:p w:rsidRPr="00097808" w:rsidR="00AD39F6" w:rsidP="00AD39F6" w:rsidRDefault="00AD39F6" w14:paraId="772F6651" w14:textId="77777777">
            <w:pPr>
              <w:rPr>
                <w:sz w:val="20"/>
              </w:rPr>
            </w:pPr>
            <w:r w:rsidRPr="00097808">
              <w:rPr>
                <w:sz w:val="20"/>
              </w:rPr>
              <w:t>Experimenten (experimenteer bepaling zelfstandigen)</w:t>
            </w:r>
          </w:p>
        </w:tc>
      </w:tr>
      <w:tr w:rsidRPr="00097808" w:rsidR="00AD39F6" w:rsidTr="00097808" w14:paraId="47D94641" w14:textId="77777777">
        <w:tc>
          <w:tcPr>
            <w:tcW w:w="1381" w:type="dxa"/>
          </w:tcPr>
          <w:p w:rsidRPr="00097808" w:rsidR="00AD39F6" w:rsidP="00AD39F6" w:rsidRDefault="00AD39F6" w14:paraId="4A5E2AD1" w14:textId="15073AC8">
            <w:pPr>
              <w:rPr>
                <w:sz w:val="20"/>
              </w:rPr>
            </w:pPr>
            <w:r>
              <w:rPr>
                <w:sz w:val="20"/>
              </w:rPr>
              <w:t>220ca</w:t>
            </w:r>
          </w:p>
        </w:tc>
        <w:tc>
          <w:tcPr>
            <w:tcW w:w="7119" w:type="dxa"/>
          </w:tcPr>
          <w:p w:rsidRPr="00097808" w:rsidR="00AD39F6" w:rsidP="00AD39F6" w:rsidRDefault="00AD39F6" w14:paraId="199D6FDE" w14:textId="7E76221A">
            <w:pPr>
              <w:rPr>
                <w:sz w:val="20"/>
              </w:rPr>
            </w:pPr>
            <w:r w:rsidRPr="004C3E85">
              <w:rPr>
                <w:rFonts w:cs="Arial"/>
                <w:bCs/>
                <w:sz w:val="20"/>
              </w:rPr>
              <w:t>Overgangsrecht startleeftijd</w:t>
            </w:r>
          </w:p>
        </w:tc>
      </w:tr>
      <w:tr w:rsidRPr="00097808" w:rsidR="00AD39F6" w:rsidTr="00097808" w14:paraId="2A608F3D" w14:textId="77777777">
        <w:tc>
          <w:tcPr>
            <w:tcW w:w="1381" w:type="dxa"/>
          </w:tcPr>
          <w:p w:rsidRPr="00097808" w:rsidR="00AD39F6" w:rsidP="00AD39F6" w:rsidRDefault="00AD39F6" w14:paraId="124C4A40" w14:textId="29B95EB7">
            <w:pPr>
              <w:rPr>
                <w:sz w:val="20"/>
              </w:rPr>
            </w:pPr>
            <w:r>
              <w:rPr>
                <w:sz w:val="20"/>
              </w:rPr>
              <w:t>220d</w:t>
            </w:r>
          </w:p>
        </w:tc>
        <w:tc>
          <w:tcPr>
            <w:tcW w:w="7119" w:type="dxa"/>
          </w:tcPr>
          <w:p w:rsidRPr="00097808" w:rsidR="00AD39F6" w:rsidP="00AD39F6" w:rsidRDefault="00AD39F6" w14:paraId="13C93E1D" w14:textId="1CA7F0B1">
            <w:pPr>
              <w:rPr>
                <w:sz w:val="20"/>
              </w:rPr>
            </w:pPr>
            <w:r w:rsidRPr="00040ECB">
              <w:rPr>
                <w:sz w:val="20"/>
              </w:rPr>
              <w:t>Overgangsrecht wacht- of drempelperiode uitzendovereenkomsten (amendement 36067 – 61)</w:t>
            </w:r>
          </w:p>
        </w:tc>
      </w:tr>
      <w:tr w:rsidRPr="00097808" w:rsidR="00AD39F6" w:rsidTr="00097808" w14:paraId="53159645" w14:textId="77777777">
        <w:tc>
          <w:tcPr>
            <w:tcW w:w="1381" w:type="dxa"/>
          </w:tcPr>
          <w:p w:rsidRPr="00097808" w:rsidR="00AD39F6" w:rsidP="00AD39F6" w:rsidRDefault="00AD39F6" w14:paraId="5A7C6521" w14:textId="77777777">
            <w:pPr>
              <w:rPr>
                <w:sz w:val="20"/>
              </w:rPr>
            </w:pPr>
            <w:r w:rsidRPr="00097808">
              <w:rPr>
                <w:sz w:val="20"/>
              </w:rPr>
              <w:t>220e</w:t>
            </w:r>
          </w:p>
        </w:tc>
        <w:tc>
          <w:tcPr>
            <w:tcW w:w="7119" w:type="dxa"/>
          </w:tcPr>
          <w:p w:rsidRPr="00097808" w:rsidR="00AD39F6" w:rsidP="00AD39F6" w:rsidRDefault="00AD39F6" w14:paraId="71408405" w14:textId="77777777">
            <w:pPr>
              <w:rPr>
                <w:sz w:val="20"/>
              </w:rPr>
            </w:pPr>
            <w:r w:rsidRPr="00097808">
              <w:rPr>
                <w:sz w:val="20"/>
              </w:rPr>
              <w:t>Overgangsrecht progressieve premie (“eerbiedigende werking”)</w:t>
            </w:r>
          </w:p>
        </w:tc>
      </w:tr>
      <w:tr w:rsidRPr="00097808" w:rsidR="00AD39F6" w:rsidTr="00097808" w14:paraId="144C3FAD" w14:textId="77777777">
        <w:tc>
          <w:tcPr>
            <w:tcW w:w="1381" w:type="dxa"/>
          </w:tcPr>
          <w:p w:rsidRPr="00097808" w:rsidR="00AD39F6" w:rsidP="00AD39F6" w:rsidRDefault="00AD39F6" w14:paraId="6ACAAC82" w14:textId="77777777">
            <w:pPr>
              <w:rPr>
                <w:sz w:val="20"/>
              </w:rPr>
            </w:pPr>
            <w:r w:rsidRPr="00097808">
              <w:rPr>
                <w:sz w:val="20"/>
              </w:rPr>
              <w:t>220h</w:t>
            </w:r>
          </w:p>
        </w:tc>
        <w:tc>
          <w:tcPr>
            <w:tcW w:w="7119" w:type="dxa"/>
          </w:tcPr>
          <w:p w:rsidRPr="00097808" w:rsidR="00AD39F6" w:rsidP="00AD39F6" w:rsidRDefault="00AD39F6" w14:paraId="7C48EA2A" w14:textId="77777777">
            <w:pPr>
              <w:rPr>
                <w:sz w:val="20"/>
              </w:rPr>
            </w:pPr>
            <w:r w:rsidRPr="00097808">
              <w:rPr>
                <w:sz w:val="20"/>
              </w:rPr>
              <w:t>Overgangsrecht premievrije voortzetting bij gesloten pensioenfonds</w:t>
            </w:r>
          </w:p>
        </w:tc>
      </w:tr>
      <w:tr w:rsidRPr="00097808" w:rsidR="00AD39F6" w:rsidTr="00097808" w14:paraId="47DDB37C" w14:textId="77777777">
        <w:tc>
          <w:tcPr>
            <w:tcW w:w="1381" w:type="dxa"/>
          </w:tcPr>
          <w:p w:rsidRPr="00097808" w:rsidR="00AD39F6" w:rsidP="00AD39F6" w:rsidRDefault="00AD39F6" w14:paraId="4C339169" w14:textId="77777777">
            <w:pPr>
              <w:rPr>
                <w:sz w:val="20"/>
              </w:rPr>
            </w:pPr>
            <w:r w:rsidRPr="00097808">
              <w:rPr>
                <w:sz w:val="20"/>
              </w:rPr>
              <w:t>220ha</w:t>
            </w:r>
          </w:p>
        </w:tc>
        <w:tc>
          <w:tcPr>
            <w:tcW w:w="7119" w:type="dxa"/>
          </w:tcPr>
          <w:p w:rsidRPr="00097808" w:rsidR="00AD39F6" w:rsidP="00AD39F6" w:rsidRDefault="00AD39F6" w14:paraId="715E4082" w14:textId="77777777">
            <w:pPr>
              <w:rPr>
                <w:sz w:val="20"/>
              </w:rPr>
            </w:pPr>
            <w:r w:rsidRPr="00097808">
              <w:rPr>
                <w:sz w:val="20"/>
              </w:rPr>
              <w:t>Overgangsrecht premievrije voorzetting verzekeraar</w:t>
            </w:r>
          </w:p>
        </w:tc>
      </w:tr>
    </w:tbl>
    <w:p w:rsidRPr="00B52935" w:rsidR="00C532C3" w:rsidP="00C532C3" w:rsidRDefault="00C532C3" w14:paraId="1F3B8A6B" w14:textId="77777777">
      <w:pPr>
        <w:pStyle w:val="Geenafstand"/>
        <w:rPr>
          <w:rFonts w:ascii="Verdana" w:hAnsi="Verdana"/>
          <w:b/>
        </w:rPr>
      </w:pPr>
    </w:p>
    <w:p w:rsidRPr="00B52935" w:rsidR="006A6A20" w:rsidRDefault="006A6A20" w14:paraId="5391169D" w14:textId="77777777">
      <w:pPr>
        <w:spacing w:after="160" w:line="259" w:lineRule="auto"/>
        <w:rPr>
          <w:rFonts w:eastAsiaTheme="minorHAnsi" w:cstheme="minorBidi"/>
          <w:b/>
          <w:sz w:val="22"/>
        </w:rPr>
      </w:pPr>
      <w:r w:rsidRPr="00B52935">
        <w:rPr>
          <w:b/>
          <w:sz w:val="22"/>
        </w:rPr>
        <w:br w:type="page"/>
      </w:r>
    </w:p>
    <w:p w:rsidRPr="00B52935" w:rsidR="00AD39F6" w:rsidP="00AD39F6" w:rsidRDefault="00AD39F6" w14:paraId="54D96470" w14:textId="77777777">
      <w:pPr>
        <w:rPr>
          <w:b/>
          <w:bCs/>
          <w:sz w:val="20"/>
          <w:szCs w:val="20"/>
        </w:rPr>
      </w:pPr>
      <w:r w:rsidRPr="00B52935">
        <w:rPr>
          <w:b/>
          <w:bCs/>
          <w:sz w:val="20"/>
          <w:szCs w:val="20"/>
        </w:rPr>
        <w:lastRenderedPageBreak/>
        <w:t xml:space="preserve">Artikel 18 </w:t>
      </w:r>
      <w:r>
        <w:rPr>
          <w:b/>
          <w:bCs/>
          <w:sz w:val="20"/>
          <w:szCs w:val="20"/>
        </w:rPr>
        <w:t xml:space="preserve">- </w:t>
      </w:r>
      <w:r w:rsidRPr="00B52935">
        <w:rPr>
          <w:b/>
          <w:bCs/>
          <w:sz w:val="20"/>
          <w:szCs w:val="20"/>
        </w:rPr>
        <w:t xml:space="preserve">Wet </w:t>
      </w:r>
      <w:r>
        <w:rPr>
          <w:b/>
          <w:bCs/>
          <w:sz w:val="20"/>
          <w:szCs w:val="20"/>
        </w:rPr>
        <w:t xml:space="preserve">op de loonbelasting 1964 - </w:t>
      </w:r>
      <w:r w:rsidRPr="00B52935">
        <w:rPr>
          <w:b/>
          <w:bCs/>
          <w:sz w:val="20"/>
          <w:szCs w:val="20"/>
        </w:rPr>
        <w:t>Hoogte premiegrens</w:t>
      </w:r>
    </w:p>
    <w:p w:rsidRPr="00540902" w:rsidR="00AD39F6" w:rsidP="00AD39F6" w:rsidRDefault="00AD39F6" w14:paraId="32EEFE95" w14:textId="77777777">
      <w:pPr>
        <w:pStyle w:val="Geenafstand"/>
        <w:numPr>
          <w:ilvl w:val="0"/>
          <w:numId w:val="7"/>
        </w:numPr>
        <w:ind w:hanging="357"/>
        <w:rPr>
          <w:rFonts w:ascii="Verdana" w:hAnsi="Verdana"/>
          <w:sz w:val="20"/>
          <w:szCs w:val="20"/>
        </w:rPr>
      </w:pPr>
      <w:r w:rsidRPr="007B2191">
        <w:rPr>
          <w:rFonts w:ascii="Verdana" w:hAnsi="Verdana"/>
          <w:sz w:val="20"/>
          <w:szCs w:val="20"/>
        </w:rPr>
        <w:t>Klopt het dat als de situatie van een wisselend rentepatroon een deelnemer het risico loopt in de opbouwfase geconfronteerd te worden met een verlaging van de fiscale premiegrens door een stijging van het reëel rendement, en dus minder premie kan inleggen op vervolgens op pensioendatum minder kan aankopen door een d</w:t>
      </w:r>
      <w:r>
        <w:rPr>
          <w:rFonts w:ascii="Verdana" w:hAnsi="Verdana"/>
          <w:sz w:val="20"/>
          <w:szCs w:val="20"/>
        </w:rPr>
        <w:t>aling van het projectrendement?</w:t>
      </w:r>
    </w:p>
    <w:p w:rsidRPr="007B2191" w:rsidR="00AD39F6" w:rsidP="00AD39F6" w:rsidRDefault="00AD39F6" w14:paraId="15A96CDA" w14:textId="77777777">
      <w:pPr>
        <w:pStyle w:val="Geenafstand"/>
        <w:numPr>
          <w:ilvl w:val="0"/>
          <w:numId w:val="7"/>
        </w:numPr>
        <w:ind w:hanging="357"/>
        <w:rPr>
          <w:rFonts w:ascii="Verdana" w:hAnsi="Verdana"/>
          <w:sz w:val="20"/>
          <w:szCs w:val="20"/>
        </w:rPr>
      </w:pPr>
      <w:r w:rsidRPr="007B2191">
        <w:rPr>
          <w:rFonts w:ascii="Verdana" w:hAnsi="Verdana"/>
          <w:sz w:val="20"/>
          <w:szCs w:val="20"/>
        </w:rPr>
        <w:t>Klopt het dat dit risico zich niet voordoet bij een fiscale premiegrens die niet afhankelijk is van een reëel rendement, bijvoorbeeld indien in het eerste lid van artikel 18a Wet op de loonbelasting een maximaal fiscaal percentage wordt vastgesteld van bijvoorbeeld 30 of 40% (met 3% verho</w:t>
      </w:r>
      <w:r>
        <w:rPr>
          <w:rFonts w:ascii="Verdana" w:hAnsi="Verdana"/>
          <w:sz w:val="20"/>
          <w:szCs w:val="20"/>
        </w:rPr>
        <w:t>ging tijdens de transitiefase)?</w:t>
      </w:r>
    </w:p>
    <w:p w:rsidRPr="007B2191" w:rsidR="00AD39F6" w:rsidP="00AD39F6" w:rsidRDefault="00AD39F6" w14:paraId="1FC1AF0E" w14:textId="77777777">
      <w:pPr>
        <w:pStyle w:val="Geenafstand"/>
        <w:numPr>
          <w:ilvl w:val="0"/>
          <w:numId w:val="7"/>
        </w:numPr>
        <w:ind w:hanging="357"/>
        <w:rPr>
          <w:rFonts w:ascii="Verdana" w:hAnsi="Verdana"/>
          <w:sz w:val="20"/>
          <w:szCs w:val="20"/>
        </w:rPr>
      </w:pPr>
      <w:r>
        <w:rPr>
          <w:rFonts w:ascii="Verdana" w:hAnsi="Verdana"/>
          <w:sz w:val="20"/>
          <w:szCs w:val="20"/>
        </w:rPr>
        <w:t>Bij lid 1, subonderdeel 4 staat</w:t>
      </w:r>
      <w:r w:rsidRPr="007B2191">
        <w:rPr>
          <w:rFonts w:ascii="Verdana" w:hAnsi="Verdana"/>
          <w:sz w:val="20"/>
          <w:szCs w:val="20"/>
        </w:rPr>
        <w:t xml:space="preserve"> dat ‘30’ wordt vervangen door ‘25’. Dit betreft het wezenpensioen maar door deze aanpassing wordt de eindleeftijd gesteld op maximaal 25 terwijl de bedoeling een uniforme eindleeftijd van 25 voor alle wezenpensioenen is. Deelt de </w:t>
      </w:r>
      <w:r>
        <w:rPr>
          <w:rFonts w:ascii="Verdana" w:hAnsi="Verdana"/>
          <w:sz w:val="20"/>
          <w:szCs w:val="20"/>
        </w:rPr>
        <w:t>regering</w:t>
      </w:r>
      <w:r w:rsidRPr="007B2191">
        <w:rPr>
          <w:rFonts w:ascii="Verdana" w:hAnsi="Verdana"/>
          <w:sz w:val="20"/>
          <w:szCs w:val="20"/>
        </w:rPr>
        <w:t xml:space="preserve"> dat ‘maximaal 30’ wordt vervangen door ‘25’?</w:t>
      </w:r>
    </w:p>
    <w:p w:rsidR="00AD39F6" w:rsidP="00C532C3" w:rsidRDefault="00AD39F6" w14:paraId="49039D7C" w14:textId="77777777">
      <w:pPr>
        <w:pStyle w:val="Geenafstand"/>
        <w:rPr>
          <w:rFonts w:ascii="Verdana" w:hAnsi="Verdana"/>
          <w:b/>
          <w:sz w:val="20"/>
          <w:szCs w:val="20"/>
        </w:rPr>
      </w:pPr>
    </w:p>
    <w:p w:rsidRPr="00B52935" w:rsidR="00C532C3" w:rsidP="00C532C3" w:rsidRDefault="00C532C3" w14:paraId="4A39F3B3" w14:textId="42A4D81D">
      <w:pPr>
        <w:pStyle w:val="Geenafstand"/>
        <w:rPr>
          <w:rFonts w:ascii="Verdana" w:hAnsi="Verdana"/>
          <w:b/>
          <w:sz w:val="20"/>
          <w:szCs w:val="20"/>
        </w:rPr>
      </w:pPr>
      <w:r w:rsidRPr="00B52935">
        <w:rPr>
          <w:rFonts w:ascii="Verdana" w:hAnsi="Verdana"/>
          <w:b/>
          <w:sz w:val="20"/>
          <w:szCs w:val="20"/>
        </w:rPr>
        <w:t xml:space="preserve">Artikel </w:t>
      </w:r>
      <w:r w:rsidR="00097808">
        <w:rPr>
          <w:rFonts w:ascii="Verdana" w:hAnsi="Verdana"/>
          <w:b/>
          <w:sz w:val="20"/>
          <w:szCs w:val="20"/>
        </w:rPr>
        <w:t>48 - Eisen aan informatieverstrekking</w:t>
      </w:r>
      <w:r w:rsidR="009C2B65">
        <w:rPr>
          <w:rFonts w:ascii="Verdana" w:hAnsi="Verdana"/>
          <w:b/>
          <w:sz w:val="20"/>
          <w:szCs w:val="20"/>
        </w:rPr>
        <w:t xml:space="preserve"> </w:t>
      </w:r>
    </w:p>
    <w:p w:rsidRPr="00A23244" w:rsidR="00334B51" w:rsidP="00C532C3" w:rsidRDefault="00334B51" w14:paraId="3C36B898" w14:textId="3AFDFEDA">
      <w:pPr>
        <w:pStyle w:val="Geenafstand"/>
        <w:numPr>
          <w:ilvl w:val="0"/>
          <w:numId w:val="7"/>
        </w:numPr>
        <w:ind w:hanging="357"/>
        <w:rPr>
          <w:rFonts w:ascii="Verdana" w:hAnsi="Verdana"/>
          <w:sz w:val="20"/>
          <w:szCs w:val="20"/>
        </w:rPr>
      </w:pPr>
      <w:r w:rsidRPr="00B52935">
        <w:rPr>
          <w:rFonts w:ascii="Verdana" w:hAnsi="Verdana"/>
          <w:sz w:val="20"/>
          <w:szCs w:val="20"/>
        </w:rPr>
        <w:t xml:space="preserve">Kan de </w:t>
      </w:r>
      <w:r w:rsidR="00967F65">
        <w:rPr>
          <w:rFonts w:ascii="Verdana" w:hAnsi="Verdana"/>
          <w:sz w:val="20"/>
          <w:szCs w:val="20"/>
        </w:rPr>
        <w:t>regering</w:t>
      </w:r>
      <w:r w:rsidRPr="00B52935">
        <w:rPr>
          <w:rFonts w:ascii="Verdana" w:hAnsi="Verdana"/>
          <w:sz w:val="20"/>
          <w:szCs w:val="20"/>
        </w:rPr>
        <w:t xml:space="preserve"> toelichten h</w:t>
      </w:r>
      <w:r w:rsidR="007B2191">
        <w:rPr>
          <w:rFonts w:ascii="Verdana" w:hAnsi="Verdana"/>
          <w:sz w:val="20"/>
          <w:szCs w:val="20"/>
        </w:rPr>
        <w:t>oe moet worden omgegaan met de twee</w:t>
      </w:r>
      <w:r w:rsidRPr="00B52935">
        <w:rPr>
          <w:rFonts w:ascii="Verdana" w:hAnsi="Verdana"/>
          <w:sz w:val="20"/>
          <w:szCs w:val="20"/>
        </w:rPr>
        <w:t xml:space="preserve"> momenten van informatie bij de transitie en hoe deze toegelicht dienen te worden bij overga</w:t>
      </w:r>
      <w:r w:rsidR="007B2191">
        <w:rPr>
          <w:rFonts w:ascii="Verdana" w:hAnsi="Verdana"/>
          <w:sz w:val="20"/>
          <w:szCs w:val="20"/>
        </w:rPr>
        <w:t>ng naar een nieuwe verzekeraar/</w:t>
      </w:r>
      <w:r w:rsidRPr="00B52935">
        <w:rPr>
          <w:rFonts w:ascii="Verdana" w:hAnsi="Verdana"/>
          <w:sz w:val="20"/>
          <w:szCs w:val="20"/>
        </w:rPr>
        <w:t>P</w:t>
      </w:r>
      <w:r w:rsidR="007B2191">
        <w:rPr>
          <w:rFonts w:ascii="Verdana" w:hAnsi="Verdana"/>
          <w:sz w:val="20"/>
          <w:szCs w:val="20"/>
        </w:rPr>
        <w:t xml:space="preserve">remie </w:t>
      </w:r>
      <w:r w:rsidRPr="00B52935">
        <w:rPr>
          <w:rFonts w:ascii="Verdana" w:hAnsi="Verdana"/>
          <w:sz w:val="20"/>
          <w:szCs w:val="20"/>
        </w:rPr>
        <w:t>P</w:t>
      </w:r>
      <w:r w:rsidR="007B2191">
        <w:rPr>
          <w:rFonts w:ascii="Verdana" w:hAnsi="Verdana"/>
          <w:sz w:val="20"/>
          <w:szCs w:val="20"/>
        </w:rPr>
        <w:t xml:space="preserve">ensioen </w:t>
      </w:r>
      <w:r w:rsidRPr="00B52935">
        <w:rPr>
          <w:rFonts w:ascii="Verdana" w:hAnsi="Verdana"/>
          <w:sz w:val="20"/>
          <w:szCs w:val="20"/>
        </w:rPr>
        <w:t>I</w:t>
      </w:r>
      <w:r w:rsidR="007B2191">
        <w:rPr>
          <w:rFonts w:ascii="Verdana" w:hAnsi="Verdana"/>
          <w:sz w:val="20"/>
          <w:szCs w:val="20"/>
        </w:rPr>
        <w:t>nstelling (PPI)</w:t>
      </w:r>
      <w:r w:rsidRPr="00B52935">
        <w:rPr>
          <w:rStyle w:val="Voetnootmarkering"/>
          <w:rFonts w:ascii="Verdana" w:hAnsi="Verdana"/>
          <w:sz w:val="20"/>
          <w:szCs w:val="20"/>
        </w:rPr>
        <w:footnoteReference w:id="1"/>
      </w:r>
      <w:r w:rsidRPr="00B52935">
        <w:rPr>
          <w:rFonts w:ascii="Verdana" w:hAnsi="Verdana"/>
          <w:sz w:val="20"/>
          <w:szCs w:val="20"/>
        </w:rPr>
        <w:t xml:space="preserve">? Specifiek in de situatie waarbij </w:t>
      </w:r>
      <w:r w:rsidRPr="00B52935" w:rsidR="00C532C3">
        <w:rPr>
          <w:rFonts w:ascii="Verdana" w:hAnsi="Verdana"/>
          <w:sz w:val="20"/>
          <w:szCs w:val="20"/>
        </w:rPr>
        <w:t xml:space="preserve">de nieuwe </w:t>
      </w:r>
      <w:r w:rsidRPr="00B52935">
        <w:rPr>
          <w:rFonts w:ascii="Verdana" w:hAnsi="Verdana"/>
          <w:sz w:val="20"/>
          <w:szCs w:val="20"/>
        </w:rPr>
        <w:t>uitvoerder</w:t>
      </w:r>
      <w:r w:rsidRPr="00B52935" w:rsidR="00C532C3">
        <w:rPr>
          <w:rFonts w:ascii="Verdana" w:hAnsi="Verdana"/>
          <w:sz w:val="20"/>
          <w:szCs w:val="20"/>
        </w:rPr>
        <w:t xml:space="preserve"> niet weet wat de oude uitvoerd</w:t>
      </w:r>
      <w:r w:rsidR="007B2191">
        <w:rPr>
          <w:rFonts w:ascii="Verdana" w:hAnsi="Verdana"/>
          <w:sz w:val="20"/>
          <w:szCs w:val="20"/>
        </w:rPr>
        <w:t xml:space="preserve">er heeft gecommuniceerd en dus </w:t>
      </w:r>
      <w:r w:rsidRPr="00B52935" w:rsidR="00C532C3">
        <w:rPr>
          <w:rFonts w:ascii="Verdana" w:hAnsi="Verdana"/>
          <w:sz w:val="20"/>
          <w:szCs w:val="20"/>
        </w:rPr>
        <w:t>de ontvangende pensioenverzekeraar/PPI eventuele verschillen ten opzichte van de eerste communicatie</w:t>
      </w:r>
      <w:r w:rsidRPr="00B52935">
        <w:rPr>
          <w:rFonts w:ascii="Verdana" w:hAnsi="Verdana"/>
          <w:sz w:val="20"/>
          <w:szCs w:val="20"/>
        </w:rPr>
        <w:t xml:space="preserve"> </w:t>
      </w:r>
      <w:r w:rsidRPr="00B52935" w:rsidR="00C532C3">
        <w:rPr>
          <w:rFonts w:ascii="Verdana" w:hAnsi="Verdana"/>
          <w:sz w:val="20"/>
          <w:szCs w:val="20"/>
        </w:rPr>
        <w:t xml:space="preserve">niet kan </w:t>
      </w:r>
      <w:r w:rsidRPr="00B52935">
        <w:rPr>
          <w:rFonts w:ascii="Verdana" w:hAnsi="Verdana"/>
          <w:sz w:val="20"/>
          <w:szCs w:val="20"/>
        </w:rPr>
        <w:t>constateren</w:t>
      </w:r>
      <w:r w:rsidRPr="00B52935" w:rsidR="00C532C3">
        <w:rPr>
          <w:rFonts w:ascii="Verdana" w:hAnsi="Verdana"/>
          <w:sz w:val="20"/>
          <w:szCs w:val="20"/>
        </w:rPr>
        <w:t>?</w:t>
      </w:r>
    </w:p>
    <w:p w:rsidRPr="00B52935" w:rsidR="00441A4D" w:rsidP="003D25AB" w:rsidRDefault="00441A4D" w14:paraId="7BCAC152" w14:textId="4BCE9B92">
      <w:pPr>
        <w:rPr>
          <w:b/>
          <w:bCs/>
          <w:sz w:val="20"/>
          <w:szCs w:val="20"/>
        </w:rPr>
      </w:pPr>
    </w:p>
    <w:p w:rsidRPr="00B52935" w:rsidR="003D25AB" w:rsidP="003D25AB" w:rsidRDefault="003D25AB" w14:paraId="46E2077E" w14:textId="56DEA217">
      <w:pPr>
        <w:rPr>
          <w:b/>
          <w:bCs/>
          <w:sz w:val="20"/>
          <w:szCs w:val="20"/>
        </w:rPr>
      </w:pPr>
      <w:r w:rsidRPr="00B52935">
        <w:rPr>
          <w:b/>
          <w:bCs/>
          <w:sz w:val="20"/>
          <w:szCs w:val="20"/>
        </w:rPr>
        <w:t>Artikel 48a</w:t>
      </w:r>
      <w:r w:rsidR="007B2191">
        <w:rPr>
          <w:b/>
          <w:bCs/>
          <w:sz w:val="20"/>
          <w:szCs w:val="20"/>
        </w:rPr>
        <w:t xml:space="preserve"> </w:t>
      </w:r>
      <w:r w:rsidR="00E3576E">
        <w:rPr>
          <w:b/>
          <w:bCs/>
          <w:sz w:val="20"/>
          <w:szCs w:val="20"/>
        </w:rPr>
        <w:t xml:space="preserve">- </w:t>
      </w:r>
      <w:r w:rsidR="007B2191">
        <w:rPr>
          <w:b/>
          <w:bCs/>
          <w:sz w:val="20"/>
          <w:szCs w:val="20"/>
        </w:rPr>
        <w:t>Keuzebegeleiding</w:t>
      </w:r>
    </w:p>
    <w:p w:rsidRPr="0089061D" w:rsidR="00C8679A" w:rsidP="0089061D" w:rsidRDefault="00311804" w14:paraId="7C241AEA" w14:textId="342C557B">
      <w:pPr>
        <w:pStyle w:val="Geenafstand"/>
        <w:numPr>
          <w:ilvl w:val="0"/>
          <w:numId w:val="7"/>
        </w:numPr>
        <w:ind w:hanging="357"/>
        <w:rPr>
          <w:rFonts w:ascii="Verdana" w:hAnsi="Verdana"/>
          <w:sz w:val="20"/>
          <w:szCs w:val="20"/>
        </w:rPr>
      </w:pPr>
      <w:r w:rsidRPr="007B2191">
        <w:rPr>
          <w:rFonts w:ascii="Verdana" w:hAnsi="Verdana"/>
          <w:sz w:val="20"/>
          <w:szCs w:val="20"/>
        </w:rPr>
        <w:t xml:space="preserve">Kan de </w:t>
      </w:r>
      <w:r w:rsidR="00967F65">
        <w:rPr>
          <w:rFonts w:ascii="Verdana" w:hAnsi="Verdana"/>
          <w:sz w:val="20"/>
          <w:szCs w:val="20"/>
        </w:rPr>
        <w:t>regering</w:t>
      </w:r>
      <w:r w:rsidRPr="007B2191">
        <w:rPr>
          <w:rFonts w:ascii="Verdana" w:hAnsi="Verdana"/>
          <w:sz w:val="20"/>
          <w:szCs w:val="20"/>
        </w:rPr>
        <w:t xml:space="preserve"> </w:t>
      </w:r>
      <w:r w:rsidRPr="007B2191" w:rsidR="00901FA7">
        <w:rPr>
          <w:rFonts w:ascii="Verdana" w:hAnsi="Verdana"/>
          <w:sz w:val="20"/>
          <w:szCs w:val="20"/>
        </w:rPr>
        <w:t>aangeven of</w:t>
      </w:r>
      <w:r w:rsidRPr="007B2191">
        <w:rPr>
          <w:rFonts w:ascii="Verdana" w:hAnsi="Verdana"/>
          <w:sz w:val="20"/>
          <w:szCs w:val="20"/>
        </w:rPr>
        <w:t xml:space="preserve"> art</w:t>
      </w:r>
      <w:r w:rsidR="00E3576E">
        <w:rPr>
          <w:rFonts w:ascii="Verdana" w:hAnsi="Verdana"/>
          <w:sz w:val="20"/>
          <w:szCs w:val="20"/>
        </w:rPr>
        <w:t>ikel</w:t>
      </w:r>
      <w:r w:rsidRPr="007B2191">
        <w:rPr>
          <w:rFonts w:ascii="Verdana" w:hAnsi="Verdana"/>
          <w:sz w:val="20"/>
          <w:szCs w:val="20"/>
        </w:rPr>
        <w:t xml:space="preserve"> 48a een inspanningsverbintenis </w:t>
      </w:r>
      <w:r w:rsidRPr="007B2191" w:rsidR="00901FA7">
        <w:rPr>
          <w:rFonts w:ascii="Verdana" w:hAnsi="Verdana"/>
          <w:sz w:val="20"/>
          <w:szCs w:val="20"/>
        </w:rPr>
        <w:t xml:space="preserve">of een resultaatverbintenis </w:t>
      </w:r>
      <w:r w:rsidRPr="007B2191">
        <w:rPr>
          <w:rFonts w:ascii="Verdana" w:hAnsi="Verdana"/>
          <w:sz w:val="20"/>
          <w:szCs w:val="20"/>
        </w:rPr>
        <w:t xml:space="preserve">voor de pensioenuitvoerder </w:t>
      </w:r>
      <w:r w:rsidRPr="007B2191" w:rsidR="00901FA7">
        <w:rPr>
          <w:rFonts w:ascii="Verdana" w:hAnsi="Verdana"/>
          <w:sz w:val="20"/>
          <w:szCs w:val="20"/>
        </w:rPr>
        <w:t>behelst</w:t>
      </w:r>
      <w:r w:rsidRPr="007B2191">
        <w:rPr>
          <w:rFonts w:ascii="Verdana" w:hAnsi="Verdana"/>
          <w:sz w:val="20"/>
          <w:szCs w:val="20"/>
        </w:rPr>
        <w:t>?</w:t>
      </w:r>
      <w:r w:rsidRPr="007B2191" w:rsidR="00901FA7">
        <w:rPr>
          <w:rFonts w:ascii="Verdana" w:hAnsi="Verdana"/>
          <w:sz w:val="20"/>
          <w:szCs w:val="20"/>
        </w:rPr>
        <w:t xml:space="preserve"> En hoe dat zich verhoudt tot eerdere uitleg naar aanleiding van de wet pensioencommunicatie?</w:t>
      </w:r>
      <w:r w:rsidRPr="00E3576E" w:rsidR="00901FA7">
        <w:rPr>
          <w:rFonts w:ascii="Verdana" w:hAnsi="Verdana"/>
          <w:sz w:val="20"/>
          <w:szCs w:val="20"/>
          <w:vertAlign w:val="superscript"/>
        </w:rPr>
        <w:footnoteReference w:id="2"/>
      </w:r>
    </w:p>
    <w:p w:rsidRPr="0089061D" w:rsidR="00C8679A" w:rsidP="0089061D" w:rsidRDefault="00C8679A" w14:paraId="5B0617FE" w14:textId="665F92BA">
      <w:pPr>
        <w:pStyle w:val="Geenafstand"/>
        <w:numPr>
          <w:ilvl w:val="0"/>
          <w:numId w:val="7"/>
        </w:numPr>
        <w:ind w:hanging="357"/>
        <w:rPr>
          <w:rFonts w:ascii="Verdana" w:hAnsi="Verdana"/>
          <w:sz w:val="20"/>
          <w:szCs w:val="20"/>
        </w:rPr>
      </w:pPr>
      <w:r w:rsidRPr="007B2191">
        <w:rPr>
          <w:rFonts w:ascii="Verdana" w:hAnsi="Verdana"/>
          <w:sz w:val="20"/>
          <w:szCs w:val="20"/>
        </w:rPr>
        <w:t xml:space="preserve">Hoe ziet de </w:t>
      </w:r>
      <w:r w:rsidR="00967F65">
        <w:rPr>
          <w:rFonts w:ascii="Verdana" w:hAnsi="Verdana"/>
          <w:sz w:val="20"/>
          <w:szCs w:val="20"/>
        </w:rPr>
        <w:t>regering</w:t>
      </w:r>
      <w:r w:rsidRPr="007B2191">
        <w:rPr>
          <w:rFonts w:ascii="Verdana" w:hAnsi="Verdana"/>
          <w:sz w:val="20"/>
          <w:szCs w:val="20"/>
        </w:rPr>
        <w:t xml:space="preserve"> het spanningsveld tussen het informeren en begeleiden versus het adviseren van de deelnemer bij het onderwerp keuzebegeleiding? Is dit </w:t>
      </w:r>
      <w:r w:rsidRPr="007B2191" w:rsidR="007B2191">
        <w:rPr>
          <w:rFonts w:ascii="Verdana" w:hAnsi="Verdana"/>
          <w:sz w:val="20"/>
          <w:szCs w:val="20"/>
        </w:rPr>
        <w:t>in de wet voldoende afgebakend?</w:t>
      </w:r>
    </w:p>
    <w:p w:rsidRPr="007B2191" w:rsidR="00C8679A" w:rsidP="0089061D" w:rsidRDefault="00C8679A" w14:paraId="148667C4" w14:textId="3C26C389">
      <w:pPr>
        <w:pStyle w:val="Geenafstand"/>
        <w:numPr>
          <w:ilvl w:val="0"/>
          <w:numId w:val="7"/>
        </w:numPr>
        <w:ind w:hanging="357"/>
        <w:rPr>
          <w:rFonts w:ascii="Verdana" w:hAnsi="Verdana"/>
          <w:sz w:val="20"/>
          <w:szCs w:val="20"/>
        </w:rPr>
      </w:pPr>
      <w:r w:rsidRPr="007B2191">
        <w:rPr>
          <w:rFonts w:ascii="Verdana" w:hAnsi="Verdana"/>
          <w:sz w:val="20"/>
          <w:szCs w:val="20"/>
        </w:rPr>
        <w:t>Hoe kan een pensioenuitvoerder een deelnemer de juiste standaardoptie toebedelen, als de pensioenuitvoerder geen totaaloverzicht heef</w:t>
      </w:r>
      <w:r w:rsidRPr="007B2191" w:rsidR="007B2191">
        <w:rPr>
          <w:rFonts w:ascii="Verdana" w:hAnsi="Verdana"/>
          <w:sz w:val="20"/>
          <w:szCs w:val="20"/>
        </w:rPr>
        <w:t>t van diens financiële positie?</w:t>
      </w:r>
    </w:p>
    <w:p w:rsidRPr="00B52935" w:rsidR="00C8679A" w:rsidP="00C8679A" w:rsidRDefault="00C8679A" w14:paraId="54AC48C6" w14:textId="77777777">
      <w:pPr>
        <w:rPr>
          <w:sz w:val="20"/>
          <w:szCs w:val="20"/>
        </w:rPr>
      </w:pPr>
    </w:p>
    <w:p w:rsidRPr="00B52935" w:rsidR="00C8679A" w:rsidP="00C8679A" w:rsidRDefault="00C8679A" w14:paraId="2E260BF9" w14:textId="06BA89DD">
      <w:pPr>
        <w:rPr>
          <w:b/>
          <w:bCs/>
          <w:sz w:val="20"/>
          <w:szCs w:val="20"/>
        </w:rPr>
      </w:pPr>
      <w:r w:rsidRPr="00B52935">
        <w:rPr>
          <w:b/>
          <w:bCs/>
          <w:sz w:val="20"/>
          <w:szCs w:val="20"/>
        </w:rPr>
        <w:t xml:space="preserve">Artikel 48b </w:t>
      </w:r>
      <w:r w:rsidR="00E3576E">
        <w:rPr>
          <w:b/>
          <w:bCs/>
          <w:sz w:val="20"/>
          <w:szCs w:val="20"/>
        </w:rPr>
        <w:t xml:space="preserve">- </w:t>
      </w:r>
      <w:r w:rsidRPr="00B52935">
        <w:rPr>
          <w:b/>
          <w:bCs/>
          <w:sz w:val="20"/>
          <w:szCs w:val="20"/>
        </w:rPr>
        <w:t>Klachten- en geschillenprocedure</w:t>
      </w:r>
    </w:p>
    <w:p w:rsidRPr="007B2191" w:rsidR="00C8679A" w:rsidP="0089061D" w:rsidRDefault="00C8679A" w14:paraId="23568378" w14:textId="3D05EDA1">
      <w:pPr>
        <w:pStyle w:val="Geenafstand"/>
        <w:numPr>
          <w:ilvl w:val="0"/>
          <w:numId w:val="7"/>
        </w:numPr>
        <w:ind w:hanging="357"/>
        <w:rPr>
          <w:rFonts w:ascii="Verdana" w:hAnsi="Verdana"/>
          <w:sz w:val="20"/>
          <w:szCs w:val="20"/>
        </w:rPr>
      </w:pPr>
      <w:r w:rsidRPr="007B2191">
        <w:rPr>
          <w:rFonts w:ascii="Verdana" w:hAnsi="Verdana"/>
          <w:sz w:val="20"/>
          <w:szCs w:val="20"/>
        </w:rPr>
        <w:t xml:space="preserve">Kan de </w:t>
      </w:r>
      <w:r w:rsidR="00967F65">
        <w:rPr>
          <w:rFonts w:ascii="Verdana" w:hAnsi="Verdana"/>
          <w:sz w:val="20"/>
          <w:szCs w:val="20"/>
        </w:rPr>
        <w:t>regering</w:t>
      </w:r>
      <w:r w:rsidRPr="007B2191">
        <w:rPr>
          <w:rFonts w:ascii="Verdana" w:hAnsi="Verdana"/>
          <w:sz w:val="20"/>
          <w:szCs w:val="20"/>
        </w:rPr>
        <w:t xml:space="preserve"> </w:t>
      </w:r>
      <w:r w:rsidRPr="007B2191" w:rsidR="006A6A20">
        <w:rPr>
          <w:rFonts w:ascii="Verdana" w:hAnsi="Verdana"/>
          <w:sz w:val="20"/>
          <w:szCs w:val="20"/>
        </w:rPr>
        <w:t xml:space="preserve">toelichten wie verantwoordelijk is voor de verhoogde uitvoeringskosten </w:t>
      </w:r>
      <w:r w:rsidRPr="007B2191" w:rsidR="00F9794D">
        <w:rPr>
          <w:rFonts w:ascii="Verdana" w:hAnsi="Verdana"/>
          <w:sz w:val="20"/>
          <w:szCs w:val="20"/>
        </w:rPr>
        <w:t xml:space="preserve">(zowel rechtspraak maar vooral geschillencommissie kosten) </w:t>
      </w:r>
      <w:r w:rsidRPr="007B2191" w:rsidR="006A6A20">
        <w:rPr>
          <w:rFonts w:ascii="Verdana" w:hAnsi="Verdana"/>
          <w:sz w:val="20"/>
          <w:szCs w:val="20"/>
        </w:rPr>
        <w:t xml:space="preserve">in het geval dat </w:t>
      </w:r>
      <w:r w:rsidRPr="007B2191">
        <w:rPr>
          <w:rFonts w:ascii="Verdana" w:hAnsi="Verdana"/>
          <w:sz w:val="20"/>
          <w:szCs w:val="20"/>
        </w:rPr>
        <w:t xml:space="preserve">de aanloop van klachten toch </w:t>
      </w:r>
      <w:r w:rsidRPr="007B2191" w:rsidR="006A6A20">
        <w:rPr>
          <w:rFonts w:ascii="Verdana" w:hAnsi="Verdana"/>
          <w:sz w:val="20"/>
          <w:szCs w:val="20"/>
        </w:rPr>
        <w:t>leidt</w:t>
      </w:r>
      <w:r w:rsidRPr="007B2191">
        <w:rPr>
          <w:rFonts w:ascii="Verdana" w:hAnsi="Verdana"/>
          <w:sz w:val="20"/>
          <w:szCs w:val="20"/>
        </w:rPr>
        <w:t xml:space="preserve"> tot overbelasting van de rechtspraak</w:t>
      </w:r>
      <w:r w:rsidRPr="007B2191" w:rsidR="006A6A20">
        <w:rPr>
          <w:rFonts w:ascii="Verdana" w:hAnsi="Verdana"/>
          <w:sz w:val="20"/>
          <w:szCs w:val="20"/>
        </w:rPr>
        <w:t>?</w:t>
      </w:r>
      <w:r w:rsidRPr="007B2191" w:rsidR="00404947">
        <w:rPr>
          <w:rFonts w:ascii="Verdana" w:hAnsi="Verdana"/>
          <w:sz w:val="20"/>
          <w:szCs w:val="20"/>
        </w:rPr>
        <w:t xml:space="preserve"> En </w:t>
      </w:r>
      <w:r w:rsidRPr="007B2191" w:rsidR="009C2B65">
        <w:rPr>
          <w:rFonts w:ascii="Verdana" w:hAnsi="Verdana"/>
          <w:sz w:val="20"/>
          <w:szCs w:val="20"/>
        </w:rPr>
        <w:t xml:space="preserve">kan de </w:t>
      </w:r>
      <w:r w:rsidR="00967F65">
        <w:rPr>
          <w:rFonts w:ascii="Verdana" w:hAnsi="Verdana"/>
          <w:sz w:val="20"/>
          <w:szCs w:val="20"/>
        </w:rPr>
        <w:t>regering</w:t>
      </w:r>
      <w:r w:rsidRPr="007B2191" w:rsidR="009C2B65">
        <w:rPr>
          <w:rFonts w:ascii="Verdana" w:hAnsi="Verdana"/>
          <w:sz w:val="20"/>
          <w:szCs w:val="20"/>
        </w:rPr>
        <w:t xml:space="preserve"> aangeven welk</w:t>
      </w:r>
      <w:r w:rsidRPr="007B2191" w:rsidR="00404947">
        <w:rPr>
          <w:rFonts w:ascii="Verdana" w:hAnsi="Verdana"/>
          <w:sz w:val="20"/>
          <w:szCs w:val="20"/>
        </w:rPr>
        <w:t xml:space="preserve"> actieplan klaar</w:t>
      </w:r>
      <w:r w:rsidRPr="007B2191" w:rsidR="009C2B65">
        <w:rPr>
          <w:rFonts w:ascii="Verdana" w:hAnsi="Verdana"/>
          <w:sz w:val="20"/>
          <w:szCs w:val="20"/>
        </w:rPr>
        <w:t xml:space="preserve"> ligt</w:t>
      </w:r>
      <w:r w:rsidRPr="007B2191" w:rsidR="00404947">
        <w:rPr>
          <w:rFonts w:ascii="Verdana" w:hAnsi="Verdana"/>
          <w:sz w:val="20"/>
          <w:szCs w:val="20"/>
        </w:rPr>
        <w:t xml:space="preserve"> om in dat geval de rechtspraak te ontlasten?</w:t>
      </w:r>
    </w:p>
    <w:p w:rsidR="0089061D" w:rsidP="006A6A20" w:rsidRDefault="0089061D" w14:paraId="0A6728FE" w14:textId="77777777">
      <w:pPr>
        <w:rPr>
          <w:rFonts w:cstheme="minorHAnsi"/>
          <w:b/>
          <w:bCs/>
          <w:sz w:val="20"/>
          <w:szCs w:val="20"/>
          <w:lang w:eastAsia="nl-NL"/>
        </w:rPr>
      </w:pPr>
    </w:p>
    <w:p w:rsidRPr="00B52935" w:rsidR="006A6A20" w:rsidP="006A6A20" w:rsidRDefault="006A6A20" w14:paraId="720D1E50" w14:textId="266EDA71">
      <w:pPr>
        <w:rPr>
          <w:rFonts w:cstheme="minorHAnsi"/>
          <w:b/>
          <w:bCs/>
          <w:sz w:val="20"/>
          <w:szCs w:val="20"/>
          <w:lang w:eastAsia="nl-NL"/>
        </w:rPr>
      </w:pPr>
      <w:r w:rsidRPr="00B52935">
        <w:rPr>
          <w:rFonts w:cstheme="minorHAnsi"/>
          <w:b/>
          <w:bCs/>
          <w:sz w:val="20"/>
          <w:szCs w:val="20"/>
          <w:lang w:eastAsia="nl-NL"/>
        </w:rPr>
        <w:t xml:space="preserve">Artikel 54 </w:t>
      </w:r>
      <w:r w:rsidR="00E3576E">
        <w:rPr>
          <w:rFonts w:cstheme="minorHAnsi"/>
          <w:b/>
          <w:bCs/>
          <w:sz w:val="20"/>
          <w:szCs w:val="20"/>
          <w:lang w:eastAsia="nl-NL"/>
        </w:rPr>
        <w:t xml:space="preserve">- </w:t>
      </w:r>
      <w:r w:rsidRPr="00B52935">
        <w:rPr>
          <w:rFonts w:cstheme="minorHAnsi"/>
          <w:b/>
          <w:bCs/>
          <w:sz w:val="20"/>
          <w:szCs w:val="20"/>
          <w:lang w:eastAsia="nl-NL"/>
        </w:rPr>
        <w:t>Aanpassing voorwaarden vrijwillige voortzetting pensioenregeling</w:t>
      </w:r>
    </w:p>
    <w:p w:rsidRPr="0089061D" w:rsidR="006A6A20" w:rsidP="0089061D" w:rsidRDefault="006A6A20" w14:paraId="427AD317" w14:textId="7152456F">
      <w:pPr>
        <w:pStyle w:val="Geenafstand"/>
        <w:numPr>
          <w:ilvl w:val="0"/>
          <w:numId w:val="7"/>
        </w:numPr>
        <w:ind w:hanging="357"/>
        <w:rPr>
          <w:rFonts w:ascii="Verdana" w:hAnsi="Verdana"/>
          <w:sz w:val="20"/>
          <w:szCs w:val="20"/>
        </w:rPr>
      </w:pPr>
      <w:r w:rsidRPr="00967F65">
        <w:rPr>
          <w:rFonts w:ascii="Verdana" w:hAnsi="Verdana"/>
          <w:sz w:val="20"/>
          <w:szCs w:val="20"/>
        </w:rPr>
        <w:t>Klopt het dat de reeds aangekondigde verbetervoorstellen (9 maanden naar 3 jaar en 10 naar 15 jaar) van vrijwillige voortzetting alleen van toepassing zijn op zelfstandigen die voorh</w:t>
      </w:r>
      <w:r w:rsidR="00967F65">
        <w:rPr>
          <w:rFonts w:ascii="Verdana" w:hAnsi="Verdana"/>
          <w:sz w:val="20"/>
          <w:szCs w:val="20"/>
        </w:rPr>
        <w:t>een werknemer zijn geweest?</w:t>
      </w:r>
    </w:p>
    <w:p w:rsidRPr="0089061D" w:rsidR="00441A4D" w:rsidP="0089061D" w:rsidRDefault="006A6A20" w14:paraId="4A691491" w14:textId="146E1527">
      <w:pPr>
        <w:pStyle w:val="Geenafstand"/>
        <w:numPr>
          <w:ilvl w:val="0"/>
          <w:numId w:val="7"/>
        </w:numPr>
        <w:ind w:hanging="357"/>
        <w:rPr>
          <w:rFonts w:ascii="Verdana" w:hAnsi="Verdana"/>
          <w:sz w:val="20"/>
          <w:szCs w:val="20"/>
        </w:rPr>
      </w:pPr>
      <w:r w:rsidRPr="00967F65">
        <w:rPr>
          <w:rFonts w:ascii="Verdana" w:hAnsi="Verdana"/>
          <w:sz w:val="20"/>
          <w:szCs w:val="20"/>
        </w:rPr>
        <w:t xml:space="preserve">Een vrijwillige voortzetting voor de risicodekking voor het </w:t>
      </w:r>
      <w:r w:rsidR="005770E4">
        <w:rPr>
          <w:rFonts w:ascii="Verdana" w:hAnsi="Verdana"/>
          <w:sz w:val="20"/>
          <w:szCs w:val="20"/>
        </w:rPr>
        <w:t>nabestaandenpensioen (</w:t>
      </w:r>
      <w:r w:rsidRPr="00967F65">
        <w:rPr>
          <w:rFonts w:ascii="Verdana" w:hAnsi="Verdana"/>
          <w:sz w:val="20"/>
          <w:szCs w:val="20"/>
        </w:rPr>
        <w:t>NP</w:t>
      </w:r>
      <w:r w:rsidR="005770E4">
        <w:rPr>
          <w:rFonts w:ascii="Verdana" w:hAnsi="Verdana"/>
          <w:sz w:val="20"/>
          <w:szCs w:val="20"/>
        </w:rPr>
        <w:t>)</w:t>
      </w:r>
      <w:r w:rsidRPr="00967F65">
        <w:rPr>
          <w:rFonts w:ascii="Verdana" w:hAnsi="Verdana"/>
          <w:sz w:val="20"/>
          <w:szCs w:val="20"/>
        </w:rPr>
        <w:t xml:space="preserve"> door middels van uitruil wordt door de </w:t>
      </w:r>
      <w:r w:rsidR="00967F65">
        <w:rPr>
          <w:rFonts w:ascii="Verdana" w:hAnsi="Verdana"/>
          <w:sz w:val="20"/>
          <w:szCs w:val="20"/>
        </w:rPr>
        <w:t>regering</w:t>
      </w:r>
      <w:r w:rsidRPr="00967F65">
        <w:rPr>
          <w:rFonts w:ascii="Verdana" w:hAnsi="Verdana"/>
          <w:sz w:val="20"/>
          <w:szCs w:val="20"/>
        </w:rPr>
        <w:t xml:space="preserve"> niet beperkt in de tijd (decentrale partners kunnen dit wel overeenkomen) (p. 169). Kan de </w:t>
      </w:r>
      <w:r w:rsidR="00967F65">
        <w:rPr>
          <w:rFonts w:ascii="Verdana" w:hAnsi="Verdana"/>
          <w:sz w:val="20"/>
          <w:szCs w:val="20"/>
        </w:rPr>
        <w:t>regering</w:t>
      </w:r>
      <w:r w:rsidRPr="00967F65">
        <w:rPr>
          <w:rFonts w:ascii="Verdana" w:hAnsi="Verdana"/>
          <w:sz w:val="20"/>
          <w:szCs w:val="20"/>
        </w:rPr>
        <w:t xml:space="preserve"> toelichten waarom de vrijwillige voortzetting voor het </w:t>
      </w:r>
      <w:r w:rsidR="005770E4">
        <w:rPr>
          <w:rFonts w:ascii="Verdana" w:hAnsi="Verdana"/>
          <w:sz w:val="20"/>
          <w:szCs w:val="20"/>
        </w:rPr>
        <w:t>ouderdomspensioen (</w:t>
      </w:r>
      <w:r w:rsidRPr="00967F65">
        <w:rPr>
          <w:rFonts w:ascii="Verdana" w:hAnsi="Verdana"/>
          <w:sz w:val="20"/>
          <w:szCs w:val="20"/>
        </w:rPr>
        <w:t>OP</w:t>
      </w:r>
      <w:r w:rsidR="005770E4">
        <w:rPr>
          <w:rFonts w:ascii="Verdana" w:hAnsi="Verdana"/>
          <w:sz w:val="20"/>
          <w:szCs w:val="20"/>
        </w:rPr>
        <w:t>)</w:t>
      </w:r>
      <w:r w:rsidRPr="00967F65">
        <w:rPr>
          <w:rFonts w:ascii="Verdana" w:hAnsi="Verdana"/>
          <w:sz w:val="20"/>
          <w:szCs w:val="20"/>
        </w:rPr>
        <w:t xml:space="preserve"> door een zelfstandige wel beperkt is in de tijd </w:t>
      </w:r>
      <w:r w:rsidR="00967F65">
        <w:rPr>
          <w:rFonts w:ascii="Verdana" w:hAnsi="Verdana"/>
          <w:sz w:val="20"/>
          <w:szCs w:val="20"/>
        </w:rPr>
        <w:t>met 15 jaar vanuit de regering?</w:t>
      </w:r>
    </w:p>
    <w:p w:rsidR="00441A4D" w:rsidP="0089061D" w:rsidRDefault="00441A4D" w14:paraId="0748B678" w14:textId="5B27DFC9">
      <w:pPr>
        <w:pStyle w:val="Geenafstand"/>
        <w:numPr>
          <w:ilvl w:val="0"/>
          <w:numId w:val="7"/>
        </w:numPr>
        <w:ind w:hanging="357"/>
        <w:rPr>
          <w:rFonts w:ascii="Verdana" w:hAnsi="Verdana"/>
          <w:sz w:val="20"/>
          <w:szCs w:val="20"/>
        </w:rPr>
      </w:pPr>
      <w:r w:rsidRPr="00967F65">
        <w:rPr>
          <w:rFonts w:ascii="Verdana" w:hAnsi="Verdana"/>
          <w:sz w:val="20"/>
          <w:szCs w:val="20"/>
        </w:rPr>
        <w:t>Is beoogd dat voor elke vrijwillige regeling een actuariële premie mag worden gehanteerd?</w:t>
      </w:r>
    </w:p>
    <w:p w:rsidR="00A23244" w:rsidP="00A23244" w:rsidRDefault="00A23244" w14:paraId="23C101DB" w14:textId="58AD1FE5">
      <w:pPr>
        <w:pStyle w:val="Geenafstand"/>
        <w:rPr>
          <w:rFonts w:ascii="Verdana" w:hAnsi="Verdana"/>
          <w:sz w:val="20"/>
          <w:szCs w:val="20"/>
        </w:rPr>
      </w:pPr>
    </w:p>
    <w:p w:rsidR="00AD39F6" w:rsidP="00A23244" w:rsidRDefault="00AD39F6" w14:paraId="04AD7348" w14:textId="77777777">
      <w:pPr>
        <w:pStyle w:val="Geenafstand"/>
        <w:rPr>
          <w:rFonts w:ascii="Verdana" w:hAnsi="Verdana"/>
          <w:sz w:val="20"/>
          <w:szCs w:val="20"/>
        </w:rPr>
      </w:pPr>
    </w:p>
    <w:p w:rsidRPr="00B52935" w:rsidR="00A23244" w:rsidP="00A23244" w:rsidRDefault="00A23244" w14:paraId="3D137092" w14:textId="77777777">
      <w:pPr>
        <w:rPr>
          <w:b/>
          <w:sz w:val="20"/>
          <w:szCs w:val="20"/>
        </w:rPr>
      </w:pPr>
      <w:r w:rsidRPr="00B52935">
        <w:rPr>
          <w:b/>
          <w:sz w:val="20"/>
          <w:szCs w:val="20"/>
        </w:rPr>
        <w:lastRenderedPageBreak/>
        <w:t xml:space="preserve">Artikel </w:t>
      </w:r>
      <w:r>
        <w:rPr>
          <w:b/>
          <w:sz w:val="20"/>
          <w:szCs w:val="20"/>
        </w:rPr>
        <w:t xml:space="preserve">81b - </w:t>
      </w:r>
      <w:r w:rsidRPr="00097808">
        <w:rPr>
          <w:b/>
          <w:sz w:val="20"/>
          <w:szCs w:val="20"/>
        </w:rPr>
        <w:t>Bevoegdheid tot waardeoverdracht voor tussentijdse omzetting in pensioenuitkering</w:t>
      </w:r>
    </w:p>
    <w:p w:rsidRPr="00590201" w:rsidR="00A23244" w:rsidP="00A23244" w:rsidRDefault="00A23244" w14:paraId="2DD25DB1" w14:textId="77777777">
      <w:pPr>
        <w:pStyle w:val="Geenafstand"/>
        <w:numPr>
          <w:ilvl w:val="0"/>
          <w:numId w:val="7"/>
        </w:numPr>
        <w:ind w:hanging="357"/>
        <w:rPr>
          <w:rFonts w:ascii="Verdana" w:hAnsi="Verdana"/>
          <w:sz w:val="20"/>
          <w:szCs w:val="20"/>
        </w:rPr>
      </w:pPr>
      <w:r w:rsidRPr="00590201">
        <w:rPr>
          <w:rFonts w:ascii="Verdana" w:hAnsi="Verdana"/>
          <w:sz w:val="20"/>
          <w:szCs w:val="20"/>
        </w:rPr>
        <w:t>Kan een premie</w:t>
      </w:r>
      <w:r>
        <w:rPr>
          <w:rFonts w:ascii="Verdana" w:hAnsi="Verdana"/>
          <w:sz w:val="20"/>
          <w:szCs w:val="20"/>
        </w:rPr>
        <w:t>-</w:t>
      </w:r>
      <w:r w:rsidRPr="00590201">
        <w:rPr>
          <w:rFonts w:ascii="Verdana" w:hAnsi="Verdana"/>
          <w:sz w:val="20"/>
          <w:szCs w:val="20"/>
        </w:rPr>
        <w:t xml:space="preserve">uitkeringsovereenkomst ook door een PPI worden uitgevoerd? Kan de </w:t>
      </w:r>
      <w:r>
        <w:rPr>
          <w:rFonts w:ascii="Verdana" w:hAnsi="Verdana"/>
          <w:sz w:val="20"/>
          <w:szCs w:val="20"/>
        </w:rPr>
        <w:t>regering</w:t>
      </w:r>
      <w:r w:rsidRPr="00590201">
        <w:rPr>
          <w:rFonts w:ascii="Verdana" w:hAnsi="Verdana"/>
          <w:sz w:val="20"/>
          <w:szCs w:val="20"/>
        </w:rPr>
        <w:t xml:space="preserve"> toelichten waarom artikel 81b P</w:t>
      </w:r>
      <w:r>
        <w:rPr>
          <w:rFonts w:ascii="Verdana" w:hAnsi="Verdana"/>
          <w:sz w:val="20"/>
          <w:szCs w:val="20"/>
        </w:rPr>
        <w:t>ensioenwet (P</w:t>
      </w:r>
      <w:r w:rsidRPr="00590201">
        <w:rPr>
          <w:rFonts w:ascii="Verdana" w:hAnsi="Verdana"/>
          <w:sz w:val="20"/>
          <w:szCs w:val="20"/>
        </w:rPr>
        <w:t>W</w:t>
      </w:r>
      <w:r>
        <w:rPr>
          <w:rFonts w:ascii="Verdana" w:hAnsi="Verdana"/>
          <w:sz w:val="20"/>
          <w:szCs w:val="20"/>
        </w:rPr>
        <w:t>)</w:t>
      </w:r>
      <w:r w:rsidRPr="00590201">
        <w:rPr>
          <w:rFonts w:ascii="Verdana" w:hAnsi="Verdana"/>
          <w:sz w:val="20"/>
          <w:szCs w:val="20"/>
        </w:rPr>
        <w:t xml:space="preserve"> wordt geschrapt en hoe dat zich verhoudt tot het oorspronkelijke amendement Lodders uit 2015 en daarbij specifiek toelichten wat de </w:t>
      </w:r>
      <w:r>
        <w:rPr>
          <w:rFonts w:ascii="Verdana" w:hAnsi="Verdana"/>
          <w:sz w:val="20"/>
          <w:szCs w:val="20"/>
        </w:rPr>
        <w:t>regering</w:t>
      </w:r>
      <w:r w:rsidRPr="00590201">
        <w:rPr>
          <w:rFonts w:ascii="Verdana" w:hAnsi="Verdana"/>
          <w:sz w:val="20"/>
          <w:szCs w:val="20"/>
        </w:rPr>
        <w:t xml:space="preserve"> bedoelt met de begrippen ‘pensioenuitkering’ en ‘pensioenrecht’?</w:t>
      </w:r>
    </w:p>
    <w:p w:rsidRPr="00B52935" w:rsidR="00A23244" w:rsidP="00A23244" w:rsidRDefault="00A23244" w14:paraId="7A61222B" w14:textId="77777777">
      <w:pPr>
        <w:rPr>
          <w:sz w:val="20"/>
          <w:szCs w:val="20"/>
        </w:rPr>
      </w:pPr>
    </w:p>
    <w:p w:rsidRPr="00B52935" w:rsidR="00A23244" w:rsidP="00A23244" w:rsidRDefault="00A23244" w14:paraId="7B68C7C6" w14:textId="77777777">
      <w:pPr>
        <w:rPr>
          <w:sz w:val="20"/>
          <w:szCs w:val="20"/>
          <w:u w:val="single"/>
        </w:rPr>
      </w:pPr>
      <w:r w:rsidRPr="00B52935">
        <w:rPr>
          <w:sz w:val="20"/>
          <w:szCs w:val="20"/>
          <w:u w:val="single"/>
        </w:rPr>
        <w:t>Toelichting</w:t>
      </w:r>
      <w:r>
        <w:rPr>
          <w:sz w:val="20"/>
          <w:szCs w:val="20"/>
          <w:u w:val="single"/>
        </w:rPr>
        <w:t xml:space="preserve"> op vraag 2</w:t>
      </w:r>
      <w:r w:rsidRPr="00B52935">
        <w:rPr>
          <w:sz w:val="20"/>
          <w:szCs w:val="20"/>
          <w:u w:val="single"/>
        </w:rPr>
        <w:t xml:space="preserve"> </w:t>
      </w:r>
    </w:p>
    <w:p w:rsidRPr="00B52935" w:rsidR="00A23244" w:rsidP="00A23244" w:rsidRDefault="00A23244" w14:paraId="7DC4F661" w14:textId="77777777">
      <w:pPr>
        <w:rPr>
          <w:i/>
          <w:iCs/>
          <w:sz w:val="20"/>
          <w:szCs w:val="20"/>
        </w:rPr>
      </w:pPr>
      <w:r w:rsidRPr="00B52935">
        <w:rPr>
          <w:sz w:val="20"/>
          <w:szCs w:val="20"/>
        </w:rPr>
        <w:t>In de M</w:t>
      </w:r>
      <w:r>
        <w:rPr>
          <w:sz w:val="20"/>
          <w:szCs w:val="20"/>
        </w:rPr>
        <w:t>emorie van Toelichting (M</w:t>
      </w:r>
      <w:r w:rsidRPr="00B52935">
        <w:rPr>
          <w:sz w:val="20"/>
          <w:szCs w:val="20"/>
        </w:rPr>
        <w:t>vT</w:t>
      </w:r>
      <w:r>
        <w:rPr>
          <w:sz w:val="20"/>
          <w:szCs w:val="20"/>
        </w:rPr>
        <w:t>)</w:t>
      </w:r>
      <w:r w:rsidRPr="00B52935">
        <w:rPr>
          <w:sz w:val="20"/>
          <w:szCs w:val="20"/>
        </w:rPr>
        <w:t xml:space="preserve"> geeft men aan dat; “</w:t>
      </w:r>
      <w:r w:rsidRPr="00B52935">
        <w:rPr>
          <w:i/>
          <w:iCs/>
          <w:sz w:val="20"/>
          <w:szCs w:val="20"/>
        </w:rPr>
        <w:t xml:space="preserve">in artikel 81b PW en artikel 89 Wvb is een regeling getroffen voor de tussentijdse (voor de pensioendatum) omzetting van de pensioenaanspraken op grond van een premieovereenkomst in aanspraken op een vastgestelde uitkering vanaf de pensioendatum”. </w:t>
      </w:r>
    </w:p>
    <w:p w:rsidRPr="00B52935" w:rsidR="00A23244" w:rsidP="00A23244" w:rsidRDefault="00A23244" w14:paraId="082CE665" w14:textId="77777777">
      <w:pPr>
        <w:rPr>
          <w:sz w:val="20"/>
          <w:szCs w:val="20"/>
        </w:rPr>
      </w:pPr>
      <w:r w:rsidRPr="00B52935">
        <w:rPr>
          <w:sz w:val="20"/>
          <w:szCs w:val="20"/>
        </w:rPr>
        <w:br/>
        <w:t>In de Nota naar aanleiding van het verslag; “</w:t>
      </w:r>
      <w:r w:rsidRPr="00B52935">
        <w:rPr>
          <w:i/>
          <w:iCs/>
          <w:sz w:val="20"/>
          <w:szCs w:val="20"/>
        </w:rPr>
        <w:t xml:space="preserve">is het ook in het huidig wettelijk kader voor premiepensioeninstellingen niet toegestaan om tussentijds om te zetten of over te dragen. Het huidige artikel 81b was gezien de toelichting bij het amendement Lodders, daarvoor wel bedoeld maar voorziet, gezien de wettekst, alleen in de mogelijkheid om het pensioenkapitaal op de pensioendatum om te zetten naar een uitkering. Het eerste lid geeft namelijk aan dat waardeoverdracht mogelijk is op de datum van omzetting van de aanspraken in een pensioenuitkering. Daarvan is feitelijk alleen sprake op de pensioendatum.” </w:t>
      </w:r>
      <w:r w:rsidRPr="00B52935">
        <w:rPr>
          <w:sz w:val="20"/>
          <w:szCs w:val="20"/>
        </w:rPr>
        <w:t>Dit laatste berust op een misvatting. Het kopje van artikel 81b luidt “</w:t>
      </w:r>
      <w:r w:rsidRPr="00B52935">
        <w:rPr>
          <w:i/>
          <w:iCs/>
          <w:sz w:val="20"/>
          <w:szCs w:val="20"/>
        </w:rPr>
        <w:t xml:space="preserve">Bevoegdheid tot waardeoverdracht voor </w:t>
      </w:r>
      <w:r w:rsidRPr="00B52935">
        <w:rPr>
          <w:i/>
          <w:iCs/>
          <w:sz w:val="20"/>
          <w:szCs w:val="20"/>
          <w:u w:val="single"/>
        </w:rPr>
        <w:t>tussentijdse</w:t>
      </w:r>
      <w:r w:rsidRPr="00B52935">
        <w:rPr>
          <w:i/>
          <w:iCs/>
          <w:sz w:val="20"/>
          <w:szCs w:val="20"/>
        </w:rPr>
        <w:t xml:space="preserve"> omzetting in een pensioenuitkering”. </w:t>
      </w:r>
      <w:r w:rsidRPr="00B52935">
        <w:rPr>
          <w:sz w:val="20"/>
          <w:szCs w:val="20"/>
        </w:rPr>
        <w:t xml:space="preserve"> </w:t>
      </w:r>
    </w:p>
    <w:p w:rsidRPr="00B52935" w:rsidR="00A23244" w:rsidP="00A23244" w:rsidRDefault="00A23244" w14:paraId="3D8F6D9C" w14:textId="77777777">
      <w:pPr>
        <w:rPr>
          <w:sz w:val="20"/>
          <w:szCs w:val="20"/>
        </w:rPr>
      </w:pPr>
    </w:p>
    <w:p w:rsidRPr="00A23244" w:rsidR="00A23244" w:rsidP="00A23244" w:rsidRDefault="00A23244" w14:paraId="16166D17" w14:textId="33FCBA97">
      <w:pPr>
        <w:pStyle w:val="Geenafstand"/>
        <w:numPr>
          <w:ilvl w:val="0"/>
          <w:numId w:val="7"/>
        </w:numPr>
        <w:ind w:hanging="357"/>
        <w:rPr>
          <w:rFonts w:ascii="Verdana" w:hAnsi="Verdana"/>
          <w:sz w:val="20"/>
          <w:szCs w:val="20"/>
        </w:rPr>
      </w:pPr>
      <w:r w:rsidRPr="00590201">
        <w:rPr>
          <w:rFonts w:ascii="Verdana" w:hAnsi="Verdana"/>
          <w:sz w:val="20"/>
          <w:szCs w:val="20"/>
        </w:rPr>
        <w:t xml:space="preserve">Deze interpretatie van artikel 81b lijkt niet te stroken met het amendement Lodders. De begrippen ‘pensioenuitkering’ en het begrip ‘pensioenrecht’ lijken met elkaar verward te worden. Wil de </w:t>
      </w:r>
      <w:r>
        <w:rPr>
          <w:rFonts w:ascii="Verdana" w:hAnsi="Verdana"/>
          <w:sz w:val="20"/>
          <w:szCs w:val="20"/>
        </w:rPr>
        <w:t>regering</w:t>
      </w:r>
      <w:r w:rsidRPr="00590201">
        <w:rPr>
          <w:rFonts w:ascii="Verdana" w:hAnsi="Verdana"/>
          <w:sz w:val="20"/>
          <w:szCs w:val="20"/>
        </w:rPr>
        <w:t xml:space="preserve"> hier duidelijkheid op verschaffen en waar nodig dit aanpassen?</w:t>
      </w:r>
    </w:p>
    <w:p w:rsidRPr="00967F65" w:rsidR="0089061D" w:rsidP="0089061D" w:rsidRDefault="0089061D" w14:paraId="50E82B89" w14:textId="77777777">
      <w:pPr>
        <w:pStyle w:val="Geenafstand"/>
        <w:ind w:left="357"/>
        <w:rPr>
          <w:rFonts w:ascii="Verdana" w:hAnsi="Verdana"/>
          <w:sz w:val="20"/>
          <w:szCs w:val="20"/>
        </w:rPr>
      </w:pPr>
    </w:p>
    <w:p w:rsidRPr="00B52935" w:rsidR="004062AF" w:rsidP="004062AF" w:rsidRDefault="004062AF" w14:paraId="07307C21" w14:textId="15B0E1A2">
      <w:pPr>
        <w:pStyle w:val="Geenafstand"/>
        <w:rPr>
          <w:rFonts w:ascii="Verdana" w:hAnsi="Verdana"/>
          <w:b/>
          <w:bCs/>
          <w:sz w:val="20"/>
          <w:szCs w:val="20"/>
          <w:lang w:eastAsia="nl-NL"/>
        </w:rPr>
      </w:pPr>
      <w:r w:rsidRPr="00B52935">
        <w:rPr>
          <w:rFonts w:ascii="Verdana" w:hAnsi="Verdana"/>
          <w:b/>
          <w:bCs/>
          <w:sz w:val="20"/>
          <w:szCs w:val="20"/>
          <w:lang w:eastAsia="nl-NL"/>
        </w:rPr>
        <w:t>Artikel 120</w:t>
      </w:r>
      <w:r w:rsidR="00E3576E">
        <w:rPr>
          <w:rFonts w:ascii="Verdana" w:hAnsi="Verdana"/>
          <w:b/>
          <w:bCs/>
          <w:sz w:val="20"/>
          <w:szCs w:val="20"/>
          <w:lang w:eastAsia="nl-NL"/>
        </w:rPr>
        <w:t xml:space="preserve"> -</w:t>
      </w:r>
      <w:r w:rsidRPr="00B52935">
        <w:rPr>
          <w:rFonts w:ascii="Verdana" w:hAnsi="Verdana"/>
          <w:b/>
          <w:bCs/>
          <w:sz w:val="20"/>
          <w:szCs w:val="20"/>
          <w:lang w:eastAsia="nl-NL"/>
        </w:rPr>
        <w:t xml:space="preserve"> Eisen taakafbakening</w:t>
      </w:r>
    </w:p>
    <w:p w:rsidRPr="0089061D" w:rsidR="004062AF" w:rsidP="0089061D" w:rsidRDefault="004062AF" w14:paraId="06747EF2" w14:textId="697BE254">
      <w:pPr>
        <w:pStyle w:val="Geenafstand"/>
        <w:numPr>
          <w:ilvl w:val="0"/>
          <w:numId w:val="7"/>
        </w:numPr>
        <w:ind w:hanging="357"/>
        <w:rPr>
          <w:rFonts w:ascii="Verdana" w:hAnsi="Verdana"/>
          <w:sz w:val="20"/>
          <w:szCs w:val="20"/>
        </w:rPr>
      </w:pPr>
      <w:r w:rsidRPr="00967F65">
        <w:rPr>
          <w:rFonts w:ascii="Verdana" w:hAnsi="Verdana"/>
          <w:sz w:val="20"/>
          <w:szCs w:val="20"/>
        </w:rPr>
        <w:t xml:space="preserve">Kan de </w:t>
      </w:r>
      <w:r w:rsidR="00967F65">
        <w:rPr>
          <w:rFonts w:ascii="Verdana" w:hAnsi="Verdana"/>
          <w:sz w:val="20"/>
          <w:szCs w:val="20"/>
        </w:rPr>
        <w:t>regering</w:t>
      </w:r>
      <w:r w:rsidRPr="00967F65">
        <w:rPr>
          <w:rFonts w:ascii="Verdana" w:hAnsi="Verdana"/>
          <w:sz w:val="20"/>
          <w:szCs w:val="20"/>
        </w:rPr>
        <w:t xml:space="preserve"> toelichten hoe wordt voorkomen dat taakafbakeningseisen (bijvoorbeeld de 10% werkgeversbijdrage of het moeten spiegelen van de basisregeling), de praktische uitvoering van een netto pe</w:t>
      </w:r>
      <w:r w:rsidR="00967F65">
        <w:rPr>
          <w:rFonts w:ascii="Verdana" w:hAnsi="Verdana"/>
          <w:sz w:val="20"/>
          <w:szCs w:val="20"/>
        </w:rPr>
        <w:t>nsioenregeling in de weg staan?</w:t>
      </w:r>
      <w:r w:rsidRPr="0089061D" w:rsidR="00967F65">
        <w:rPr>
          <w:rFonts w:ascii="Verdana" w:hAnsi="Verdana"/>
          <w:sz w:val="20"/>
          <w:szCs w:val="20"/>
        </w:rPr>
        <w:t xml:space="preserve"> </w:t>
      </w:r>
    </w:p>
    <w:p w:rsidRPr="00967F65" w:rsidR="004062AF" w:rsidP="0089061D" w:rsidRDefault="004062AF" w14:paraId="2F7EBE34" w14:textId="457651AB">
      <w:pPr>
        <w:pStyle w:val="Geenafstand"/>
        <w:numPr>
          <w:ilvl w:val="0"/>
          <w:numId w:val="7"/>
        </w:numPr>
        <w:ind w:hanging="357"/>
        <w:rPr>
          <w:rFonts w:ascii="Verdana" w:hAnsi="Verdana"/>
          <w:sz w:val="20"/>
          <w:szCs w:val="20"/>
        </w:rPr>
      </w:pPr>
      <w:r w:rsidRPr="00967F65">
        <w:rPr>
          <w:rFonts w:ascii="Verdana" w:hAnsi="Verdana"/>
          <w:sz w:val="20"/>
          <w:szCs w:val="20"/>
        </w:rPr>
        <w:t>Hoe verhoudt de taakaf</w:t>
      </w:r>
      <w:r w:rsidR="00AD39F6">
        <w:rPr>
          <w:rFonts w:ascii="Verdana" w:hAnsi="Verdana"/>
          <w:sz w:val="20"/>
          <w:szCs w:val="20"/>
        </w:rPr>
        <w:t>bakening zich tot mogelijke opt-</w:t>
      </w:r>
      <w:r w:rsidRPr="00967F65">
        <w:rPr>
          <w:rFonts w:ascii="Verdana" w:hAnsi="Verdana"/>
          <w:sz w:val="20"/>
          <w:szCs w:val="20"/>
        </w:rPr>
        <w:t>in mogelijkheden (huidige experimenteerwetgeving met vrijwillige voortzetting, vrijwillige aansluiting en vrijwi</w:t>
      </w:r>
      <w:r w:rsidR="00AD39F6">
        <w:rPr>
          <w:rFonts w:ascii="Verdana" w:hAnsi="Verdana"/>
          <w:sz w:val="20"/>
          <w:szCs w:val="20"/>
        </w:rPr>
        <w:t>llige aanschrijving) versus opt-</w:t>
      </w:r>
      <w:r w:rsidRPr="00967F65">
        <w:rPr>
          <w:rFonts w:ascii="Verdana" w:hAnsi="Verdana"/>
          <w:sz w:val="20"/>
          <w:szCs w:val="20"/>
        </w:rPr>
        <w:t>out mogelijkheden (zoals vrijwillige voortzetting als default (voorstel dhr. Nijboer) o</w:t>
      </w:r>
      <w:r w:rsidR="00AD39F6">
        <w:rPr>
          <w:rFonts w:ascii="Verdana" w:hAnsi="Verdana"/>
          <w:sz w:val="20"/>
          <w:szCs w:val="20"/>
        </w:rPr>
        <w:t>f automatische deelname met opt-</w:t>
      </w:r>
      <w:r w:rsidRPr="00967F65">
        <w:rPr>
          <w:rFonts w:ascii="Verdana" w:hAnsi="Verdana"/>
          <w:sz w:val="20"/>
          <w:szCs w:val="20"/>
        </w:rPr>
        <w:t xml:space="preserve">out versus de deelnameplicht van werknemers in een </w:t>
      </w:r>
      <w:r w:rsidRPr="00967F65" w:rsidR="00413501">
        <w:rPr>
          <w:rFonts w:ascii="Verdana" w:hAnsi="Verdana"/>
          <w:sz w:val="20"/>
          <w:szCs w:val="20"/>
        </w:rPr>
        <w:t>verplicht</w:t>
      </w:r>
      <w:r w:rsidRPr="00967F65" w:rsidR="00404947">
        <w:rPr>
          <w:rFonts w:ascii="Verdana" w:hAnsi="Verdana"/>
          <w:sz w:val="20"/>
          <w:szCs w:val="20"/>
        </w:rPr>
        <w:t xml:space="preserve"> </w:t>
      </w:r>
      <w:r w:rsidRPr="00967F65" w:rsidR="00413501">
        <w:rPr>
          <w:rFonts w:ascii="Verdana" w:hAnsi="Verdana"/>
          <w:sz w:val="20"/>
          <w:szCs w:val="20"/>
        </w:rPr>
        <w:t>gesteld</w:t>
      </w:r>
      <w:r w:rsidR="00967F65">
        <w:rPr>
          <w:rFonts w:ascii="Verdana" w:hAnsi="Verdana"/>
          <w:sz w:val="20"/>
          <w:szCs w:val="20"/>
        </w:rPr>
        <w:t xml:space="preserve"> pensioenfonds?</w:t>
      </w:r>
    </w:p>
    <w:p w:rsidRPr="00B52935" w:rsidR="004062AF" w:rsidP="004062AF" w:rsidRDefault="004062AF" w14:paraId="348EF5A7" w14:textId="69EDB9D5">
      <w:pPr>
        <w:pStyle w:val="Geenafstand"/>
        <w:rPr>
          <w:rFonts w:ascii="Verdana" w:hAnsi="Verdana"/>
          <w:sz w:val="20"/>
          <w:szCs w:val="20"/>
          <w:lang w:eastAsia="nl-NL"/>
        </w:rPr>
      </w:pPr>
    </w:p>
    <w:p w:rsidRPr="00B52935" w:rsidR="00413501" w:rsidP="00413501" w:rsidRDefault="00413501" w14:paraId="5769DEA1" w14:textId="78116756">
      <w:pPr>
        <w:rPr>
          <w:rFonts w:cstheme="minorHAnsi"/>
          <w:b/>
          <w:bCs/>
          <w:sz w:val="20"/>
          <w:szCs w:val="20"/>
          <w:lang w:eastAsia="nl-NL"/>
        </w:rPr>
      </w:pPr>
      <w:r w:rsidRPr="00B52935">
        <w:rPr>
          <w:rFonts w:cstheme="minorHAnsi"/>
          <w:b/>
          <w:bCs/>
          <w:sz w:val="20"/>
          <w:szCs w:val="20"/>
        </w:rPr>
        <w:t xml:space="preserve">Artikel 123 </w:t>
      </w:r>
      <w:r w:rsidR="00E3576E">
        <w:rPr>
          <w:rFonts w:cstheme="minorHAnsi"/>
          <w:b/>
          <w:bCs/>
          <w:sz w:val="20"/>
          <w:szCs w:val="20"/>
        </w:rPr>
        <w:t xml:space="preserve">- </w:t>
      </w:r>
      <w:r w:rsidRPr="00B52935">
        <w:rPr>
          <w:rFonts w:cstheme="minorHAnsi"/>
          <w:b/>
          <w:bCs/>
          <w:sz w:val="20"/>
          <w:szCs w:val="20"/>
          <w:lang w:eastAsia="nl-NL"/>
        </w:rPr>
        <w:t>Aanpassing eisen een financieel geheel</w:t>
      </w:r>
    </w:p>
    <w:p w:rsidRPr="0089061D" w:rsidR="00413501" w:rsidP="0089061D" w:rsidRDefault="00413501" w14:paraId="51AE8405" w14:textId="1739C0A3">
      <w:pPr>
        <w:pStyle w:val="Geenafstand"/>
        <w:numPr>
          <w:ilvl w:val="0"/>
          <w:numId w:val="7"/>
        </w:numPr>
        <w:ind w:hanging="357"/>
        <w:rPr>
          <w:rFonts w:ascii="Verdana" w:hAnsi="Verdana"/>
          <w:sz w:val="20"/>
          <w:szCs w:val="20"/>
        </w:rPr>
      </w:pPr>
      <w:r w:rsidRPr="00967F65">
        <w:rPr>
          <w:rFonts w:ascii="Verdana" w:hAnsi="Verdana"/>
          <w:sz w:val="20"/>
          <w:szCs w:val="20"/>
        </w:rPr>
        <w:t xml:space="preserve">Kan de </w:t>
      </w:r>
      <w:r w:rsidR="00967F65">
        <w:rPr>
          <w:rFonts w:ascii="Verdana" w:hAnsi="Verdana"/>
          <w:sz w:val="20"/>
          <w:szCs w:val="20"/>
        </w:rPr>
        <w:t>regering</w:t>
      </w:r>
      <w:r w:rsidRPr="00967F65">
        <w:rPr>
          <w:rFonts w:ascii="Verdana" w:hAnsi="Verdana"/>
          <w:sz w:val="20"/>
          <w:szCs w:val="20"/>
        </w:rPr>
        <w:t xml:space="preserve"> toelichten </w:t>
      </w:r>
      <w:r w:rsidR="00AD39F6">
        <w:rPr>
          <w:rFonts w:ascii="Verdana" w:hAnsi="Verdana"/>
          <w:sz w:val="20"/>
          <w:szCs w:val="20"/>
        </w:rPr>
        <w:t>waarom een onderscheid</w:t>
      </w:r>
      <w:r w:rsidRPr="00967F65">
        <w:rPr>
          <w:rFonts w:ascii="Verdana" w:hAnsi="Verdana"/>
          <w:sz w:val="20"/>
          <w:szCs w:val="20"/>
        </w:rPr>
        <w:t xml:space="preserve"> wordt gemaakt tussen PPI en </w:t>
      </w:r>
      <w:r w:rsidR="00527B81">
        <w:rPr>
          <w:rFonts w:ascii="Verdana" w:hAnsi="Verdana"/>
          <w:sz w:val="20"/>
          <w:szCs w:val="20"/>
        </w:rPr>
        <w:t>een Algemeen Pensioenfonds (</w:t>
      </w:r>
      <w:r w:rsidRPr="00967F65">
        <w:rPr>
          <w:rFonts w:ascii="Verdana" w:hAnsi="Verdana"/>
          <w:sz w:val="20"/>
          <w:szCs w:val="20"/>
        </w:rPr>
        <w:t>APF</w:t>
      </w:r>
      <w:r w:rsidR="00527B81">
        <w:rPr>
          <w:rFonts w:ascii="Verdana" w:hAnsi="Verdana"/>
          <w:sz w:val="20"/>
          <w:szCs w:val="20"/>
        </w:rPr>
        <w:t>)</w:t>
      </w:r>
      <w:r w:rsidRPr="00967F65">
        <w:rPr>
          <w:rFonts w:ascii="Verdana" w:hAnsi="Verdana"/>
          <w:sz w:val="20"/>
          <w:szCs w:val="20"/>
        </w:rPr>
        <w:t xml:space="preserve"> die geen financieel geheel hoeven aan te houden en niet voor een verplicht </w:t>
      </w:r>
      <w:r w:rsidR="00527B81">
        <w:rPr>
          <w:rFonts w:ascii="Verdana" w:hAnsi="Verdana"/>
          <w:sz w:val="20"/>
          <w:szCs w:val="20"/>
        </w:rPr>
        <w:t>bedrijfspensioenfonds (</w:t>
      </w:r>
      <w:r w:rsidRPr="00967F65">
        <w:rPr>
          <w:rFonts w:ascii="Verdana" w:hAnsi="Verdana"/>
          <w:sz w:val="20"/>
          <w:szCs w:val="20"/>
        </w:rPr>
        <w:t>BPF</w:t>
      </w:r>
      <w:r w:rsidR="00527B81">
        <w:rPr>
          <w:rFonts w:ascii="Verdana" w:hAnsi="Verdana"/>
          <w:sz w:val="20"/>
          <w:szCs w:val="20"/>
        </w:rPr>
        <w:t>)? Kan de regering toelichten w</w:t>
      </w:r>
      <w:r w:rsidRPr="00967F65">
        <w:rPr>
          <w:rFonts w:ascii="Verdana" w:hAnsi="Verdana"/>
          <w:sz w:val="20"/>
          <w:szCs w:val="20"/>
        </w:rPr>
        <w:t>aarom de regels voor de domeinafbakening niet voor een APF gelden en wel voor een verplicht</w:t>
      </w:r>
      <w:r w:rsidRPr="00967F65" w:rsidR="00404947">
        <w:rPr>
          <w:rFonts w:ascii="Verdana" w:hAnsi="Verdana"/>
          <w:sz w:val="20"/>
          <w:szCs w:val="20"/>
        </w:rPr>
        <w:t xml:space="preserve"> </w:t>
      </w:r>
      <w:r w:rsidRPr="00967F65">
        <w:rPr>
          <w:rFonts w:ascii="Verdana" w:hAnsi="Verdana"/>
          <w:sz w:val="20"/>
          <w:szCs w:val="20"/>
        </w:rPr>
        <w:t>gesteld BPF?</w:t>
      </w:r>
    </w:p>
    <w:p w:rsidRPr="00967F65" w:rsidR="00F911E7" w:rsidP="0089061D" w:rsidRDefault="00413501" w14:paraId="577AE3EB" w14:textId="6F253A97">
      <w:pPr>
        <w:pStyle w:val="Geenafstand"/>
        <w:numPr>
          <w:ilvl w:val="0"/>
          <w:numId w:val="7"/>
        </w:numPr>
        <w:ind w:hanging="357"/>
        <w:rPr>
          <w:rFonts w:ascii="Verdana" w:hAnsi="Verdana"/>
          <w:sz w:val="20"/>
          <w:szCs w:val="20"/>
        </w:rPr>
      </w:pPr>
      <w:r w:rsidRPr="00967F65">
        <w:rPr>
          <w:rFonts w:ascii="Verdana" w:hAnsi="Verdana"/>
          <w:sz w:val="20"/>
          <w:szCs w:val="20"/>
        </w:rPr>
        <w:t xml:space="preserve">De uitvoering van een aparte pensioenregeling voor zelfstandigen moet bij sommige pensioenuitvoerders wel binnen één financieel geheel plaatsvinden en bij sommige niet. Kan de </w:t>
      </w:r>
      <w:r w:rsidR="00967F65">
        <w:rPr>
          <w:rFonts w:ascii="Verdana" w:hAnsi="Verdana"/>
          <w:sz w:val="20"/>
          <w:szCs w:val="20"/>
        </w:rPr>
        <w:t>regering</w:t>
      </w:r>
      <w:r w:rsidRPr="00967F65">
        <w:rPr>
          <w:rFonts w:ascii="Verdana" w:hAnsi="Verdana"/>
          <w:sz w:val="20"/>
          <w:szCs w:val="20"/>
        </w:rPr>
        <w:t xml:space="preserve"> toelichten waarom</w:t>
      </w:r>
      <w:r w:rsidR="00967F65">
        <w:rPr>
          <w:rFonts w:ascii="Verdana" w:hAnsi="Verdana"/>
          <w:sz w:val="20"/>
          <w:szCs w:val="20"/>
        </w:rPr>
        <w:t xml:space="preserve"> dit onderscheid wordt gemaakt?</w:t>
      </w:r>
    </w:p>
    <w:p w:rsidRPr="00967F65" w:rsidR="00F911E7" w:rsidP="0089061D" w:rsidRDefault="00F911E7" w14:paraId="6494A6B8" w14:textId="0A8F98AF">
      <w:pPr>
        <w:pStyle w:val="Geenafstand"/>
        <w:numPr>
          <w:ilvl w:val="0"/>
          <w:numId w:val="7"/>
        </w:numPr>
        <w:ind w:hanging="357"/>
        <w:rPr>
          <w:rFonts w:ascii="Verdana" w:hAnsi="Verdana"/>
          <w:sz w:val="20"/>
          <w:szCs w:val="20"/>
        </w:rPr>
      </w:pPr>
      <w:r w:rsidRPr="00967F65">
        <w:rPr>
          <w:rFonts w:ascii="Verdana" w:hAnsi="Verdana"/>
          <w:sz w:val="20"/>
          <w:szCs w:val="20"/>
        </w:rPr>
        <w:t xml:space="preserve">Kan de </w:t>
      </w:r>
      <w:r w:rsidRPr="00967F65" w:rsidR="00967F65">
        <w:rPr>
          <w:rFonts w:ascii="Verdana" w:hAnsi="Verdana"/>
          <w:sz w:val="20"/>
          <w:szCs w:val="20"/>
        </w:rPr>
        <w:t>regering</w:t>
      </w:r>
      <w:r w:rsidRPr="00967F65">
        <w:rPr>
          <w:rFonts w:ascii="Verdana" w:hAnsi="Verdana"/>
          <w:sz w:val="20"/>
          <w:szCs w:val="20"/>
        </w:rPr>
        <w:t xml:space="preserve"> de uitzondering in artikel 123 toelichten en verduidelijken, dit in het licht dat het inrichten van collectiviteitskringen niet is toegestaan? Kan de </w:t>
      </w:r>
      <w:r w:rsidRPr="00967F65" w:rsidR="00967F65">
        <w:rPr>
          <w:rFonts w:ascii="Verdana" w:hAnsi="Verdana"/>
          <w:sz w:val="20"/>
          <w:szCs w:val="20"/>
        </w:rPr>
        <w:t>regering</w:t>
      </w:r>
      <w:r w:rsidRPr="00967F65">
        <w:rPr>
          <w:rFonts w:ascii="Verdana" w:hAnsi="Verdana"/>
          <w:sz w:val="20"/>
          <w:szCs w:val="20"/>
        </w:rPr>
        <w:t xml:space="preserve"> bevestigen of de scheiding van oud en nieuw vermogen vooral administratief is bedoeld?</w:t>
      </w:r>
      <w:r w:rsidR="00967F65">
        <w:rPr>
          <w:rFonts w:ascii="Verdana" w:hAnsi="Verdana"/>
          <w:sz w:val="20"/>
          <w:szCs w:val="20"/>
        </w:rPr>
        <w:t xml:space="preserve"> </w:t>
      </w:r>
    </w:p>
    <w:p w:rsidR="00F911E7" w:rsidP="00F911E7" w:rsidRDefault="00F911E7" w14:paraId="35CCCB2B" w14:textId="39456832">
      <w:pPr>
        <w:rPr>
          <w:sz w:val="20"/>
          <w:szCs w:val="20"/>
        </w:rPr>
      </w:pPr>
    </w:p>
    <w:p w:rsidR="00527B81" w:rsidP="00F911E7" w:rsidRDefault="00527B81" w14:paraId="36BB0614" w14:textId="10843D77">
      <w:pPr>
        <w:rPr>
          <w:sz w:val="20"/>
          <w:szCs w:val="20"/>
        </w:rPr>
      </w:pPr>
    </w:p>
    <w:p w:rsidRPr="00B52935" w:rsidR="00527B81" w:rsidP="00F911E7" w:rsidRDefault="00527B81" w14:paraId="3C36C0D8" w14:textId="77777777">
      <w:pPr>
        <w:rPr>
          <w:sz w:val="20"/>
          <w:szCs w:val="20"/>
        </w:rPr>
      </w:pPr>
    </w:p>
    <w:p w:rsidRPr="00B52935" w:rsidR="00F911E7" w:rsidP="00F911E7" w:rsidRDefault="00F911E7" w14:paraId="0C9B00CC" w14:textId="502BBED9">
      <w:pPr>
        <w:pStyle w:val="Geenafstand"/>
        <w:rPr>
          <w:rFonts w:ascii="Verdana" w:hAnsi="Verdana"/>
          <w:sz w:val="20"/>
          <w:szCs w:val="20"/>
          <w:u w:val="single"/>
        </w:rPr>
      </w:pPr>
      <w:r w:rsidRPr="001A1B40">
        <w:rPr>
          <w:rFonts w:ascii="Verdana" w:hAnsi="Verdana"/>
          <w:sz w:val="20"/>
          <w:szCs w:val="20"/>
          <w:u w:val="single"/>
        </w:rPr>
        <w:lastRenderedPageBreak/>
        <w:t>Toelichting</w:t>
      </w:r>
      <w:r w:rsidR="00540902">
        <w:rPr>
          <w:rFonts w:ascii="Verdana" w:hAnsi="Verdana"/>
          <w:sz w:val="20"/>
          <w:szCs w:val="20"/>
          <w:u w:val="single"/>
        </w:rPr>
        <w:t xml:space="preserve"> </w:t>
      </w:r>
      <w:r w:rsidR="00527B81">
        <w:rPr>
          <w:rFonts w:ascii="Verdana" w:hAnsi="Verdana"/>
          <w:sz w:val="20"/>
          <w:szCs w:val="20"/>
          <w:u w:val="single"/>
        </w:rPr>
        <w:t>op vraag 18</w:t>
      </w:r>
    </w:p>
    <w:p w:rsidRPr="001A1B40" w:rsidR="00F911E7" w:rsidP="00F911E7" w:rsidRDefault="00F911E7" w14:paraId="317A5339" w14:textId="77777777">
      <w:pPr>
        <w:pStyle w:val="Geenafstand"/>
        <w:rPr>
          <w:rFonts w:ascii="Verdana" w:hAnsi="Verdana"/>
          <w:sz w:val="20"/>
          <w:szCs w:val="20"/>
        </w:rPr>
      </w:pPr>
      <w:r w:rsidRPr="001A1B40">
        <w:rPr>
          <w:rFonts w:ascii="Verdana" w:hAnsi="Verdana"/>
          <w:sz w:val="20"/>
          <w:szCs w:val="20"/>
        </w:rPr>
        <w:t>Die uitzondering luidt: “Indien een ondernemingspensioenfonds of een bedrijfstakpensioenfonds meerdere pensioenregelingen uitvoert vormen deze pensioenregelingen financieel een geheel</w:t>
      </w:r>
      <w:r w:rsidRPr="001A1B40">
        <w:rPr>
          <w:rFonts w:ascii="Verdana" w:hAnsi="Verdana"/>
          <w:sz w:val="20"/>
          <w:szCs w:val="20"/>
          <w:u w:val="single"/>
        </w:rPr>
        <w:t>, tenzij toepassing wordt gegeven aan artikel 1501, zevende lid</w:t>
      </w:r>
      <w:r w:rsidRPr="001A1B40">
        <w:rPr>
          <w:rFonts w:ascii="Verdana" w:hAnsi="Verdana"/>
          <w:sz w:val="20"/>
          <w:szCs w:val="20"/>
        </w:rPr>
        <w:t>. Een algemeen pensioenfonds houdt een afgescheiden vermogen aan voor iedere collectiviteitkring</w:t>
      </w:r>
      <w:r w:rsidRPr="001A1B40">
        <w:rPr>
          <w:rFonts w:ascii="Verdana" w:hAnsi="Verdana"/>
          <w:sz w:val="20"/>
          <w:szCs w:val="20"/>
          <w:u w:val="single"/>
        </w:rPr>
        <w:t>, waarbij ten aanzien van een collectiviteitkring toepassing kan worden gegeven aan artikel 1501, zevende lid</w:t>
      </w:r>
      <w:r w:rsidRPr="001A1B40">
        <w:rPr>
          <w:rFonts w:ascii="Verdana" w:hAnsi="Verdana"/>
          <w:sz w:val="20"/>
          <w:szCs w:val="20"/>
        </w:rPr>
        <w:t>.</w:t>
      </w:r>
    </w:p>
    <w:p w:rsidRPr="00B52935" w:rsidR="00F911E7" w:rsidP="00F911E7" w:rsidRDefault="00F911E7" w14:paraId="3CD785A1" w14:textId="77777777">
      <w:pPr>
        <w:rPr>
          <w:sz w:val="20"/>
          <w:szCs w:val="20"/>
        </w:rPr>
      </w:pPr>
    </w:p>
    <w:p w:rsidRPr="00B52935" w:rsidR="00F911E7" w:rsidP="00F911E7" w:rsidRDefault="00F911E7" w14:paraId="332E35C0" w14:textId="77777777">
      <w:pPr>
        <w:rPr>
          <w:sz w:val="20"/>
          <w:szCs w:val="20"/>
        </w:rPr>
      </w:pPr>
      <w:r w:rsidRPr="00B52935">
        <w:rPr>
          <w:sz w:val="20"/>
          <w:szCs w:val="20"/>
        </w:rPr>
        <w:t>Memorie van Toelichting: “De regering wijst erop dat deze scheiding in oud en nieuw vermogen alleen wordt geïntroduceerd met het oog op de transitie en voor pensioenfondsen die niet invaren en wel een nieuwe premieregeling uitvoeren. Er ontstaan dan twee gescheiden vermogens. Het is niet toegestaan om meerdere afgescheiden vermogens te creëren. Voorts zal slechts sprake zijn van een «interne vermogensscheiding», zonder externe werking. Dat betekent bijvoorbeeld dat voor eventuele externe crediteuren sprake blijft van één wederpartij, het pensioenfonds. Om deze redenen acht de regering het niet noodzakelijk om extra waarborgen, zoals bijvoorbeeld een rangregeling, voor te schrijven zoals deze wel gelden bij een algemeen pensioenfonds.”</w:t>
      </w:r>
    </w:p>
    <w:p w:rsidRPr="00B52935" w:rsidR="00967F65" w:rsidP="00413501" w:rsidRDefault="00967F65" w14:paraId="4431C4E0" w14:textId="00FF947B">
      <w:pPr>
        <w:rPr>
          <w:rFonts w:cstheme="minorHAnsi"/>
          <w:sz w:val="20"/>
          <w:szCs w:val="20"/>
        </w:rPr>
      </w:pPr>
    </w:p>
    <w:p w:rsidRPr="00345D12" w:rsidR="00345D12" w:rsidP="00345D12" w:rsidRDefault="00967F65" w14:paraId="27F343B1" w14:textId="6B0581B2">
      <w:pPr>
        <w:rPr>
          <w:rFonts w:cstheme="minorHAnsi"/>
          <w:sz w:val="20"/>
          <w:szCs w:val="20"/>
        </w:rPr>
      </w:pPr>
      <w:r>
        <w:rPr>
          <w:rFonts w:cstheme="minorHAnsi"/>
          <w:b/>
          <w:bCs/>
          <w:sz w:val="20"/>
          <w:szCs w:val="20"/>
        </w:rPr>
        <w:t xml:space="preserve">Artikel 140 </w:t>
      </w:r>
      <w:r w:rsidR="00E3576E">
        <w:rPr>
          <w:rFonts w:cstheme="minorHAnsi"/>
          <w:b/>
          <w:bCs/>
          <w:sz w:val="20"/>
          <w:szCs w:val="20"/>
        </w:rPr>
        <w:t xml:space="preserve">- </w:t>
      </w:r>
      <w:r w:rsidRPr="00345D12" w:rsidR="00345D12">
        <w:rPr>
          <w:rFonts w:cstheme="minorHAnsi"/>
          <w:b/>
          <w:bCs/>
          <w:sz w:val="20"/>
          <w:szCs w:val="20"/>
        </w:rPr>
        <w:t>M</w:t>
      </w:r>
      <w:r w:rsidR="0089061D">
        <w:rPr>
          <w:rFonts w:cstheme="minorHAnsi"/>
          <w:b/>
          <w:bCs/>
          <w:sz w:val="20"/>
          <w:szCs w:val="20"/>
        </w:rPr>
        <w:t xml:space="preserve">aatregel Minimaal </w:t>
      </w:r>
      <w:r w:rsidRPr="00345D12" w:rsidR="00345D12">
        <w:rPr>
          <w:rFonts w:cstheme="minorHAnsi"/>
          <w:b/>
          <w:bCs/>
          <w:sz w:val="20"/>
          <w:szCs w:val="20"/>
        </w:rPr>
        <w:t>V</w:t>
      </w:r>
      <w:r w:rsidR="0089061D">
        <w:rPr>
          <w:rFonts w:cstheme="minorHAnsi"/>
          <w:b/>
          <w:bCs/>
          <w:sz w:val="20"/>
          <w:szCs w:val="20"/>
        </w:rPr>
        <w:t xml:space="preserve">ereist </w:t>
      </w:r>
      <w:r w:rsidRPr="00345D12" w:rsidR="00345D12">
        <w:rPr>
          <w:rFonts w:cstheme="minorHAnsi"/>
          <w:b/>
          <w:bCs/>
          <w:sz w:val="20"/>
          <w:szCs w:val="20"/>
        </w:rPr>
        <w:t>E</w:t>
      </w:r>
      <w:r w:rsidR="0089061D">
        <w:rPr>
          <w:rFonts w:cstheme="minorHAnsi"/>
          <w:b/>
          <w:bCs/>
          <w:sz w:val="20"/>
          <w:szCs w:val="20"/>
        </w:rPr>
        <w:t xml:space="preserve">igen </w:t>
      </w:r>
      <w:r w:rsidRPr="00345D12" w:rsidR="00345D12">
        <w:rPr>
          <w:rFonts w:cstheme="minorHAnsi"/>
          <w:b/>
          <w:bCs/>
          <w:sz w:val="20"/>
          <w:szCs w:val="20"/>
        </w:rPr>
        <w:t>V</w:t>
      </w:r>
      <w:r w:rsidR="0089061D">
        <w:rPr>
          <w:rFonts w:cstheme="minorHAnsi"/>
          <w:b/>
          <w:bCs/>
          <w:sz w:val="20"/>
          <w:szCs w:val="20"/>
        </w:rPr>
        <w:t>ermogen (MVEV)</w:t>
      </w:r>
    </w:p>
    <w:p w:rsidRPr="00345D12" w:rsidR="00345D12" w:rsidP="00345D12" w:rsidRDefault="00345D12" w14:paraId="3A789C51" w14:textId="77777777">
      <w:pPr>
        <w:rPr>
          <w:rFonts w:cstheme="minorHAnsi"/>
          <w:sz w:val="20"/>
          <w:szCs w:val="20"/>
        </w:rPr>
      </w:pPr>
      <w:r w:rsidRPr="00345D12">
        <w:rPr>
          <w:rFonts w:cstheme="minorHAnsi"/>
          <w:sz w:val="20"/>
          <w:szCs w:val="20"/>
        </w:rPr>
        <w:t>Bij het uitvoeren van meerdere regelingen binnen één pensioenfonds:</w:t>
      </w:r>
    </w:p>
    <w:p w:rsidRPr="00A23244" w:rsidR="00345D12" w:rsidP="00A23244" w:rsidRDefault="00345D12" w14:paraId="273F8CA1" w14:textId="0BB4A957">
      <w:pPr>
        <w:pStyle w:val="Geenafstand"/>
        <w:numPr>
          <w:ilvl w:val="0"/>
          <w:numId w:val="7"/>
        </w:numPr>
        <w:ind w:hanging="357"/>
        <w:rPr>
          <w:rFonts w:ascii="Verdana" w:hAnsi="Verdana"/>
          <w:sz w:val="20"/>
          <w:szCs w:val="20"/>
        </w:rPr>
      </w:pPr>
      <w:r w:rsidRPr="00967F65">
        <w:rPr>
          <w:rFonts w:ascii="Verdana" w:hAnsi="Verdana"/>
          <w:sz w:val="20"/>
          <w:szCs w:val="20"/>
        </w:rPr>
        <w:t>Klopt het dat het MV</w:t>
      </w:r>
      <w:r w:rsidR="00967F65">
        <w:rPr>
          <w:rFonts w:ascii="Verdana" w:hAnsi="Verdana"/>
          <w:sz w:val="20"/>
          <w:szCs w:val="20"/>
        </w:rPr>
        <w:t>EV per fonds wordt aangehouden?</w:t>
      </w:r>
    </w:p>
    <w:p w:rsidRPr="00A23244" w:rsidR="00345D12" w:rsidP="00A23244" w:rsidRDefault="00345D12" w14:paraId="541E33E1" w14:textId="7A0A92DE">
      <w:pPr>
        <w:pStyle w:val="Geenafstand"/>
        <w:numPr>
          <w:ilvl w:val="0"/>
          <w:numId w:val="7"/>
        </w:numPr>
        <w:ind w:hanging="357"/>
        <w:rPr>
          <w:rFonts w:ascii="Verdana" w:hAnsi="Verdana"/>
          <w:sz w:val="20"/>
          <w:szCs w:val="20"/>
        </w:rPr>
      </w:pPr>
      <w:r w:rsidRPr="00967F65">
        <w:rPr>
          <w:rFonts w:ascii="Verdana" w:hAnsi="Verdana"/>
          <w:sz w:val="20"/>
          <w:szCs w:val="20"/>
        </w:rPr>
        <w:t>Moet een operationele reserve per regeling of per fonds worden aangehouden?</w:t>
      </w:r>
    </w:p>
    <w:p w:rsidRPr="00A23244" w:rsidR="00345D12" w:rsidP="00A23244" w:rsidRDefault="00345D12" w14:paraId="7E1E278F" w14:textId="691A7983">
      <w:pPr>
        <w:pStyle w:val="Geenafstand"/>
        <w:numPr>
          <w:ilvl w:val="0"/>
          <w:numId w:val="7"/>
        </w:numPr>
        <w:ind w:hanging="357"/>
        <w:rPr>
          <w:rFonts w:ascii="Verdana" w:hAnsi="Verdana"/>
          <w:sz w:val="20"/>
          <w:szCs w:val="20"/>
        </w:rPr>
      </w:pPr>
      <w:r w:rsidRPr="00967F65">
        <w:rPr>
          <w:rFonts w:ascii="Verdana" w:hAnsi="Verdana"/>
          <w:sz w:val="20"/>
          <w:szCs w:val="20"/>
        </w:rPr>
        <w:t>Onder welke voorwaarden is één solidariteitsreserve mogelijk?</w:t>
      </w:r>
    </w:p>
    <w:p w:rsidRPr="00A23244" w:rsidR="00404947" w:rsidP="00A23244" w:rsidRDefault="00345D12" w14:paraId="6FD1D33F" w14:textId="253630AD">
      <w:pPr>
        <w:pStyle w:val="Geenafstand"/>
        <w:numPr>
          <w:ilvl w:val="0"/>
          <w:numId w:val="7"/>
        </w:numPr>
        <w:ind w:hanging="357"/>
        <w:rPr>
          <w:rFonts w:ascii="Verdana" w:hAnsi="Verdana"/>
          <w:sz w:val="20"/>
          <w:szCs w:val="20"/>
        </w:rPr>
      </w:pPr>
      <w:r w:rsidRPr="00967F65">
        <w:rPr>
          <w:rFonts w:ascii="Verdana" w:hAnsi="Verdana"/>
          <w:sz w:val="20"/>
          <w:szCs w:val="20"/>
        </w:rPr>
        <w:t>Wanneer moet/mag de ene regeling de andere regeling helpen? Als de operationele reserve leeg is, als de solidariteitsreserve/risicodelingsreserve leeg i</w:t>
      </w:r>
      <w:r w:rsidR="00527B81">
        <w:rPr>
          <w:rFonts w:ascii="Verdana" w:hAnsi="Verdana"/>
          <w:sz w:val="20"/>
          <w:szCs w:val="20"/>
        </w:rPr>
        <w:t>s, als het MVEV onvoldoende is?</w:t>
      </w:r>
      <w:r w:rsidRPr="00967F65">
        <w:rPr>
          <w:rFonts w:ascii="Verdana" w:hAnsi="Verdana"/>
          <w:sz w:val="20"/>
          <w:szCs w:val="20"/>
        </w:rPr>
        <w:t xml:space="preserve"> Kan het ultiem zo zijn dat kapitalen uit regeling 1 worden gebruikt om tekorten in regeling 2 aan te vullen?</w:t>
      </w:r>
    </w:p>
    <w:p w:rsidRPr="00967F65" w:rsidR="00404947" w:rsidP="00A23244" w:rsidRDefault="00404947" w14:paraId="5454BA7E" w14:textId="23112197">
      <w:pPr>
        <w:pStyle w:val="Geenafstand"/>
        <w:numPr>
          <w:ilvl w:val="0"/>
          <w:numId w:val="7"/>
        </w:numPr>
        <w:ind w:hanging="357"/>
        <w:rPr>
          <w:rFonts w:ascii="Verdana" w:hAnsi="Verdana"/>
          <w:sz w:val="20"/>
          <w:szCs w:val="20"/>
        </w:rPr>
      </w:pPr>
      <w:r w:rsidRPr="00967F65">
        <w:rPr>
          <w:rFonts w:ascii="Verdana" w:hAnsi="Verdana"/>
          <w:sz w:val="20"/>
          <w:szCs w:val="20"/>
        </w:rPr>
        <w:t xml:space="preserve">En wat is de inspraak van de deelnemers hierin als sprake is van tegengestelde belangen bij </w:t>
      </w:r>
      <w:r w:rsidRPr="00967F65" w:rsidR="009C2B65">
        <w:rPr>
          <w:rFonts w:ascii="Verdana" w:hAnsi="Verdana"/>
          <w:sz w:val="20"/>
          <w:szCs w:val="20"/>
        </w:rPr>
        <w:t>onderuitputting</w:t>
      </w:r>
      <w:r w:rsidRPr="00967F65">
        <w:rPr>
          <w:rFonts w:ascii="Verdana" w:hAnsi="Verdana"/>
          <w:sz w:val="20"/>
          <w:szCs w:val="20"/>
        </w:rPr>
        <w:t xml:space="preserve"> van één van de reserves?</w:t>
      </w:r>
    </w:p>
    <w:p w:rsidRPr="00B52935" w:rsidR="00413501" w:rsidP="00413501" w:rsidRDefault="00413501" w14:paraId="0828CFD8" w14:textId="20BA3C1B">
      <w:pPr>
        <w:rPr>
          <w:rFonts w:cstheme="minorHAnsi"/>
          <w:sz w:val="20"/>
          <w:szCs w:val="20"/>
        </w:rPr>
      </w:pPr>
    </w:p>
    <w:p w:rsidRPr="00B52935" w:rsidR="00413501" w:rsidP="00413501" w:rsidRDefault="00E3576E" w14:paraId="23A098D9" w14:textId="32D9810E">
      <w:pPr>
        <w:rPr>
          <w:rFonts w:cstheme="minorHAnsi"/>
          <w:b/>
          <w:bCs/>
          <w:sz w:val="20"/>
          <w:szCs w:val="20"/>
        </w:rPr>
      </w:pPr>
      <w:r>
        <w:rPr>
          <w:rFonts w:cstheme="minorHAnsi"/>
          <w:b/>
          <w:bCs/>
          <w:sz w:val="20"/>
          <w:szCs w:val="20"/>
        </w:rPr>
        <w:t xml:space="preserve">Artikel </w:t>
      </w:r>
      <w:r w:rsidRPr="00B52935" w:rsidR="0005052B">
        <w:rPr>
          <w:rFonts w:cstheme="minorHAnsi"/>
          <w:b/>
          <w:bCs/>
          <w:sz w:val="20"/>
          <w:szCs w:val="20"/>
        </w:rPr>
        <w:t xml:space="preserve">150a </w:t>
      </w:r>
      <w:r>
        <w:rPr>
          <w:rFonts w:cstheme="minorHAnsi"/>
          <w:b/>
          <w:bCs/>
          <w:sz w:val="20"/>
          <w:szCs w:val="20"/>
        </w:rPr>
        <w:t xml:space="preserve">- </w:t>
      </w:r>
      <w:r w:rsidRPr="00B52935" w:rsidR="0005052B">
        <w:rPr>
          <w:rFonts w:cstheme="minorHAnsi"/>
          <w:b/>
          <w:bCs/>
          <w:sz w:val="20"/>
          <w:szCs w:val="20"/>
        </w:rPr>
        <w:t>Experimenteer bepaling zelfstandigen</w:t>
      </w:r>
    </w:p>
    <w:p w:rsidRPr="00B30FFC" w:rsidR="0005052B" w:rsidP="00B30FFC" w:rsidRDefault="00527B81" w14:paraId="35770A91" w14:textId="37B7C7F6">
      <w:pPr>
        <w:pStyle w:val="Geenafstand"/>
        <w:numPr>
          <w:ilvl w:val="0"/>
          <w:numId w:val="7"/>
        </w:numPr>
        <w:ind w:hanging="357"/>
        <w:rPr>
          <w:rFonts w:ascii="Verdana" w:hAnsi="Verdana"/>
          <w:sz w:val="20"/>
          <w:szCs w:val="20"/>
        </w:rPr>
      </w:pPr>
      <w:r>
        <w:rPr>
          <w:rFonts w:ascii="Verdana" w:hAnsi="Verdana"/>
          <w:sz w:val="20"/>
          <w:szCs w:val="20"/>
        </w:rPr>
        <w:t>In artikel 150</w:t>
      </w:r>
      <w:r w:rsidRPr="00967F65" w:rsidR="0005052B">
        <w:rPr>
          <w:rFonts w:ascii="Verdana" w:hAnsi="Verdana"/>
          <w:sz w:val="20"/>
          <w:szCs w:val="20"/>
        </w:rPr>
        <w:t xml:space="preserve">a lid 7 wordt aangegeven dat uiterlijk </w:t>
      </w:r>
      <w:r>
        <w:rPr>
          <w:rFonts w:ascii="Verdana" w:hAnsi="Verdana"/>
          <w:sz w:val="20"/>
          <w:szCs w:val="20"/>
        </w:rPr>
        <w:t>negen</w:t>
      </w:r>
      <w:r w:rsidRPr="00967F65" w:rsidR="0005052B">
        <w:rPr>
          <w:rFonts w:ascii="Verdana" w:hAnsi="Verdana"/>
          <w:sz w:val="20"/>
          <w:szCs w:val="20"/>
        </w:rPr>
        <w:t xml:space="preserve"> maanden voor het einde van de werkingsduur van de experimenteerwetgeving een verslag aan de Staten-Generaal wordt verstuurd over de doeltreffendheid van de regeling. Wanneer is </w:t>
      </w:r>
      <w:r w:rsidR="00967F65">
        <w:rPr>
          <w:rFonts w:ascii="Verdana" w:hAnsi="Verdana"/>
          <w:sz w:val="20"/>
          <w:szCs w:val="20"/>
        </w:rPr>
        <w:t>er sprake van doeltreffendheid?</w:t>
      </w:r>
    </w:p>
    <w:p w:rsidRPr="00B30FFC" w:rsidR="0005052B" w:rsidP="00B30FFC" w:rsidRDefault="00527B81" w14:paraId="786A9C66" w14:textId="147405D4">
      <w:pPr>
        <w:pStyle w:val="Geenafstand"/>
        <w:numPr>
          <w:ilvl w:val="0"/>
          <w:numId w:val="7"/>
        </w:numPr>
        <w:ind w:hanging="357"/>
        <w:rPr>
          <w:rFonts w:ascii="Verdana" w:hAnsi="Verdana"/>
          <w:sz w:val="20"/>
          <w:szCs w:val="20"/>
        </w:rPr>
      </w:pPr>
      <w:r>
        <w:rPr>
          <w:rFonts w:ascii="Verdana" w:hAnsi="Verdana"/>
          <w:sz w:val="20"/>
          <w:szCs w:val="20"/>
        </w:rPr>
        <w:t>In de derd</w:t>
      </w:r>
      <w:r w:rsidRPr="00967F65" w:rsidR="0005052B">
        <w:rPr>
          <w:rFonts w:ascii="Verdana" w:hAnsi="Verdana"/>
          <w:sz w:val="20"/>
          <w:szCs w:val="20"/>
        </w:rPr>
        <w:t xml:space="preserve">e nota van wijziging is de mogelijkheid om als ex-werknemer vrijwillig voort te zetten verlengd naar </w:t>
      </w:r>
      <w:r>
        <w:rPr>
          <w:rFonts w:ascii="Verdana" w:hAnsi="Verdana"/>
          <w:sz w:val="20"/>
          <w:szCs w:val="20"/>
        </w:rPr>
        <w:t>vijftien</w:t>
      </w:r>
      <w:r w:rsidRPr="00967F65" w:rsidR="0005052B">
        <w:rPr>
          <w:rFonts w:ascii="Verdana" w:hAnsi="Verdana"/>
          <w:sz w:val="20"/>
          <w:szCs w:val="20"/>
        </w:rPr>
        <w:t xml:space="preserve"> jaar. Kan de </w:t>
      </w:r>
      <w:r w:rsidRPr="00967F65" w:rsidR="00967F65">
        <w:rPr>
          <w:rFonts w:ascii="Verdana" w:hAnsi="Verdana"/>
          <w:sz w:val="20"/>
          <w:szCs w:val="20"/>
        </w:rPr>
        <w:t>regering</w:t>
      </w:r>
      <w:r w:rsidRPr="00967F65" w:rsidR="0005052B">
        <w:rPr>
          <w:rFonts w:ascii="Verdana" w:hAnsi="Verdana"/>
          <w:sz w:val="20"/>
          <w:szCs w:val="20"/>
        </w:rPr>
        <w:t xml:space="preserve"> toelichten waarom </w:t>
      </w:r>
      <w:r>
        <w:rPr>
          <w:rFonts w:ascii="Verdana" w:hAnsi="Verdana"/>
          <w:sz w:val="20"/>
          <w:szCs w:val="20"/>
        </w:rPr>
        <w:t>vijftien</w:t>
      </w:r>
      <w:r w:rsidRPr="00967F65" w:rsidR="0005052B">
        <w:rPr>
          <w:rFonts w:ascii="Verdana" w:hAnsi="Verdana"/>
          <w:sz w:val="20"/>
          <w:szCs w:val="20"/>
        </w:rPr>
        <w:t xml:space="preserve"> jaar? Kan de </w:t>
      </w:r>
      <w:r w:rsidRPr="00967F65" w:rsidR="00967F65">
        <w:rPr>
          <w:rFonts w:ascii="Verdana" w:hAnsi="Verdana"/>
          <w:sz w:val="20"/>
          <w:szCs w:val="20"/>
        </w:rPr>
        <w:t>regering</w:t>
      </w:r>
      <w:r w:rsidRPr="00967F65" w:rsidR="0005052B">
        <w:rPr>
          <w:rFonts w:ascii="Verdana" w:hAnsi="Verdana"/>
          <w:sz w:val="20"/>
          <w:szCs w:val="20"/>
        </w:rPr>
        <w:t xml:space="preserve"> toelichten waarom dit te prefereren is boven bijvoorbeeld een termijn tot aan pensioendatum? En kan de </w:t>
      </w:r>
      <w:r w:rsidRPr="00967F65" w:rsidR="00967F65">
        <w:rPr>
          <w:rFonts w:ascii="Verdana" w:hAnsi="Verdana"/>
          <w:sz w:val="20"/>
          <w:szCs w:val="20"/>
        </w:rPr>
        <w:t>regering</w:t>
      </w:r>
      <w:r w:rsidRPr="00967F65" w:rsidR="0005052B">
        <w:rPr>
          <w:rFonts w:ascii="Verdana" w:hAnsi="Verdana"/>
          <w:sz w:val="20"/>
          <w:szCs w:val="20"/>
        </w:rPr>
        <w:t xml:space="preserve"> hierbij ook aangeven wat de onderbouwing was bij de uitbreiding van de termijn van </w:t>
      </w:r>
      <w:r>
        <w:rPr>
          <w:rFonts w:ascii="Verdana" w:hAnsi="Verdana"/>
          <w:sz w:val="20"/>
          <w:szCs w:val="20"/>
        </w:rPr>
        <w:t>drie</w:t>
      </w:r>
      <w:r w:rsidRPr="00967F65" w:rsidR="0005052B">
        <w:rPr>
          <w:rFonts w:ascii="Verdana" w:hAnsi="Verdana"/>
          <w:sz w:val="20"/>
          <w:szCs w:val="20"/>
        </w:rPr>
        <w:t xml:space="preserve"> naar </w:t>
      </w:r>
      <w:r>
        <w:rPr>
          <w:rFonts w:ascii="Verdana" w:hAnsi="Verdana"/>
          <w:sz w:val="20"/>
          <w:szCs w:val="20"/>
        </w:rPr>
        <w:t>tien</w:t>
      </w:r>
      <w:r w:rsidRPr="00967F65" w:rsidR="0005052B">
        <w:rPr>
          <w:rFonts w:ascii="Verdana" w:hAnsi="Verdana"/>
          <w:sz w:val="20"/>
          <w:szCs w:val="20"/>
        </w:rPr>
        <w:t xml:space="preserve"> jaar?</w:t>
      </w:r>
    </w:p>
    <w:p w:rsidRPr="00B30FFC" w:rsidR="0005052B" w:rsidP="00B30FFC" w:rsidRDefault="0005052B" w14:paraId="756EC988" w14:textId="1C328FBD">
      <w:pPr>
        <w:pStyle w:val="Geenafstand"/>
        <w:numPr>
          <w:ilvl w:val="0"/>
          <w:numId w:val="7"/>
        </w:numPr>
        <w:ind w:hanging="357"/>
        <w:rPr>
          <w:rFonts w:ascii="Verdana" w:hAnsi="Verdana"/>
          <w:sz w:val="20"/>
          <w:szCs w:val="20"/>
        </w:rPr>
      </w:pPr>
      <w:r w:rsidRPr="00967F65">
        <w:rPr>
          <w:rFonts w:ascii="Verdana" w:hAnsi="Verdana"/>
          <w:sz w:val="20"/>
          <w:szCs w:val="20"/>
        </w:rPr>
        <w:t xml:space="preserve">In de experimenteerwetgeving wordt automatische aanschrijving mogelijk gemaakt. Kan de </w:t>
      </w:r>
      <w:r w:rsidRPr="00967F65" w:rsidR="00967F65">
        <w:rPr>
          <w:rFonts w:ascii="Verdana" w:hAnsi="Verdana"/>
          <w:sz w:val="20"/>
          <w:szCs w:val="20"/>
        </w:rPr>
        <w:t>regering</w:t>
      </w:r>
      <w:r w:rsidRPr="00967F65">
        <w:rPr>
          <w:rFonts w:ascii="Verdana" w:hAnsi="Verdana"/>
          <w:sz w:val="20"/>
          <w:szCs w:val="20"/>
        </w:rPr>
        <w:t xml:space="preserve"> toelichten hoe een pensioenfonds </w:t>
      </w:r>
      <w:r w:rsidR="00527B81">
        <w:rPr>
          <w:rFonts w:ascii="Verdana" w:hAnsi="Verdana"/>
          <w:sz w:val="20"/>
          <w:szCs w:val="20"/>
        </w:rPr>
        <w:t xml:space="preserve">moet </w:t>
      </w:r>
      <w:r w:rsidRPr="00967F65">
        <w:rPr>
          <w:rFonts w:ascii="Verdana" w:hAnsi="Verdana"/>
          <w:sz w:val="20"/>
          <w:szCs w:val="20"/>
        </w:rPr>
        <w:t>weten welke zelfstandigen er in de sector actief zijn voor de aanschrijving, wanneer het niet gaat om gewezen deelnemers, of wanneer het gaat om gewezen deelnemers waarvan de NAW-gegevens zijn afgeschermd per 1 jan</w:t>
      </w:r>
      <w:r w:rsidR="00527B81">
        <w:rPr>
          <w:rFonts w:ascii="Verdana" w:hAnsi="Verdana"/>
          <w:sz w:val="20"/>
          <w:szCs w:val="20"/>
        </w:rPr>
        <w:t>uari jl. indien de zelfstandige</w:t>
      </w:r>
      <w:r w:rsidRPr="00967F65">
        <w:rPr>
          <w:rFonts w:ascii="Verdana" w:hAnsi="Verdana"/>
          <w:sz w:val="20"/>
          <w:szCs w:val="20"/>
        </w:rPr>
        <w:t xml:space="preserve"> de onderneming op het </w:t>
      </w:r>
      <w:r w:rsidRPr="00967F65" w:rsidR="00527B81">
        <w:rPr>
          <w:rFonts w:ascii="Verdana" w:hAnsi="Verdana"/>
          <w:sz w:val="20"/>
          <w:szCs w:val="20"/>
        </w:rPr>
        <w:t>privéadres</w:t>
      </w:r>
      <w:r w:rsidRPr="00967F65">
        <w:rPr>
          <w:rFonts w:ascii="Verdana" w:hAnsi="Verdana"/>
          <w:sz w:val="20"/>
          <w:szCs w:val="20"/>
        </w:rPr>
        <w:t xml:space="preserve"> heeft staan?</w:t>
      </w:r>
    </w:p>
    <w:p w:rsidRPr="00B30FFC" w:rsidR="00EF6969" w:rsidP="00B30FFC" w:rsidRDefault="00EF6969" w14:paraId="6FD6EF1D" w14:textId="1F10FDBF">
      <w:pPr>
        <w:pStyle w:val="Geenafstand"/>
        <w:numPr>
          <w:ilvl w:val="0"/>
          <w:numId w:val="7"/>
        </w:numPr>
        <w:ind w:hanging="357"/>
        <w:rPr>
          <w:rFonts w:ascii="Verdana" w:hAnsi="Verdana"/>
          <w:sz w:val="20"/>
          <w:szCs w:val="20"/>
        </w:rPr>
      </w:pPr>
      <w:r w:rsidRPr="00967F65">
        <w:rPr>
          <w:rFonts w:ascii="Verdana" w:hAnsi="Verdana"/>
          <w:sz w:val="20"/>
          <w:szCs w:val="20"/>
        </w:rPr>
        <w:t xml:space="preserve">Kan de </w:t>
      </w:r>
      <w:r w:rsidRPr="00967F65" w:rsidR="00967F65">
        <w:rPr>
          <w:rFonts w:ascii="Verdana" w:hAnsi="Verdana"/>
          <w:sz w:val="20"/>
          <w:szCs w:val="20"/>
        </w:rPr>
        <w:t>regering</w:t>
      </w:r>
      <w:r w:rsidRPr="00967F65">
        <w:rPr>
          <w:rFonts w:ascii="Verdana" w:hAnsi="Verdana"/>
          <w:sz w:val="20"/>
          <w:szCs w:val="20"/>
        </w:rPr>
        <w:t xml:space="preserve"> toelichten waarom er onderscheid wordt gemaakt tussen een gewezen deelnemer die wel automatisch aangeschreven kan worden en niet een zelfstandige in dezelfde sector die net begint?</w:t>
      </w:r>
    </w:p>
    <w:p w:rsidRPr="00967F65" w:rsidR="00EF6969" w:rsidP="00B30FFC" w:rsidRDefault="00EF6969" w14:paraId="3C51C411" w14:textId="09A76CEE">
      <w:pPr>
        <w:pStyle w:val="Geenafstand"/>
        <w:numPr>
          <w:ilvl w:val="0"/>
          <w:numId w:val="7"/>
        </w:numPr>
        <w:ind w:hanging="357"/>
        <w:rPr>
          <w:rFonts w:ascii="Verdana" w:hAnsi="Verdana"/>
          <w:sz w:val="20"/>
          <w:szCs w:val="20"/>
        </w:rPr>
      </w:pPr>
      <w:r w:rsidRPr="00967F65">
        <w:rPr>
          <w:rFonts w:ascii="Verdana" w:hAnsi="Verdana"/>
          <w:sz w:val="20"/>
          <w:szCs w:val="20"/>
        </w:rPr>
        <w:t xml:space="preserve">Op grond van artikel 11e UBIB 2001 is het in het eerste jaar van deelname mogelijk voor de zzp’er die vrijwillig meedoen aan het zzp-experiment voor pensioenopbouw in de tweede pijler het pensioengevend inkomen te schatten. Dit is anders dan de huidige mogelijkheden van vrijwillige voortzetting (daar is nu T-3 verplicht). Kan de </w:t>
      </w:r>
      <w:r w:rsidRPr="00967F65" w:rsidR="00967F65">
        <w:rPr>
          <w:rFonts w:ascii="Verdana" w:hAnsi="Verdana"/>
          <w:sz w:val="20"/>
          <w:szCs w:val="20"/>
        </w:rPr>
        <w:t>regering</w:t>
      </w:r>
      <w:r w:rsidRPr="00967F65">
        <w:rPr>
          <w:rFonts w:ascii="Verdana" w:hAnsi="Verdana"/>
          <w:sz w:val="20"/>
          <w:szCs w:val="20"/>
        </w:rPr>
        <w:t xml:space="preserve"> toelichten waarom er niet is aangesloten bij de huidige praktij</w:t>
      </w:r>
      <w:r w:rsidR="00B30FFC">
        <w:rPr>
          <w:rFonts w:ascii="Verdana" w:hAnsi="Verdana"/>
          <w:sz w:val="20"/>
          <w:szCs w:val="20"/>
        </w:rPr>
        <w:t>k van vrijwillige voortzetting?</w:t>
      </w:r>
    </w:p>
    <w:p w:rsidRPr="00B30FFC" w:rsidR="00EF6969" w:rsidP="00B30FFC" w:rsidRDefault="00EF6969" w14:paraId="22510D6B" w14:textId="6184C383">
      <w:pPr>
        <w:pStyle w:val="Geenafstand"/>
        <w:numPr>
          <w:ilvl w:val="0"/>
          <w:numId w:val="7"/>
        </w:numPr>
        <w:ind w:hanging="357"/>
        <w:rPr>
          <w:rFonts w:ascii="Verdana" w:hAnsi="Verdana"/>
          <w:sz w:val="20"/>
          <w:szCs w:val="20"/>
        </w:rPr>
      </w:pPr>
      <w:r w:rsidRPr="00967F65">
        <w:rPr>
          <w:rFonts w:ascii="Verdana" w:hAnsi="Verdana"/>
          <w:sz w:val="20"/>
          <w:szCs w:val="20"/>
        </w:rPr>
        <w:lastRenderedPageBreak/>
        <w:t xml:space="preserve">Kan de </w:t>
      </w:r>
      <w:r w:rsidRPr="00967F65" w:rsidR="00967F65">
        <w:rPr>
          <w:rFonts w:ascii="Verdana" w:hAnsi="Verdana"/>
          <w:sz w:val="20"/>
          <w:szCs w:val="20"/>
        </w:rPr>
        <w:t>regering</w:t>
      </w:r>
      <w:r w:rsidRPr="00967F65">
        <w:rPr>
          <w:rFonts w:ascii="Verdana" w:hAnsi="Verdana"/>
          <w:sz w:val="20"/>
          <w:szCs w:val="20"/>
        </w:rPr>
        <w:t xml:space="preserve"> toelichten zoals aangegeven in de toelichting van het besluit (en nu ontbrekend in artikel 150a) waar in de experimenteerwetgeving/W</w:t>
      </w:r>
      <w:r w:rsidR="00527B81">
        <w:rPr>
          <w:rFonts w:ascii="Verdana" w:hAnsi="Verdana"/>
          <w:sz w:val="20"/>
          <w:szCs w:val="20"/>
        </w:rPr>
        <w:t>tp</w:t>
      </w:r>
      <w:r w:rsidRPr="00967F65">
        <w:rPr>
          <w:rFonts w:ascii="Verdana" w:hAnsi="Verdana"/>
          <w:sz w:val="20"/>
          <w:szCs w:val="20"/>
        </w:rPr>
        <w:t xml:space="preserve"> concreet wordt geregeld dat de overdrachtswaarde, indien de experimenteerwetgeving niet leidt tot structurele wetgeving, kan worden overgedragen naar een andere pensioenuitvoerder waar bijvoorbeeld eerder een groter pensioenrecht is opgebouwd? </w:t>
      </w:r>
    </w:p>
    <w:p w:rsidRPr="00B30FFC" w:rsidR="00345D12" w:rsidP="00B30FFC" w:rsidRDefault="00345D12" w14:paraId="2952F683" w14:textId="2FAAD3C1">
      <w:pPr>
        <w:pStyle w:val="Geenafstand"/>
        <w:numPr>
          <w:ilvl w:val="0"/>
          <w:numId w:val="7"/>
        </w:numPr>
        <w:ind w:hanging="357"/>
        <w:rPr>
          <w:rFonts w:ascii="Verdana" w:hAnsi="Verdana"/>
          <w:sz w:val="20"/>
          <w:szCs w:val="20"/>
        </w:rPr>
      </w:pPr>
      <w:r w:rsidRPr="00967F65">
        <w:rPr>
          <w:rFonts w:ascii="Verdana" w:hAnsi="Verdana"/>
          <w:sz w:val="20"/>
          <w:szCs w:val="20"/>
        </w:rPr>
        <w:t xml:space="preserve">Kan de </w:t>
      </w:r>
      <w:r w:rsidRPr="00967F65" w:rsidR="00967F65">
        <w:rPr>
          <w:rFonts w:ascii="Verdana" w:hAnsi="Verdana"/>
          <w:sz w:val="20"/>
          <w:szCs w:val="20"/>
        </w:rPr>
        <w:t>regering</w:t>
      </w:r>
      <w:r w:rsidRPr="00967F65">
        <w:rPr>
          <w:rFonts w:ascii="Verdana" w:hAnsi="Verdana"/>
          <w:sz w:val="20"/>
          <w:szCs w:val="20"/>
        </w:rPr>
        <w:t xml:space="preserve"> aangeven hoe opgebouwd pensioen in de tweede pijler (premie aftrekbaar en uitkering belast) na afloop van de </w:t>
      </w:r>
      <w:r w:rsidRPr="00967F65" w:rsidR="00EF6969">
        <w:rPr>
          <w:rFonts w:ascii="Verdana" w:hAnsi="Verdana"/>
          <w:sz w:val="20"/>
          <w:szCs w:val="20"/>
        </w:rPr>
        <w:t xml:space="preserve">experimenteerwetging kan worden overgedragen naar de derde pijler? </w:t>
      </w:r>
      <w:r w:rsidRPr="00967F65">
        <w:rPr>
          <w:rFonts w:ascii="Verdana" w:hAnsi="Verdana"/>
          <w:sz w:val="20"/>
          <w:szCs w:val="20"/>
        </w:rPr>
        <w:t xml:space="preserve">Kan de </w:t>
      </w:r>
      <w:r w:rsidRPr="00967F65" w:rsidR="00967F65">
        <w:rPr>
          <w:rFonts w:ascii="Verdana" w:hAnsi="Verdana"/>
          <w:sz w:val="20"/>
          <w:szCs w:val="20"/>
        </w:rPr>
        <w:t>regering</w:t>
      </w:r>
      <w:r w:rsidRPr="00967F65">
        <w:rPr>
          <w:rFonts w:ascii="Verdana" w:hAnsi="Verdana"/>
          <w:sz w:val="20"/>
          <w:szCs w:val="20"/>
        </w:rPr>
        <w:t xml:space="preserve"> toelichten welk fiscaal verschil dan optreedt? </w:t>
      </w:r>
      <w:r w:rsidRPr="00967F65" w:rsidR="00404947">
        <w:rPr>
          <w:rFonts w:ascii="Verdana" w:hAnsi="Verdana"/>
          <w:sz w:val="20"/>
          <w:szCs w:val="20"/>
        </w:rPr>
        <w:t xml:space="preserve">En hoe schat de </w:t>
      </w:r>
      <w:r w:rsidRPr="00967F65" w:rsidR="00967F65">
        <w:rPr>
          <w:rFonts w:ascii="Verdana" w:hAnsi="Verdana"/>
          <w:sz w:val="20"/>
          <w:szCs w:val="20"/>
        </w:rPr>
        <w:t>regering</w:t>
      </w:r>
      <w:r w:rsidRPr="00967F65" w:rsidR="00404947">
        <w:rPr>
          <w:rFonts w:ascii="Verdana" w:hAnsi="Verdana"/>
          <w:sz w:val="20"/>
          <w:szCs w:val="20"/>
        </w:rPr>
        <w:t xml:space="preserve"> de kans op massale fiscale claims in?</w:t>
      </w:r>
    </w:p>
    <w:p w:rsidRPr="00B30FFC" w:rsidR="00EF6969" w:rsidP="00B30FFC" w:rsidRDefault="00345D12" w14:paraId="33001BB5" w14:textId="5DC6A5EA">
      <w:pPr>
        <w:pStyle w:val="Geenafstand"/>
        <w:numPr>
          <w:ilvl w:val="0"/>
          <w:numId w:val="7"/>
        </w:numPr>
        <w:ind w:hanging="357"/>
        <w:rPr>
          <w:rFonts w:ascii="Verdana" w:hAnsi="Verdana"/>
          <w:sz w:val="20"/>
          <w:szCs w:val="20"/>
        </w:rPr>
      </w:pPr>
      <w:r w:rsidRPr="00967F65">
        <w:rPr>
          <w:rFonts w:ascii="Verdana" w:hAnsi="Verdana"/>
          <w:sz w:val="20"/>
          <w:szCs w:val="20"/>
        </w:rPr>
        <w:t xml:space="preserve">Klopt het dat indien er wordt afgekocht de </w:t>
      </w:r>
      <w:r w:rsidRPr="00967F65" w:rsidR="00967F65">
        <w:rPr>
          <w:rFonts w:ascii="Verdana" w:hAnsi="Verdana"/>
          <w:sz w:val="20"/>
          <w:szCs w:val="20"/>
        </w:rPr>
        <w:t>regering</w:t>
      </w:r>
      <w:r w:rsidRPr="00967F65">
        <w:rPr>
          <w:rFonts w:ascii="Verdana" w:hAnsi="Verdana"/>
          <w:sz w:val="20"/>
          <w:szCs w:val="20"/>
        </w:rPr>
        <w:t xml:space="preserve"> bedoelt dat alleen </w:t>
      </w:r>
      <w:r w:rsidRPr="00967F65" w:rsidR="00EF6969">
        <w:rPr>
          <w:rFonts w:ascii="Verdana" w:hAnsi="Verdana"/>
          <w:sz w:val="20"/>
          <w:szCs w:val="20"/>
        </w:rPr>
        <w:t>hetgeen is opgebouwd binnen de experimenteerregeling wordt afgekocht, en niet ook eerder opgebouwd aanvullend pensioen</w:t>
      </w:r>
      <w:r w:rsidRPr="00967F65">
        <w:rPr>
          <w:rFonts w:ascii="Verdana" w:hAnsi="Verdana"/>
          <w:sz w:val="20"/>
          <w:szCs w:val="20"/>
        </w:rPr>
        <w:t xml:space="preserve">? Kan de </w:t>
      </w:r>
      <w:r w:rsidRPr="00967F65" w:rsidR="00967F65">
        <w:rPr>
          <w:rFonts w:ascii="Verdana" w:hAnsi="Verdana"/>
          <w:sz w:val="20"/>
          <w:szCs w:val="20"/>
        </w:rPr>
        <w:t>regering</w:t>
      </w:r>
      <w:r w:rsidRPr="00967F65">
        <w:rPr>
          <w:rFonts w:ascii="Verdana" w:hAnsi="Verdana"/>
          <w:sz w:val="20"/>
          <w:szCs w:val="20"/>
        </w:rPr>
        <w:t xml:space="preserve"> toelichten hoe dit onderscheid in de praktijk gemaakt dient te worden?</w:t>
      </w:r>
    </w:p>
    <w:p w:rsidRPr="00B30FFC" w:rsidR="004334DE" w:rsidP="00B30FFC" w:rsidRDefault="00EF6969" w14:paraId="5A854DC7" w14:textId="573CF63B">
      <w:pPr>
        <w:pStyle w:val="Geenafstand"/>
        <w:numPr>
          <w:ilvl w:val="0"/>
          <w:numId w:val="7"/>
        </w:numPr>
        <w:ind w:hanging="357"/>
        <w:rPr>
          <w:rFonts w:ascii="Verdana" w:hAnsi="Verdana"/>
          <w:sz w:val="20"/>
          <w:szCs w:val="20"/>
        </w:rPr>
      </w:pPr>
      <w:r w:rsidRPr="00967F65">
        <w:rPr>
          <w:rFonts w:ascii="Verdana" w:hAnsi="Verdana"/>
          <w:sz w:val="20"/>
          <w:szCs w:val="20"/>
        </w:rPr>
        <w:t>Wordt het op basis van de bestaande wettekst</w:t>
      </w:r>
      <w:r w:rsidR="00527B81">
        <w:rPr>
          <w:rFonts w:ascii="Verdana" w:hAnsi="Verdana"/>
          <w:sz w:val="20"/>
          <w:szCs w:val="20"/>
        </w:rPr>
        <w:t xml:space="preserve"> (na derd</w:t>
      </w:r>
      <w:r w:rsidRPr="00967F65">
        <w:rPr>
          <w:rFonts w:ascii="Verdana" w:hAnsi="Verdana"/>
          <w:sz w:val="20"/>
          <w:szCs w:val="20"/>
        </w:rPr>
        <w:t>e nota van wijziging) nu voor een zelfstandige bij afloop van de ex</w:t>
      </w:r>
      <w:r w:rsidR="00527B81">
        <w:rPr>
          <w:rFonts w:ascii="Verdana" w:hAnsi="Verdana"/>
          <w:sz w:val="20"/>
          <w:szCs w:val="20"/>
        </w:rPr>
        <w:t>perimentwetgeving mogelijk om tien</w:t>
      </w:r>
      <w:r w:rsidRPr="00967F65">
        <w:rPr>
          <w:rFonts w:ascii="Verdana" w:hAnsi="Verdana"/>
          <w:sz w:val="20"/>
          <w:szCs w:val="20"/>
        </w:rPr>
        <w:t xml:space="preserve"> jaar of </w:t>
      </w:r>
      <w:r w:rsidR="00527B81">
        <w:rPr>
          <w:rFonts w:ascii="Verdana" w:hAnsi="Verdana"/>
          <w:sz w:val="20"/>
          <w:szCs w:val="20"/>
        </w:rPr>
        <w:t>vijftien</w:t>
      </w:r>
      <w:r w:rsidRPr="00967F65">
        <w:rPr>
          <w:rFonts w:ascii="Verdana" w:hAnsi="Verdana"/>
          <w:sz w:val="20"/>
          <w:szCs w:val="20"/>
        </w:rPr>
        <w:t xml:space="preserve"> jaar vrijwillig voort te zetten, nu de vrijwillige voortzetting in ruim</w:t>
      </w:r>
      <w:r w:rsidR="00967F65">
        <w:rPr>
          <w:rFonts w:ascii="Verdana" w:hAnsi="Verdana"/>
          <w:sz w:val="20"/>
          <w:szCs w:val="20"/>
        </w:rPr>
        <w:t xml:space="preserve">e zin is verlengd naar </w:t>
      </w:r>
      <w:r w:rsidR="00527B81">
        <w:rPr>
          <w:rFonts w:ascii="Verdana" w:hAnsi="Verdana"/>
          <w:sz w:val="20"/>
          <w:szCs w:val="20"/>
        </w:rPr>
        <w:t>vijftien</w:t>
      </w:r>
      <w:r w:rsidR="00967F65">
        <w:rPr>
          <w:rFonts w:ascii="Verdana" w:hAnsi="Verdana"/>
          <w:sz w:val="20"/>
          <w:szCs w:val="20"/>
        </w:rPr>
        <w:t xml:space="preserve"> jaar?</w:t>
      </w:r>
    </w:p>
    <w:p w:rsidRPr="00B02FD9" w:rsidR="004334DE" w:rsidP="00B30FFC" w:rsidRDefault="004334DE" w14:paraId="3FFE6B1E" w14:textId="3F5E0209">
      <w:pPr>
        <w:pStyle w:val="Geenafstand"/>
        <w:numPr>
          <w:ilvl w:val="0"/>
          <w:numId w:val="7"/>
        </w:numPr>
        <w:ind w:hanging="357"/>
        <w:rPr>
          <w:rFonts w:ascii="Verdana" w:hAnsi="Verdana"/>
          <w:sz w:val="20"/>
          <w:szCs w:val="20"/>
        </w:rPr>
      </w:pPr>
      <w:r w:rsidRPr="00967F65">
        <w:rPr>
          <w:rFonts w:ascii="Verdana" w:hAnsi="Verdana"/>
          <w:sz w:val="20"/>
          <w:szCs w:val="20"/>
        </w:rPr>
        <w:t xml:space="preserve">Kan de </w:t>
      </w:r>
      <w:r w:rsidRPr="00967F65" w:rsidR="00967F65">
        <w:rPr>
          <w:rFonts w:ascii="Verdana" w:hAnsi="Verdana"/>
          <w:sz w:val="20"/>
          <w:szCs w:val="20"/>
        </w:rPr>
        <w:t>regering</w:t>
      </w:r>
      <w:r w:rsidRPr="00967F65">
        <w:rPr>
          <w:rFonts w:ascii="Verdana" w:hAnsi="Verdana"/>
          <w:sz w:val="20"/>
          <w:szCs w:val="20"/>
        </w:rPr>
        <w:t xml:space="preserve"> toelichten in hoeverre vrij</w:t>
      </w:r>
      <w:r w:rsidR="00527B81">
        <w:rPr>
          <w:rFonts w:ascii="Verdana" w:hAnsi="Verdana"/>
          <w:sz w:val="20"/>
          <w:szCs w:val="20"/>
        </w:rPr>
        <w:t>willige partië</w:t>
      </w:r>
      <w:r w:rsidRPr="00967F65">
        <w:rPr>
          <w:rFonts w:ascii="Verdana" w:hAnsi="Verdana"/>
          <w:sz w:val="20"/>
          <w:szCs w:val="20"/>
        </w:rPr>
        <w:t>le voortzetting van de pensioenregeling mogelijk is onder de nieuwe wetgeving?</w:t>
      </w:r>
    </w:p>
    <w:p w:rsidRPr="00B52935" w:rsidR="00F911E7" w:rsidP="00F911E7" w:rsidRDefault="00F911E7" w14:paraId="3AE91E8F" w14:textId="14CDBEBC">
      <w:pPr>
        <w:rPr>
          <w:sz w:val="20"/>
          <w:szCs w:val="20"/>
        </w:rPr>
      </w:pPr>
    </w:p>
    <w:p w:rsidRPr="00B52935" w:rsidR="00772FA8" w:rsidP="00772FA8" w:rsidRDefault="00772FA8" w14:paraId="6531FC1F" w14:textId="77777777">
      <w:pPr>
        <w:rPr>
          <w:rFonts w:cs="Arial"/>
          <w:b/>
          <w:bCs/>
          <w:sz w:val="20"/>
          <w:szCs w:val="20"/>
        </w:rPr>
      </w:pPr>
      <w:r>
        <w:rPr>
          <w:rFonts w:cs="Arial"/>
          <w:b/>
          <w:bCs/>
          <w:sz w:val="20"/>
          <w:szCs w:val="20"/>
        </w:rPr>
        <w:t>Artikel 220ca - Overgangsrecht startleeftijd</w:t>
      </w:r>
    </w:p>
    <w:p w:rsidRPr="00B52935" w:rsidR="00772FA8" w:rsidP="00772FA8" w:rsidRDefault="00772FA8" w14:paraId="49A21F7B" w14:textId="77777777">
      <w:pPr>
        <w:pStyle w:val="Geenafstand"/>
        <w:rPr>
          <w:rFonts w:ascii="Verdana" w:hAnsi="Verdana"/>
          <w:b/>
          <w:bCs/>
          <w:sz w:val="20"/>
          <w:szCs w:val="20"/>
        </w:rPr>
      </w:pPr>
      <w:r w:rsidRPr="00B52935">
        <w:rPr>
          <w:rFonts w:ascii="Verdana" w:hAnsi="Verdana" w:cs="Arial"/>
          <w:b/>
          <w:bCs/>
          <w:sz w:val="20"/>
          <w:szCs w:val="20"/>
        </w:rPr>
        <w:t>Amendement 36067 - 59</w:t>
      </w:r>
    </w:p>
    <w:p w:rsidRPr="00741A37" w:rsidR="00772FA8" w:rsidP="00772FA8" w:rsidRDefault="00772FA8" w14:paraId="6B9E92F0" w14:textId="77777777">
      <w:pPr>
        <w:pStyle w:val="Geenafstand"/>
        <w:numPr>
          <w:ilvl w:val="0"/>
          <w:numId w:val="7"/>
        </w:numPr>
        <w:ind w:hanging="357"/>
        <w:rPr>
          <w:rFonts w:ascii="Verdana" w:hAnsi="Verdana"/>
          <w:sz w:val="20"/>
          <w:szCs w:val="20"/>
        </w:rPr>
      </w:pPr>
      <w:r w:rsidRPr="00741A37">
        <w:rPr>
          <w:rFonts w:ascii="Verdana" w:hAnsi="Verdana"/>
          <w:sz w:val="20"/>
          <w:szCs w:val="20"/>
        </w:rPr>
        <w:t>Wat voor gevolgen heeft het terugbrengen van de startleeftijd voor pensioenopbouw naar 18 jaar?</w:t>
      </w:r>
    </w:p>
    <w:p w:rsidRPr="00B52935" w:rsidR="00772FA8" w:rsidP="00772FA8" w:rsidRDefault="00772FA8" w14:paraId="3D77F88C" w14:textId="77777777">
      <w:pPr>
        <w:pStyle w:val="Geenafstand"/>
        <w:rPr>
          <w:rFonts w:ascii="Verdana" w:hAnsi="Verdana" w:cs="Arial"/>
          <w:color w:val="000000"/>
          <w:sz w:val="20"/>
          <w:szCs w:val="20"/>
        </w:rPr>
      </w:pPr>
    </w:p>
    <w:p w:rsidR="00772FA8" w:rsidP="00772FA8" w:rsidRDefault="00772FA8" w14:paraId="00E3A775" w14:textId="77777777">
      <w:pPr>
        <w:pStyle w:val="Geenafstand"/>
        <w:rPr>
          <w:rFonts w:ascii="Verdana" w:hAnsi="Verdana" w:cs="Arial"/>
          <w:b/>
          <w:bCs/>
          <w:sz w:val="20"/>
          <w:szCs w:val="20"/>
        </w:rPr>
      </w:pPr>
      <w:r w:rsidRPr="00B52935">
        <w:rPr>
          <w:rFonts w:ascii="Verdana" w:hAnsi="Verdana" w:cs="Arial"/>
          <w:b/>
          <w:bCs/>
          <w:sz w:val="20"/>
          <w:szCs w:val="20"/>
        </w:rPr>
        <w:t>Artikel 220d</w:t>
      </w:r>
      <w:r>
        <w:rPr>
          <w:rFonts w:ascii="Verdana" w:hAnsi="Verdana" w:cs="Arial"/>
          <w:b/>
          <w:bCs/>
          <w:sz w:val="20"/>
          <w:szCs w:val="20"/>
        </w:rPr>
        <w:t xml:space="preserve"> -</w:t>
      </w:r>
      <w:r w:rsidRPr="00B52935">
        <w:rPr>
          <w:rFonts w:ascii="Verdana" w:hAnsi="Verdana" w:cs="Arial"/>
          <w:b/>
          <w:bCs/>
          <w:sz w:val="20"/>
          <w:szCs w:val="20"/>
        </w:rPr>
        <w:t xml:space="preserve"> </w:t>
      </w:r>
      <w:r>
        <w:rPr>
          <w:rFonts w:ascii="Verdana" w:hAnsi="Verdana" w:cs="Arial"/>
          <w:b/>
          <w:bCs/>
          <w:sz w:val="20"/>
          <w:szCs w:val="20"/>
        </w:rPr>
        <w:t>O</w:t>
      </w:r>
      <w:r w:rsidRPr="00040ECB">
        <w:rPr>
          <w:rFonts w:ascii="Verdana" w:hAnsi="Verdana" w:cs="Arial"/>
          <w:b/>
          <w:bCs/>
          <w:sz w:val="20"/>
          <w:szCs w:val="20"/>
        </w:rPr>
        <w:t>vergangsrecht w</w:t>
      </w:r>
      <w:r>
        <w:rPr>
          <w:rFonts w:ascii="Verdana" w:hAnsi="Verdana" w:cs="Arial"/>
          <w:b/>
          <w:bCs/>
          <w:sz w:val="20"/>
          <w:szCs w:val="20"/>
        </w:rPr>
        <w:t>acht- of drempelperiode uitzend</w:t>
      </w:r>
      <w:r w:rsidRPr="00040ECB">
        <w:rPr>
          <w:rFonts w:ascii="Verdana" w:hAnsi="Verdana" w:cs="Arial"/>
          <w:b/>
          <w:bCs/>
          <w:sz w:val="20"/>
          <w:szCs w:val="20"/>
        </w:rPr>
        <w:t>overeenkomsten</w:t>
      </w:r>
    </w:p>
    <w:p w:rsidRPr="00B52935" w:rsidR="00772FA8" w:rsidP="00772FA8" w:rsidRDefault="00772FA8" w14:paraId="3E86FA56" w14:textId="60A55E4B">
      <w:pPr>
        <w:pStyle w:val="Geenafstand"/>
        <w:rPr>
          <w:rFonts w:ascii="Verdana" w:hAnsi="Verdana" w:cs="Arial"/>
          <w:b/>
          <w:bCs/>
          <w:sz w:val="20"/>
          <w:szCs w:val="20"/>
        </w:rPr>
      </w:pPr>
      <w:r>
        <w:rPr>
          <w:rFonts w:ascii="Verdana" w:hAnsi="Verdana" w:cs="Arial"/>
          <w:b/>
          <w:bCs/>
          <w:sz w:val="20"/>
          <w:szCs w:val="20"/>
        </w:rPr>
        <w:t>A</w:t>
      </w:r>
      <w:r w:rsidRPr="00B52935">
        <w:rPr>
          <w:rFonts w:ascii="Verdana" w:hAnsi="Verdana" w:cs="Arial"/>
          <w:b/>
          <w:bCs/>
          <w:sz w:val="20"/>
          <w:szCs w:val="20"/>
        </w:rPr>
        <w:t>mendement 36067 – 61</w:t>
      </w:r>
    </w:p>
    <w:p w:rsidR="00772FA8" w:rsidP="00772FA8" w:rsidRDefault="00772FA8" w14:paraId="5B3E8929" w14:textId="53001917">
      <w:pPr>
        <w:pStyle w:val="Geenafstand"/>
        <w:numPr>
          <w:ilvl w:val="0"/>
          <w:numId w:val="7"/>
        </w:numPr>
        <w:ind w:hanging="357"/>
        <w:rPr>
          <w:rFonts w:ascii="Verdana" w:hAnsi="Verdana"/>
          <w:sz w:val="20"/>
          <w:szCs w:val="20"/>
        </w:rPr>
      </w:pPr>
      <w:r w:rsidRPr="00741A37">
        <w:rPr>
          <w:rFonts w:ascii="Verdana" w:hAnsi="Verdana"/>
          <w:sz w:val="20"/>
          <w:szCs w:val="20"/>
        </w:rPr>
        <w:t xml:space="preserve">Als ervoor wordt gezorgd dat het hanteren van een wachttijd bij </w:t>
      </w:r>
      <w:r w:rsidR="00527B81">
        <w:rPr>
          <w:rFonts w:ascii="Verdana" w:hAnsi="Verdana"/>
          <w:sz w:val="20"/>
          <w:szCs w:val="20"/>
        </w:rPr>
        <w:t xml:space="preserve">pensioenopbouw wordt afgeschaft, </w:t>
      </w:r>
      <w:r w:rsidRPr="00741A37">
        <w:rPr>
          <w:rFonts w:ascii="Verdana" w:hAnsi="Verdana"/>
          <w:sz w:val="20"/>
          <w:szCs w:val="20"/>
        </w:rPr>
        <w:t>nemen hierdoor de kostenverschillen tussen collega’s op de werkvloer af?</w:t>
      </w:r>
    </w:p>
    <w:p w:rsidR="00772FA8" w:rsidP="00772FA8" w:rsidRDefault="00772FA8" w14:paraId="051131D7" w14:textId="77777777">
      <w:pPr>
        <w:rPr>
          <w:b/>
          <w:sz w:val="20"/>
          <w:szCs w:val="20"/>
        </w:rPr>
      </w:pPr>
    </w:p>
    <w:p w:rsidRPr="004C3E85" w:rsidR="00772FA8" w:rsidP="00772FA8" w:rsidRDefault="00772FA8" w14:paraId="33AD4F13" w14:textId="54F88847">
      <w:pPr>
        <w:rPr>
          <w:b/>
          <w:sz w:val="20"/>
          <w:szCs w:val="20"/>
        </w:rPr>
      </w:pPr>
      <w:r>
        <w:rPr>
          <w:b/>
          <w:sz w:val="20"/>
          <w:szCs w:val="20"/>
        </w:rPr>
        <w:t>Artikel 220e</w:t>
      </w:r>
      <w:r w:rsidRPr="00B52935">
        <w:rPr>
          <w:b/>
          <w:sz w:val="20"/>
          <w:szCs w:val="20"/>
        </w:rPr>
        <w:t xml:space="preserve"> </w:t>
      </w:r>
      <w:r w:rsidR="00E3576E">
        <w:rPr>
          <w:b/>
          <w:sz w:val="20"/>
          <w:szCs w:val="20"/>
        </w:rPr>
        <w:t xml:space="preserve">- </w:t>
      </w:r>
      <w:r w:rsidRPr="00B52935">
        <w:rPr>
          <w:b/>
          <w:sz w:val="20"/>
          <w:szCs w:val="20"/>
        </w:rPr>
        <w:t>Ove</w:t>
      </w:r>
      <w:r>
        <w:rPr>
          <w:b/>
          <w:sz w:val="20"/>
          <w:szCs w:val="20"/>
        </w:rPr>
        <w:t>rgangsrecht progressieve premie, l</w:t>
      </w:r>
      <w:r w:rsidRPr="00741A37">
        <w:rPr>
          <w:b/>
        </w:rPr>
        <w:t>id 1</w:t>
      </w:r>
    </w:p>
    <w:p w:rsidRPr="004C3E85" w:rsidR="00772FA8" w:rsidP="00772FA8" w:rsidRDefault="00772FA8" w14:paraId="1ABF69F1" w14:textId="77777777">
      <w:pPr>
        <w:pStyle w:val="Geenafstand"/>
        <w:numPr>
          <w:ilvl w:val="0"/>
          <w:numId w:val="7"/>
        </w:numPr>
        <w:ind w:hanging="357"/>
        <w:rPr>
          <w:rFonts w:ascii="Verdana" w:hAnsi="Verdana"/>
          <w:sz w:val="20"/>
          <w:szCs w:val="20"/>
        </w:rPr>
      </w:pPr>
      <w:r w:rsidRPr="00741A37">
        <w:rPr>
          <w:rFonts w:ascii="Verdana" w:hAnsi="Verdana"/>
          <w:sz w:val="20"/>
          <w:szCs w:val="20"/>
        </w:rPr>
        <w:t>Klopt het dat een werkgever/fonds binnen één pensioenregeling voor sommige deelnemers wél overgangsrecht kan toepassen en voor andere deelnemers niet? Klopt het dat het overgangsrecht vooral voordelig is voor oudere werknemers die niet meer van plan zijn om van baan te wisselen en voor jonge werknemers het overgangsrecht juist ongunstig is?</w:t>
      </w:r>
    </w:p>
    <w:p w:rsidRPr="004C3E85" w:rsidR="00772FA8" w:rsidP="00772FA8" w:rsidRDefault="00772FA8" w14:paraId="3C4FF474" w14:textId="77777777">
      <w:pPr>
        <w:pStyle w:val="Geenafstand"/>
        <w:numPr>
          <w:ilvl w:val="0"/>
          <w:numId w:val="7"/>
        </w:numPr>
        <w:ind w:hanging="357"/>
        <w:rPr>
          <w:rFonts w:ascii="Verdana" w:hAnsi="Verdana"/>
          <w:sz w:val="20"/>
          <w:szCs w:val="20"/>
        </w:rPr>
      </w:pPr>
      <w:r w:rsidRPr="00741A37">
        <w:rPr>
          <w:rFonts w:ascii="Verdana" w:hAnsi="Verdana"/>
          <w:sz w:val="20"/>
          <w:szCs w:val="20"/>
        </w:rPr>
        <w:t>Klopt het dat het overgangsrecht alleen bij een flexibele premieregeling kan worden toegepast? Klopt het dat daarmee de mogelijkheid voor organisaties met een progressieve premie om én gebruik te maken van het overgangsrecht én over te stappen op de solidaire premieregeling vervalt? Kan de regering toelichten waarom?</w:t>
      </w:r>
    </w:p>
    <w:p w:rsidRPr="004C3E85" w:rsidR="00772FA8" w:rsidP="00772FA8" w:rsidRDefault="00772FA8" w14:paraId="6261DEEE" w14:textId="247112F3">
      <w:pPr>
        <w:pStyle w:val="Geenafstand"/>
        <w:numPr>
          <w:ilvl w:val="0"/>
          <w:numId w:val="7"/>
        </w:numPr>
        <w:ind w:hanging="357"/>
        <w:rPr>
          <w:rFonts w:ascii="Verdana" w:hAnsi="Verdana"/>
          <w:sz w:val="20"/>
          <w:szCs w:val="20"/>
        </w:rPr>
      </w:pPr>
      <w:r w:rsidRPr="00741A37">
        <w:rPr>
          <w:rFonts w:ascii="Verdana" w:hAnsi="Verdana"/>
          <w:sz w:val="20"/>
          <w:szCs w:val="20"/>
        </w:rPr>
        <w:t>Kan de regering bevestigen dat het mogelijk moet zijn om, met behoud van de eerbiedigende werking, vanuit de wet verbeterde premieregeling in te stap</w:t>
      </w:r>
      <w:r w:rsidR="00527B81">
        <w:rPr>
          <w:rFonts w:ascii="Verdana" w:hAnsi="Verdana"/>
          <w:sz w:val="20"/>
          <w:szCs w:val="20"/>
        </w:rPr>
        <w:t>pen op de solidaire regeling in plaats van</w:t>
      </w:r>
      <w:r w:rsidRPr="00741A37">
        <w:rPr>
          <w:rFonts w:ascii="Verdana" w:hAnsi="Verdana"/>
          <w:sz w:val="20"/>
          <w:szCs w:val="20"/>
        </w:rPr>
        <w:t xml:space="preserve"> op de flexibele</w:t>
      </w:r>
      <w:r>
        <w:rPr>
          <w:rFonts w:ascii="Verdana" w:hAnsi="Verdana"/>
          <w:sz w:val="20"/>
          <w:szCs w:val="20"/>
        </w:rPr>
        <w:t xml:space="preserve"> regeling?</w:t>
      </w:r>
    </w:p>
    <w:p w:rsidRPr="00741A37" w:rsidR="00772FA8" w:rsidP="00772FA8" w:rsidRDefault="00772FA8" w14:paraId="5FB233AA" w14:textId="77777777">
      <w:pPr>
        <w:pStyle w:val="Geenafstand"/>
        <w:numPr>
          <w:ilvl w:val="0"/>
          <w:numId w:val="7"/>
        </w:numPr>
        <w:ind w:hanging="357"/>
        <w:rPr>
          <w:rFonts w:ascii="Verdana" w:hAnsi="Verdana"/>
          <w:sz w:val="20"/>
          <w:szCs w:val="20"/>
        </w:rPr>
      </w:pPr>
      <w:r w:rsidRPr="00741A37">
        <w:rPr>
          <w:rFonts w:ascii="Verdana" w:hAnsi="Verdana"/>
          <w:sz w:val="20"/>
          <w:szCs w:val="20"/>
        </w:rPr>
        <w:t>Worden PPI’s hier uitgesloten?</w:t>
      </w:r>
    </w:p>
    <w:p w:rsidRPr="00B52935" w:rsidR="00772FA8" w:rsidP="00772FA8" w:rsidRDefault="00772FA8" w14:paraId="5274ED7A" w14:textId="77777777">
      <w:pPr>
        <w:rPr>
          <w:sz w:val="20"/>
          <w:szCs w:val="20"/>
        </w:rPr>
      </w:pPr>
    </w:p>
    <w:p w:rsidRPr="004C3E85" w:rsidR="00772FA8" w:rsidP="00772FA8" w:rsidRDefault="00772FA8" w14:paraId="6AC750A9" w14:textId="248D8568">
      <w:pPr>
        <w:rPr>
          <w:b/>
          <w:sz w:val="20"/>
          <w:szCs w:val="20"/>
        </w:rPr>
      </w:pPr>
      <w:r>
        <w:rPr>
          <w:b/>
          <w:sz w:val="20"/>
          <w:szCs w:val="20"/>
        </w:rPr>
        <w:t>Artikel 220e</w:t>
      </w:r>
      <w:r w:rsidRPr="00B52935">
        <w:rPr>
          <w:b/>
          <w:sz w:val="20"/>
          <w:szCs w:val="20"/>
        </w:rPr>
        <w:t xml:space="preserve"> </w:t>
      </w:r>
      <w:r w:rsidR="00E3576E">
        <w:rPr>
          <w:b/>
          <w:sz w:val="20"/>
          <w:szCs w:val="20"/>
        </w:rPr>
        <w:t xml:space="preserve">- </w:t>
      </w:r>
      <w:r w:rsidRPr="00B52935">
        <w:rPr>
          <w:b/>
          <w:sz w:val="20"/>
          <w:szCs w:val="20"/>
        </w:rPr>
        <w:t>Ove</w:t>
      </w:r>
      <w:r>
        <w:rPr>
          <w:b/>
          <w:sz w:val="20"/>
          <w:szCs w:val="20"/>
        </w:rPr>
        <w:t>rgangsrecht progressieve premie, l</w:t>
      </w:r>
      <w:r>
        <w:rPr>
          <w:b/>
        </w:rPr>
        <w:t>id 2</w:t>
      </w:r>
    </w:p>
    <w:p w:rsidRPr="00741A37" w:rsidR="00772FA8" w:rsidP="00772FA8" w:rsidRDefault="00772FA8" w14:paraId="7B6E6072" w14:textId="4F207D97">
      <w:pPr>
        <w:pStyle w:val="Geenafstand"/>
        <w:numPr>
          <w:ilvl w:val="0"/>
          <w:numId w:val="7"/>
        </w:numPr>
        <w:ind w:hanging="357"/>
        <w:rPr>
          <w:rFonts w:ascii="Verdana" w:hAnsi="Verdana"/>
          <w:sz w:val="20"/>
          <w:szCs w:val="20"/>
        </w:rPr>
      </w:pPr>
      <w:r w:rsidRPr="00741A37">
        <w:rPr>
          <w:rFonts w:ascii="Verdana" w:hAnsi="Verdana"/>
          <w:sz w:val="20"/>
          <w:szCs w:val="20"/>
        </w:rPr>
        <w:t>Kan de regering toelichten welke scenario’s de regering hier voorziet? Bestaat hiermee ook de verantwoordelijkheid om een overstap naar een and</w:t>
      </w:r>
      <w:r>
        <w:rPr>
          <w:rFonts w:ascii="Verdana" w:hAnsi="Verdana"/>
          <w:sz w:val="20"/>
          <w:szCs w:val="20"/>
        </w:rPr>
        <w:t>ere baan inzichtelijk te maken?</w:t>
      </w:r>
    </w:p>
    <w:p w:rsidRPr="00B52935" w:rsidR="00772FA8" w:rsidP="00772FA8" w:rsidRDefault="00772FA8" w14:paraId="5476FBC2" w14:textId="77777777">
      <w:pPr>
        <w:pStyle w:val="Tekstopmerking"/>
        <w:rPr>
          <w:rFonts w:ascii="Verdana" w:hAnsi="Verdana"/>
        </w:rPr>
      </w:pPr>
    </w:p>
    <w:p w:rsidRPr="00741A37" w:rsidR="00772FA8" w:rsidP="00772FA8" w:rsidRDefault="00772FA8" w14:paraId="73A5358A" w14:textId="234D5A52">
      <w:pPr>
        <w:rPr>
          <w:b/>
          <w:sz w:val="20"/>
          <w:szCs w:val="20"/>
        </w:rPr>
      </w:pPr>
      <w:r>
        <w:rPr>
          <w:b/>
          <w:sz w:val="20"/>
          <w:szCs w:val="20"/>
        </w:rPr>
        <w:t>Artikel 220e</w:t>
      </w:r>
      <w:r w:rsidRPr="00B52935">
        <w:rPr>
          <w:b/>
          <w:sz w:val="20"/>
          <w:szCs w:val="20"/>
        </w:rPr>
        <w:t xml:space="preserve"> </w:t>
      </w:r>
      <w:r w:rsidR="00E3576E">
        <w:rPr>
          <w:b/>
          <w:sz w:val="20"/>
          <w:szCs w:val="20"/>
        </w:rPr>
        <w:t xml:space="preserve">- </w:t>
      </w:r>
      <w:r w:rsidRPr="00B52935">
        <w:rPr>
          <w:b/>
          <w:sz w:val="20"/>
          <w:szCs w:val="20"/>
        </w:rPr>
        <w:t>Ove</w:t>
      </w:r>
      <w:r>
        <w:rPr>
          <w:b/>
          <w:sz w:val="20"/>
          <w:szCs w:val="20"/>
        </w:rPr>
        <w:t>rgangsrecht progressieve premie, l</w:t>
      </w:r>
      <w:r>
        <w:rPr>
          <w:b/>
        </w:rPr>
        <w:t xml:space="preserve">id </w:t>
      </w:r>
      <w:r w:rsidRPr="00741A37">
        <w:rPr>
          <w:b/>
          <w:sz w:val="20"/>
          <w:szCs w:val="20"/>
        </w:rPr>
        <w:t>3</w:t>
      </w:r>
    </w:p>
    <w:p w:rsidRPr="004C3E85" w:rsidR="00772FA8" w:rsidP="00772FA8" w:rsidRDefault="00772FA8" w14:paraId="2403D6D6" w14:textId="77777777">
      <w:pPr>
        <w:pStyle w:val="Geenafstand"/>
        <w:numPr>
          <w:ilvl w:val="0"/>
          <w:numId w:val="7"/>
        </w:numPr>
        <w:ind w:hanging="357"/>
        <w:rPr>
          <w:rFonts w:ascii="Verdana" w:hAnsi="Verdana"/>
          <w:sz w:val="20"/>
          <w:szCs w:val="20"/>
        </w:rPr>
      </w:pPr>
      <w:r w:rsidRPr="00741A37">
        <w:rPr>
          <w:rFonts w:ascii="Verdana" w:hAnsi="Verdana"/>
          <w:sz w:val="20"/>
          <w:szCs w:val="20"/>
        </w:rPr>
        <w:t>In het eerste lid staat dat de pensioenovereenkomst geen solidaire premieovereenkomst mag zijn. Welk van de twee leden is de correcte?</w:t>
      </w:r>
    </w:p>
    <w:p w:rsidRPr="00741A37" w:rsidR="00772FA8" w:rsidP="00772FA8" w:rsidRDefault="00772FA8" w14:paraId="42559234" w14:textId="12F2496F">
      <w:pPr>
        <w:pStyle w:val="Geenafstand"/>
        <w:numPr>
          <w:ilvl w:val="0"/>
          <w:numId w:val="7"/>
        </w:numPr>
        <w:ind w:hanging="357"/>
        <w:rPr>
          <w:rFonts w:ascii="Verdana" w:hAnsi="Verdana"/>
          <w:sz w:val="20"/>
          <w:szCs w:val="20"/>
        </w:rPr>
      </w:pPr>
      <w:r w:rsidRPr="00741A37">
        <w:rPr>
          <w:rFonts w:ascii="Verdana" w:hAnsi="Verdana"/>
          <w:sz w:val="20"/>
          <w:szCs w:val="20"/>
        </w:rPr>
        <w:t xml:space="preserve">Wanneer kwalificeert een pensioenregeling en/of pensioenovereenkomst als ‘dezelfde’ in het kader van 220e, lid 1.b? Wanneer ontstaat een situatie zoals bedoeld in lid 3? </w:t>
      </w:r>
      <w:r w:rsidRPr="00741A37">
        <w:rPr>
          <w:rFonts w:ascii="Verdana" w:hAnsi="Verdana"/>
          <w:sz w:val="20"/>
          <w:szCs w:val="20"/>
        </w:rPr>
        <w:lastRenderedPageBreak/>
        <w:t xml:space="preserve">Is wettelijk geborgd dat </w:t>
      </w:r>
      <w:r w:rsidR="00527B81">
        <w:rPr>
          <w:rFonts w:ascii="Verdana" w:hAnsi="Verdana"/>
          <w:sz w:val="20"/>
          <w:szCs w:val="20"/>
        </w:rPr>
        <w:t>contract</w:t>
      </w:r>
      <w:r w:rsidRPr="00741A37">
        <w:rPr>
          <w:rFonts w:ascii="Verdana" w:hAnsi="Verdana"/>
          <w:sz w:val="20"/>
          <w:szCs w:val="20"/>
        </w:rPr>
        <w:t>herzieningen zijn toegestaan en mag een regeling dan nog in enige mate wijzigen met de jaren met behou</w:t>
      </w:r>
      <w:r>
        <w:rPr>
          <w:rFonts w:ascii="Verdana" w:hAnsi="Verdana"/>
          <w:sz w:val="20"/>
          <w:szCs w:val="20"/>
        </w:rPr>
        <w:t>d van de eerbiedigende werking?</w:t>
      </w:r>
    </w:p>
    <w:p w:rsidRPr="00B52935" w:rsidR="00772FA8" w:rsidP="00772FA8" w:rsidRDefault="00772FA8" w14:paraId="67D6B326" w14:textId="77777777">
      <w:pPr>
        <w:rPr>
          <w:sz w:val="20"/>
          <w:szCs w:val="20"/>
        </w:rPr>
      </w:pPr>
    </w:p>
    <w:p w:rsidRPr="00741A37" w:rsidR="00772FA8" w:rsidP="00772FA8" w:rsidRDefault="00772FA8" w14:paraId="32A3A5FA" w14:textId="35DD7A37">
      <w:pPr>
        <w:rPr>
          <w:b/>
          <w:sz w:val="20"/>
          <w:szCs w:val="20"/>
        </w:rPr>
      </w:pPr>
      <w:r>
        <w:rPr>
          <w:b/>
          <w:sz w:val="20"/>
          <w:szCs w:val="20"/>
        </w:rPr>
        <w:t>Artikel 220e</w:t>
      </w:r>
      <w:r w:rsidRPr="00B52935">
        <w:rPr>
          <w:b/>
          <w:sz w:val="20"/>
          <w:szCs w:val="20"/>
        </w:rPr>
        <w:t xml:space="preserve"> </w:t>
      </w:r>
      <w:r w:rsidR="00E3576E">
        <w:rPr>
          <w:b/>
          <w:sz w:val="20"/>
          <w:szCs w:val="20"/>
        </w:rPr>
        <w:t xml:space="preserve">- </w:t>
      </w:r>
      <w:r w:rsidRPr="00B52935">
        <w:rPr>
          <w:b/>
          <w:sz w:val="20"/>
          <w:szCs w:val="20"/>
        </w:rPr>
        <w:t>Ove</w:t>
      </w:r>
      <w:r>
        <w:rPr>
          <w:b/>
          <w:sz w:val="20"/>
          <w:szCs w:val="20"/>
        </w:rPr>
        <w:t>rgangsrecht progressieve premie, l</w:t>
      </w:r>
      <w:r>
        <w:rPr>
          <w:b/>
        </w:rPr>
        <w:t xml:space="preserve">id </w:t>
      </w:r>
      <w:r w:rsidRPr="00741A37">
        <w:rPr>
          <w:b/>
          <w:sz w:val="20"/>
          <w:szCs w:val="20"/>
        </w:rPr>
        <w:t>4</w:t>
      </w:r>
    </w:p>
    <w:p w:rsidRPr="004C3E85" w:rsidR="00772FA8" w:rsidP="00772FA8" w:rsidRDefault="00772FA8" w14:paraId="4B23343F" w14:textId="77777777">
      <w:pPr>
        <w:pStyle w:val="Geenafstand"/>
        <w:numPr>
          <w:ilvl w:val="0"/>
          <w:numId w:val="7"/>
        </w:numPr>
        <w:ind w:hanging="357"/>
        <w:rPr>
          <w:rFonts w:ascii="Verdana" w:hAnsi="Verdana"/>
          <w:sz w:val="20"/>
          <w:szCs w:val="20"/>
        </w:rPr>
      </w:pPr>
      <w:r w:rsidRPr="00741A37">
        <w:rPr>
          <w:rFonts w:ascii="Verdana" w:hAnsi="Verdana"/>
          <w:sz w:val="20"/>
          <w:szCs w:val="20"/>
        </w:rPr>
        <w:t>Klopt het dat de oude en nieuwe situatie in z’n geheel vergeleken worden zonder onderscheid te maken tussen effecten van invaren en effecten van de nieuwe manier van opbouwen?</w:t>
      </w:r>
      <w:r>
        <w:rPr>
          <w:rFonts w:ascii="Verdana" w:hAnsi="Verdana"/>
          <w:sz w:val="20"/>
          <w:szCs w:val="20"/>
        </w:rPr>
        <w:t xml:space="preserve"> </w:t>
      </w:r>
    </w:p>
    <w:p w:rsidRPr="004C3E85" w:rsidR="00772FA8" w:rsidP="00772FA8" w:rsidRDefault="00772FA8" w14:paraId="20983938" w14:textId="77777777">
      <w:pPr>
        <w:pStyle w:val="Geenafstand"/>
        <w:numPr>
          <w:ilvl w:val="0"/>
          <w:numId w:val="7"/>
        </w:numPr>
        <w:ind w:hanging="357"/>
        <w:rPr>
          <w:rFonts w:ascii="Verdana" w:hAnsi="Verdana"/>
          <w:sz w:val="20"/>
          <w:szCs w:val="20"/>
        </w:rPr>
      </w:pPr>
      <w:r w:rsidRPr="00741A37">
        <w:rPr>
          <w:rFonts w:ascii="Verdana" w:hAnsi="Verdana"/>
          <w:sz w:val="20"/>
          <w:szCs w:val="20"/>
        </w:rPr>
        <w:t>Kan de regering aangeven waarom deze analyse bruikbaar is aangezien niet alle rechten worden ingevaren?</w:t>
      </w:r>
    </w:p>
    <w:p w:rsidR="00772FA8" w:rsidP="00772FA8" w:rsidRDefault="00772FA8" w14:paraId="0AD7D524" w14:textId="6F105C71">
      <w:pPr>
        <w:pStyle w:val="Geenafstand"/>
        <w:numPr>
          <w:ilvl w:val="0"/>
          <w:numId w:val="7"/>
        </w:numPr>
        <w:ind w:hanging="357"/>
        <w:rPr>
          <w:rFonts w:ascii="Verdana" w:hAnsi="Verdana"/>
          <w:sz w:val="20"/>
          <w:szCs w:val="20"/>
        </w:rPr>
      </w:pPr>
      <w:r w:rsidRPr="00741A37">
        <w:rPr>
          <w:rFonts w:ascii="Verdana" w:hAnsi="Verdana"/>
          <w:sz w:val="20"/>
          <w:szCs w:val="20"/>
        </w:rPr>
        <w:t xml:space="preserve">Klopt het dat het </w:t>
      </w:r>
      <w:r w:rsidR="00527B81">
        <w:rPr>
          <w:rFonts w:ascii="Verdana" w:hAnsi="Verdana"/>
          <w:sz w:val="20"/>
          <w:szCs w:val="20"/>
        </w:rPr>
        <w:t>netto</w:t>
      </w:r>
      <w:r w:rsidRPr="00741A37">
        <w:rPr>
          <w:rFonts w:ascii="Verdana" w:hAnsi="Verdana"/>
          <w:sz w:val="20"/>
          <w:szCs w:val="20"/>
        </w:rPr>
        <w:t>profijt sowieso positief is voor mensen die al pensioen hebben opgebouwd aangezien dat pensioen wel in de te verwachten uitkeringen maar niet in de toekomstige premie-inleg zit?</w:t>
      </w:r>
      <w:r>
        <w:rPr>
          <w:rFonts w:ascii="Verdana" w:hAnsi="Verdana"/>
          <w:sz w:val="20"/>
          <w:szCs w:val="20"/>
        </w:rPr>
        <w:t xml:space="preserve"> </w:t>
      </w:r>
    </w:p>
    <w:p w:rsidRPr="00741A37" w:rsidR="00772FA8" w:rsidP="00772FA8" w:rsidRDefault="00772FA8" w14:paraId="1518779C" w14:textId="77777777">
      <w:pPr>
        <w:pStyle w:val="Geenafstand"/>
        <w:ind w:left="357"/>
        <w:rPr>
          <w:rFonts w:ascii="Verdana" w:hAnsi="Verdana"/>
          <w:sz w:val="20"/>
          <w:szCs w:val="20"/>
        </w:rPr>
      </w:pPr>
    </w:p>
    <w:p w:rsidRPr="00741A37" w:rsidR="00772FA8" w:rsidP="00772FA8" w:rsidRDefault="00772FA8" w14:paraId="66B1519E" w14:textId="47EA0EEA">
      <w:pPr>
        <w:rPr>
          <w:b/>
          <w:sz w:val="20"/>
          <w:szCs w:val="20"/>
        </w:rPr>
      </w:pPr>
      <w:r>
        <w:rPr>
          <w:b/>
          <w:sz w:val="20"/>
          <w:szCs w:val="20"/>
        </w:rPr>
        <w:t>Artikel 220e</w:t>
      </w:r>
      <w:r w:rsidRPr="00B52935">
        <w:rPr>
          <w:b/>
          <w:sz w:val="20"/>
          <w:szCs w:val="20"/>
        </w:rPr>
        <w:t xml:space="preserve"> </w:t>
      </w:r>
      <w:r w:rsidR="00E3576E">
        <w:rPr>
          <w:b/>
          <w:sz w:val="20"/>
          <w:szCs w:val="20"/>
        </w:rPr>
        <w:t xml:space="preserve">- </w:t>
      </w:r>
      <w:r w:rsidRPr="00B52935">
        <w:rPr>
          <w:b/>
          <w:sz w:val="20"/>
          <w:szCs w:val="20"/>
        </w:rPr>
        <w:t>Ove</w:t>
      </w:r>
      <w:r>
        <w:rPr>
          <w:b/>
          <w:sz w:val="20"/>
          <w:szCs w:val="20"/>
        </w:rPr>
        <w:t>rgangsrecht progressieve premie, l</w:t>
      </w:r>
      <w:r>
        <w:rPr>
          <w:b/>
        </w:rPr>
        <w:t xml:space="preserve">id </w:t>
      </w:r>
      <w:r w:rsidRPr="00741A37">
        <w:rPr>
          <w:b/>
          <w:sz w:val="20"/>
          <w:szCs w:val="20"/>
        </w:rPr>
        <w:t>5</w:t>
      </w:r>
    </w:p>
    <w:p w:rsidRPr="00741A37" w:rsidR="00772FA8" w:rsidP="00772FA8" w:rsidRDefault="00772FA8" w14:paraId="3B951236" w14:textId="1F00ABCD">
      <w:pPr>
        <w:pStyle w:val="Geenafstand"/>
        <w:numPr>
          <w:ilvl w:val="0"/>
          <w:numId w:val="7"/>
        </w:numPr>
        <w:ind w:hanging="357"/>
        <w:rPr>
          <w:rFonts w:ascii="Verdana" w:hAnsi="Verdana"/>
          <w:sz w:val="20"/>
          <w:szCs w:val="20"/>
        </w:rPr>
      </w:pPr>
      <w:r w:rsidRPr="00741A37">
        <w:rPr>
          <w:rFonts w:ascii="Verdana" w:hAnsi="Verdana"/>
          <w:sz w:val="20"/>
          <w:szCs w:val="20"/>
        </w:rPr>
        <w:t>Kan de regering toelichten waarom onder lid a gekozen wordt voor contante waarde? En wat het verschil is tussen markt</w:t>
      </w:r>
      <w:r>
        <w:rPr>
          <w:rFonts w:ascii="Verdana" w:hAnsi="Verdana"/>
          <w:sz w:val="20"/>
          <w:szCs w:val="20"/>
        </w:rPr>
        <w:t>waarde en contante waarde?</w:t>
      </w:r>
    </w:p>
    <w:p w:rsidRPr="00B52935" w:rsidR="00772FA8" w:rsidP="00772FA8" w:rsidRDefault="00772FA8" w14:paraId="60E8661A" w14:textId="77777777">
      <w:pPr>
        <w:rPr>
          <w:sz w:val="20"/>
          <w:szCs w:val="20"/>
        </w:rPr>
      </w:pPr>
    </w:p>
    <w:p w:rsidRPr="00741A37" w:rsidR="00772FA8" w:rsidP="00772FA8" w:rsidRDefault="00772FA8" w14:paraId="4EA1CE08" w14:textId="591A7A9A">
      <w:pPr>
        <w:rPr>
          <w:b/>
          <w:sz w:val="20"/>
          <w:szCs w:val="20"/>
        </w:rPr>
      </w:pPr>
      <w:r>
        <w:rPr>
          <w:b/>
          <w:sz w:val="20"/>
          <w:szCs w:val="20"/>
        </w:rPr>
        <w:t>Artikel 220e</w:t>
      </w:r>
      <w:r w:rsidRPr="00B52935">
        <w:rPr>
          <w:b/>
          <w:sz w:val="20"/>
          <w:szCs w:val="20"/>
        </w:rPr>
        <w:t xml:space="preserve"> </w:t>
      </w:r>
      <w:r w:rsidR="00E3576E">
        <w:rPr>
          <w:b/>
          <w:sz w:val="20"/>
          <w:szCs w:val="20"/>
        </w:rPr>
        <w:t xml:space="preserve">- </w:t>
      </w:r>
      <w:r w:rsidRPr="00B52935">
        <w:rPr>
          <w:b/>
          <w:sz w:val="20"/>
          <w:szCs w:val="20"/>
        </w:rPr>
        <w:t>Ove</w:t>
      </w:r>
      <w:r>
        <w:rPr>
          <w:b/>
          <w:sz w:val="20"/>
          <w:szCs w:val="20"/>
        </w:rPr>
        <w:t>rgangsrecht progressieve premie, l</w:t>
      </w:r>
      <w:r>
        <w:rPr>
          <w:b/>
        </w:rPr>
        <w:t xml:space="preserve">id </w:t>
      </w:r>
      <w:r w:rsidRPr="00741A37">
        <w:rPr>
          <w:b/>
          <w:sz w:val="20"/>
          <w:szCs w:val="20"/>
        </w:rPr>
        <w:t>6</w:t>
      </w:r>
    </w:p>
    <w:p w:rsidR="00772FA8" w:rsidP="00772FA8" w:rsidRDefault="00772FA8" w14:paraId="3069F9E6" w14:textId="02A47553">
      <w:pPr>
        <w:pStyle w:val="Geenafstand"/>
        <w:numPr>
          <w:ilvl w:val="0"/>
          <w:numId w:val="7"/>
        </w:numPr>
        <w:ind w:hanging="357"/>
        <w:rPr>
          <w:rFonts w:ascii="Verdana" w:hAnsi="Verdana"/>
          <w:sz w:val="20"/>
          <w:szCs w:val="20"/>
        </w:rPr>
      </w:pPr>
      <w:r w:rsidRPr="00741A37">
        <w:rPr>
          <w:rFonts w:ascii="Verdana" w:hAnsi="Verdana"/>
          <w:sz w:val="20"/>
          <w:szCs w:val="20"/>
        </w:rPr>
        <w:t xml:space="preserve">Kan de regering aangeven waarom dit per </w:t>
      </w:r>
      <w:r w:rsidR="00527B81">
        <w:rPr>
          <w:rFonts w:ascii="Verdana" w:hAnsi="Verdana"/>
          <w:sz w:val="20"/>
          <w:szCs w:val="20"/>
        </w:rPr>
        <w:t>algemene maatregel van bestuur (</w:t>
      </w:r>
      <w:r w:rsidRPr="00741A37">
        <w:rPr>
          <w:rFonts w:ascii="Verdana" w:hAnsi="Verdana"/>
          <w:sz w:val="20"/>
          <w:szCs w:val="20"/>
        </w:rPr>
        <w:t>AMvB</w:t>
      </w:r>
      <w:r w:rsidR="00527B81">
        <w:rPr>
          <w:rFonts w:ascii="Verdana" w:hAnsi="Verdana"/>
          <w:sz w:val="20"/>
          <w:szCs w:val="20"/>
        </w:rPr>
        <w:t>) gaat? Hangt dit samen met de C</w:t>
      </w:r>
      <w:r w:rsidRPr="00741A37">
        <w:rPr>
          <w:rFonts w:ascii="Verdana" w:hAnsi="Verdana"/>
          <w:sz w:val="20"/>
          <w:szCs w:val="20"/>
        </w:rPr>
        <w:t>ommissie parameters?</w:t>
      </w:r>
    </w:p>
    <w:p w:rsidR="000741FA" w:rsidP="000741FA" w:rsidRDefault="000741FA" w14:paraId="14EE6C44" w14:textId="290C94EC">
      <w:pPr>
        <w:pStyle w:val="Geenafstand"/>
        <w:rPr>
          <w:rFonts w:ascii="Verdana" w:hAnsi="Verdana"/>
          <w:sz w:val="20"/>
          <w:szCs w:val="20"/>
        </w:rPr>
      </w:pPr>
    </w:p>
    <w:p w:rsidRPr="00741A37" w:rsidR="000741FA" w:rsidP="000741FA" w:rsidRDefault="000741FA" w14:paraId="4BC5C506" w14:textId="77777777">
      <w:pPr>
        <w:rPr>
          <w:rFonts w:eastAsia="Times New Roman"/>
          <w:b/>
          <w:sz w:val="20"/>
          <w:szCs w:val="20"/>
          <w:lang w:eastAsia="nl-NL"/>
        </w:rPr>
      </w:pPr>
      <w:r>
        <w:rPr>
          <w:b/>
          <w:sz w:val="20"/>
          <w:szCs w:val="20"/>
        </w:rPr>
        <w:t>Artikel 220e</w:t>
      </w:r>
      <w:r w:rsidRPr="00B52935">
        <w:rPr>
          <w:b/>
          <w:sz w:val="20"/>
          <w:szCs w:val="20"/>
        </w:rPr>
        <w:t xml:space="preserve"> </w:t>
      </w:r>
      <w:r>
        <w:rPr>
          <w:b/>
          <w:sz w:val="20"/>
          <w:szCs w:val="20"/>
        </w:rPr>
        <w:t xml:space="preserve">- </w:t>
      </w:r>
      <w:r w:rsidRPr="00B52935">
        <w:rPr>
          <w:b/>
          <w:sz w:val="20"/>
          <w:szCs w:val="20"/>
        </w:rPr>
        <w:t>Ove</w:t>
      </w:r>
      <w:r>
        <w:rPr>
          <w:b/>
          <w:sz w:val="20"/>
          <w:szCs w:val="20"/>
        </w:rPr>
        <w:t xml:space="preserve">rgangsrecht progressieve </w:t>
      </w:r>
      <w:r w:rsidRPr="000741FA">
        <w:rPr>
          <w:b/>
          <w:sz w:val="20"/>
          <w:szCs w:val="20"/>
        </w:rPr>
        <w:t>premie, o</w:t>
      </w:r>
      <w:r w:rsidRPr="000741FA">
        <w:rPr>
          <w:rFonts w:eastAsia="Times New Roman"/>
          <w:b/>
          <w:sz w:val="20"/>
          <w:szCs w:val="20"/>
          <w:lang w:eastAsia="nl-NL"/>
        </w:rPr>
        <w:t>verig</w:t>
      </w:r>
    </w:p>
    <w:p w:rsidRPr="00741A37" w:rsidR="000741FA" w:rsidP="000741FA" w:rsidRDefault="000741FA" w14:paraId="7D24439A" w14:textId="77777777">
      <w:pPr>
        <w:pStyle w:val="Geenafstand"/>
        <w:numPr>
          <w:ilvl w:val="0"/>
          <w:numId w:val="7"/>
        </w:numPr>
        <w:ind w:hanging="357"/>
        <w:rPr>
          <w:rFonts w:ascii="Verdana" w:hAnsi="Verdana"/>
          <w:sz w:val="20"/>
          <w:szCs w:val="20"/>
        </w:rPr>
      </w:pPr>
      <w:r w:rsidRPr="00741A37">
        <w:rPr>
          <w:rFonts w:ascii="Verdana" w:hAnsi="Verdana"/>
          <w:sz w:val="20"/>
          <w:szCs w:val="20"/>
        </w:rPr>
        <w:t>Klopt het inderdaad dat werkgevers die gebruik maken van de eerbiedigende werking (artikel 220e) niet de verplichting hebben tot het opstellen van ee</w:t>
      </w:r>
      <w:r>
        <w:rPr>
          <w:rFonts w:ascii="Verdana" w:hAnsi="Verdana"/>
          <w:sz w:val="20"/>
          <w:szCs w:val="20"/>
        </w:rPr>
        <w:t>n transitieplan (artikel 150b)?</w:t>
      </w:r>
    </w:p>
    <w:p w:rsidRPr="004C3E85" w:rsidR="000741FA" w:rsidP="000741FA" w:rsidRDefault="000741FA" w14:paraId="734275A3" w14:textId="77777777">
      <w:pPr>
        <w:pStyle w:val="Geenafstand"/>
        <w:numPr>
          <w:ilvl w:val="0"/>
          <w:numId w:val="7"/>
        </w:numPr>
        <w:ind w:hanging="357"/>
        <w:rPr>
          <w:rFonts w:ascii="Verdana" w:hAnsi="Verdana"/>
          <w:sz w:val="20"/>
          <w:szCs w:val="20"/>
        </w:rPr>
      </w:pPr>
      <w:r w:rsidRPr="00741A37">
        <w:rPr>
          <w:rFonts w:ascii="Verdana" w:hAnsi="Verdana"/>
          <w:sz w:val="20"/>
          <w:szCs w:val="20"/>
        </w:rPr>
        <w:t xml:space="preserve">Wordt een regeling met progressieve premie bij verzekeraars en </w:t>
      </w:r>
      <w:r>
        <w:rPr>
          <w:rFonts w:ascii="Verdana" w:hAnsi="Verdana"/>
          <w:sz w:val="20"/>
          <w:szCs w:val="20"/>
        </w:rPr>
        <w:t>PPI’s ook toegestaan?</w:t>
      </w:r>
    </w:p>
    <w:p w:rsidR="00527B81" w:rsidP="000741FA" w:rsidRDefault="000741FA" w14:paraId="7E0CE9A5" w14:textId="77777777">
      <w:pPr>
        <w:pStyle w:val="Geenafstand"/>
        <w:numPr>
          <w:ilvl w:val="0"/>
          <w:numId w:val="7"/>
        </w:numPr>
        <w:ind w:hanging="357"/>
        <w:rPr>
          <w:rFonts w:ascii="Verdana" w:hAnsi="Verdana"/>
          <w:sz w:val="20"/>
          <w:szCs w:val="20"/>
        </w:rPr>
      </w:pPr>
      <w:r w:rsidRPr="00741A37">
        <w:rPr>
          <w:rFonts w:ascii="Verdana" w:hAnsi="Verdana"/>
          <w:sz w:val="20"/>
          <w:szCs w:val="20"/>
        </w:rPr>
        <w:t xml:space="preserve">Wat gebeurt er in de situatie dat er een onderneming is met een </w:t>
      </w:r>
      <w:r w:rsidR="00527B81">
        <w:rPr>
          <w:rFonts w:ascii="Verdana" w:hAnsi="Verdana"/>
          <w:sz w:val="20"/>
          <w:szCs w:val="20"/>
        </w:rPr>
        <w:t xml:space="preserve">Defined Benefit </w:t>
      </w:r>
    </w:p>
    <w:p w:rsidRPr="004C3E85" w:rsidR="000741FA" w:rsidP="00527B81" w:rsidRDefault="00527B81" w14:paraId="57A7D072" w14:textId="40D28A2C">
      <w:pPr>
        <w:pStyle w:val="Geenafstand"/>
        <w:ind w:left="357"/>
        <w:rPr>
          <w:rFonts w:ascii="Verdana" w:hAnsi="Verdana"/>
          <w:sz w:val="20"/>
          <w:szCs w:val="20"/>
        </w:rPr>
      </w:pPr>
      <w:r>
        <w:rPr>
          <w:rFonts w:ascii="Verdana" w:hAnsi="Verdana"/>
          <w:sz w:val="20"/>
          <w:szCs w:val="20"/>
        </w:rPr>
        <w:t xml:space="preserve">(DB-) </w:t>
      </w:r>
      <w:r w:rsidRPr="00741A37" w:rsidR="000741FA">
        <w:rPr>
          <w:rFonts w:ascii="Verdana" w:hAnsi="Verdana"/>
          <w:sz w:val="20"/>
          <w:szCs w:val="20"/>
        </w:rPr>
        <w:t xml:space="preserve">regeling en de ondernemer verkoopt een </w:t>
      </w:r>
      <w:r w:rsidR="000741FA">
        <w:rPr>
          <w:rFonts w:ascii="Verdana" w:hAnsi="Verdana"/>
          <w:sz w:val="20"/>
          <w:szCs w:val="20"/>
        </w:rPr>
        <w:t>deel van de onderneming in 2024?</w:t>
      </w:r>
      <w:r w:rsidRPr="00741A37" w:rsidR="000741FA">
        <w:rPr>
          <w:rFonts w:ascii="Verdana" w:hAnsi="Verdana"/>
          <w:sz w:val="20"/>
          <w:szCs w:val="20"/>
        </w:rPr>
        <w:t xml:space="preserve"> Mag die afgesplitste onderneming dan in de periode dan ook nog een DB-regeling aanbieden aan haar personeel (uiterlijk tot 1-1-27) of moet dit dan direct een </w:t>
      </w:r>
      <w:r>
        <w:rPr>
          <w:rFonts w:ascii="Verdana" w:hAnsi="Verdana"/>
          <w:sz w:val="20"/>
          <w:szCs w:val="20"/>
        </w:rPr>
        <w:t>Defined Contribution (DC-)</w:t>
      </w:r>
      <w:r w:rsidRPr="00741A37" w:rsidR="000741FA">
        <w:rPr>
          <w:rFonts w:ascii="Verdana" w:hAnsi="Verdana"/>
          <w:sz w:val="20"/>
          <w:szCs w:val="20"/>
        </w:rPr>
        <w:t>regeling zijn? Geldt de mogelijkheid om gebruik te maken van de eerbiedigende werking dan ook nog wel voor de afgesplitste onderneming in 2024? En wat kan de deelnemer doen of de regering afdwingen wanneer ondernemers dit niet correct toepassen?</w:t>
      </w:r>
    </w:p>
    <w:p w:rsidRPr="00741A37" w:rsidR="000741FA" w:rsidP="000741FA" w:rsidRDefault="000741FA" w14:paraId="5BF48459" w14:textId="52786FDC">
      <w:pPr>
        <w:pStyle w:val="Geenafstand"/>
        <w:numPr>
          <w:ilvl w:val="0"/>
          <w:numId w:val="7"/>
        </w:numPr>
        <w:ind w:hanging="357"/>
        <w:rPr>
          <w:rFonts w:ascii="Verdana" w:hAnsi="Verdana"/>
          <w:sz w:val="20"/>
          <w:szCs w:val="20"/>
        </w:rPr>
      </w:pPr>
      <w:r w:rsidRPr="00741A37">
        <w:rPr>
          <w:rFonts w:ascii="Verdana" w:hAnsi="Verdana"/>
          <w:sz w:val="20"/>
          <w:szCs w:val="20"/>
        </w:rPr>
        <w:t xml:space="preserve">Op grond van het voorgestelde artikel 222 treden de artikelen van deze wet in werking op een bij </w:t>
      </w:r>
      <w:r w:rsidR="00527B81">
        <w:rPr>
          <w:rFonts w:ascii="Verdana" w:hAnsi="Verdana"/>
          <w:sz w:val="20"/>
          <w:szCs w:val="20"/>
        </w:rPr>
        <w:t>koninklijk besluit</w:t>
      </w:r>
      <w:r w:rsidRPr="00741A37">
        <w:rPr>
          <w:rFonts w:ascii="Verdana" w:hAnsi="Verdana"/>
          <w:sz w:val="20"/>
          <w:szCs w:val="20"/>
        </w:rPr>
        <w:t xml:space="preserve"> te bepalen tijdstip dat voor de verschillende artikelen of onderdelen daarvan verschillend kan worden vastgesteld. Kan de regering toelichten wat bedoeld wordt met ‘het tijdstip van inwerkingtreding’? Wordt hier in de ge</w:t>
      </w:r>
      <w:r>
        <w:rPr>
          <w:rFonts w:ascii="Verdana" w:hAnsi="Verdana"/>
          <w:sz w:val="20"/>
          <w:szCs w:val="20"/>
        </w:rPr>
        <w:t>hele Wtp hetzelfde mee bedoelt?</w:t>
      </w:r>
    </w:p>
    <w:p w:rsidRPr="004C3E85" w:rsidR="000741FA" w:rsidP="000741FA" w:rsidRDefault="000741FA" w14:paraId="4E86297E" w14:textId="0F49681C">
      <w:pPr>
        <w:pStyle w:val="Geenafstand"/>
        <w:numPr>
          <w:ilvl w:val="0"/>
          <w:numId w:val="7"/>
        </w:numPr>
        <w:ind w:hanging="357"/>
        <w:rPr>
          <w:rFonts w:ascii="Verdana" w:hAnsi="Verdana"/>
          <w:sz w:val="20"/>
          <w:szCs w:val="20"/>
        </w:rPr>
      </w:pPr>
      <w:r w:rsidRPr="00741A37">
        <w:rPr>
          <w:rFonts w:ascii="Verdana" w:hAnsi="Verdana"/>
          <w:sz w:val="20"/>
          <w:szCs w:val="20"/>
        </w:rPr>
        <w:t>Klopt het dat door de aanpassingen van artikel 220e, eerste lid, een verschil ontstaat in de behandeling van werknemers jonger dan de toetredingsleeftijd met en zonder partner? Een deelnemer is een werknemer of gewezen werknemer die op grond van een pensioenovereenkomst pensioenaanspraken verwerft jegens een pensioenuitvoerder. In diverse regelingen is sprake van een toetredingsleeftijd van bijvoorbeeld 21 jaar. Pas vanaf die leeftijd gaan werknemers ouderdomspensioen opbouwen en worden zij deelnemer (ze gaan immers pensioenaanspraken verwerven). Werknemers die de toetredingsleeftijd nog niet hebben bereikt en een partner hebben, hebben veelal wel aanspraak op partnerpensioen. In zoverre verwerven ze dus pensioenaanspraken en zijn ze deelnemer. Werknemers die overigens in een identieke situatie verkeren, maar geen partner hebben, komen niet in aanmerking voor een partnerpensioen en zijn dus geen deelnemer. De jongere deelnemer met partner valt wel onder het overgangsrecht en de deelnemer zonder partner niet. Heeft de regering dit onderscheidt beoog</w:t>
      </w:r>
      <w:r w:rsidR="009A7F44">
        <w:rPr>
          <w:rFonts w:ascii="Verdana" w:hAnsi="Verdana"/>
          <w:sz w:val="20"/>
          <w:szCs w:val="20"/>
        </w:rPr>
        <w:t>d</w:t>
      </w:r>
      <w:r w:rsidRPr="00741A37">
        <w:rPr>
          <w:rFonts w:ascii="Verdana" w:hAnsi="Verdana"/>
          <w:sz w:val="20"/>
          <w:szCs w:val="20"/>
        </w:rPr>
        <w:t>, of dient het woord ‘deelnemer’ te worden vervangen door het woord ‘werknemer’? En wat zijn hiervan dan eventuele verdere gevolgen?</w:t>
      </w:r>
    </w:p>
    <w:p w:rsidRPr="00B52935" w:rsidR="000741FA" w:rsidP="000741FA" w:rsidRDefault="000741FA" w14:paraId="0BF2947A" w14:textId="77777777">
      <w:pPr>
        <w:pStyle w:val="Geenafstand"/>
        <w:numPr>
          <w:ilvl w:val="0"/>
          <w:numId w:val="7"/>
        </w:numPr>
        <w:ind w:hanging="357"/>
        <w:rPr>
          <w:rFonts w:ascii="Verdana" w:hAnsi="Verdana"/>
          <w:sz w:val="20"/>
          <w:szCs w:val="20"/>
        </w:rPr>
      </w:pPr>
      <w:r w:rsidRPr="00B52935">
        <w:rPr>
          <w:rFonts w:ascii="Verdana" w:hAnsi="Verdana"/>
          <w:sz w:val="20"/>
          <w:szCs w:val="20"/>
        </w:rPr>
        <w:lastRenderedPageBreak/>
        <w:t>Kunnen werkgevers hun regeling, met behoud van eerbiedigende werking, oversluiten naar een andere aanbieder, of wordt dit door de minister gezien als een nieuw contract en vervallen daarmee de rechten op toepassing van de eerbiedigende werking?</w:t>
      </w:r>
    </w:p>
    <w:p w:rsidR="00772FA8" w:rsidP="00423B49" w:rsidRDefault="00772FA8" w14:paraId="608AFA64" w14:textId="77777777">
      <w:pPr>
        <w:rPr>
          <w:rFonts w:cstheme="minorHAnsi"/>
          <w:b/>
          <w:bCs/>
          <w:sz w:val="20"/>
          <w:szCs w:val="20"/>
          <w:lang w:eastAsia="nl-NL"/>
        </w:rPr>
      </w:pPr>
    </w:p>
    <w:p w:rsidRPr="00B52935" w:rsidR="00423B49" w:rsidP="00423B49" w:rsidRDefault="00423B49" w14:paraId="0B90F17A" w14:textId="6CBB80F0">
      <w:pPr>
        <w:rPr>
          <w:rFonts w:cstheme="minorHAnsi"/>
          <w:b/>
          <w:bCs/>
          <w:sz w:val="20"/>
          <w:szCs w:val="20"/>
          <w:lang w:eastAsia="nl-NL"/>
        </w:rPr>
      </w:pPr>
      <w:r w:rsidRPr="00B52935">
        <w:rPr>
          <w:rFonts w:cstheme="minorHAnsi"/>
          <w:b/>
          <w:bCs/>
          <w:sz w:val="20"/>
          <w:szCs w:val="20"/>
          <w:lang w:eastAsia="nl-NL"/>
        </w:rPr>
        <w:t xml:space="preserve">Artikel 220h </w:t>
      </w:r>
      <w:r w:rsidR="00E3576E">
        <w:rPr>
          <w:rFonts w:cstheme="minorHAnsi"/>
          <w:b/>
          <w:bCs/>
          <w:sz w:val="20"/>
          <w:szCs w:val="20"/>
          <w:lang w:eastAsia="nl-NL"/>
        </w:rPr>
        <w:t xml:space="preserve">- </w:t>
      </w:r>
      <w:r w:rsidRPr="00B30FFC" w:rsidR="00B30FFC">
        <w:rPr>
          <w:b/>
          <w:sz w:val="20"/>
          <w:szCs w:val="20"/>
        </w:rPr>
        <w:t>Overgangsrecht premievrije voortzetting bij gesloten pensioenfonds</w:t>
      </w:r>
    </w:p>
    <w:p w:rsidRPr="00B30FFC" w:rsidR="00A223AA" w:rsidP="00B30FFC" w:rsidRDefault="00830316" w14:paraId="3003CD07" w14:textId="750412F1">
      <w:pPr>
        <w:pStyle w:val="Geenafstand"/>
        <w:numPr>
          <w:ilvl w:val="0"/>
          <w:numId w:val="7"/>
        </w:numPr>
        <w:ind w:hanging="357"/>
        <w:rPr>
          <w:rFonts w:ascii="Verdana" w:hAnsi="Verdana"/>
          <w:sz w:val="20"/>
          <w:szCs w:val="20"/>
        </w:rPr>
      </w:pPr>
      <w:r w:rsidRPr="00A223AA">
        <w:rPr>
          <w:rFonts w:ascii="Verdana" w:hAnsi="Verdana"/>
          <w:sz w:val="20"/>
          <w:szCs w:val="20"/>
        </w:rPr>
        <w:t xml:space="preserve">De aanhef van lid 1 </w:t>
      </w:r>
      <w:r w:rsidR="004C3E85">
        <w:rPr>
          <w:rFonts w:ascii="Verdana" w:hAnsi="Verdana"/>
          <w:sz w:val="20"/>
          <w:szCs w:val="20"/>
        </w:rPr>
        <w:t xml:space="preserve">staat </w:t>
      </w:r>
      <w:r w:rsidRPr="00A223AA">
        <w:rPr>
          <w:rFonts w:ascii="Verdana" w:hAnsi="Verdana"/>
          <w:sz w:val="20"/>
          <w:szCs w:val="20"/>
        </w:rPr>
        <w:t>haaks op onderdeel a: hoe kan de opbouw van pensioenaanspraken in een uitkeringsovereenkomst worden voortgezet als het pensioenfonds een beëind</w:t>
      </w:r>
      <w:r w:rsidR="00741A37">
        <w:rPr>
          <w:rFonts w:ascii="Verdana" w:hAnsi="Verdana"/>
          <w:sz w:val="20"/>
          <w:szCs w:val="20"/>
        </w:rPr>
        <w:t>igde pensioenregeling uitvoert?</w:t>
      </w:r>
    </w:p>
    <w:p w:rsidRPr="00B30FFC" w:rsidR="00A223AA" w:rsidP="00B30FFC" w:rsidRDefault="005F4F7F" w14:paraId="3BA892FC" w14:textId="58B1CAEC">
      <w:pPr>
        <w:pStyle w:val="Geenafstand"/>
        <w:numPr>
          <w:ilvl w:val="0"/>
          <w:numId w:val="7"/>
        </w:numPr>
        <w:ind w:hanging="357"/>
        <w:rPr>
          <w:rFonts w:ascii="Verdana" w:hAnsi="Verdana"/>
          <w:sz w:val="20"/>
          <w:szCs w:val="20"/>
        </w:rPr>
      </w:pPr>
      <w:r w:rsidRPr="00A223AA">
        <w:rPr>
          <w:rFonts w:ascii="Verdana" w:hAnsi="Verdana"/>
          <w:sz w:val="20"/>
          <w:szCs w:val="20"/>
        </w:rPr>
        <w:t xml:space="preserve">Kan de </w:t>
      </w:r>
      <w:r w:rsidRPr="00A223AA" w:rsidR="00967F65">
        <w:rPr>
          <w:rFonts w:ascii="Verdana" w:hAnsi="Verdana"/>
          <w:sz w:val="20"/>
          <w:szCs w:val="20"/>
        </w:rPr>
        <w:t>regering</w:t>
      </w:r>
      <w:r w:rsidRPr="00A223AA">
        <w:rPr>
          <w:rFonts w:ascii="Verdana" w:hAnsi="Verdana"/>
          <w:sz w:val="20"/>
          <w:szCs w:val="20"/>
        </w:rPr>
        <w:t xml:space="preserve"> toelichten waarom is gekozen voor d</w:t>
      </w:r>
      <w:r w:rsidRPr="00A223AA" w:rsidR="00830316">
        <w:rPr>
          <w:rFonts w:ascii="Verdana" w:hAnsi="Verdana"/>
          <w:sz w:val="20"/>
          <w:szCs w:val="20"/>
        </w:rPr>
        <w:t>e uitdrukking “opbouw van pensioenaanspraken</w:t>
      </w:r>
      <w:r w:rsidR="009A7F44">
        <w:rPr>
          <w:rFonts w:ascii="Verdana" w:hAnsi="Verdana"/>
          <w:sz w:val="20"/>
          <w:szCs w:val="20"/>
        </w:rPr>
        <w:t xml:space="preserve"> in een uitkeringsovereenkomst”?</w:t>
      </w:r>
      <w:r w:rsidRPr="00A223AA">
        <w:rPr>
          <w:rFonts w:ascii="Verdana" w:hAnsi="Verdana"/>
          <w:sz w:val="20"/>
          <w:szCs w:val="20"/>
        </w:rPr>
        <w:t xml:space="preserve"> Is het niet verstandiger om te spreken van </w:t>
      </w:r>
      <w:r w:rsidRPr="00A223AA" w:rsidR="00830316">
        <w:rPr>
          <w:rFonts w:ascii="Verdana" w:hAnsi="Verdana"/>
          <w:sz w:val="20"/>
          <w:szCs w:val="20"/>
        </w:rPr>
        <w:t>“opbouw van pensioenaanspraken op grond van in een uitkeringsovereenkomst</w:t>
      </w:r>
      <w:r w:rsidRPr="00A223AA">
        <w:rPr>
          <w:rFonts w:ascii="Verdana" w:hAnsi="Verdana"/>
          <w:sz w:val="20"/>
          <w:szCs w:val="20"/>
        </w:rPr>
        <w:t>”</w:t>
      </w:r>
      <w:r w:rsidR="009A7F44">
        <w:rPr>
          <w:rFonts w:ascii="Verdana" w:hAnsi="Verdana"/>
          <w:sz w:val="20"/>
          <w:szCs w:val="20"/>
        </w:rPr>
        <w:t>?</w:t>
      </w:r>
    </w:p>
    <w:p w:rsidRPr="00B30FFC" w:rsidR="00A223AA" w:rsidP="00B30FFC" w:rsidRDefault="005F4F7F" w14:paraId="1737DE04" w14:textId="784B0A03">
      <w:pPr>
        <w:pStyle w:val="Geenafstand"/>
        <w:numPr>
          <w:ilvl w:val="0"/>
          <w:numId w:val="7"/>
        </w:numPr>
        <w:ind w:hanging="357"/>
        <w:rPr>
          <w:rFonts w:ascii="Verdana" w:hAnsi="Verdana"/>
          <w:sz w:val="20"/>
          <w:szCs w:val="20"/>
        </w:rPr>
      </w:pPr>
      <w:r w:rsidRPr="00A223AA">
        <w:rPr>
          <w:rFonts w:ascii="Verdana" w:hAnsi="Verdana"/>
          <w:sz w:val="20"/>
          <w:szCs w:val="20"/>
        </w:rPr>
        <w:t xml:space="preserve">Klopt het dat </w:t>
      </w:r>
      <w:r w:rsidRPr="00A223AA" w:rsidR="00830316">
        <w:rPr>
          <w:rFonts w:ascii="Verdana" w:hAnsi="Verdana"/>
          <w:sz w:val="20"/>
          <w:szCs w:val="20"/>
        </w:rPr>
        <w:t>Het begrip “pensioenregeling” niet gedefinieerd</w:t>
      </w:r>
      <w:r w:rsidRPr="00A223AA">
        <w:rPr>
          <w:rFonts w:ascii="Verdana" w:hAnsi="Verdana"/>
          <w:sz w:val="20"/>
          <w:szCs w:val="20"/>
        </w:rPr>
        <w:t xml:space="preserve"> is</w:t>
      </w:r>
      <w:r w:rsidR="009A7F44">
        <w:rPr>
          <w:rFonts w:ascii="Verdana" w:hAnsi="Verdana"/>
          <w:sz w:val="20"/>
          <w:szCs w:val="20"/>
        </w:rPr>
        <w:t xml:space="preserve"> in de Wtp?</w:t>
      </w:r>
      <w:r w:rsidRPr="00A223AA" w:rsidR="00830316">
        <w:rPr>
          <w:rFonts w:ascii="Verdana" w:hAnsi="Verdana"/>
          <w:sz w:val="20"/>
          <w:szCs w:val="20"/>
        </w:rPr>
        <w:t xml:space="preserve"> </w:t>
      </w:r>
      <w:r w:rsidR="009A7F44">
        <w:rPr>
          <w:rFonts w:ascii="Verdana" w:hAnsi="Verdana"/>
          <w:sz w:val="20"/>
          <w:szCs w:val="20"/>
        </w:rPr>
        <w:t>Wordt er uit</w:t>
      </w:r>
      <w:r w:rsidRPr="00A223AA">
        <w:rPr>
          <w:rFonts w:ascii="Verdana" w:hAnsi="Verdana"/>
          <w:sz w:val="20"/>
          <w:szCs w:val="20"/>
        </w:rPr>
        <w:t>gegaan van de</w:t>
      </w:r>
      <w:r w:rsidRPr="00A223AA" w:rsidR="00830316">
        <w:rPr>
          <w:rFonts w:ascii="Verdana" w:hAnsi="Verdana"/>
          <w:sz w:val="20"/>
          <w:szCs w:val="20"/>
        </w:rPr>
        <w:t xml:space="preserve"> gebruikelijke betekenis – de combinatie van </w:t>
      </w:r>
      <w:bookmarkStart w:name="_Hlk120048315" w:id="1"/>
      <w:r w:rsidRPr="00A223AA" w:rsidR="00830316">
        <w:rPr>
          <w:rFonts w:ascii="Verdana" w:hAnsi="Verdana"/>
          <w:sz w:val="20"/>
          <w:szCs w:val="20"/>
        </w:rPr>
        <w:t xml:space="preserve">pensioenovereenkomst en pensioenreglement </w:t>
      </w:r>
      <w:bookmarkEnd w:id="1"/>
      <w:r w:rsidRPr="00A223AA" w:rsidR="00830316">
        <w:rPr>
          <w:rFonts w:ascii="Verdana" w:hAnsi="Verdana"/>
          <w:sz w:val="20"/>
          <w:szCs w:val="20"/>
        </w:rPr>
        <w:t>of het verzamelbegrip waaronder pensioenovereenkomst en/of pe</w:t>
      </w:r>
      <w:r w:rsidR="009A7F44">
        <w:rPr>
          <w:rFonts w:ascii="Verdana" w:hAnsi="Verdana"/>
          <w:sz w:val="20"/>
          <w:szCs w:val="20"/>
        </w:rPr>
        <w:t>nsioenreglement worden verstaan?</w:t>
      </w:r>
      <w:r w:rsidRPr="00A223AA">
        <w:rPr>
          <w:rFonts w:ascii="Verdana" w:hAnsi="Verdana"/>
          <w:sz w:val="20"/>
          <w:szCs w:val="20"/>
        </w:rPr>
        <w:t xml:space="preserve"> Als dit niet het geval is</w:t>
      </w:r>
      <w:r w:rsidR="009A7F44">
        <w:rPr>
          <w:rFonts w:ascii="Verdana" w:hAnsi="Verdana"/>
          <w:sz w:val="20"/>
          <w:szCs w:val="20"/>
        </w:rPr>
        <w:t>,</w:t>
      </w:r>
      <w:r w:rsidRPr="00A223AA">
        <w:rPr>
          <w:rFonts w:ascii="Verdana" w:hAnsi="Verdana"/>
          <w:sz w:val="20"/>
          <w:szCs w:val="20"/>
        </w:rPr>
        <w:t xml:space="preserve"> waarom niet?</w:t>
      </w:r>
    </w:p>
    <w:p w:rsidR="00A223AA" w:rsidP="004C3E85" w:rsidRDefault="005F4F7F" w14:paraId="34397AFC" w14:textId="06F2141C">
      <w:pPr>
        <w:pStyle w:val="Geenafstand"/>
        <w:numPr>
          <w:ilvl w:val="0"/>
          <w:numId w:val="7"/>
        </w:numPr>
        <w:ind w:hanging="357"/>
        <w:rPr>
          <w:rFonts w:ascii="Verdana" w:hAnsi="Verdana"/>
          <w:sz w:val="20"/>
          <w:szCs w:val="20"/>
        </w:rPr>
      </w:pPr>
      <w:r w:rsidRPr="00A223AA">
        <w:rPr>
          <w:rFonts w:ascii="Verdana" w:hAnsi="Verdana"/>
          <w:sz w:val="20"/>
          <w:szCs w:val="20"/>
        </w:rPr>
        <w:t xml:space="preserve">Kan de </w:t>
      </w:r>
      <w:r w:rsidRPr="00A223AA" w:rsidR="00967F65">
        <w:rPr>
          <w:rFonts w:ascii="Verdana" w:hAnsi="Verdana"/>
          <w:sz w:val="20"/>
          <w:szCs w:val="20"/>
        </w:rPr>
        <w:t>regering</w:t>
      </w:r>
      <w:r w:rsidR="009A7F44">
        <w:rPr>
          <w:rFonts w:ascii="Verdana" w:hAnsi="Verdana"/>
          <w:sz w:val="20"/>
          <w:szCs w:val="20"/>
        </w:rPr>
        <w:t xml:space="preserve"> aangeven</w:t>
      </w:r>
      <w:r w:rsidRPr="00A223AA">
        <w:rPr>
          <w:rFonts w:ascii="Verdana" w:hAnsi="Verdana"/>
          <w:sz w:val="20"/>
          <w:szCs w:val="20"/>
        </w:rPr>
        <w:t xml:space="preserve"> waarom de bestaande definities</w:t>
      </w:r>
      <w:r w:rsidRPr="00A223AA" w:rsidR="004062AF">
        <w:rPr>
          <w:rFonts w:ascii="Verdana" w:hAnsi="Verdana"/>
          <w:sz w:val="20"/>
          <w:szCs w:val="20"/>
        </w:rPr>
        <w:t xml:space="preserve"> in artikel 10 niet worden gehandhaafd en aangevuld met de aanduiding van de nieuwe pensioencontracten? (220h Pw). Aangezien d</w:t>
      </w:r>
      <w:r w:rsidRPr="00A223AA" w:rsidR="00830316">
        <w:rPr>
          <w:rFonts w:ascii="Verdana" w:hAnsi="Verdana"/>
          <w:sz w:val="20"/>
          <w:szCs w:val="20"/>
        </w:rPr>
        <w:t>e bestaande ‘karakters’ van pensioenovereenkomsten relevant</w:t>
      </w:r>
      <w:r w:rsidRPr="00A223AA" w:rsidR="004062AF">
        <w:rPr>
          <w:rFonts w:ascii="Verdana" w:hAnsi="Verdana"/>
          <w:sz w:val="20"/>
          <w:szCs w:val="20"/>
        </w:rPr>
        <w:t xml:space="preserve"> blijven</w:t>
      </w:r>
      <w:r w:rsidRPr="00A223AA" w:rsidR="00830316">
        <w:rPr>
          <w:rFonts w:ascii="Verdana" w:hAnsi="Verdana"/>
          <w:sz w:val="20"/>
          <w:szCs w:val="20"/>
        </w:rPr>
        <w:t xml:space="preserve"> voor de vele pensioenaanspraken en -rechten die niet invaren en voor het </w:t>
      </w:r>
      <w:r w:rsidR="00741A37">
        <w:rPr>
          <w:rFonts w:ascii="Verdana" w:hAnsi="Verdana"/>
          <w:sz w:val="20"/>
          <w:szCs w:val="20"/>
        </w:rPr>
        <w:t>overgangsrecht bijvoorbeeld.</w:t>
      </w:r>
    </w:p>
    <w:p w:rsidRPr="004C3E85" w:rsidR="004C3E85" w:rsidP="004C3E85" w:rsidRDefault="004C3E85" w14:paraId="1B2B7714" w14:textId="77777777">
      <w:pPr>
        <w:pStyle w:val="Geenafstand"/>
        <w:ind w:left="357"/>
        <w:rPr>
          <w:rFonts w:ascii="Verdana" w:hAnsi="Verdana"/>
          <w:sz w:val="20"/>
          <w:szCs w:val="20"/>
        </w:rPr>
      </w:pPr>
    </w:p>
    <w:p w:rsidRPr="004C3E85" w:rsidR="004C3E85" w:rsidP="004C3E85" w:rsidRDefault="004C3E85" w14:paraId="5BF95A3C" w14:textId="77777777">
      <w:pPr>
        <w:rPr>
          <w:b/>
          <w:sz w:val="20"/>
          <w:szCs w:val="20"/>
        </w:rPr>
      </w:pPr>
      <w:r w:rsidRPr="004C3E85">
        <w:rPr>
          <w:b/>
          <w:sz w:val="20"/>
          <w:szCs w:val="20"/>
        </w:rPr>
        <w:t>Artikel 220ha - Overgangsrecht premievrije voorzetting verzekeraar</w:t>
      </w:r>
    </w:p>
    <w:p w:rsidRPr="004C3E85" w:rsidR="0005052B" w:rsidP="004C3E85" w:rsidRDefault="004C3E85" w14:paraId="37752CDB" w14:textId="670EAC98">
      <w:pPr>
        <w:pStyle w:val="Lijstalinea"/>
        <w:spacing w:after="0"/>
        <w:ind w:left="0"/>
        <w:rPr>
          <w:rFonts w:ascii="Verdana" w:hAnsi="Verdana"/>
          <w:i/>
          <w:sz w:val="20"/>
          <w:szCs w:val="20"/>
        </w:rPr>
      </w:pPr>
      <w:r>
        <w:rPr>
          <w:rFonts w:ascii="Verdana" w:hAnsi="Verdana"/>
          <w:i/>
          <w:sz w:val="20"/>
          <w:szCs w:val="20"/>
        </w:rPr>
        <w:t>N.a.v. tweed</w:t>
      </w:r>
      <w:r w:rsidRPr="004C3E85" w:rsidR="0005052B">
        <w:rPr>
          <w:rFonts w:ascii="Verdana" w:hAnsi="Verdana"/>
          <w:i/>
          <w:sz w:val="20"/>
          <w:szCs w:val="20"/>
        </w:rPr>
        <w:t>e nota van wijziging p. 1</w:t>
      </w:r>
      <w:r>
        <w:rPr>
          <w:rFonts w:ascii="Verdana" w:hAnsi="Verdana"/>
          <w:i/>
          <w:sz w:val="20"/>
          <w:szCs w:val="20"/>
        </w:rPr>
        <w:t>0-</w:t>
      </w:r>
      <w:r w:rsidRPr="004C3E85" w:rsidR="0005052B">
        <w:rPr>
          <w:rFonts w:ascii="Verdana" w:hAnsi="Verdana"/>
          <w:i/>
          <w:sz w:val="20"/>
          <w:szCs w:val="20"/>
        </w:rPr>
        <w:t>11</w:t>
      </w:r>
    </w:p>
    <w:p w:rsidR="0005052B" w:rsidP="004C3E85" w:rsidRDefault="0005052B" w14:paraId="254694D1" w14:textId="12546032">
      <w:pPr>
        <w:pStyle w:val="Geenafstand"/>
        <w:numPr>
          <w:ilvl w:val="0"/>
          <w:numId w:val="7"/>
        </w:numPr>
        <w:ind w:hanging="357"/>
        <w:rPr>
          <w:rFonts w:ascii="Verdana" w:hAnsi="Verdana"/>
          <w:sz w:val="20"/>
          <w:szCs w:val="20"/>
        </w:rPr>
      </w:pPr>
      <w:r w:rsidRPr="00741A37">
        <w:rPr>
          <w:rFonts w:ascii="Verdana" w:hAnsi="Verdana"/>
          <w:sz w:val="20"/>
          <w:szCs w:val="20"/>
        </w:rPr>
        <w:t xml:space="preserve">Waarom is de situatie bij arbeidsongeschiktheid bij pensioenfondsen versus verzekeraars anders als de </w:t>
      </w:r>
      <w:r w:rsidR="009A7F44">
        <w:rPr>
          <w:rFonts w:ascii="Verdana" w:hAnsi="Verdana"/>
          <w:sz w:val="20"/>
          <w:szCs w:val="20"/>
        </w:rPr>
        <w:t>premievrijstelling voor invaliditeit (</w:t>
      </w:r>
      <w:r w:rsidRPr="00741A37">
        <w:rPr>
          <w:rFonts w:ascii="Verdana" w:hAnsi="Verdana"/>
          <w:sz w:val="20"/>
          <w:szCs w:val="20"/>
        </w:rPr>
        <w:t>PVI</w:t>
      </w:r>
      <w:r w:rsidR="009A7F44">
        <w:rPr>
          <w:rFonts w:ascii="Verdana" w:hAnsi="Verdana"/>
          <w:sz w:val="20"/>
          <w:szCs w:val="20"/>
        </w:rPr>
        <w:t>)</w:t>
      </w:r>
      <w:r w:rsidRPr="00741A37">
        <w:rPr>
          <w:rFonts w:ascii="Verdana" w:hAnsi="Verdana"/>
          <w:sz w:val="20"/>
          <w:szCs w:val="20"/>
        </w:rPr>
        <w:t xml:space="preserve"> al is ingegaan en waarom is er wel overgangsrecht nodig bij verzekeraars en </w:t>
      </w:r>
      <w:r w:rsidR="00741A37">
        <w:rPr>
          <w:rFonts w:ascii="Verdana" w:hAnsi="Verdana"/>
          <w:sz w:val="20"/>
          <w:szCs w:val="20"/>
        </w:rPr>
        <w:t>niet bij pensioenfondsen?</w:t>
      </w:r>
    </w:p>
    <w:p w:rsidRPr="00741A37" w:rsidR="004C3E85" w:rsidP="004C3E85" w:rsidRDefault="004C3E85" w14:paraId="02C98E51" w14:textId="77777777">
      <w:pPr>
        <w:pStyle w:val="Geenafstand"/>
        <w:ind w:left="357"/>
        <w:rPr>
          <w:rFonts w:ascii="Verdana" w:hAnsi="Verdana"/>
          <w:sz w:val="20"/>
          <w:szCs w:val="20"/>
        </w:rPr>
      </w:pPr>
    </w:p>
    <w:p w:rsidRPr="00B52935" w:rsidR="00423B49" w:rsidP="00423B49" w:rsidRDefault="00423B49" w14:paraId="37D3B361" w14:textId="77777777">
      <w:pPr>
        <w:rPr>
          <w:sz w:val="20"/>
          <w:szCs w:val="20"/>
        </w:rPr>
      </w:pPr>
      <w:r w:rsidRPr="00B52935">
        <w:rPr>
          <w:sz w:val="20"/>
          <w:szCs w:val="20"/>
        </w:rPr>
        <w:t xml:space="preserve">Het voorgestelde artikel 220ha voorziet in overgangsrecht voor premievrije voortzetting wegens arbeidsongeschiktheid bij een verzekeraar. Klopt het dat op dit moment bij premievrijstelling wegens arbeidsongeschiktheid het “Convenant over dekking van arbeidsongeschiktheidspensioen en premievrijstelling in pensioenregelingen” leidend is? En dus dat als de pensioenregeling een premievrijstelling wegens arbeidsongeschiktheid bevat dan is de dekking ten minste als volgt: </w:t>
      </w:r>
      <w:r w:rsidRPr="00B52935">
        <w:rPr>
          <w:sz w:val="20"/>
          <w:szCs w:val="20"/>
        </w:rPr>
        <w:br/>
      </w:r>
      <w:r w:rsidRPr="00B52935">
        <w:rPr>
          <w:i/>
          <w:iCs/>
          <w:sz w:val="20"/>
          <w:szCs w:val="20"/>
        </w:rPr>
        <w:t xml:space="preserve">a) de pensioenregeling waarin de werknemer deelnemer was op de eerste ziektedag, dekt premievrijstelling tot de mate van arbeidsongeschiktheid zoals die gold bij einde dienstverband. Als bij einde dienstverband de wachttijd voor de WIA nog niet is verstreken, wordt de premievrijstelling gebaseerd op de mate van arbeidsongeschiktheid zoals die gold bij de eerste toekenning van de wettelijke arbeidsongeschiktheidsuitkering. </w:t>
      </w:r>
      <w:r w:rsidRPr="00B52935">
        <w:rPr>
          <w:i/>
          <w:iCs/>
          <w:sz w:val="20"/>
          <w:szCs w:val="20"/>
        </w:rPr>
        <w:br/>
        <w:t>b) Als de werknemer in een andere pensioenregeling gaat deelnemen, dan dekt de nieuwe pensioenuitvoerder premievrijstelling conform de nieuwe pensioenregeling, maar uitsluitend bij en voor zover sprake is van toename van de mate van arbeidsongeschiktheid boven de onder a bedoelde mate van arbeidsongeschiktheid.</w:t>
      </w:r>
    </w:p>
    <w:p w:rsidRPr="00B52935" w:rsidR="00423B49" w:rsidP="00423B49" w:rsidRDefault="00423B49" w14:paraId="4F956D4C" w14:textId="77777777">
      <w:pPr>
        <w:rPr>
          <w:sz w:val="20"/>
          <w:szCs w:val="20"/>
        </w:rPr>
      </w:pPr>
    </w:p>
    <w:p w:rsidRPr="002F4E0B" w:rsidR="001C6B90" w:rsidP="001A1B40" w:rsidRDefault="00423B49" w14:paraId="5DE2416A" w14:textId="4D8B6B4D">
      <w:pPr>
        <w:pStyle w:val="Geenafstand"/>
        <w:numPr>
          <w:ilvl w:val="0"/>
          <w:numId w:val="7"/>
        </w:numPr>
        <w:ind w:hanging="357"/>
        <w:rPr>
          <w:rFonts w:ascii="Verdana" w:hAnsi="Verdana"/>
          <w:sz w:val="20"/>
          <w:szCs w:val="20"/>
        </w:rPr>
      </w:pPr>
      <w:r w:rsidRPr="00741A37">
        <w:rPr>
          <w:rFonts w:ascii="Verdana" w:hAnsi="Verdana"/>
          <w:sz w:val="20"/>
          <w:szCs w:val="20"/>
        </w:rPr>
        <w:t xml:space="preserve">Kan de </w:t>
      </w:r>
      <w:r w:rsidRPr="00741A37" w:rsidR="00967F65">
        <w:rPr>
          <w:rFonts w:ascii="Verdana" w:hAnsi="Verdana"/>
          <w:sz w:val="20"/>
          <w:szCs w:val="20"/>
        </w:rPr>
        <w:t>regering</w:t>
      </w:r>
      <w:r w:rsidRPr="00741A37">
        <w:rPr>
          <w:rFonts w:ascii="Verdana" w:hAnsi="Verdana"/>
          <w:sz w:val="20"/>
          <w:szCs w:val="20"/>
        </w:rPr>
        <w:t xml:space="preserve"> toelichten of de huidige praktijk in lijn met convenant ook mogelijk is met </w:t>
      </w:r>
      <w:r w:rsidRPr="00741A37" w:rsidR="00107270">
        <w:rPr>
          <w:rFonts w:ascii="Verdana" w:hAnsi="Verdana"/>
          <w:sz w:val="20"/>
          <w:szCs w:val="20"/>
        </w:rPr>
        <w:t xml:space="preserve">de </w:t>
      </w:r>
      <w:r w:rsidRPr="00741A37">
        <w:rPr>
          <w:rFonts w:ascii="Verdana" w:hAnsi="Verdana"/>
          <w:sz w:val="20"/>
          <w:szCs w:val="20"/>
        </w:rPr>
        <w:t>nieuwe wetteli</w:t>
      </w:r>
      <w:r w:rsidR="00741A37">
        <w:rPr>
          <w:rFonts w:ascii="Verdana" w:hAnsi="Verdana"/>
          <w:sz w:val="20"/>
          <w:szCs w:val="20"/>
        </w:rPr>
        <w:t>jke bepaling?</w:t>
      </w:r>
    </w:p>
    <w:p w:rsidRPr="00040ECB" w:rsidR="00540902" w:rsidP="00540902" w:rsidRDefault="00540902" w14:paraId="36759F3C" w14:textId="77777777">
      <w:pPr>
        <w:pStyle w:val="Geenafstand"/>
        <w:ind w:left="357"/>
        <w:rPr>
          <w:rFonts w:ascii="Verdana" w:hAnsi="Verdana"/>
          <w:sz w:val="20"/>
          <w:szCs w:val="20"/>
        </w:rPr>
      </w:pPr>
    </w:p>
    <w:p w:rsidRPr="0089061D" w:rsidR="0089061D" w:rsidP="0089061D" w:rsidRDefault="0089061D" w14:paraId="3E6C55DF" w14:textId="77777777">
      <w:pPr>
        <w:rPr>
          <w:sz w:val="20"/>
          <w:szCs w:val="20"/>
        </w:rPr>
      </w:pPr>
    </w:p>
    <w:p w:rsidRPr="00B52935" w:rsidR="001C6B90" w:rsidP="001A1B40" w:rsidRDefault="001C6B90" w14:paraId="0543C9C0" w14:textId="77777777">
      <w:pPr>
        <w:pStyle w:val="Geenafstand"/>
        <w:rPr>
          <w:rFonts w:ascii="Verdana" w:hAnsi="Verdana" w:cs="Arial"/>
          <w:color w:val="000000"/>
          <w:sz w:val="20"/>
          <w:szCs w:val="20"/>
        </w:rPr>
      </w:pPr>
    </w:p>
    <w:sectPr w:rsidRPr="00B52935" w:rsidR="001C6B9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C6F1B" w14:textId="77777777" w:rsidR="0023123D" w:rsidRDefault="0023123D" w:rsidP="00334B51">
      <w:r>
        <w:separator/>
      </w:r>
    </w:p>
  </w:endnote>
  <w:endnote w:type="continuationSeparator" w:id="0">
    <w:p w14:paraId="26F7356F" w14:textId="77777777" w:rsidR="0023123D" w:rsidRDefault="0023123D" w:rsidP="0033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02EDE" w14:textId="77777777" w:rsidR="0023123D" w:rsidRDefault="0023123D" w:rsidP="00334B51">
      <w:r>
        <w:separator/>
      </w:r>
    </w:p>
  </w:footnote>
  <w:footnote w:type="continuationSeparator" w:id="0">
    <w:p w14:paraId="5CEFBFD3" w14:textId="77777777" w:rsidR="0023123D" w:rsidRDefault="0023123D" w:rsidP="00334B51">
      <w:r>
        <w:continuationSeparator/>
      </w:r>
    </w:p>
  </w:footnote>
  <w:footnote w:id="1">
    <w:p w14:paraId="30A0FFB9" w14:textId="77777777" w:rsidR="00334B51" w:rsidRPr="00334B51" w:rsidRDefault="00334B51">
      <w:pPr>
        <w:pStyle w:val="Voetnoottekst"/>
        <w:rPr>
          <w:sz w:val="16"/>
          <w:szCs w:val="16"/>
        </w:rPr>
      </w:pPr>
      <w:r w:rsidRPr="00334B51">
        <w:rPr>
          <w:rStyle w:val="Voetnootmarkering"/>
          <w:sz w:val="16"/>
          <w:szCs w:val="16"/>
        </w:rPr>
        <w:footnoteRef/>
      </w:r>
      <w:r>
        <w:rPr>
          <w:sz w:val="16"/>
          <w:szCs w:val="16"/>
        </w:rPr>
        <w:t xml:space="preserve"> Kamerstuk 36067, nr. 41 </w:t>
      </w:r>
      <w:r w:rsidRPr="00334B51">
        <w:rPr>
          <w:sz w:val="16"/>
          <w:szCs w:val="16"/>
        </w:rPr>
        <w:t xml:space="preserve"> </w:t>
      </w:r>
    </w:p>
  </w:footnote>
  <w:footnote w:id="2">
    <w:p w14:paraId="26746DE5" w14:textId="77777777" w:rsidR="00901FA7" w:rsidRPr="006F7F62" w:rsidRDefault="00901FA7" w:rsidP="00901FA7">
      <w:pPr>
        <w:pStyle w:val="Voetnoottekst"/>
        <w:rPr>
          <w:rFonts w:cstheme="minorHAnsi"/>
          <w:sz w:val="18"/>
          <w:szCs w:val="18"/>
        </w:rPr>
      </w:pPr>
      <w:r>
        <w:rPr>
          <w:rStyle w:val="Voetnootmarkering"/>
        </w:rPr>
        <w:footnoteRef/>
      </w:r>
      <w:r>
        <w:t xml:space="preserve"> </w:t>
      </w:r>
      <w:r w:rsidRPr="006F7F62">
        <w:rPr>
          <w:rFonts w:cstheme="minorHAnsi"/>
          <w:i/>
          <w:sz w:val="18"/>
          <w:szCs w:val="18"/>
        </w:rPr>
        <w:t>Kamerstukken II</w:t>
      </w:r>
      <w:r w:rsidRPr="006F7F62">
        <w:rPr>
          <w:rFonts w:cstheme="minorHAnsi"/>
          <w:sz w:val="18"/>
          <w:szCs w:val="18"/>
        </w:rPr>
        <w:t xml:space="preserve"> 2013/14, 34008, nr. 3, p. 5</w:t>
      </w:r>
    </w:p>
    <w:p w14:paraId="22DA0A5A" w14:textId="7A43DD20" w:rsidR="00901FA7" w:rsidRDefault="00901FA7" w:rsidP="00901FA7">
      <w:pPr>
        <w:pStyle w:val="Voetnoottekst"/>
      </w:pPr>
      <w:r>
        <w:rPr>
          <w:rFonts w:cstheme="minorHAnsi"/>
          <w:sz w:val="18"/>
          <w:szCs w:val="18"/>
        </w:rPr>
        <w:t xml:space="preserve">  </w:t>
      </w:r>
      <w:r w:rsidRPr="006F7F62">
        <w:rPr>
          <w:rFonts w:cstheme="minorHAnsi"/>
          <w:i/>
          <w:sz w:val="18"/>
          <w:szCs w:val="18"/>
        </w:rPr>
        <w:t>Kamerstukken II</w:t>
      </w:r>
      <w:r w:rsidRPr="006F7F62">
        <w:rPr>
          <w:rFonts w:cstheme="minorHAnsi"/>
          <w:sz w:val="18"/>
          <w:szCs w:val="18"/>
        </w:rPr>
        <w:t xml:space="preserve">  2014/15, 34008, nr. 6, p.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A7AF0"/>
    <w:multiLevelType w:val="hybridMultilevel"/>
    <w:tmpl w:val="A9E41B92"/>
    <w:lvl w:ilvl="0" w:tplc="AB824DF8">
      <w:start w:val="1"/>
      <w:numFmt w:val="decimal"/>
      <w:lvlText w:val="%1."/>
      <w:lvlJc w:val="left"/>
      <w:pPr>
        <w:tabs>
          <w:tab w:val="num" w:pos="357"/>
        </w:tabs>
        <w:ind w:left="357" w:firstLine="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C9459C"/>
    <w:multiLevelType w:val="hybridMultilevel"/>
    <w:tmpl w:val="961E9B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A23550"/>
    <w:multiLevelType w:val="hybridMultilevel"/>
    <w:tmpl w:val="97809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DE1E0D"/>
    <w:multiLevelType w:val="hybridMultilevel"/>
    <w:tmpl w:val="DB66698E"/>
    <w:lvl w:ilvl="0" w:tplc="20A4B95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C06FFE"/>
    <w:multiLevelType w:val="hybridMultilevel"/>
    <w:tmpl w:val="6F7A00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4FEF55BE"/>
    <w:multiLevelType w:val="hybridMultilevel"/>
    <w:tmpl w:val="EB245C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D2040AE"/>
    <w:multiLevelType w:val="hybridMultilevel"/>
    <w:tmpl w:val="4B042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C3"/>
    <w:rsid w:val="00040ECB"/>
    <w:rsid w:val="0005052B"/>
    <w:rsid w:val="000741FA"/>
    <w:rsid w:val="00097808"/>
    <w:rsid w:val="000B0558"/>
    <w:rsid w:val="000C2CD1"/>
    <w:rsid w:val="00107270"/>
    <w:rsid w:val="001A1B40"/>
    <w:rsid w:val="001A206C"/>
    <w:rsid w:val="001C6B90"/>
    <w:rsid w:val="0023123D"/>
    <w:rsid w:val="002F4E0B"/>
    <w:rsid w:val="00311804"/>
    <w:rsid w:val="00334B51"/>
    <w:rsid w:val="00345D12"/>
    <w:rsid w:val="00367BA4"/>
    <w:rsid w:val="00370CAE"/>
    <w:rsid w:val="003D25AB"/>
    <w:rsid w:val="003F7AA6"/>
    <w:rsid w:val="00404947"/>
    <w:rsid w:val="004062AF"/>
    <w:rsid w:val="00413501"/>
    <w:rsid w:val="00423B49"/>
    <w:rsid w:val="00431FF1"/>
    <w:rsid w:val="004334DE"/>
    <w:rsid w:val="00441A4D"/>
    <w:rsid w:val="00462A2D"/>
    <w:rsid w:val="004C3E85"/>
    <w:rsid w:val="004C576D"/>
    <w:rsid w:val="00527B81"/>
    <w:rsid w:val="00540902"/>
    <w:rsid w:val="005770E4"/>
    <w:rsid w:val="00590201"/>
    <w:rsid w:val="005F4F7F"/>
    <w:rsid w:val="006A6A20"/>
    <w:rsid w:val="00741A37"/>
    <w:rsid w:val="00767829"/>
    <w:rsid w:val="00772FA8"/>
    <w:rsid w:val="007B2191"/>
    <w:rsid w:val="00830316"/>
    <w:rsid w:val="0089061D"/>
    <w:rsid w:val="00893146"/>
    <w:rsid w:val="008E6846"/>
    <w:rsid w:val="00901FA7"/>
    <w:rsid w:val="00913D18"/>
    <w:rsid w:val="00967F65"/>
    <w:rsid w:val="009A7F44"/>
    <w:rsid w:val="009C2B65"/>
    <w:rsid w:val="009E6F76"/>
    <w:rsid w:val="00A223AA"/>
    <w:rsid w:val="00A23244"/>
    <w:rsid w:val="00A66E8B"/>
    <w:rsid w:val="00A84C76"/>
    <w:rsid w:val="00AD39F6"/>
    <w:rsid w:val="00B02FD9"/>
    <w:rsid w:val="00B30FFC"/>
    <w:rsid w:val="00B52935"/>
    <w:rsid w:val="00C11FA9"/>
    <w:rsid w:val="00C2011D"/>
    <w:rsid w:val="00C532C3"/>
    <w:rsid w:val="00C558D3"/>
    <w:rsid w:val="00C8679A"/>
    <w:rsid w:val="00CC100C"/>
    <w:rsid w:val="00D32637"/>
    <w:rsid w:val="00E1344F"/>
    <w:rsid w:val="00E25AC2"/>
    <w:rsid w:val="00E3576E"/>
    <w:rsid w:val="00E63840"/>
    <w:rsid w:val="00EC7990"/>
    <w:rsid w:val="00ED1164"/>
    <w:rsid w:val="00EF6515"/>
    <w:rsid w:val="00EF6969"/>
    <w:rsid w:val="00F911E7"/>
    <w:rsid w:val="00F9794D"/>
    <w:rsid w:val="00FD352F"/>
    <w:rsid w:val="00FE0F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EBC3"/>
  <w15:chartTrackingRefBased/>
  <w15:docId w15:val="{EC09E7D0-D5B3-4978-83EE-6868E1DB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532C3"/>
    <w:pPr>
      <w:spacing w:after="0" w:line="240" w:lineRule="auto"/>
    </w:pPr>
    <w:rPr>
      <w:rFonts w:ascii="Verdana" w:eastAsia="Calibri" w:hAnsi="Verdana" w:cs="Times New Roman"/>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532C3"/>
    <w:pPr>
      <w:spacing w:after="0" w:line="240" w:lineRule="auto"/>
    </w:pPr>
  </w:style>
  <w:style w:type="table" w:styleId="Tabelraster">
    <w:name w:val="Table Grid"/>
    <w:basedOn w:val="Standaardtabel"/>
    <w:uiPriority w:val="39"/>
    <w:rsid w:val="00C532C3"/>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34B51"/>
    <w:rPr>
      <w:sz w:val="20"/>
      <w:szCs w:val="20"/>
    </w:rPr>
  </w:style>
  <w:style w:type="character" w:customStyle="1" w:styleId="VoetnoottekstChar">
    <w:name w:val="Voetnoottekst Char"/>
    <w:basedOn w:val="Standaardalinea-lettertype"/>
    <w:link w:val="Voetnoottekst"/>
    <w:uiPriority w:val="99"/>
    <w:semiHidden/>
    <w:rsid w:val="00334B51"/>
    <w:rPr>
      <w:rFonts w:ascii="Verdana" w:eastAsia="Calibri" w:hAnsi="Verdana" w:cs="Times New Roman"/>
      <w:sz w:val="20"/>
      <w:szCs w:val="20"/>
    </w:rPr>
  </w:style>
  <w:style w:type="character" w:styleId="Voetnootmarkering">
    <w:name w:val="footnote reference"/>
    <w:basedOn w:val="Standaardalinea-lettertype"/>
    <w:uiPriority w:val="99"/>
    <w:semiHidden/>
    <w:unhideWhenUsed/>
    <w:rsid w:val="00334B51"/>
    <w:rPr>
      <w:vertAlign w:val="superscript"/>
    </w:rPr>
  </w:style>
  <w:style w:type="paragraph" w:styleId="Lijstalinea">
    <w:name w:val="List Paragraph"/>
    <w:basedOn w:val="Standaard"/>
    <w:uiPriority w:val="34"/>
    <w:qFormat/>
    <w:rsid w:val="003F7AA6"/>
    <w:pPr>
      <w:spacing w:after="200" w:line="276" w:lineRule="auto"/>
      <w:ind w:left="720"/>
      <w:contextualSpacing/>
    </w:pPr>
    <w:rPr>
      <w:rFonts w:asciiTheme="minorHAnsi" w:eastAsiaTheme="minorHAnsi" w:hAnsiTheme="minorHAnsi" w:cstheme="minorBidi"/>
      <w:sz w:val="22"/>
    </w:rPr>
  </w:style>
  <w:style w:type="table" w:styleId="Onopgemaaktetabel2">
    <w:name w:val="Plain Table 2"/>
    <w:basedOn w:val="Standaardtabel"/>
    <w:uiPriority w:val="42"/>
    <w:rsid w:val="00441A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Verwijzingopmerking">
    <w:name w:val="annotation reference"/>
    <w:basedOn w:val="Standaardalinea-lettertype"/>
    <w:uiPriority w:val="99"/>
    <w:semiHidden/>
    <w:unhideWhenUsed/>
    <w:rsid w:val="00C2011D"/>
    <w:rPr>
      <w:sz w:val="16"/>
      <w:szCs w:val="16"/>
    </w:rPr>
  </w:style>
  <w:style w:type="paragraph" w:styleId="Tekstopmerking">
    <w:name w:val="annotation text"/>
    <w:basedOn w:val="Standaard"/>
    <w:link w:val="TekstopmerkingChar"/>
    <w:uiPriority w:val="99"/>
    <w:unhideWhenUsed/>
    <w:rsid w:val="00C2011D"/>
    <w:rPr>
      <w:rFonts w:asciiTheme="minorHAnsi" w:eastAsiaTheme="minorHAnsi" w:hAnsiTheme="minorHAnsi" w:cstheme="minorBidi"/>
      <w:sz w:val="20"/>
      <w:szCs w:val="20"/>
    </w:rPr>
  </w:style>
  <w:style w:type="character" w:customStyle="1" w:styleId="TekstopmerkingChar">
    <w:name w:val="Tekst opmerking Char"/>
    <w:basedOn w:val="Standaardalinea-lettertype"/>
    <w:link w:val="Tekstopmerking"/>
    <w:uiPriority w:val="99"/>
    <w:rsid w:val="00C2011D"/>
    <w:rPr>
      <w:sz w:val="20"/>
      <w:szCs w:val="20"/>
    </w:rPr>
  </w:style>
  <w:style w:type="paragraph" w:customStyle="1" w:styleId="Default">
    <w:name w:val="Default"/>
    <w:rsid w:val="00830316"/>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462A2D"/>
    <w:pPr>
      <w:spacing w:after="0" w:line="240" w:lineRule="auto"/>
    </w:pPr>
    <w:rPr>
      <w:rFonts w:ascii="Verdana" w:eastAsia="Calibri" w:hAnsi="Verdana" w:cs="Times New Roman"/>
      <w:sz w:val="18"/>
    </w:rPr>
  </w:style>
  <w:style w:type="paragraph" w:styleId="Ballontekst">
    <w:name w:val="Balloon Text"/>
    <w:basedOn w:val="Standaard"/>
    <w:link w:val="BallontekstChar"/>
    <w:uiPriority w:val="99"/>
    <w:semiHidden/>
    <w:unhideWhenUsed/>
    <w:rsid w:val="009C2B65"/>
    <w:rPr>
      <w:rFonts w:ascii="Segoe UI" w:hAnsi="Segoe UI" w:cs="Segoe UI"/>
      <w:szCs w:val="18"/>
    </w:rPr>
  </w:style>
  <w:style w:type="character" w:customStyle="1" w:styleId="BallontekstChar">
    <w:name w:val="Ballontekst Char"/>
    <w:basedOn w:val="Standaardalinea-lettertype"/>
    <w:link w:val="Ballontekst"/>
    <w:uiPriority w:val="99"/>
    <w:semiHidden/>
    <w:rsid w:val="009C2B65"/>
    <w:rPr>
      <w:rFonts w:ascii="Segoe UI" w:eastAsia="Calibr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C558D3"/>
    <w:rPr>
      <w:rFonts w:ascii="Verdana" w:eastAsia="Calibri" w:hAnsi="Verdana" w:cs="Times New Roman"/>
      <w:b/>
      <w:bCs/>
    </w:rPr>
  </w:style>
  <w:style w:type="character" w:customStyle="1" w:styleId="OnderwerpvanopmerkingChar">
    <w:name w:val="Onderwerp van opmerking Char"/>
    <w:basedOn w:val="TekstopmerkingChar"/>
    <w:link w:val="Onderwerpvanopmerking"/>
    <w:uiPriority w:val="99"/>
    <w:semiHidden/>
    <w:rsid w:val="00C558D3"/>
    <w:rPr>
      <w:rFonts w:ascii="Verdana" w:eastAsia="Calibri"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22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3352</ap:Words>
  <ap:Characters>18437</ap:Characters>
  <ap:DocSecurity>0</ap:DocSecurity>
  <ap:Lines>153</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2022-11-25T12:55:00.0000000Z</dcterms:created>
  <dcterms:modified xsi:type="dcterms:W3CDTF">2022-11-25T14:42:00.0000000Z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9d846047-8bbc-4a26-a89b-28aeab3f6d59</vt:lpwstr>
  </property>
</Properties>
</file>