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W04.22.0184/I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 november 2022</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1C3F96" w:rsidRDefault="00C349B8">
              <w:r>
                <w:t xml:space="preserve">Bij Kabinetsmissive van 23 september 2022, no.2022002003, heeft Uwe Majesteit, op voordracht van de Minister voor Volkshuisvesting en Ruimtelijke Ordening, mede namens de Staatssecretaris van Financiën, bij de Afdeling advisering van de Raad van State ter </w:t>
              </w:r>
              <w:r>
                <w:t>overweging aanhangig gemaakt het voorstel van wet tot wijziging van de Woningwet (huurverlaging 2023 voor huurders met lager inkomen), met memorie van toelichting.</w:t>
              </w:r>
            </w:p>
          </w:sdtContent>
        </w:sdt>
        <w:p w:rsidR="0071031E" w:rsidRDefault="0071031E"/>
        <w:sdt>
          <w:sdtPr>
            <w:alias w:val="VrijeTekst1"/>
            <w:tag w:val="VrijeTekst1"/>
            <w:id w:val="-437221631"/>
            <w:lock w:val="sdtLocked"/>
          </w:sdtPr>
          <w:sdtEndPr/>
          <w:sdtContent>
            <w:p w:rsidR="00DD6A39" w:rsidP="00DD6A39" w:rsidRDefault="00C349B8">
              <w:r>
                <w:t>Het wetsvoorstel heeft ten doel huurders van sociale woningen van woningcorporaties met e</w:t>
              </w:r>
              <w:r>
                <w:t>en laag inkomen en een huur boven € 562,65 te helpen.</w:t>
              </w:r>
              <w:r>
                <w:rPr>
                  <w:rStyle w:val="Voetnootmarkering"/>
                </w:rPr>
                <w:footnoteReference w:id="1"/>
              </w:r>
              <w:r>
                <w:t xml:space="preserve"> De huur van deze doelgroep wordt verlaagd tot dat bedrag. Hiermee wordt beoogd  het deel van het inkomen dat wordt besteed aan de huur – </w:t>
              </w:r>
              <w:r>
                <w:t xml:space="preserve">de huurquote – </w:t>
              </w:r>
              <w:r>
                <w:t>te verlagen zodat betaalbaarheidsproblemen van d</w:t>
              </w:r>
              <w:r>
                <w:t>eze groep kunnen worden voorkomen. Aanleiding voor</w:t>
              </w:r>
              <w:r w:rsidRPr="00065A2E">
                <w:t xml:space="preserve"> het voorstel is </w:t>
              </w:r>
              <w:r>
                <w:t xml:space="preserve">onder meer een afspraak in het coalitieakkoord om de huur voor mensen met een lager inkomen in een sociale huurwoning te verlagen, geplaatst in het licht van de economische gevolgen van de </w:t>
              </w:r>
              <w:r>
                <w:t>coronacrisis en de hoge inflatie.</w:t>
              </w:r>
            </w:p>
            <w:p w:rsidR="00DD6A39" w:rsidP="00DD6A39" w:rsidRDefault="00C349B8">
              <w:pPr>
                <w:rPr>
                  <w:u w:val="single"/>
                </w:rPr>
              </w:pPr>
            </w:p>
            <w:p w:rsidR="00DD6A39" w:rsidP="00DD6A39" w:rsidRDefault="00C349B8">
              <w:r w:rsidRPr="000D0131">
                <w:t xml:space="preserve">De Afdeling </w:t>
              </w:r>
              <w:r>
                <w:t xml:space="preserve">advisering van de Raad van State </w:t>
              </w:r>
              <w:r>
                <w:t>merkt op dat</w:t>
              </w:r>
              <w:r>
                <w:t xml:space="preserve"> het begrijpelijk </w:t>
              </w:r>
              <w:r>
                <w:t xml:space="preserve">is </w:t>
              </w:r>
              <w:r>
                <w:t>dat de regering zich, vanwege de uitzonderlijke economische omstandigheden, extra inspant om betaalbaarheid van woonlasten te waarborgen. Niett</w:t>
              </w:r>
              <w:r>
                <w:t xml:space="preserve">emin adviseert zij het wetsvoorstel in de huidige vorm te heroverwegen. </w:t>
              </w:r>
            </w:p>
            <w:p w:rsidR="00DD6A39" w:rsidP="00DD6A39" w:rsidRDefault="00C349B8"/>
            <w:p w:rsidR="00EC1FDD" w:rsidP="00DD6A39" w:rsidRDefault="00C349B8">
              <w:r>
                <w:t xml:space="preserve">In de eerste plaats vraagt de Afdeling hoe dit wetsvoorstel zich verhoudt tot andere recente </w:t>
              </w:r>
              <w:r>
                <w:t>maatregelen die zich richten op het verbeteren van de financiële positie van kwetsbare huishoudens</w:t>
              </w:r>
              <w:r>
                <w:t>.</w:t>
              </w:r>
              <w:r>
                <w:t xml:space="preserve"> </w:t>
              </w:r>
              <w:r>
                <w:t>N</w:t>
              </w:r>
              <w:r>
                <w:t>iet duidelijk</w:t>
              </w:r>
              <w:r>
                <w:t xml:space="preserve"> </w:t>
              </w:r>
              <w:r>
                <w:t xml:space="preserve">is </w:t>
              </w:r>
              <w:r>
                <w:t xml:space="preserve">of met dit voorstel de betaalbaarheid van woonlasten wordt aangepakt </w:t>
              </w:r>
              <w:r>
                <w:t>voor de groep</w:t>
              </w:r>
              <w:r>
                <w:t xml:space="preserve"> </w:t>
              </w:r>
              <w:r>
                <w:t>met</w:t>
              </w:r>
              <w:r>
                <w:t xml:space="preserve"> de </w:t>
              </w:r>
              <w:r>
                <w:t xml:space="preserve">meest kwetsbare </w:t>
              </w:r>
              <w:r>
                <w:t>huurquote</w:t>
              </w:r>
              <w:r>
                <w:t xml:space="preserve">. De </w:t>
              </w:r>
              <w:r>
                <w:t xml:space="preserve">toelichting geeft daarin onvoldoende inzicht. </w:t>
              </w:r>
            </w:p>
            <w:p w:rsidR="00EC1FDD" w:rsidP="00DD6A39" w:rsidRDefault="00C349B8"/>
            <w:p w:rsidR="00EC1FDD" w:rsidP="00DD6A39" w:rsidRDefault="00C349B8">
              <w:r>
                <w:t>Ook is onvoldoende gemotiveerd waarom de regeling beperkt is tot huurders van woningcorporaties. Hierdoor worden vergelijkbare groepen met lage inkomens die huren bij een andere partij dan een woningcorporati</w:t>
              </w:r>
              <w:r>
                <w:t xml:space="preserve">e uitgesloten. Voor deze ongelijke behandeling dient een objectieve rechtvaardiging te worden gegeven, die in de toelichting nog ontbreekt. </w:t>
              </w:r>
            </w:p>
            <w:p w:rsidR="00EC1FDD" w:rsidP="00DD6A39" w:rsidRDefault="00C349B8"/>
            <w:p w:rsidR="00DD6A39" w:rsidP="00DD6A39" w:rsidRDefault="00C349B8">
              <w:r>
                <w:t>In de tweede plaats is onduidelijk waarom voor het beoogde doel het instrument van de huurtoeslag niet wordt ingez</w:t>
              </w:r>
              <w:r>
                <w:t>et. Huurtoeslag dient er toe om voor lage inkomens de huren betaalbaar te houden en hiermee worden ook huurders geholpen waarvan hun verhuurder geen woningcorporatie is. In de derde plaats adviseert de Afdeling om nader in te gaan op de verenigbaarheid van</w:t>
              </w:r>
              <w:r>
                <w:t xml:space="preserve"> het wetsvoorstel met de Europeesrechtelijke vrijheden van diensten en kapitaal. Tot slot worden nog enkele opmerkingen gemaakt over de uitvoering van het wetsvoorstel.  </w:t>
              </w:r>
            </w:p>
            <w:p w:rsidR="00DD6A39" w:rsidP="00DD6A39" w:rsidRDefault="00C349B8"/>
            <w:p w:rsidR="00DD6A39" w:rsidP="00DD6A39" w:rsidRDefault="00C349B8">
              <w:r w:rsidRPr="00F21DD6">
                <w:lastRenderedPageBreak/>
                <w:t xml:space="preserve">In verband met deze opmerkingen </w:t>
              </w:r>
              <w:r>
                <w:t xml:space="preserve">dient het voorstel nader te worden overwogen. </w:t>
              </w:r>
            </w:p>
            <w:p w:rsidR="00DD6A39" w:rsidP="00DD6A39" w:rsidRDefault="00C349B8"/>
            <w:p w:rsidRPr="009D7876" w:rsidR="00DD6A39" w:rsidP="00DD6A39" w:rsidRDefault="00C349B8">
              <w:pPr>
                <w:rPr>
                  <w:u w:val="single"/>
                </w:rPr>
              </w:pPr>
              <w:r>
                <w:t xml:space="preserve">1. </w:t>
              </w:r>
              <w:r>
                <w:tab/>
              </w:r>
              <w:r w:rsidRPr="009D7876">
                <w:rPr>
                  <w:u w:val="single"/>
                </w:rPr>
                <w:t>Inhoud en achtergrond wetsvoorstel</w:t>
              </w:r>
            </w:p>
            <w:p w:rsidR="00DD6A39" w:rsidP="00DD6A39" w:rsidRDefault="00C349B8"/>
            <w:p w:rsidR="00DD6A39" w:rsidP="00DD6A39" w:rsidRDefault="00C349B8">
              <w:r>
                <w:t xml:space="preserve">Het wetsvoorstel voorziet in een huurverlaging in 2023 voor huurders met een inkomen dat niet hoger is dan 120% van het voor het huishouden toepasselijke minimuminkomensijkpunt als bedoeld in artikel 17 van de Wet op de </w:t>
              </w:r>
              <w:r>
                <w:t>huurtoeslag.</w:t>
              </w:r>
              <w:r>
                <w:rPr>
                  <w:rStyle w:val="Voetnootmarkering"/>
                </w:rPr>
                <w:footnoteReference w:id="2"/>
              </w:r>
              <w:r>
                <w:t xml:space="preserve"> Voorwaarden voor de huurverlaging zijn dat een sociale woning wordt gehuurd van een woningcorporatie en dat de huur meer dan € 562,65 (prijspeil 2022) bedraagt. </w:t>
              </w:r>
            </w:p>
            <w:p w:rsidR="00DD6A39" w:rsidP="00DD6A39" w:rsidRDefault="00C349B8"/>
            <w:p w:rsidR="00DD6A39" w:rsidP="00DD6A39" w:rsidRDefault="00C349B8">
              <w:r>
                <w:t>Woningcorporaties zijn verplicht om uiterlijk 1 juni 2023 de huurder een huurv</w:t>
              </w:r>
              <w:r>
                <w:t>erlagingsvoorstel te doen. De huurverlaging gaat dan uiterlijk op 1 juli 2023 in. De huurverlaging heeft een permante doorwerking in de huurhoogte.</w:t>
              </w:r>
              <w:r>
                <w:rPr>
                  <w:rStyle w:val="Voetnootmarkering"/>
                </w:rPr>
                <w:footnoteReference w:id="3"/>
              </w:r>
              <w:r>
                <w:t xml:space="preserve"> Ter uitvoering van de huurverlaging vragen woningcorporaties bij de Belastingdienst een inkomenscategoriev</w:t>
              </w:r>
              <w:r>
                <w:t>erklaring aan waaruit blijkt of het inkomen van een huishouden al dan niet hoger is dan 120% van het voor het betreffende huishouden toepasselijke minimuminkomensijkpunt. Als de huurder niet op basis van het bij de Belastingdienst bekende inkomen over 2021</w:t>
              </w:r>
              <w:r>
                <w:t xml:space="preserve"> een huurverlaging krijgt aangeboden door de woningcorporatie, kan hij zelf een verzoek daartoe bij de woningcorporatie indienen.</w:t>
              </w:r>
              <w:r>
                <w:rPr>
                  <w:rStyle w:val="Voetnootmarkering"/>
                </w:rPr>
                <w:footnoteReference w:id="4"/>
              </w:r>
              <w:r>
                <w:t xml:space="preserve"> </w:t>
              </w:r>
            </w:p>
            <w:p w:rsidR="00DD6A39" w:rsidP="00DD6A39" w:rsidRDefault="00C349B8"/>
            <w:p w:rsidR="00DD6A39" w:rsidP="00DD6A39" w:rsidRDefault="00C349B8">
              <w:r>
                <w:t xml:space="preserve">In de toelichting wordt als motivering voor het wetsvoorstel verwezen naar een afspraak in het coalitieakkoord om de huur </w:t>
              </w:r>
              <w:r>
                <w:t xml:space="preserve">voor mensen met een lager inkomen in een sociale huurwoning te verlagen. Ook wordt gerefereerd aan het – mede op het coalitieakkoord gebaseerde – programma Betaalbaar wonen en de prestatieafspraken die tussen Aedes, de Woonbond, de VNG en de Minister voor </w:t>
              </w:r>
              <w:r>
                <w:t>Volkshuisvesting en Ruimtelijke Ordening zijn afgesproken.</w:t>
              </w:r>
              <w:r>
                <w:rPr>
                  <w:rStyle w:val="Voetnootmarkering"/>
                </w:rPr>
                <w:footnoteReference w:id="5"/>
              </w:r>
              <w:r>
                <w:t xml:space="preserve"> Onder verwijzing naar het onderzoek WoON2021 wordt vervolgens aangegeven dat 230.000 huurders een kwetsbare huurquote hebben waardoor zij mogelijke betalingsproblemen kunnen ondervinden. Tot slot</w:t>
              </w:r>
              <w:r>
                <w:t xml:space="preserve"> wordt in algemene zin aangegeven dat deze huishoudens zijn getroffen door de economische gevolgen van de coronacrisis en de gestegen kosten voor levensonderhoud (inflatie), waaronder de gestegen energiekosten.</w:t>
              </w:r>
            </w:p>
            <w:p w:rsidR="00DD6A39" w:rsidP="00DD6A39" w:rsidRDefault="00C349B8"/>
            <w:p w:rsidR="00DD6A39" w:rsidP="00DD6A39" w:rsidRDefault="00C349B8">
              <w:pPr>
                <w:rPr>
                  <w:u w:val="single"/>
                </w:rPr>
              </w:pPr>
              <w:r>
                <w:t>2</w:t>
              </w:r>
              <w:r w:rsidRPr="00966799">
                <w:t xml:space="preserve">. </w:t>
              </w:r>
              <w:r w:rsidRPr="00966799">
                <w:tab/>
              </w:r>
              <w:r>
                <w:rPr>
                  <w:u w:val="single"/>
                </w:rPr>
                <w:t>Doelgroep</w:t>
              </w:r>
            </w:p>
            <w:p w:rsidR="00DD6A39" w:rsidP="00DD6A39" w:rsidRDefault="00C349B8">
              <w:pPr>
                <w:rPr>
                  <w:u w:val="single"/>
                </w:rPr>
              </w:pPr>
            </w:p>
            <w:p w:rsidRPr="000D0131" w:rsidR="00DD6A39" w:rsidP="00DD6A39" w:rsidRDefault="00C349B8">
              <w:r w:rsidRPr="000D0131">
                <w:t xml:space="preserve">De Afdeling merkt op dat het </w:t>
              </w:r>
              <w:r w:rsidRPr="000D0131">
                <w:t xml:space="preserve">voorstel </w:t>
              </w:r>
              <w:r>
                <w:t xml:space="preserve">niet </w:t>
              </w:r>
              <w:r w:rsidRPr="000D0131">
                <w:t xml:space="preserve">duidelijk maakt </w:t>
              </w:r>
              <w:r>
                <w:t xml:space="preserve">of </w:t>
              </w:r>
              <w:r w:rsidRPr="000D0131">
                <w:t>de beoogde doelgroep, huurders met een laag inkomen én een kwetsbare huurquote, ook daadwerkelijk bereikt wordt</w:t>
              </w:r>
              <w:r>
                <w:t>, en hoe dit voorstel zich verhoudt tot de verschillende andere maatregelen om de financiële situatie van kwetsb</w:t>
              </w:r>
              <w:r>
                <w:t>are huishoudens te verbeteren</w:t>
              </w:r>
              <w:r w:rsidRPr="000D0131">
                <w:t xml:space="preserve">. </w:t>
              </w:r>
            </w:p>
            <w:p w:rsidR="00DD6A39" w:rsidP="00DD6A39" w:rsidRDefault="00C349B8">
              <w:pPr>
                <w:rPr>
                  <w:u w:val="single"/>
                </w:rPr>
              </w:pPr>
            </w:p>
            <w:p w:rsidR="00DD6A39" w:rsidP="00DD6A39" w:rsidRDefault="00C349B8">
              <w:r>
                <w:t>a.</w:t>
              </w:r>
              <w:r>
                <w:tab/>
              </w:r>
              <w:r>
                <w:rPr>
                  <w:i/>
                  <w:iCs/>
                </w:rPr>
                <w:t>Identificeren doelgroep en verhouding met andere maatregelen</w:t>
              </w:r>
            </w:p>
            <w:p w:rsidR="00DD6A39" w:rsidP="00DD6A39" w:rsidRDefault="00C349B8">
              <w:r>
                <w:lastRenderedPageBreak/>
                <w:t>Het is begrijpelijk dat de regering zich, vanwege de uitzonderlijke economische omstandigheden, extra inspant om de betaalbaarheid van woonlasten te waarborgen</w:t>
              </w:r>
              <w:r>
                <w:t>, vooral waar die betaalbaarheid het meest onder druk staat. Om dat te bewerkstelligen is evenwel een actueel inzicht nodig in de financiële situatie, waaronder de huurquote, van verschillende inkomensgroepen.</w:t>
              </w:r>
            </w:p>
            <w:p w:rsidR="00DD6A39" w:rsidP="00DD6A39" w:rsidRDefault="00C349B8"/>
            <w:p w:rsidR="00DD6A39" w:rsidP="00DD6A39" w:rsidRDefault="00C349B8">
              <w:r>
                <w:t>De Afdeling constateert dat de toelichting op</w:t>
              </w:r>
              <w:r>
                <w:t xml:space="preserve"> dit punt tekort schiet. De in ogenschouw genomen factoren en uitgangspunten die de financiële situatie van de gekozen doelgroep bepalen zijn onvolledig en niet voldoende actueel en houden met name geen rekening met recente maatregelen die van direct belan</w:t>
              </w:r>
              <w:r>
                <w:t xml:space="preserve">g zijn voor het inkomen – en daarmee de huurquote – van de doelgroep. Hierdoor is  ook niet duidelijk of de huurverlaging terecht komt bij de groep die thans de meest kwetsbare huurquote heeft. De Afdeling wijst in dit verband op het volgende. </w:t>
              </w:r>
            </w:p>
            <w:p w:rsidR="00DD6A39" w:rsidP="00DD6A39" w:rsidRDefault="00C349B8"/>
            <w:p w:rsidR="00DD6A39" w:rsidP="00DD6A39" w:rsidRDefault="00C349B8">
              <w:r>
                <w:t xml:space="preserve">Het </w:t>
              </w:r>
              <w:r>
                <w:t>coalitieakkoord – dat mede de grondslag vormt voor het programma Betaalbaar wonen en de ter zake gemaakte prestatieafspraken – dateert van december 2021. Sindsdien is de financiële situatie van de meeste huishoudens veranderd, onder meer door de hoge infla</w:t>
              </w:r>
              <w:r>
                <w:t>tie. Tegelijkertijd zijn diverse overheidsmaatregelen getroffen of aangekondigd die van grote invloed zijn of zullen zijn op de financiële situatie van de in het voorstel gedefinieerde doelgroep. De toelichting gaat hier niet op in. Voor de betrokken groep</w:t>
              </w:r>
              <w:r>
                <w:t xml:space="preserve"> zijn onder meer de volgende, op Prinsjesdag 2022 aangekondigde, maatregelen van belang:</w:t>
              </w:r>
            </w:p>
            <w:p w:rsidR="00EC1FDD" w:rsidP="00DD6A39" w:rsidRDefault="00C349B8"/>
            <w:p w:rsidR="00DD6A39" w:rsidP="00EC1FDD" w:rsidRDefault="00C349B8">
              <w:pPr>
                <w:pStyle w:val="Lijstalinea"/>
                <w:numPr>
                  <w:ilvl w:val="0"/>
                  <w:numId w:val="2"/>
                </w:numPr>
                <w:ind w:left="284" w:hanging="284"/>
              </w:pPr>
              <w:r>
                <w:t>een verhoging van het wettelijk minimumloon met 10%, en de daaraan gekoppelde stijging van uitkeringen zoals AOW en bijstand</w:t>
              </w:r>
              <w:r>
                <w:t>;</w:t>
              </w:r>
            </w:p>
            <w:p w:rsidR="00DD6A39" w:rsidP="00EC1FDD" w:rsidRDefault="00C349B8">
              <w:pPr>
                <w:pStyle w:val="Lijstalinea"/>
                <w:numPr>
                  <w:ilvl w:val="0"/>
                  <w:numId w:val="2"/>
                </w:numPr>
                <w:ind w:left="284" w:hanging="284"/>
              </w:pPr>
              <w:r>
                <w:t>een verhoging van zorgtoeslag, huurtoesl</w:t>
              </w:r>
              <w:r>
                <w:t>ag en kindgebonden budget</w:t>
              </w:r>
              <w:r>
                <w:t>;</w:t>
              </w:r>
            </w:p>
            <w:p w:rsidR="00DD6A39" w:rsidP="00EC1FDD" w:rsidRDefault="00C349B8">
              <w:pPr>
                <w:pStyle w:val="Lijstalinea"/>
                <w:numPr>
                  <w:ilvl w:val="0"/>
                  <w:numId w:val="2"/>
                </w:numPr>
                <w:ind w:left="284" w:hanging="284"/>
              </w:pPr>
              <w:r>
                <w:t>minder belasting op arbeid</w:t>
              </w:r>
              <w:r>
                <w:t>;</w:t>
              </w:r>
            </w:p>
            <w:p w:rsidR="00DD6A39" w:rsidP="00EC1FDD" w:rsidRDefault="00C349B8">
              <w:pPr>
                <w:pStyle w:val="Lijstalinea"/>
                <w:numPr>
                  <w:ilvl w:val="0"/>
                  <w:numId w:val="2"/>
                </w:numPr>
                <w:ind w:left="284" w:hanging="284"/>
              </w:pPr>
              <w:r>
                <w:t>een energietoeslag voor lage inkomens</w:t>
              </w:r>
              <w:r>
                <w:t>.</w:t>
              </w:r>
              <w:r>
                <w:rPr>
                  <w:rStyle w:val="Voetnootmarkering"/>
                </w:rPr>
                <w:footnoteReference w:id="6"/>
              </w:r>
            </w:p>
            <w:p w:rsidR="00DD6A39" w:rsidP="00DD6A39" w:rsidRDefault="00C349B8"/>
            <w:p w:rsidR="001C3F96" w:rsidRDefault="00C349B8">
              <w:r>
                <w:t>Voorts blijkt uit het WoOn2021-onderzoek dat het aantal zogenoemde “dure scheefwoners</w:t>
              </w:r>
              <w:r>
                <w:t>” sterk is afgenomen en de gemiddelde huurquote van huurders in het gereguleerde segment de afgelopen jaren is gedaald (en beduidend lager is dan de huurquote van huishoudens in het middenhuursegment).</w:t>
              </w:r>
              <w:r>
                <w:rPr>
                  <w:rStyle w:val="Voetnootmarkering"/>
                </w:rPr>
                <w:footnoteReference w:id="7"/>
              </w:r>
              <w:r>
                <w:t xml:space="preserve"> Ook is de netto huurquote van de 20% laagste inkomen</w:t>
              </w:r>
              <w:r>
                <w:t>s de afgelopen jaren gedaald, waar de huurquote van de andere inkomensgroepen is gestegen of gelijk gebleven.</w:t>
              </w:r>
              <w:r>
                <w:rPr>
                  <w:rStyle w:val="Voetnootmarkering"/>
                </w:rPr>
                <w:footnoteReference w:id="8"/>
              </w:r>
              <w:r>
                <w:t xml:space="preserve"> </w:t>
              </w:r>
            </w:p>
            <w:p w:rsidR="00DD6A39" w:rsidP="00DD6A39" w:rsidRDefault="00C349B8"/>
            <w:p w:rsidR="00DD6A39" w:rsidP="00DD6A39" w:rsidRDefault="00C349B8">
              <w:r>
                <w:t>Daarnaast zijn de afgelopen jaren meerdere maatregelen genomen om de betaalbaarheid voor huurders van woningcorporaties te verbeteren, waarond</w:t>
              </w:r>
              <w:r>
                <w:t>er een huurverlaging in 2021. Met het wetsvoorstel wordt wederom een huurverlaging ingevoerd en net als de verlaging in 2021 heeft ook de thans voorgestelde verlaging een permanente doorwerking op de huurhoogte.</w:t>
              </w:r>
              <w:r>
                <w:rPr>
                  <w:rStyle w:val="Voetnootmarkering"/>
                </w:rPr>
                <w:footnoteReference w:id="9"/>
              </w:r>
              <w:r>
                <w:t xml:space="preserve"> In de toelichting worden de maatregelen va</w:t>
              </w:r>
              <w:r>
                <w:t>n afgelopen jaren opgesomd:</w:t>
              </w:r>
            </w:p>
            <w:p w:rsidR="00EC1FDD" w:rsidP="00DD6A39" w:rsidRDefault="00C349B8"/>
            <w:p w:rsidR="00DD6A39" w:rsidP="00EC1FDD" w:rsidRDefault="00C349B8">
              <w:pPr>
                <w:pStyle w:val="Lijstalinea"/>
                <w:numPr>
                  <w:ilvl w:val="0"/>
                  <w:numId w:val="1"/>
                </w:numPr>
                <w:ind w:left="284" w:hanging="284"/>
              </w:pPr>
              <w:r>
                <w:t>het door woningcorporaties passend toewijzen van woningen gerelateerd aan het inkomen van huishoudens (2016)</w:t>
              </w:r>
              <w:r>
                <w:t>;</w:t>
              </w:r>
            </w:p>
            <w:p w:rsidR="00DD6A39" w:rsidP="00EC1FDD" w:rsidRDefault="00C349B8">
              <w:pPr>
                <w:pStyle w:val="Lijstalinea"/>
                <w:numPr>
                  <w:ilvl w:val="0"/>
                  <w:numId w:val="1"/>
                </w:numPr>
                <w:ind w:left="284" w:hanging="284"/>
              </w:pPr>
              <w:r>
                <w:t>aanpassing van de maximale huursomstijging voor woningcorporaties met als gevolg beperktere gemiddelde huurverhoginge</w:t>
              </w:r>
              <w:r>
                <w:t>n (2017)</w:t>
              </w:r>
              <w:r>
                <w:t>;</w:t>
              </w:r>
            </w:p>
            <w:p w:rsidR="00DD6A39" w:rsidP="00EC1FDD" w:rsidRDefault="00C349B8">
              <w:pPr>
                <w:pStyle w:val="Lijstalinea"/>
                <w:numPr>
                  <w:ilvl w:val="0"/>
                  <w:numId w:val="1"/>
                </w:numPr>
                <w:ind w:left="284" w:hanging="284"/>
              </w:pPr>
              <w:r>
                <w:t>verdere beperking van de maximale huursomstijging voor woningcorporaties tot een inflatievolgende huurverhoging (2020)</w:t>
              </w:r>
              <w:r>
                <w:t>;</w:t>
              </w:r>
            </w:p>
            <w:p w:rsidR="00DD6A39" w:rsidP="00EC1FDD" w:rsidRDefault="00C349B8">
              <w:pPr>
                <w:pStyle w:val="Lijstalinea"/>
                <w:numPr>
                  <w:ilvl w:val="0"/>
                  <w:numId w:val="1"/>
                </w:numPr>
                <w:ind w:left="284" w:hanging="284"/>
              </w:pPr>
              <w:r>
                <w:t>vervallen van de harde inkomensgrenzen voor de huurtoeslag, waardoor een inkomensstijging niet direct leidt tot het verval van</w:t>
              </w:r>
              <w:r>
                <w:t xml:space="preserve"> recht op huurtoeslag (2020)</w:t>
              </w:r>
              <w:r>
                <w:t>;</w:t>
              </w:r>
            </w:p>
            <w:p w:rsidR="00DD6A39" w:rsidP="00EC1FDD" w:rsidRDefault="00C349B8">
              <w:pPr>
                <w:pStyle w:val="Lijstalinea"/>
                <w:numPr>
                  <w:ilvl w:val="0"/>
                  <w:numId w:val="1"/>
                </w:numPr>
                <w:ind w:left="284" w:hanging="284"/>
              </w:pPr>
              <w:r>
                <w:t>een huurverlaging met permanente doorwerking voor huurders met een laag inkomen en met een voor dat inkomen hoge huur van een woningcorporatie (2021)</w:t>
              </w:r>
              <w:r>
                <w:t>.</w:t>
              </w:r>
              <w:r>
                <w:rPr>
                  <w:rStyle w:val="Voetnootmarkering"/>
                </w:rPr>
                <w:footnoteReference w:id="10"/>
              </w:r>
            </w:p>
            <w:p w:rsidR="00DD6A39" w:rsidP="00DD6A39" w:rsidRDefault="00C349B8"/>
            <w:p w:rsidR="00DD6A39" w:rsidP="00DD6A39" w:rsidRDefault="00C349B8">
              <w:r>
                <w:t>Tot slot is van belang dat in eerdergenoemde prestatieafspraken is vastg</w:t>
              </w:r>
              <w:r>
                <w:t>elegd dat de huursom van woningcorporaties in 2023, 2024 en 2025 een maximale stijging zal hebben die gelijk is aan de CAO-loonontwikkeling van het voorgaande jaar minus 0.5 procentpunt. Hiermee is geborgd dat voor deze jaren het inkomen van huurders – uit</w:t>
              </w:r>
              <w:r>
                <w:t xml:space="preserve"> werk of uitkering – in principe elk jaar harder stijgt dan de huur, waardoor de huurquote tot en met 2025 zal verbeteren.</w:t>
              </w:r>
              <w:r>
                <w:rPr>
                  <w:rStyle w:val="Voetnootmarkering"/>
                </w:rPr>
                <w:footnoteReference w:id="11"/>
              </w:r>
              <w:r>
                <w:t xml:space="preserve"> Dit kost woningcorporaties circa € 975 miljoen per jaar.</w:t>
              </w:r>
              <w:r>
                <w:rPr>
                  <w:rStyle w:val="Voetnootmarkering"/>
                </w:rPr>
                <w:footnoteReference w:id="12"/>
              </w:r>
            </w:p>
            <w:p w:rsidR="00DD6A39" w:rsidP="00DD6A39" w:rsidRDefault="00C349B8"/>
            <w:p w:rsidR="00DD6A39" w:rsidP="00DD6A39" w:rsidRDefault="00C349B8">
              <w:r>
                <w:t xml:space="preserve">Gelet op het </w:t>
              </w:r>
              <w:r>
                <w:t>voorg</w:t>
              </w:r>
              <w:r>
                <w:t xml:space="preserve">aande adviseert de Afdeling </w:t>
              </w:r>
              <w:r>
                <w:t>uiteen te zetten hoe dit wetsvoorstel zich verhoudt tot genomen en aangekondigde maatregelen om betaalbaarheidsproblemen te voorkomen en in hoeverre de huurverlaging terechtkomt bij de groep die op dit moment de meest kwetsbare huurquote heeft. De Afdeling</w:t>
              </w:r>
              <w:r>
                <w:t xml:space="preserve"> adviseert de toelichting op dit punt aan te vullen.  </w:t>
              </w:r>
            </w:p>
            <w:p w:rsidR="00DD6A39" w:rsidP="00DD6A39" w:rsidRDefault="00C349B8"/>
            <w:p w:rsidR="00DD6A39" w:rsidP="00DD6A39" w:rsidRDefault="00C349B8">
              <w:r>
                <w:t>b.</w:t>
              </w:r>
              <w:r>
                <w:tab/>
              </w:r>
              <w:r>
                <w:rPr>
                  <w:i/>
                  <w:iCs/>
                </w:rPr>
                <w:t>G</w:t>
              </w:r>
              <w:r w:rsidRPr="000B4C15">
                <w:rPr>
                  <w:i/>
                  <w:iCs/>
                </w:rPr>
                <w:t>elijke behandeling</w:t>
              </w:r>
              <w:r>
                <w:rPr>
                  <w:i/>
                  <w:iCs/>
                </w:rPr>
                <w:t xml:space="preserve"> met huurders in de private sector</w:t>
              </w:r>
            </w:p>
            <w:p w:rsidR="00DD6A39" w:rsidP="00DD6A39" w:rsidRDefault="00C349B8">
              <w:r>
                <w:t>Het wetsvoorstel beperkt zich uitsluitend tot huurders van sociale woningen van woningcorporaties met een laag inkomen. Dit kan ook een huurder</w:t>
              </w:r>
              <w:r>
                <w:t xml:space="preserve"> in een woning </w:t>
              </w:r>
            </w:p>
            <w:p w:rsidR="00EA6139" w:rsidP="00DD6A39" w:rsidRDefault="00C349B8">
              <w:r>
                <w:t>zijn die valt onder de commerciële activiteiten (de niet-DAEB tak) van een woningcorporatie.</w:t>
              </w:r>
              <w:r>
                <w:rPr>
                  <w:rStyle w:val="Voetnootmarkering"/>
                </w:rPr>
                <w:footnoteReference w:id="13"/>
              </w:r>
              <w:r>
                <w:t xml:space="preserve"> Andere huurders – ook die met een laag inkomen – in het gereguleerde segment, waarvan hun verhuurder een particulier of commerciële partij is, va</w:t>
              </w:r>
              <w:r>
                <w:t xml:space="preserve">llen buiten de regeling. </w:t>
              </w:r>
            </w:p>
            <w:p w:rsidR="00EA6139" w:rsidP="00DD6A39" w:rsidRDefault="00C349B8"/>
            <w:p w:rsidR="00DD6A39" w:rsidP="00DD6A39" w:rsidRDefault="00C349B8">
              <w:r>
                <w:lastRenderedPageBreak/>
                <w:t>De met het huidige wetsvoorstel beoogde ondersteuning is daarmee afhankelijk van het grotendeels arbitraire gegeven of men huurt bij een woningcorporatie of van een andere verhuurder, een factor waar de huurder zeker in de huidig</w:t>
              </w:r>
              <w:r>
                <w:t>e krappe woningmarkt veelal geen invloed op kan uitoefenen. Het is moeilijk verdedigbaar dat, als de noodzaak wordt vastgesteld tot ingrijpen om betalingsproblemen bij minima te voorkomen, die ingreep in de uitwerking wordt beperkt tot huurders van woningc</w:t>
              </w:r>
              <w:r>
                <w:t>orporaties.</w:t>
              </w:r>
              <w:r>
                <w:rPr>
                  <w:rStyle w:val="Voetnootmarkering"/>
                </w:rPr>
                <w:footnoteReference w:id="14"/>
              </w:r>
              <w:r>
                <w:t xml:space="preserve"> Dit klemt temeer omdat met bijvoorbeeld het alternatief van de huurtoeslag ook deze andere huurders geholpen zouden kunnen worden (zie ook punt 4 van dit advies).</w:t>
              </w:r>
            </w:p>
            <w:p w:rsidR="00DD6A39" w:rsidP="00DD6A39" w:rsidRDefault="00C349B8"/>
            <w:p w:rsidR="00DD6A39" w:rsidP="00DD6A39" w:rsidRDefault="00C349B8">
              <w:r>
                <w:t xml:space="preserve">De toelichting gaat weliswaar op </w:t>
              </w:r>
              <w:r>
                <w:t>het ge</w:t>
              </w:r>
              <w:r>
                <w:t>noemd</w:t>
              </w:r>
              <w:r>
                <w:t>e</w:t>
              </w:r>
              <w:r>
                <w:t xml:space="preserve"> verschil in behandeling in, maar</w:t>
              </w:r>
              <w:r>
                <w:t xml:space="preserve"> beziet dat hoofdzakelijk vanuit het perspectief van het onderscheid tussen de verschillende verhuurders.</w:t>
              </w:r>
              <w:r>
                <w:rPr>
                  <w:rStyle w:val="Voetnootmarkering"/>
                </w:rPr>
                <w:footnoteReference w:id="15"/>
              </w:r>
              <w:r>
                <w:t xml:space="preserve"> Over de ongelijke behandeling tussen huurders wordt enkel het volgende opgemerkt:</w:t>
              </w:r>
            </w:p>
            <w:p w:rsidR="00DD6A39" w:rsidP="00DD6A39" w:rsidRDefault="00C349B8"/>
            <w:p w:rsidR="00DD6A39" w:rsidP="00DD6A39" w:rsidRDefault="00C349B8">
              <w:pPr>
                <w:pStyle w:val="Lijstalinea"/>
                <w:ind w:left="705"/>
                <w:rPr>
                  <w:rFonts w:ascii="Verdana" w:hAnsi="Verdana" w:cstheme="minorHAnsi"/>
                  <w:sz w:val="18"/>
                  <w:szCs w:val="18"/>
                </w:rPr>
              </w:pPr>
              <w:r>
                <w:t>“</w:t>
              </w:r>
              <w:r>
                <w:rPr>
                  <w:rFonts w:cstheme="minorHAnsi"/>
                </w:rPr>
                <w:t xml:space="preserve">Dit wetsvoorstel geeft huurders die een woning of een woonwagen </w:t>
              </w:r>
              <w:r>
                <w:rPr>
                  <w:rFonts w:cstheme="minorHAnsi"/>
                </w:rPr>
                <w:t>huren van een woningcorporatie een recht dat huurders die van een andere verhuurder huren niet krijgen. Omdat de laatste groep niet geraakt wordt door dit wetsvoorstel is van ongelijke behandeling in directe zin geen sprake. De huurders van particuliere/co</w:t>
              </w:r>
              <w:r>
                <w:rPr>
                  <w:rFonts w:cstheme="minorHAnsi"/>
                </w:rPr>
                <w:t>mmerciële verhuurders worden indirect geraakt door het niet opleggen van de verplichting tot huurverlaging aan particuliere/commerciële verhuurders, maar daarmee wordt geen direct onderscheid gemaakt ten aanzien van de huurders.”</w:t>
              </w:r>
              <w:r>
                <w:rPr>
                  <w:rStyle w:val="Voetnootmarkering"/>
                  <w:rFonts w:cstheme="minorHAnsi"/>
                </w:rPr>
                <w:footnoteReference w:id="16"/>
              </w:r>
            </w:p>
            <w:p w:rsidR="00DD6A39" w:rsidP="00DD6A39" w:rsidRDefault="00C349B8"/>
            <w:p w:rsidR="00DD6A39" w:rsidP="00DD6A39" w:rsidRDefault="00C349B8">
              <w:r>
                <w:t xml:space="preserve">De Afdeling acht </w:t>
              </w:r>
              <w:r>
                <w:t>deze</w:t>
              </w:r>
              <w:r>
                <w:t xml:space="preserve"> motivering</w:t>
              </w:r>
              <w:r>
                <w:t xml:space="preserve"> ontoereikend. De keuze om een groep wel of niet onder de reikwijdte van een regeling te brengen, ook waar het een begunstigende regeling zoals hier het geval betreft, is van belang voor de vraag of groepen gelijk worden behandeld in de zin </w:t>
              </w:r>
              <w:r>
                <w:t xml:space="preserve">van artikel 1 van de Grondwet en artikel 1 </w:t>
              </w:r>
              <w:r w:rsidRPr="00477CFE">
                <w:t>van het Twaalfde Protocol bij het Europees Verdrag voor de Rechten van de Mens</w:t>
              </w:r>
              <w:r>
                <w:t xml:space="preserve"> (EVRM). Hier wordt op basis van het al dan niet huren van een woningcorporatie direct onderscheid gemaakt, dat niet goed spoort met de</w:t>
              </w:r>
              <w:r>
                <w:t xml:space="preserve"> beoogde doelstelling van de regeling: het bieden van soelaas aan huurders met lage inkomens in het gereguleerde segment van de huursector. Niet valt in te zien waarom de positie van huurders die huren van een particulier of commerciële verhuurder in dit v</w:t>
              </w:r>
              <w:r>
                <w:t xml:space="preserve">erband wezenlijk verschilt van die van huurders bij woningcorporaties. Daarnaast wijst de Afdeling erop dat ook in het geval van een indirecte ongelijke behandeling – waar de toelichting wel van uit lijkt te gaan – sprake is van een ongelijke behandeling, </w:t>
              </w:r>
              <w:r>
                <w:t xml:space="preserve">waarvoor een objectieve rechtvaardiging dient te worden gegeven. Die rechtvaardiging ontbreekt in de toelichting. </w:t>
              </w:r>
            </w:p>
            <w:p w:rsidR="00DD6A39" w:rsidP="00DD6A39" w:rsidRDefault="00C349B8"/>
            <w:p w:rsidR="00DD6A39" w:rsidP="00DD6A39" w:rsidRDefault="00C349B8">
              <w:r>
                <w:t>Voor deze objectieve rechtvaardiging is van belang dat de maatregel een legitiem doel dient en dat deze in een proportionele verhouding staa</w:t>
              </w:r>
              <w:r>
                <w:t>t tot het te bereiken doel. Voor dit laatste is van belang dat de maatregel, mede gelet op alternatieven, geschikt en passend is om het beoogde doel te bereiken.</w:t>
              </w:r>
            </w:p>
            <w:p w:rsidR="00DD6A39" w:rsidP="00DD6A39" w:rsidRDefault="00C349B8"/>
            <w:p w:rsidR="00DD6A39" w:rsidP="00DD6A39" w:rsidRDefault="00C349B8">
              <w:r>
                <w:t xml:space="preserve">De Afdeling adviseert op grond van het </w:t>
              </w:r>
              <w:r>
                <w:t>voorg</w:t>
              </w:r>
              <w:r>
                <w:t>aande de ongelijke behandeling tussen huurders ob</w:t>
              </w:r>
              <w:r>
                <w:t>jectief te rechtvaardigen en de toelichting op dit punt te wijzigen. Indien deze rechtvaardiging niet gegeven kan worden, dan adviseert zij het voorstel te heroverwegen</w:t>
              </w:r>
              <w:r w:rsidRPr="00F15D42">
                <w:t>.</w:t>
              </w:r>
            </w:p>
            <w:p w:rsidR="00DD6A39" w:rsidP="00DD6A39" w:rsidRDefault="00C349B8"/>
            <w:p w:rsidRPr="00A67DB5" w:rsidR="00DD6A39" w:rsidP="00DD6A39" w:rsidRDefault="00C349B8">
              <w:r>
                <w:t xml:space="preserve">3. </w:t>
              </w:r>
              <w:r>
                <w:tab/>
              </w:r>
              <w:r>
                <w:rPr>
                  <w:u w:val="single"/>
                </w:rPr>
                <w:t>Vrij verkeer van diensten en kapitaal</w:t>
              </w:r>
            </w:p>
            <w:p w:rsidR="00DD6A39" w:rsidP="00DD6A39" w:rsidRDefault="00C349B8">
              <w:pPr>
                <w:rPr>
                  <w:b/>
                  <w:bCs/>
                </w:rPr>
              </w:pPr>
            </w:p>
            <w:p w:rsidR="00DD6A39" w:rsidP="00DD6A39" w:rsidRDefault="00C349B8">
              <w:r>
                <w:t>In de paragraaf inzake Europees recht word</w:t>
              </w:r>
              <w:r>
                <w:t>t aangegeven dat de verhuur van woonruimte een dienst is in de zin van de Dienstenrichtlijn, maar dat deze richtlijn niet van toepassing is op sociale huisvesting. Voorts wordt aangegeven dat de huurverlaging alleen geldt voor woningcorporaties en er derha</w:t>
              </w:r>
              <w:r>
                <w:t>lve geen sprake is van invloed op het vrij verkeer van kapitaal.</w:t>
              </w:r>
              <w:r>
                <w:rPr>
                  <w:rStyle w:val="Voetnootmarkering"/>
                </w:rPr>
                <w:footnoteReference w:id="17"/>
              </w:r>
            </w:p>
            <w:p w:rsidR="00DD6A39" w:rsidP="00DD6A39" w:rsidRDefault="00C349B8"/>
            <w:p w:rsidR="00DD6A39" w:rsidP="00DD6A39" w:rsidRDefault="00C349B8">
              <w:r>
                <w:t xml:space="preserve">De Afdeling stelt vast dat de toelichting hiermee summier ingaat op de verhouding van het wetsvoorstel met het Unierecht. Zij merkt op dat het feit dat de </w:t>
              </w:r>
              <w:r>
                <w:t>Dienstenrichtlijn niet van toepassing is, onverlet laat dat in het geval van een grensoverschrijdende situatie de algemene verdragsregels van het vrij diensten- en kapitaalverkeer van toepassing kunnen zijn.</w:t>
              </w:r>
              <w:r>
                <w:rPr>
                  <w:rStyle w:val="Voetnootmarkering"/>
                </w:rPr>
                <w:footnoteReference w:id="18"/>
              </w:r>
              <w:r>
                <w:t xml:space="preserve"> Een wettelijk voorgeschreven huurprijsverlagin</w:t>
              </w:r>
              <w:r>
                <w:t>g kan een belemmering van het grensoverschrijdende diensten- en kapitaalverkeer opleveren.</w:t>
              </w:r>
              <w:r>
                <w:rPr>
                  <w:rStyle w:val="Voetnootmarkering"/>
                </w:rPr>
                <w:footnoteReference w:id="19"/>
              </w:r>
              <w:r>
                <w:t xml:space="preserve"> Deze kan zich met name voordoen ten aanzien van de niet-DAEB-tak van de woningcorporatie, waar het wetsvoorstel zoals eerder aangegeven ook betrekking op heeft. </w:t>
              </w:r>
            </w:p>
            <w:p w:rsidR="00DD6A39" w:rsidP="00DD6A39" w:rsidRDefault="00C349B8">
              <w:r>
                <w:t xml:space="preserve"> </w:t>
              </w:r>
            </w:p>
            <w:p w:rsidR="00DD6A39" w:rsidP="00DD6A39" w:rsidRDefault="00C349B8">
              <w:r w:rsidRPr="008B23C9">
                <w:t xml:space="preserve">Indien sprake </w:t>
              </w:r>
              <w:r>
                <w:t>is</w:t>
              </w:r>
              <w:r w:rsidRPr="008B23C9">
                <w:t xml:space="preserve"> van een belemmering</w:t>
              </w:r>
              <w:r>
                <w:t>,</w:t>
              </w:r>
              <w:r w:rsidRPr="008B23C9">
                <w:t xml:space="preserve"> dan dient deze door een dwingende reden van algemeen belang te zijn gerechtvaardigd en noodzakelijk en geschikt te zijn. Aan deze voorwaarden wordt niet voldaan indien het doel ook zou kunnen worden bereikt met een mi</w:t>
              </w:r>
              <w:r w:rsidRPr="008B23C9">
                <w:t>nder beperkende maatregel</w:t>
              </w:r>
              <w:r>
                <w:t>.</w:t>
              </w:r>
              <w:r>
                <w:rPr>
                  <w:rStyle w:val="Voetnootmarkering"/>
                </w:rPr>
                <w:footnoteReference w:id="20"/>
              </w:r>
            </w:p>
            <w:p w:rsidR="00DD6A39" w:rsidP="00DD6A39" w:rsidRDefault="00C349B8"/>
            <w:p w:rsidR="00DD6A39" w:rsidP="00DD6A39" w:rsidRDefault="00C349B8">
              <w:r>
                <w:t>De Afdeling adviseert om de verenigbaarheid van het wetsvoorstel met het vrij verkeer van diensten en kapitaal dragend te motiveren. Indien dit niet mogelijk is adviseert zij het wetsvoorstel aan te passen.</w:t>
              </w:r>
            </w:p>
            <w:p w:rsidR="00DD6A39" w:rsidP="00DD6A39" w:rsidRDefault="00C349B8"/>
            <w:p w:rsidRPr="00A67DB5" w:rsidR="00DD6A39" w:rsidP="00DD6A39" w:rsidRDefault="00C349B8">
              <w:r>
                <w:t xml:space="preserve">4. </w:t>
              </w:r>
              <w:r>
                <w:tab/>
              </w:r>
              <w:r>
                <w:rPr>
                  <w:u w:val="single"/>
                </w:rPr>
                <w:t>Huurtoeslag</w:t>
              </w:r>
            </w:p>
            <w:p w:rsidR="00DD6A39" w:rsidP="00DD6A39" w:rsidRDefault="00C349B8">
              <w:pPr>
                <w:rPr>
                  <w:b/>
                  <w:bCs/>
                </w:rPr>
              </w:pPr>
            </w:p>
            <w:p w:rsidR="00DD6A39" w:rsidP="00DD6A39" w:rsidRDefault="00C349B8">
              <w:r>
                <w:t>O</w:t>
              </w:r>
              <w:r>
                <w:t xml:space="preserve">m de huurquote van de betrokken doelgroep te verbeteren legt het wetsvoorstel een huurverlaging op ten gunste van huurders van sociale woningen van woningcorporaties met een bepaalde huurprijs. Onduidelijk is of ook alternatieve maatregelen zijn overwogen </w:t>
              </w:r>
              <w:r>
                <w:t>en zo ja, op basis van welke overwegingen gekozen is voor deze maatregel. In de toelichting wordt niet ingegaan op de onderzochte alternatieven.</w:t>
              </w:r>
              <w:r>
                <w:rPr>
                  <w:rStyle w:val="Voetnootmarkering"/>
                </w:rPr>
                <w:footnoteReference w:id="21"/>
              </w:r>
              <w:r>
                <w:t xml:space="preserve"> In een kamerbrief van de Minister van Binnenlandse Zaken en Koninkrijksrelaties ter uitvoering van de motie-K</w:t>
              </w:r>
              <w:r>
                <w:t>ox wordt wel ingegaan op enkele alternatieve instrumenten, zoals de huurtoeslag.</w:t>
              </w:r>
              <w:r>
                <w:rPr>
                  <w:rStyle w:val="Voetnootmarkering"/>
                </w:rPr>
                <w:footnoteReference w:id="22"/>
              </w:r>
              <w:r>
                <w:t xml:space="preserve"> </w:t>
              </w:r>
            </w:p>
            <w:p w:rsidR="00DD6A39" w:rsidP="00DD6A39" w:rsidRDefault="00C349B8"/>
            <w:p w:rsidR="00DD6A39" w:rsidP="00DD6A39" w:rsidRDefault="00C349B8">
              <w:r>
                <w:t xml:space="preserve">De huurtoeslag bestaat al lang als instrument van het volkshuisvestingsbeleid dat er bij uitstek op gericht is om te waarborgen dat huishoudens met lage inkomens goede en </w:t>
              </w:r>
              <w:r>
                <w:t>betaalbare woningen kunnen bewonen.</w:t>
              </w:r>
              <w:r>
                <w:rPr>
                  <w:rStyle w:val="Voetnootmarkering"/>
                </w:rPr>
                <w:footnoteReference w:id="23"/>
              </w:r>
              <w:r>
                <w:t xml:space="preserve"> Niet duidelijk is waarom niet van dit bestaande instrument gebruik wordt gemaakt.</w:t>
              </w:r>
              <w:r>
                <w:rPr>
                  <w:rStyle w:val="Voetnootmarkering"/>
                </w:rPr>
                <w:footnoteReference w:id="24"/>
              </w:r>
              <w:r>
                <w:t xml:space="preserve"> Bovendien worden hiermee ook huurders met lage inkomens geholpen die niet huren bij een woningcorporatie. De uit de voorgestelde maatr</w:t>
              </w:r>
              <w:r>
                <w:t>egel voortvloeiende ongelijkheid speelt bij de huurtoeslag niet (punt 2b van dit advies) en dit alternatief is ook van belang voor de weging van de verenigbaarheid met het v</w:t>
              </w:r>
              <w:r w:rsidRPr="001769C9">
                <w:t>rij verkeer van diensten en kapitaal</w:t>
              </w:r>
              <w:r>
                <w:t xml:space="preserve"> (punt 3 van dit advies). Tot slot zal bij het </w:t>
              </w:r>
              <w:r>
                <w:t>inzetten van het huurtoeslaginstrument geen verrekening plaatsvinden, terwijl de verrekening die bij de voorgestelde maatregel optreedt met zich brengt dat van de gemiddelde huurverlaging van € 57 netto gemiddeld minder dan de helft (€ 20 tot € 25 per maan</w:t>
              </w:r>
              <w:r>
                <w:t>d) voor de huurder overblijft.</w:t>
              </w:r>
              <w:r>
                <w:rPr>
                  <w:rStyle w:val="Voetnootmarkering"/>
                </w:rPr>
                <w:footnoteReference w:id="25"/>
              </w:r>
              <w:r>
                <w:t xml:space="preserve"> </w:t>
              </w:r>
            </w:p>
            <w:p w:rsidR="00DD6A39" w:rsidP="00DD6A39" w:rsidRDefault="00C349B8"/>
            <w:p w:rsidR="00DD6A39" w:rsidP="00DD6A39" w:rsidRDefault="00C349B8">
              <w:r>
                <w:t xml:space="preserve">De Afdeling adviseert om in de toelichting te </w:t>
              </w:r>
              <w:r>
                <w:t>motiver</w:t>
              </w:r>
              <w:r>
                <w:t>en waarom niet is gekozen voor verhoging van de huurtoeslag als alternatief.</w:t>
              </w:r>
            </w:p>
            <w:p w:rsidR="00DD6A39" w:rsidP="00DD6A39" w:rsidRDefault="00C349B8"/>
            <w:p w:rsidRPr="000A0BA5" w:rsidR="00DD6A39" w:rsidP="00DD6A39" w:rsidRDefault="00C349B8">
              <w:pPr>
                <w:rPr>
                  <w:u w:val="single"/>
                </w:rPr>
              </w:pPr>
              <w:r>
                <w:t>5.</w:t>
              </w:r>
              <w:r>
                <w:tab/>
              </w:r>
              <w:r>
                <w:rPr>
                  <w:u w:val="single"/>
                </w:rPr>
                <w:t>Uitvoering</w:t>
              </w:r>
            </w:p>
            <w:p w:rsidR="00DD6A39" w:rsidP="00DD6A39" w:rsidRDefault="00C349B8"/>
            <w:p w:rsidRPr="00691A30" w:rsidR="00DD6A39" w:rsidP="00DD6A39" w:rsidRDefault="00C349B8">
              <w:pPr>
                <w:rPr>
                  <w:i/>
                  <w:iCs/>
                </w:rPr>
              </w:pPr>
              <w:r>
                <w:t>a.</w:t>
              </w:r>
              <w:r>
                <w:tab/>
              </w:r>
              <w:r w:rsidRPr="00691A30">
                <w:rPr>
                  <w:i/>
                  <w:iCs/>
                </w:rPr>
                <w:t>Financiële gevolgen</w:t>
              </w:r>
              <w:r>
                <w:rPr>
                  <w:i/>
                  <w:iCs/>
                </w:rPr>
                <w:t xml:space="preserve"> individuele woningcorporaties</w:t>
              </w:r>
            </w:p>
            <w:p w:rsidR="00DD6A39" w:rsidP="00DD6A39" w:rsidRDefault="00C349B8">
              <w:r>
                <w:t>De voorgestelde huurverlaging resulteert naar verwachting in een daling van de totale huursom van circa € 355 miljoen (prijspeil 2020) per jaar voor de gehele corporatiesector.</w:t>
              </w:r>
              <w:r>
                <w:rPr>
                  <w:rStyle w:val="Voetnootmarkering"/>
                </w:rPr>
                <w:footnoteReference w:id="26"/>
              </w:r>
              <w:r>
                <w:t xml:space="preserve"> In de toelichting wordt, onder verwijzing naar de met Aedes gemaakte prestatieafspraken, aangegeven dat de sector als geheel deze daling van huurinkomsten zou kunnen opvangen omdat de verhuurderheffing per 1 januari 2023 wordt afgeschaft.</w:t>
              </w:r>
              <w:r>
                <w:rPr>
                  <w:rStyle w:val="Voetnootmarkering"/>
                </w:rPr>
                <w:footnoteReference w:id="27"/>
              </w:r>
            </w:p>
            <w:p w:rsidR="00DD6A39" w:rsidP="00DD6A39" w:rsidRDefault="00C349B8"/>
            <w:p w:rsidR="00DD6A39" w:rsidP="00DD6A39" w:rsidRDefault="00C349B8">
              <w:r>
                <w:t>In dezelfde p</w:t>
              </w:r>
              <w:r>
                <w:t>restatieafspraken waarnaar wordt verwezen voor het benodigde draagvlak in de sector is afgesproken dat “bij de totstandkoming van [dit wetsvoorstel] nadrukkelijk de uitvoeringsaspecten en de verwachte verschillen in effecten op het investeringsvermogen van</w:t>
              </w:r>
              <w:r>
                <w:t xml:space="preserve"> corporaties [worden] betrokken.”</w:t>
              </w:r>
              <w:r>
                <w:rPr>
                  <w:rStyle w:val="Voetnootmarkering"/>
                </w:rPr>
                <w:footnoteReference w:id="28"/>
              </w:r>
              <w:r>
                <w:t xml:space="preserve"> In de toelichting wordt echter niet ingegaan op de financiële effecten op individuele (categorieën van) woningcorporaties of mogelijke verschillen daartussen. Deze onderlinge verschillen kunnen groot zijn. Dit kan bijvoo</w:t>
              </w:r>
              <w:r>
                <w:t>rbeeld door verscheidenheid in investeringscapaciteit en -doelen, waardoor afhankelijk van de toepasselijke heffingsverminderingen op de verhuurderheffing veel of nauwelijks verhuurderheffing werd betaald. Verschillen kunnen ook samenhangen met de doelgroe</w:t>
              </w:r>
              <w:r>
                <w:t>pen waarop de woningcorporaties zich richten. Een voorbeeld hiervan, tijdens de internetconsultatie naar voren gebracht, is de onevenredige financiële belasting van het wetsvoorstel voor woningcorporaties met veel voor ouderen en zorgbehoevende huishoudens</w:t>
              </w:r>
              <w:r>
                <w:t xml:space="preserve"> geschikte woningen.</w:t>
              </w:r>
              <w:r>
                <w:rPr>
                  <w:rStyle w:val="Voetnootmarkering"/>
                </w:rPr>
                <w:footnoteReference w:id="29"/>
              </w:r>
            </w:p>
            <w:p w:rsidR="00DD6A39" w:rsidP="00DD6A39" w:rsidRDefault="00C349B8"/>
            <w:p w:rsidR="00DD6A39" w:rsidP="00DD6A39" w:rsidRDefault="00C349B8">
              <w:r>
                <w:t xml:space="preserve">De Afdeling adviseert om in de toelichting aandacht te besteden aan de verwachte financiële gevolgen van het wetsvoorstel voor individuele woningcorporaties of categorieën van woningcorporaties, met daarbij specifieke aandacht voor </w:t>
              </w:r>
              <w:r>
                <w:t xml:space="preserve">(categorieën) woningcorporaties waarvoor deze gevolgen relatief groot kunnen zijn.  </w:t>
              </w:r>
            </w:p>
            <w:p w:rsidR="00DD6A39" w:rsidP="00DD6A39" w:rsidRDefault="00C349B8"/>
            <w:p w:rsidR="00DD6A39" w:rsidP="00DD6A39" w:rsidRDefault="00C349B8">
              <w:pPr>
                <w:rPr>
                  <w:i/>
                  <w:iCs/>
                </w:rPr>
              </w:pPr>
              <w:r>
                <w:t>b.</w:t>
              </w:r>
              <w:r>
                <w:tab/>
              </w:r>
              <w:r>
                <w:rPr>
                  <w:i/>
                  <w:iCs/>
                </w:rPr>
                <w:t>Beoordeling verzoek om huurverlaging</w:t>
              </w:r>
            </w:p>
            <w:p w:rsidR="00DD6A39" w:rsidP="00DD6A39" w:rsidRDefault="00C349B8">
              <w:r>
                <w:t>I</w:t>
              </w:r>
              <w:r>
                <w:t xml:space="preserve">ndien </w:t>
              </w:r>
              <w:r>
                <w:t xml:space="preserve">huurders </w:t>
              </w:r>
              <w:r>
                <w:t>op basis van de inkomensgegevens van 2021 niet voldoen aan de voorwaarden voor een huurverlagingsvoorstel vanuit e</w:t>
              </w:r>
              <w:r>
                <w:t xml:space="preserve">en woningcorporatie, </w:t>
              </w:r>
              <w:r>
                <w:t xml:space="preserve">kunnen zij </w:t>
              </w:r>
              <w:r>
                <w:t>zelf een verzoek indienen voor een huurverlaging</w:t>
              </w:r>
              <w:r w:rsidRPr="003E6517">
                <w:t>. Bij het verzoek dient de huurder bewijsstukken te voegen waaruit zijn huishoudinkomen over de zes kalendermaanden voorafgaand aan het verzoek blijkt</w:t>
              </w:r>
              <w:r>
                <w:t xml:space="preserve"> (bijvoorbeeld aan de hand</w:t>
              </w:r>
              <w:r>
                <w:t xml:space="preserve"> van salarisstroken of bankafschriften)</w:t>
              </w:r>
              <w:r w:rsidRPr="003E6517">
                <w:t xml:space="preserve">, alsmede een door hem opgestelde en ondertekende verklaring over de samenstelling van zijn huishouden. </w:t>
              </w:r>
              <w:r>
                <w:t>Aan de hand van</w:t>
              </w:r>
              <w:r w:rsidRPr="003E6517">
                <w:t xml:space="preserve"> deze bewijsstukken moet de woningcorporatie </w:t>
              </w:r>
              <w:r>
                <w:t xml:space="preserve">vervolgens </w:t>
              </w:r>
              <w:r w:rsidRPr="003E6517">
                <w:t>een voorstel doen tot huurverlaging.</w:t>
              </w:r>
            </w:p>
            <w:p w:rsidR="00DD6A39" w:rsidP="00DD6A39" w:rsidRDefault="00C349B8"/>
            <w:p w:rsidR="00DD6A39" w:rsidP="00DD6A39" w:rsidRDefault="00C349B8">
              <w:r>
                <w:t>Op g</w:t>
              </w:r>
              <w:r>
                <w:t>rond van de toelichting kan een woningcorporatie een verzoek tot een huurverlaging afwijzen indien zij “gerede twijfel” heeft over de vraag of een huurder in aanmerking komt voor huurverlaging.</w:t>
              </w:r>
              <w:r>
                <w:rPr>
                  <w:rStyle w:val="Voetnootmarkering"/>
                </w:rPr>
                <w:footnoteReference w:id="30"/>
              </w:r>
              <w:r>
                <w:t xml:space="preserve"> De vraag is hoe woningcorporaties dat kunnen vaststellen. Di</w:t>
              </w:r>
              <w:r>
                <w:t xml:space="preserve">t kan niet gecontroleerd worden bij de Belastingdienst, mede omdat deze voor de betreffende periode van een half jaar maar beperkt beschikking heeft over actuele en relevante gegevens. Dit speelt vooral bij </w:t>
              </w:r>
              <w:r w:rsidRPr="00165967">
                <w:t>winst uit onderneming of resultaat uit overige we</w:t>
              </w:r>
              <w:r w:rsidRPr="00165967">
                <w:t>rkzaamheden</w:t>
              </w:r>
              <w:r>
                <w:t>. Pas na afloop van een kalenderjaar en nadat het proces van aangifte en aanslag is afgerond beschikt de Belastingdienst over betrouwbare gegevens over het inkomen.</w:t>
              </w:r>
              <w:r>
                <w:rPr>
                  <w:rStyle w:val="Voetnootmarkering"/>
                </w:rPr>
                <w:footnoteReference w:id="31"/>
              </w:r>
              <w:r>
                <w:t xml:space="preserve"> Ook heeft een woningcorporatie in beginsel geen mogelijkheden om het achterweg</w:t>
              </w:r>
              <w:r>
                <w:t xml:space="preserve">e laten van vermelding van inkomensstromen te controleren. </w:t>
              </w:r>
            </w:p>
            <w:p w:rsidR="00DD6A39" w:rsidP="00DD6A39" w:rsidRDefault="00C349B8"/>
            <w:p w:rsidR="00DD6A39" w:rsidP="00DD6A39" w:rsidRDefault="00C349B8">
              <w:r>
                <w:t>Het gevolg hiervan is dat een woningcorporatie in veel gevallen nauwelijks mogelijkheden heeft om te verifiëren of de door de huurder aangeleverde gegevens juist en volledig zijn en of een verzoe</w:t>
              </w:r>
              <w:r>
                <w:t xml:space="preserve">k tot huurverlaging moet worden gehonoreerd. Dit speelt overigens mutatis mutandis als geschillen op dit punt worden voorgelegd aan de Huurcommissie. Daar komt bij dat achteraf geconstateerde onjuistheden niet kunnen worden gecorrigeerd vanwege de keus om </w:t>
              </w:r>
              <w:r>
                <w:t>in dit wetsvoorstel geen correctiemechanisme op te nemen.</w:t>
              </w:r>
              <w:r>
                <w:rPr>
                  <w:rStyle w:val="Voetnootmarkering"/>
                </w:rPr>
                <w:footnoteReference w:id="32"/>
              </w:r>
              <w:r>
                <w:t xml:space="preserve"> Daardoor blijft een huurverlaging van kracht, ook als die verlaging ten onrechte heeft plaatsgevonden omdat van onjuiste inkomensgegevens is uitgegaan.</w:t>
              </w:r>
            </w:p>
            <w:p w:rsidR="00DD6A39" w:rsidP="00DD6A39" w:rsidRDefault="00C349B8"/>
            <w:p w:rsidR="00DD6A39" w:rsidP="00DD6A39" w:rsidRDefault="00C349B8">
              <w:r>
                <w:t>De Afdeling adviseert in de toelichting nad</w:t>
              </w:r>
              <w:r>
                <w:t>er te verduidelijken wanneer een woningcorporatie “gerede twijfel” kan hebben over de vraag of een huurder in aanmerking komt voor huurverlaging en wat van een woningcorporatie wordt verlangd om te verifiëren of de bij het verzoek aangeleverde gegevens jui</w:t>
              </w:r>
              <w:r>
                <w:t xml:space="preserve">st en volledig zijn. </w:t>
              </w:r>
            </w:p>
            <w:p w:rsidR="00DD6A39" w:rsidP="00DD6A39" w:rsidRDefault="00C349B8"/>
            <w:p w:rsidR="00DD6A39" w:rsidP="00DD6A39" w:rsidRDefault="00C349B8">
              <w:pPr>
                <w:rPr>
                  <w:i/>
                  <w:iCs/>
                </w:rPr>
              </w:pPr>
              <w:r>
                <w:t>c.</w:t>
              </w:r>
              <w:r>
                <w:tab/>
              </w:r>
              <w:r w:rsidRPr="00E0287B">
                <w:rPr>
                  <w:i/>
                  <w:iCs/>
                </w:rPr>
                <w:t>Uitvoeringstoets Belastingdienst</w:t>
              </w:r>
            </w:p>
            <w:p w:rsidR="00DD6A39" w:rsidP="00DD6A39" w:rsidRDefault="00C349B8">
              <w:r>
                <w:t xml:space="preserve">Het is blijkens de toelichting de Belastingdienst niet gelukt om een uitvoeringstoets te verrichten voorafgaand aan de adviesaanvraag bij de Afdeling. Wel heeft een zogenoemde ‘eerste weging op </w:t>
              </w:r>
              <w:r>
                <w:t>de hand’ plaatsgevonden waaruit blijkt dat de bij de Belastingdienst belegde werkzaamheden op grond van dit wetsvoorstel uitvoerbaar zijn, maar problematisch. Zo kleven er risico’s aan de uitvoering als gevolg van capaciteitsproblemen en zijn er enkele res</w:t>
              </w:r>
              <w:r>
                <w:t>trisico’s, waaronder het risico van verdringing van andere werkzaamheden, onjuiste of onvolledige registraties en fouten wegens handmatige acties. Hierdoor kunnen burgers worden benadeeld.</w:t>
              </w:r>
            </w:p>
            <w:p w:rsidR="00DD6A39" w:rsidP="00DD6A39" w:rsidRDefault="00C349B8"/>
            <w:p w:rsidRPr="00E0287B" w:rsidR="00DD6A39" w:rsidP="00DD6A39" w:rsidRDefault="00C349B8">
              <w:r>
                <w:t>De Afdeling adviseert de toelichting aan te vullen met de uitvoeri</w:t>
              </w:r>
              <w:r>
                <w:t xml:space="preserve">ngstoets van de Belastingdienst en deze bij de nadere afweging van de voorgestelde maatregel te verdisconteren. </w:t>
              </w:r>
            </w:p>
            <w:p w:rsidR="00DD6A39" w:rsidP="00DD6A39" w:rsidRDefault="00C349B8"/>
            <w:p w:rsidRPr="00E0287B" w:rsidR="00DD6A39" w:rsidP="00DD6A39" w:rsidRDefault="00C349B8">
              <w:pPr>
                <w:rPr>
                  <w:u w:val="single"/>
                </w:rPr>
              </w:pPr>
              <w:r>
                <w:t xml:space="preserve">d. </w:t>
              </w:r>
              <w:r>
                <w:tab/>
              </w:r>
              <w:r w:rsidRPr="00E0287B">
                <w:rPr>
                  <w:i/>
                  <w:iCs/>
                </w:rPr>
                <w:t>Minimuminkomensijkpunt</w:t>
              </w:r>
            </w:p>
            <w:p w:rsidR="00DD6A39" w:rsidP="00DD6A39" w:rsidRDefault="00C349B8">
              <w:r>
                <w:t>Om recht te hebben op de huurverlaging in 2023 geldt dat de huurder een inkomen mag hebben van ten hoogste 120% van</w:t>
              </w:r>
              <w:r>
                <w:t xml:space="preserve"> het voor het huishouden toepasselijke minimuminkomensijkpunt.</w:t>
              </w:r>
              <w:r>
                <w:rPr>
                  <w:rStyle w:val="Voetnootmarkering"/>
                </w:rPr>
                <w:footnoteReference w:id="33"/>
              </w:r>
              <w:r>
                <w:t xml:space="preserve"> Of voldaan wordt aan deze grens wordt in beginsel vastgesteld aan de hand van een inkomenscategorieverklaring over het gezamenlijk inkomen van 2021, verstrekt door de Belastingdienst. Indien een huurder voor dat jaar niet voldoet aan </w:t>
              </w:r>
              <w:r>
                <w:t>deze</w:t>
              </w:r>
              <w:r>
                <w:t xml:space="preserve"> grens, dan kan h</w:t>
              </w:r>
              <w:r>
                <w:t>ij zelf een huurverlaging aanvragen waarbij het minimuminkomensijkpunt ook leidend is.</w:t>
              </w:r>
              <w:r>
                <w:rPr>
                  <w:rStyle w:val="Voetnootmarkering"/>
                </w:rPr>
                <w:footnoteReference w:id="34"/>
              </w:r>
              <w:r>
                <w:t xml:space="preserve"> Die aanvraag kan tot uiterlijk 31 december 2024 worden ingediend. </w:t>
              </w:r>
            </w:p>
            <w:p w:rsidR="00DD6A39" w:rsidP="00DD6A39" w:rsidRDefault="00C349B8"/>
            <w:p w:rsidR="00DD6A39" w:rsidP="00DD6A39" w:rsidRDefault="00C349B8">
              <w:r>
                <w:t>Uit de toelichting wordt niet duidelijk wat het referentiepunt is voor de “toepasselijke” grens van</w:t>
              </w:r>
              <w:r>
                <w:t xml:space="preserve"> 120% van het voor het huishouden toepasselijke minimuminkomensijkpunt. Worden de inkomens uit 2021 afgezet tegen het toepasselijke minimuminkomensijkpunt van 2023? In dat geval geldt de regeling voor een relatief grote groep. Indien het toepasselijke mini</w:t>
              </w:r>
              <w:r>
                <w:t>muminkomensijkpunt uit 2021 wordt gebruikt als maatstaf, geldt dat dan ook voor aanvragen van huurders die tot uiterlijk 31 december 2024 worden ingediend? Het is van belang dat hierover voor huurders en betrokkenen in de uitvoering geen misverstand kan on</w:t>
              </w:r>
              <w:r>
                <w:t xml:space="preserve">tstaan, temeer omdat met de huidige hoge inflatie en bijbehorende aanpassing van het minimuminkomensijkpunt dit ijkpunt per jaar sterk kan verschillen. </w:t>
              </w:r>
            </w:p>
            <w:p w:rsidR="00DD6A39" w:rsidP="00DD6A39" w:rsidRDefault="00C349B8"/>
            <w:p w:rsidR="0031089B" w:rsidP="00DD6A39" w:rsidRDefault="00C349B8">
              <w:r>
                <w:t>De Afdeling adviseert de toelichting op dit punt aan te vullen.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1C3F96" w:rsidRDefault="00C349B8">
              <w:r>
                <w:t xml:space="preserve">De Afdeling advisering van de Raad </w:t>
              </w:r>
              <w:r>
                <w:t>van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1C3F96"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7094" w:rsidRDefault="00C349B8" w:rsidP="005B3E03">
      <w:r>
        <w:separator/>
      </w:r>
    </w:p>
    <w:p w:rsidR="002D0ACF" w:rsidRDefault="00C349B8"/>
  </w:endnote>
  <w:endnote w:type="continuationSeparator" w:id="0">
    <w:p w:rsidR="00847094" w:rsidRDefault="00C349B8" w:rsidP="005B3E03">
      <w:r>
        <w:continuationSeparator/>
      </w:r>
    </w:p>
    <w:p w:rsidR="002D0ACF" w:rsidRDefault="00C34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ambri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7094" w:rsidRDefault="00C349B8" w:rsidP="005B3E03">
      <w:r>
        <w:separator/>
      </w:r>
    </w:p>
    <w:p w:rsidR="002D0ACF" w:rsidRDefault="00C349B8"/>
  </w:footnote>
  <w:footnote w:type="continuationSeparator" w:id="0">
    <w:p w:rsidR="00847094" w:rsidRDefault="00C349B8" w:rsidP="005B3E03">
      <w:r>
        <w:continuationSeparator/>
      </w:r>
    </w:p>
    <w:p w:rsidR="002D0ACF" w:rsidRDefault="00C349B8"/>
  </w:footnote>
  <w:footnote w:id="1">
    <w:p w:rsidR="00DD6A39" w:rsidRDefault="00C349B8" w:rsidP="00DD6A39">
      <w:pPr>
        <w:pStyle w:val="Voetnoottekst"/>
      </w:pPr>
      <w:r>
        <w:rPr>
          <w:rStyle w:val="Voetnootmarkering"/>
        </w:rPr>
        <w:footnoteRef/>
      </w:r>
      <w:r>
        <w:t xml:space="preserve"> </w:t>
      </w:r>
      <w:r>
        <w:tab/>
      </w:r>
      <w:r>
        <w:t>Van een sociale (huur)woning is kort gezegd sprake als het een zelfstandige woning betreft met een maximale kale huurprijs bij aanvang van de huur van</w:t>
      </w:r>
      <w:r w:rsidRPr="00827D32">
        <w:t xml:space="preserve"> € 763,47</w:t>
      </w:r>
      <w:r>
        <w:t xml:space="preserve"> (liberalisatiegrens 2022). Kamers, woonwagens en woonwagenstandplaatsen zijn altijd sociale (huu</w:t>
      </w:r>
      <w:r>
        <w:t xml:space="preserve">r)woningen. Deze woningen vormen samen de gereguleerde (huur)sector. </w:t>
      </w:r>
    </w:p>
  </w:footnote>
  <w:footnote w:id="2">
    <w:p w:rsidR="00DD6A39" w:rsidRDefault="00C349B8" w:rsidP="00DD6A39">
      <w:pPr>
        <w:pStyle w:val="Voetnoottekst"/>
      </w:pPr>
      <w:r>
        <w:rPr>
          <w:rStyle w:val="Voetnootmarkering"/>
        </w:rPr>
        <w:footnoteRef/>
      </w:r>
      <w:r>
        <w:t xml:space="preserve"> </w:t>
      </w:r>
      <w:r>
        <w:tab/>
        <w:t>Het minimum-inkomensijkpunt in 2022 is voor een eenpersoonshuishouden € 17.350, voor een meerpersoonshuishouden € 22.500, voor een eenpersoonsouderenhuishouden € 19.075 en voor een me</w:t>
      </w:r>
      <w:r>
        <w:t xml:space="preserve">erpersoonsouderenhuishouden € 25.450, zie Stcrt. 2021, 45645. </w:t>
      </w:r>
    </w:p>
  </w:footnote>
  <w:footnote w:id="3">
    <w:p w:rsidR="00DD6A39" w:rsidRDefault="00C349B8" w:rsidP="00DD6A39">
      <w:pPr>
        <w:pStyle w:val="Voetnoottekst"/>
      </w:pPr>
      <w:r>
        <w:rPr>
          <w:rStyle w:val="Voetnootmarkering"/>
        </w:rPr>
        <w:footnoteRef/>
      </w:r>
      <w:r>
        <w:t xml:space="preserve"> </w:t>
      </w:r>
      <w:r>
        <w:tab/>
        <w:t xml:space="preserve">Toelichting, paragraaf 3. </w:t>
      </w:r>
    </w:p>
  </w:footnote>
  <w:footnote w:id="4">
    <w:p w:rsidR="00DD6A39" w:rsidRDefault="00C349B8" w:rsidP="00DD6A39">
      <w:pPr>
        <w:pStyle w:val="Voetnoottekst"/>
      </w:pPr>
      <w:r>
        <w:rPr>
          <w:rStyle w:val="Voetnootmarkering"/>
        </w:rPr>
        <w:footnoteRef/>
      </w:r>
      <w:r>
        <w:t xml:space="preserve"> </w:t>
      </w:r>
      <w:r>
        <w:tab/>
        <w:t xml:space="preserve">Zie toelichting, paragraaf 5.2 voor een uitgebreide beschrijving van de stappen die de huurder en woningcorporatie in dat geval doorlopen. </w:t>
      </w:r>
    </w:p>
  </w:footnote>
  <w:footnote w:id="5">
    <w:p w:rsidR="00DD6A39" w:rsidRDefault="00C349B8" w:rsidP="00DD6A39">
      <w:pPr>
        <w:pStyle w:val="Voetnoottekst"/>
      </w:pPr>
      <w:r>
        <w:rPr>
          <w:rStyle w:val="Voetnootmarkering"/>
        </w:rPr>
        <w:footnoteRef/>
      </w:r>
      <w:r>
        <w:t xml:space="preserve"> </w:t>
      </w:r>
      <w:r>
        <w:tab/>
        <w:t>Kamerstukken II 2</w:t>
      </w:r>
      <w:r>
        <w:t xml:space="preserve">021/22, 29453, nr. 551. </w:t>
      </w:r>
    </w:p>
  </w:footnote>
  <w:footnote w:id="6">
    <w:p w:rsidR="00DD6A39" w:rsidRDefault="00C349B8" w:rsidP="00DD6A39">
      <w:pPr>
        <w:pStyle w:val="Voetnoottekst"/>
      </w:pPr>
      <w:r>
        <w:rPr>
          <w:rStyle w:val="Voetnootmarkering"/>
        </w:rPr>
        <w:footnoteRef/>
      </w:r>
      <w:r>
        <w:t xml:space="preserve"> </w:t>
      </w:r>
      <w:r>
        <w:tab/>
        <w:t xml:space="preserve">Kamerstukken II </w:t>
      </w:r>
      <w:r w:rsidRPr="00A4503F">
        <w:t>2022</w:t>
      </w:r>
      <w:r>
        <w:t>/</w:t>
      </w:r>
      <w:r w:rsidRPr="00A4503F">
        <w:t>23, 36200, nr. 1</w:t>
      </w:r>
      <w:r>
        <w:t xml:space="preserve"> (Miljoenennota 2023), p. 5 en 44-47. De inschatting van het Centraal Planbureau is dat mede door deze maatregele</w:t>
      </w:r>
      <w:r>
        <w:t>n voor huishoudens in het laagste inkomenskwintiel de mediane koopkracht, na een daling met 5.4% in 2022, in 2023 stijgt met 7.4%. Bij deze berekening is de maatregel van het energieplafond niet meegenomen. Zie Centraal Planbureau, Marco Economische Verken</w:t>
      </w:r>
      <w:r>
        <w:t xml:space="preserve">ning 2023, september 2022, p. 6-7. </w:t>
      </w:r>
    </w:p>
  </w:footnote>
  <w:footnote w:id="7">
    <w:p w:rsidR="00DD6A39" w:rsidRPr="00924AA4" w:rsidRDefault="00C349B8" w:rsidP="00DD6A39">
      <w:pPr>
        <w:pStyle w:val="Voetnoottekst"/>
      </w:pPr>
      <w:r>
        <w:rPr>
          <w:rStyle w:val="Voetnootmarkering"/>
        </w:rPr>
        <w:footnoteRef/>
      </w:r>
      <w:r>
        <w:t xml:space="preserve"> </w:t>
      </w:r>
      <w:r>
        <w:tab/>
        <w:t>Bij dure scheefwoners gaat het om huurders van woningen waarbij de huur te hoog is in verhouding tot het inkomen. Over de huurquote tussen verschillende soorten huurders wordt opgemerkt: “</w:t>
      </w:r>
      <w:r w:rsidRPr="007B4DFA">
        <w:t>De gemiddelde huurquote van h</w:t>
      </w:r>
      <w:r w:rsidRPr="007B4DFA">
        <w:t>uurders in het gereguleerde segment (23,3%) is beduidend lager dan de huurquote van huishoudens in het middenhuursegment (30,9%) en het dure segment (37,8%). In het gereguleerde segment is de huurquote in de afgelopen jaren iets gedaald. In de vrije sector</w:t>
      </w:r>
      <w:r w:rsidRPr="007B4DFA">
        <w:t xml:space="preserve"> zijn de huurquotes juist iets gestegen.</w:t>
      </w:r>
      <w:r>
        <w:t>” Zie Ministerie van Binnenlandse Zaken en Koninkrijksrelaties, Wonen langs de meetlat. Resultaten van het WoonOnderzoek Nederland 2021, juni 2022, p. 28, 31 en 107.</w:t>
      </w:r>
    </w:p>
  </w:footnote>
  <w:footnote w:id="8">
    <w:p w:rsidR="00DD6A39" w:rsidRDefault="00C349B8" w:rsidP="00DD6A39">
      <w:pPr>
        <w:pStyle w:val="Voetnoottekst"/>
      </w:pPr>
      <w:r>
        <w:rPr>
          <w:rStyle w:val="Voetnootmarkering"/>
        </w:rPr>
        <w:footnoteRef/>
      </w:r>
      <w:r>
        <w:t xml:space="preserve"> </w:t>
      </w:r>
      <w:r>
        <w:tab/>
        <w:t>Ministerie van Binnenlandse Zaken en Koninkrijk</w:t>
      </w:r>
      <w:r>
        <w:t>srelaties, Wonen langs de meetlat. Resultaten van het WoonOnderzoek Nederland 2021, juni 2022, p. 28, 31, 110.</w:t>
      </w:r>
    </w:p>
  </w:footnote>
  <w:footnote w:id="9">
    <w:p w:rsidR="00DD6A39" w:rsidRDefault="00C349B8" w:rsidP="00DD6A39">
      <w:pPr>
        <w:pStyle w:val="Voetnoottekst"/>
      </w:pPr>
      <w:r>
        <w:rPr>
          <w:rStyle w:val="Voetnootmarkering"/>
        </w:rPr>
        <w:footnoteRef/>
      </w:r>
      <w:r>
        <w:t xml:space="preserve"> </w:t>
      </w:r>
      <w:r>
        <w:tab/>
        <w:t>Zie voor de huurverlaging in 2021 het advies van de Raad van State van 7 september 2020 over het wetsvoorstel tot wijziging van de Wet maatreg</w:t>
      </w:r>
      <w:r>
        <w:t>elen woningmarkt 2014 II en de Woningwet (verplichte huurverlaging toegelaten instellingen) (Kamerstukken II 2020/21, 35578, nr. 4, punt 1. De permanente doorwerking van de huurverlaging in het onderhavige wetsvoorstel wordt vermeld in de toelichting, para</w:t>
      </w:r>
      <w:r>
        <w:t>graaf 3.</w:t>
      </w:r>
    </w:p>
  </w:footnote>
  <w:footnote w:id="10">
    <w:p w:rsidR="00DD6A39" w:rsidRDefault="00C349B8" w:rsidP="00DD6A39">
      <w:pPr>
        <w:pStyle w:val="Voetnoottekst"/>
      </w:pPr>
      <w:r>
        <w:rPr>
          <w:rStyle w:val="Voetnootmarkering"/>
        </w:rPr>
        <w:footnoteRef/>
      </w:r>
      <w:r>
        <w:t xml:space="preserve"> </w:t>
      </w:r>
      <w:r>
        <w:tab/>
        <w:t xml:space="preserve">Toelichting, paragraaf 2. </w:t>
      </w:r>
    </w:p>
  </w:footnote>
  <w:footnote w:id="11">
    <w:p w:rsidR="00DD6A39" w:rsidRDefault="00C349B8" w:rsidP="00DD6A39">
      <w:pPr>
        <w:pStyle w:val="Voetnoottekst"/>
      </w:pPr>
      <w:r>
        <w:rPr>
          <w:rStyle w:val="Voetnootmarkering"/>
        </w:rPr>
        <w:footnoteRef/>
      </w:r>
      <w:r>
        <w:t xml:space="preserve"> </w:t>
      </w:r>
      <w:r>
        <w:tab/>
      </w:r>
      <w:r w:rsidRPr="00716E13">
        <w:t xml:space="preserve">Nationale prestatieafspraken, p. </w:t>
      </w:r>
      <w:r>
        <w:t>10 (</w:t>
      </w:r>
      <w:r w:rsidRPr="00716E13">
        <w:t>Bijlage bij Kamerstukken II 2021/22, 29453/27826, nr. 551</w:t>
      </w:r>
      <w:r>
        <w:t>).</w:t>
      </w:r>
    </w:p>
  </w:footnote>
  <w:footnote w:id="12">
    <w:p w:rsidR="00DD6A39" w:rsidRDefault="00C349B8" w:rsidP="00DD6A39">
      <w:pPr>
        <w:pStyle w:val="Voetnoottekst"/>
      </w:pPr>
      <w:r>
        <w:rPr>
          <w:rStyle w:val="Voetnootmarkering"/>
        </w:rPr>
        <w:footnoteRef/>
      </w:r>
      <w:r>
        <w:t xml:space="preserve"> </w:t>
      </w:r>
      <w:r>
        <w:tab/>
        <w:t xml:space="preserve">Bijlage 1 bij </w:t>
      </w:r>
      <w:r w:rsidRPr="00716E13">
        <w:t>Nationale prestatieafspraken</w:t>
      </w:r>
      <w:r>
        <w:t xml:space="preserve"> (</w:t>
      </w:r>
      <w:r w:rsidRPr="00716E13">
        <w:t>Bijlage bij Kamerstukken II 2021/22, 29453/27826, nr. 551</w:t>
      </w:r>
      <w:r>
        <w:t>).</w:t>
      </w:r>
    </w:p>
  </w:footnote>
  <w:footnote w:id="13">
    <w:p w:rsidR="00DD6A39" w:rsidRDefault="00C349B8" w:rsidP="00DD6A39">
      <w:pPr>
        <w:pStyle w:val="Voetnoottekst"/>
      </w:pPr>
      <w:r>
        <w:rPr>
          <w:rStyle w:val="Voetnootmarkering"/>
        </w:rPr>
        <w:footnoteRef/>
      </w:r>
      <w:r>
        <w:t xml:space="preserve"> </w:t>
      </w:r>
      <w:r>
        <w:tab/>
        <w:t>Toelich</w:t>
      </w:r>
      <w:r>
        <w:t>ting, paragraaf 10.1.</w:t>
      </w:r>
    </w:p>
  </w:footnote>
  <w:footnote w:id="14">
    <w:p w:rsidR="00DD6A39" w:rsidRDefault="00C349B8" w:rsidP="00DD6A39">
      <w:pPr>
        <w:pStyle w:val="Voetnoottekst"/>
      </w:pPr>
      <w:r>
        <w:rPr>
          <w:rStyle w:val="Voetnootmarkering"/>
        </w:rPr>
        <w:footnoteRef/>
      </w:r>
      <w:r>
        <w:tab/>
        <w:t>Deze boodschap komt ook naar voren in meerdere reacties, waaronder die van de Woonbond en Stichting !Woon, in de internetconsultatie.</w:t>
      </w:r>
    </w:p>
  </w:footnote>
  <w:footnote w:id="15">
    <w:p w:rsidR="00DD6A39" w:rsidRDefault="00C349B8" w:rsidP="00DD6A39">
      <w:pPr>
        <w:pStyle w:val="Voetnoottekst"/>
      </w:pPr>
      <w:r>
        <w:rPr>
          <w:rStyle w:val="Voetnootmarkering"/>
        </w:rPr>
        <w:footnoteRef/>
      </w:r>
      <w:r>
        <w:t xml:space="preserve"> </w:t>
      </w:r>
      <w:r>
        <w:tab/>
        <w:t xml:space="preserve">Zo wordt onder meer aangegeven dat de woningcorporaties een wettelijke kerntaak hebben tot het </w:t>
      </w:r>
      <w:r>
        <w:t xml:space="preserve">bieden van betaalbare huisvesting, woningcorporaties het overgrote deel huisvesten van huurders met een laag inkomen en met de corporatiesector de eerdergenoemde prestatieafspraken zijn gemaakt. Toelichting, paragrafen 5.3 en 10.1.  </w:t>
      </w:r>
    </w:p>
  </w:footnote>
  <w:footnote w:id="16">
    <w:p w:rsidR="00DD6A39" w:rsidRDefault="00C349B8" w:rsidP="00DD6A39">
      <w:pPr>
        <w:pStyle w:val="Voetnoottekst"/>
      </w:pPr>
      <w:r>
        <w:rPr>
          <w:rStyle w:val="Voetnootmarkering"/>
        </w:rPr>
        <w:footnoteRef/>
      </w:r>
      <w:r>
        <w:t xml:space="preserve"> </w:t>
      </w:r>
      <w:r>
        <w:tab/>
        <w:t>Toelichting, paragr</w:t>
      </w:r>
      <w:r>
        <w:t>aaf 4.2.</w:t>
      </w:r>
    </w:p>
  </w:footnote>
  <w:footnote w:id="17">
    <w:p w:rsidR="00DD6A39" w:rsidRDefault="00C349B8" w:rsidP="00DD6A39">
      <w:pPr>
        <w:pStyle w:val="Voetnoottekst"/>
      </w:pPr>
      <w:r>
        <w:rPr>
          <w:rStyle w:val="Voetnootmarkering"/>
        </w:rPr>
        <w:footnoteRef/>
      </w:r>
      <w:r>
        <w:t xml:space="preserve"> </w:t>
      </w:r>
      <w:r>
        <w:tab/>
        <w:t xml:space="preserve">Toelichting, paragraaf 4.3. </w:t>
      </w:r>
    </w:p>
  </w:footnote>
  <w:footnote w:id="18">
    <w:p w:rsidR="00DD6A39" w:rsidRDefault="00C349B8" w:rsidP="00DD6A39">
      <w:pPr>
        <w:pStyle w:val="Voetnoottekst"/>
      </w:pPr>
      <w:r>
        <w:rPr>
          <w:rStyle w:val="Voetnootmarkering"/>
        </w:rPr>
        <w:footnoteRef/>
      </w:r>
      <w:r>
        <w:t xml:space="preserve"> </w:t>
      </w:r>
      <w:r>
        <w:tab/>
        <w:t xml:space="preserve">Artikelen 56 tot en met 66 van het </w:t>
      </w:r>
      <w:r w:rsidRPr="00AF0ED0">
        <w:t>Verdrag betreffende de werking van de Europese Unie</w:t>
      </w:r>
      <w:r>
        <w:t>.</w:t>
      </w:r>
    </w:p>
  </w:footnote>
  <w:footnote w:id="19">
    <w:p w:rsidR="00DD6A39" w:rsidRDefault="00C349B8" w:rsidP="00DD6A39">
      <w:pPr>
        <w:pStyle w:val="Voetnoottekst"/>
      </w:pPr>
      <w:r>
        <w:rPr>
          <w:rStyle w:val="Voetnootmarkering"/>
        </w:rPr>
        <w:footnoteRef/>
      </w:r>
      <w:r>
        <w:t xml:space="preserve"> </w:t>
      </w:r>
      <w:r>
        <w:tab/>
      </w:r>
      <w:r w:rsidRPr="00FA1A6B">
        <w:t xml:space="preserve">Zie bijvoorbeeld het arrest van het Hof van Justitie EU 1 oktober 2009, C-567/07, ECLI:EU:C:2009:593, punt 19 e.v., </w:t>
      </w:r>
      <w:r w:rsidRPr="00FA1A6B">
        <w:t>waarin is geoordeeld dat sprake kan zijn van een belemmering van het kapitaalverkeer ingeval een woningcorporaties beperkingen wordt opgelegd.</w:t>
      </w:r>
      <w:r w:rsidRPr="008B23C9">
        <w:rPr>
          <w:sz w:val="20"/>
        </w:rPr>
        <w:t xml:space="preserve"> </w:t>
      </w:r>
    </w:p>
  </w:footnote>
  <w:footnote w:id="20">
    <w:p w:rsidR="00DD6A39" w:rsidRDefault="00C349B8" w:rsidP="00DD6A39">
      <w:pPr>
        <w:pStyle w:val="Voetnoottekst"/>
      </w:pPr>
      <w:r>
        <w:rPr>
          <w:rStyle w:val="Voetnootmarkering"/>
        </w:rPr>
        <w:footnoteRef/>
      </w:r>
      <w:r>
        <w:t xml:space="preserve"> </w:t>
      </w:r>
      <w:r>
        <w:tab/>
        <w:t xml:space="preserve">Dit is vaste rechtspraak, zie </w:t>
      </w:r>
      <w:r w:rsidRPr="008B23C9">
        <w:t>Hof van Justitie EU 1 oktober 2009, C-567/07, ECLI:EU:C:2009:593,</w:t>
      </w:r>
      <w:r>
        <w:t xml:space="preserve"> punt</w:t>
      </w:r>
      <w:r w:rsidRPr="008B23C9">
        <w:t xml:space="preserve"> </w:t>
      </w:r>
      <w:r>
        <w:t>25.</w:t>
      </w:r>
    </w:p>
  </w:footnote>
  <w:footnote w:id="21">
    <w:p w:rsidR="00DD6A39" w:rsidRDefault="00C349B8" w:rsidP="00DD6A39">
      <w:pPr>
        <w:pStyle w:val="Voetnoottekst"/>
      </w:pPr>
      <w:r>
        <w:rPr>
          <w:rStyle w:val="Voetnootmarkering"/>
        </w:rPr>
        <w:footnoteRef/>
      </w:r>
      <w:r>
        <w:t xml:space="preserve"> </w:t>
      </w:r>
      <w:r>
        <w:tab/>
        <w:t>Z</w:t>
      </w:r>
      <w:r>
        <w:t xml:space="preserve">ie Aanwijzingen 2.3, onderdelen d en e, en 4.43, onderdeel b, van de Aanwijzingen voor de regelgeving, die oproepen om ook alternatieven te onderzoeken. </w:t>
      </w:r>
    </w:p>
  </w:footnote>
  <w:footnote w:id="22">
    <w:p w:rsidR="00DD6A39" w:rsidRDefault="00C349B8" w:rsidP="00DD6A39">
      <w:pPr>
        <w:pStyle w:val="Voetnoottekst"/>
      </w:pPr>
      <w:r>
        <w:rPr>
          <w:rStyle w:val="Voetnootmarkering"/>
        </w:rPr>
        <w:footnoteRef/>
      </w:r>
      <w:r>
        <w:t xml:space="preserve"> </w:t>
      </w:r>
      <w:r>
        <w:tab/>
        <w:t>Kamerstukken I 2020/21, 35578, nr. G. Deze motie verzoekt de regering te onderzoeken of en op welke</w:t>
      </w:r>
      <w:r>
        <w:t xml:space="preserve"> wijze huurders die buiten de eenmalige huurverlagingswet voor corporatiehuurwoningen vallen, maar in een vergelijkbare situatie verkeren, tegemoetgekomen kunnen worden. Deze motie is opgevolgd door een verzoek van de Eerste Kamer op 3 november 2021 om als</w:t>
      </w:r>
      <w:r>
        <w:t xml:space="preserve">nog inhoudelijk uitwerking te geven aan deze motie, </w:t>
      </w:r>
    </w:p>
  </w:footnote>
  <w:footnote w:id="23">
    <w:p w:rsidR="00DD6A39" w:rsidRDefault="00C349B8" w:rsidP="00DD6A39">
      <w:pPr>
        <w:pStyle w:val="Voetnoottekst"/>
      </w:pPr>
      <w:r>
        <w:rPr>
          <w:rStyle w:val="Voetnootmarkering"/>
        </w:rPr>
        <w:footnoteRef/>
      </w:r>
      <w:r>
        <w:t xml:space="preserve"> </w:t>
      </w:r>
      <w:r>
        <w:tab/>
        <w:t xml:space="preserve">Kamerstukken II </w:t>
      </w:r>
      <w:r w:rsidRPr="004F6963">
        <w:t>1996</w:t>
      </w:r>
      <w:r>
        <w:t>/9</w:t>
      </w:r>
      <w:r w:rsidRPr="004F6963">
        <w:t>7, 25090, nr. 3</w:t>
      </w:r>
      <w:r>
        <w:t xml:space="preserve">, p. 2. Vroeger werd dit aangeduid als “huursubsidie”. </w:t>
      </w:r>
    </w:p>
  </w:footnote>
  <w:footnote w:id="24">
    <w:p w:rsidR="00DD6A39" w:rsidRDefault="00C349B8" w:rsidP="00DD6A39">
      <w:pPr>
        <w:pStyle w:val="Voetnoottekst"/>
      </w:pPr>
      <w:r>
        <w:rPr>
          <w:rStyle w:val="Voetnootmarkering"/>
        </w:rPr>
        <w:footnoteRef/>
      </w:r>
      <w:r>
        <w:t xml:space="preserve"> </w:t>
      </w:r>
      <w:r>
        <w:tab/>
      </w:r>
      <w:r w:rsidRPr="000770D2">
        <w:t>Mogelijke aanpassingen van de hoogte van de huurtoeslag voor een gerichte ondersteuning van de doelgroep</w:t>
      </w:r>
      <w:r w:rsidRPr="000770D2">
        <w:t xml:space="preserve"> zullen leiden tot een wijziging van de Wet op de huurtoeslag. Momenteel ligt ter advisering bij de Afdeling een wetsvoorstel voor dat de huurtoeslag hervormt. Eventuele opmerkingen van de Afdeling over de verhouding tussen onderwerpen van het onderhavige </w:t>
      </w:r>
      <w:r w:rsidRPr="000770D2">
        <w:t xml:space="preserve">wetsvoorstel en dat wetsvoorstel zullen in dat advies worden gemaakt. </w:t>
      </w:r>
    </w:p>
  </w:footnote>
  <w:footnote w:id="25">
    <w:p w:rsidR="00DD6A39" w:rsidRDefault="00C349B8" w:rsidP="00DD6A39">
      <w:pPr>
        <w:pStyle w:val="Voetnoottekst"/>
      </w:pPr>
      <w:r>
        <w:rPr>
          <w:rStyle w:val="Voetnootmarkering"/>
        </w:rPr>
        <w:footnoteRef/>
      </w:r>
      <w:r>
        <w:t xml:space="preserve"> </w:t>
      </w:r>
      <w:r>
        <w:tab/>
        <w:t>Een verlaging van de huur leidt immers tot een verlaging van de huurtoeslag, toelichting paragraaf 7.1.</w:t>
      </w:r>
    </w:p>
  </w:footnote>
  <w:footnote w:id="26">
    <w:p w:rsidR="00DD6A39" w:rsidRDefault="00C349B8" w:rsidP="00DD6A39">
      <w:pPr>
        <w:pStyle w:val="Voetnoottekst"/>
      </w:pPr>
      <w:r>
        <w:rPr>
          <w:rStyle w:val="Voetnootmarkering"/>
        </w:rPr>
        <w:footnoteRef/>
      </w:r>
      <w:r>
        <w:t xml:space="preserve"> </w:t>
      </w:r>
      <w:r>
        <w:tab/>
        <w:t>Toelichting, paragraaf 7.2. Onduidelijk is waarom dit prijspeil in de toeli</w:t>
      </w:r>
      <w:r>
        <w:t>chting, in tegenstelling tot de doelhuurprijs, niet is geactualiseerd naar 2022 of, indien dat nog niet mogelijk is, 2021. Ook wordt niet in de toelichting vermeld dat dit verminderde huurinkomsten per jaar betreffen, hetgeen wel is vermeld in bijlage 1 bi</w:t>
      </w:r>
      <w:r>
        <w:t xml:space="preserve">j de </w:t>
      </w:r>
      <w:r w:rsidRPr="00716E13">
        <w:t>Nationale prestatieafspraken</w:t>
      </w:r>
      <w:r>
        <w:t xml:space="preserve"> (</w:t>
      </w:r>
      <w:r w:rsidRPr="00716E13">
        <w:t>Bijlage bij Kamerstukken II 2021/22, 29453/27826, nr. 551</w:t>
      </w:r>
      <w:r>
        <w:t>). De daling van de totale huursom per jaar met € 355 miljoen komt bovenop de voor 2023 tot en met 2025 gemaakte prestatieafspraken gericht op een lagere huurprijss</w:t>
      </w:r>
      <w:r>
        <w:t xml:space="preserve">tijging bij woningcorporaties dan de CAO-loonontwikkeling, hetgeen de woningcorporaties circa € 975 miljoen per jaar kost. </w:t>
      </w:r>
    </w:p>
  </w:footnote>
  <w:footnote w:id="27">
    <w:p w:rsidR="00DD6A39" w:rsidRDefault="00C349B8" w:rsidP="00DD6A39">
      <w:pPr>
        <w:pStyle w:val="Voetnoottekst"/>
      </w:pPr>
      <w:r>
        <w:rPr>
          <w:rStyle w:val="Voetnootmarkering"/>
        </w:rPr>
        <w:footnoteRef/>
      </w:r>
      <w:r>
        <w:tab/>
        <w:t>Toelichting, paragraaf 2, 3, 4.1 en 7.2</w:t>
      </w:r>
    </w:p>
  </w:footnote>
  <w:footnote w:id="28">
    <w:p w:rsidR="00DD6A39" w:rsidRDefault="00C349B8" w:rsidP="00DD6A39">
      <w:pPr>
        <w:pStyle w:val="Voetnoottekst"/>
      </w:pPr>
      <w:r>
        <w:rPr>
          <w:rStyle w:val="Voetnootmarkering"/>
        </w:rPr>
        <w:footnoteRef/>
      </w:r>
      <w:r>
        <w:t xml:space="preserve"> </w:t>
      </w:r>
      <w:r>
        <w:tab/>
      </w:r>
      <w:r w:rsidRPr="00716E13">
        <w:t>Nationale prestatieafspraken</w:t>
      </w:r>
      <w:r>
        <w:t>, p. 11 (</w:t>
      </w:r>
      <w:r w:rsidRPr="00716E13">
        <w:t xml:space="preserve">Bijlage bij Kamerstukken II 2021/22, 29453/27826, </w:t>
      </w:r>
      <w:r w:rsidRPr="00716E13">
        <w:t>nr. 551</w:t>
      </w:r>
      <w:r>
        <w:t>).</w:t>
      </w:r>
    </w:p>
  </w:footnote>
  <w:footnote w:id="29">
    <w:p w:rsidR="00DD6A39" w:rsidRDefault="00C349B8" w:rsidP="00DD6A39">
      <w:pPr>
        <w:pStyle w:val="Voetnoottekst"/>
      </w:pPr>
      <w:r>
        <w:rPr>
          <w:rStyle w:val="Voetnootmarkering"/>
        </w:rPr>
        <w:footnoteRef/>
      </w:r>
      <w:r>
        <w:t xml:space="preserve"> </w:t>
      </w:r>
      <w:r>
        <w:tab/>
        <w:t xml:space="preserve">Toelichting, paragraaf 10.1. </w:t>
      </w:r>
    </w:p>
  </w:footnote>
  <w:footnote w:id="30">
    <w:p w:rsidR="00DD6A39" w:rsidRDefault="00C349B8" w:rsidP="00DD6A39">
      <w:pPr>
        <w:pStyle w:val="Voetnoottekst"/>
      </w:pPr>
      <w:r>
        <w:rPr>
          <w:rStyle w:val="Voetnootmarkering"/>
        </w:rPr>
        <w:footnoteRef/>
      </w:r>
      <w:r>
        <w:t xml:space="preserve"> </w:t>
      </w:r>
      <w:r>
        <w:tab/>
        <w:t xml:space="preserve">Toelichting, paragraaf 5.2. </w:t>
      </w:r>
    </w:p>
  </w:footnote>
  <w:footnote w:id="31">
    <w:p w:rsidR="00DD6A39" w:rsidRDefault="00C349B8" w:rsidP="00DD6A39">
      <w:pPr>
        <w:pStyle w:val="Voetnoottekst"/>
      </w:pPr>
      <w:r>
        <w:rPr>
          <w:rStyle w:val="Voetnootmarkering"/>
        </w:rPr>
        <w:footnoteRef/>
      </w:r>
      <w:r>
        <w:t xml:space="preserve"> </w:t>
      </w:r>
      <w:r>
        <w:tab/>
        <w:t>Zie ook het advies van de Raad van State van 7 september 2020 over het wetsvoorstel tot wijziging van de Wet maatregelen woningmarkt 2014 II en de Woningwet (verplichte huurverla</w:t>
      </w:r>
      <w:r>
        <w:t>ging toegelaten instellingen) (</w:t>
      </w:r>
      <w:r w:rsidRPr="001C764F">
        <w:t>W04.20.0292/I</w:t>
      </w:r>
      <w:r>
        <w:t>), punt 2.</w:t>
      </w:r>
    </w:p>
  </w:footnote>
  <w:footnote w:id="32">
    <w:p w:rsidR="00DD6A39" w:rsidRDefault="00C349B8" w:rsidP="00DD6A39">
      <w:pPr>
        <w:pStyle w:val="Voetnoottekst"/>
      </w:pPr>
      <w:r>
        <w:rPr>
          <w:rStyle w:val="Voetnootmarkering"/>
        </w:rPr>
        <w:footnoteRef/>
      </w:r>
      <w:r>
        <w:t xml:space="preserve"> </w:t>
      </w:r>
      <w:r>
        <w:tab/>
        <w:t>Toelichting, paragraaf 5.2.</w:t>
      </w:r>
    </w:p>
  </w:footnote>
  <w:footnote w:id="33">
    <w:p w:rsidR="00DD6A39" w:rsidRDefault="00C349B8" w:rsidP="00DD6A39">
      <w:pPr>
        <w:pStyle w:val="Voetnoottekst"/>
      </w:pPr>
      <w:r>
        <w:rPr>
          <w:rStyle w:val="Voetnootmarkering"/>
        </w:rPr>
        <w:footnoteRef/>
      </w:r>
      <w:r>
        <w:t xml:space="preserve"> </w:t>
      </w:r>
      <w:r>
        <w:tab/>
        <w:t xml:space="preserve">Minimuminkomensijkpunt als bedoeld in artikel 17 van de Wet op de huurtoeslag. </w:t>
      </w:r>
    </w:p>
  </w:footnote>
  <w:footnote w:id="34">
    <w:p w:rsidR="00DD6A39" w:rsidRDefault="00C349B8" w:rsidP="00DD6A39">
      <w:pPr>
        <w:pStyle w:val="Voetnoottekst"/>
      </w:pPr>
      <w:r>
        <w:rPr>
          <w:rStyle w:val="Voetnootmarkering"/>
        </w:rPr>
        <w:footnoteRef/>
      </w:r>
      <w:r>
        <w:tab/>
        <w:t>In dat geval dient de huurder aan te tonen dat het gezamenlijk bruto-inkomen van zijn</w:t>
      </w:r>
      <w:r>
        <w:t xml:space="preserve"> huishouden gedurende de laatste zes maanden voorafgaand aan het verzoek ten hoogste 60% (de helft van 120%) van het voor het huishouden toepasselijke minimuminkomensijkpunt van de huurtoeslag bedroeg, zie voorgesteld artikel 54a, vierde lid, van de Woning</w:t>
      </w:r>
      <w:r>
        <w:t>wet.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11001"/>
    <w:multiLevelType w:val="hybridMultilevel"/>
    <w:tmpl w:val="5448C7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BF4EA3"/>
    <w:multiLevelType w:val="hybridMultilevel"/>
    <w:tmpl w:val="37004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1C3F96"/>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349AF"/>
    <w:rsid w:val="00AA44F3"/>
    <w:rsid w:val="00B03C96"/>
    <w:rsid w:val="00B44919"/>
    <w:rsid w:val="00C02F92"/>
    <w:rsid w:val="00C349B8"/>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079D08C-A3A9-4A2A-BBF0-CC584F3E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Kop3">
    <w:name w:val="heading 3"/>
    <w:basedOn w:val="Standaard"/>
    <w:next w:val="Standaard"/>
    <w:link w:val="Kop3Char"/>
    <w:semiHidden/>
    <w:unhideWhenUsed/>
    <w:qFormat/>
    <w:rsid w:val="00477CFE"/>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4F6963"/>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243AC7"/>
    <w:rPr>
      <w:sz w:val="16"/>
      <w:szCs w:val="16"/>
    </w:rPr>
  </w:style>
  <w:style w:type="paragraph" w:styleId="Tekstopmerking">
    <w:name w:val="annotation text"/>
    <w:basedOn w:val="Standaard"/>
    <w:link w:val="TekstopmerkingChar"/>
    <w:semiHidden/>
    <w:unhideWhenUsed/>
    <w:rsid w:val="00243AC7"/>
    <w:rPr>
      <w:sz w:val="20"/>
      <w:szCs w:val="20"/>
    </w:rPr>
  </w:style>
  <w:style w:type="character" w:customStyle="1" w:styleId="TekstopmerkingChar">
    <w:name w:val="Tekst opmerking Char"/>
    <w:basedOn w:val="Standaardalinea-lettertype"/>
    <w:link w:val="Tekstopmerking"/>
    <w:semiHidden/>
    <w:rsid w:val="00243AC7"/>
    <w:rPr>
      <w:rFonts w:ascii="Univers" w:hAnsi="Univers"/>
    </w:rPr>
  </w:style>
  <w:style w:type="paragraph" w:styleId="Onderwerpvanopmerking">
    <w:name w:val="annotation subject"/>
    <w:basedOn w:val="Tekstopmerking"/>
    <w:next w:val="Tekstopmerking"/>
    <w:link w:val="OnderwerpvanopmerkingChar"/>
    <w:semiHidden/>
    <w:unhideWhenUsed/>
    <w:rsid w:val="00243AC7"/>
    <w:rPr>
      <w:b/>
      <w:bCs/>
    </w:rPr>
  </w:style>
  <w:style w:type="character" w:customStyle="1" w:styleId="OnderwerpvanopmerkingChar">
    <w:name w:val="Onderwerp van opmerking Char"/>
    <w:basedOn w:val="TekstopmerkingChar"/>
    <w:link w:val="Onderwerpvanopmerking"/>
    <w:semiHidden/>
    <w:rsid w:val="00243AC7"/>
    <w:rPr>
      <w:rFonts w:ascii="Univers" w:hAnsi="Univers"/>
      <w:b/>
      <w:bCs/>
    </w:rPr>
  </w:style>
  <w:style w:type="character" w:customStyle="1" w:styleId="Kop3Char">
    <w:name w:val="Kop 3 Char"/>
    <w:basedOn w:val="Standaardalinea-lettertype"/>
    <w:link w:val="Kop3"/>
    <w:semiHidden/>
    <w:rsid w:val="00477CF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ambri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3575</ap:Words>
  <ap:Characters>19663</ap:Characters>
  <ap:DocSecurity>4</ap:DocSecurity>
  <ap:Lines>163</ap:Lines>
  <ap:Paragraphs>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23192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2022-11-03T09:17:00.0000000Z</dcterms:created>
  <dcterms:modified xsi:type="dcterms:W3CDTF">2022-11-03T09:17:00.0000000Z</dcterms:modified>
  <dc:description>------------------------</dc:description>
  <dc:subject/>
  <dc:title/>
  <keywords/>
  <version/>
  <category/>
</coreProperties>
</file>