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55CE3" w:rsidTr="00F55D39" w14:paraId="12A54050" w14:textId="77777777">
        <w:bookmarkStart w:name="_GoBack" w:displacedByCustomXml="next" w:id="0"/>
        <w:bookmarkEnd w:displacedByCustomXml="next" w:id="0"/>
        <w:sdt>
          <w:sdtPr>
            <w:tag w:val="bmZaakNummerAdvies"/>
            <w:id w:val="-1910382213"/>
            <w:lock w:val="sdtLocked"/>
            <w:placeholder>
              <w:docPart w:val="DefaultPlaceholder_-1854013440"/>
            </w:placeholder>
          </w:sdtPr>
          <w:sdtEndPr/>
          <w:sdtContent>
            <w:tc>
              <w:tcPr>
                <w:tcW w:w="4251" w:type="dxa"/>
              </w:tcPr>
              <w:p w:rsidR="00155CE3" w:rsidRDefault="00BE1F4C" w14:paraId="5DD4E5E0" w14:textId="46ED6427">
                <w:r>
                  <w:t>No. W16.22.00210/II</w:t>
                </w:r>
              </w:p>
            </w:tc>
          </w:sdtContent>
        </w:sdt>
        <w:sdt>
          <w:sdtPr>
            <w:tag w:val="bmDatumAdvies"/>
            <w:id w:val="965319151"/>
            <w:lock w:val="sdtLocked"/>
            <w:placeholder>
              <w:docPart w:val="DefaultPlaceholder_-1854013440"/>
            </w:placeholder>
          </w:sdtPr>
          <w:sdtEndPr/>
          <w:sdtContent>
            <w:tc>
              <w:tcPr>
                <w:tcW w:w="4252" w:type="dxa"/>
              </w:tcPr>
              <w:p w:rsidR="00155CE3" w:rsidRDefault="00BE1F4C" w14:paraId="4B839984" w14:textId="4F42A35C">
                <w:r>
                  <w:t>'s-Gravenhage, 2 februari 2023</w:t>
                </w:r>
              </w:p>
            </w:tc>
          </w:sdtContent>
        </w:sdt>
      </w:tr>
    </w:tbl>
    <w:p w:rsidR="006610D2" w:rsidRDefault="006610D2" w14:paraId="3CEE049F" w14:textId="77777777"/>
    <w:p w:rsidR="00E876E7" w:rsidRDefault="00E876E7" w14:paraId="1DA02333" w14:textId="77777777"/>
    <w:p w:rsidR="00B47CA6" w:rsidRDefault="00DC4427" w14:paraId="53B47A0E" w14:textId="2DB587BB">
      <w:sdt>
        <w:sdtPr>
          <w:tag w:val="bmAanhef"/>
          <w:id w:val="-1889248692"/>
          <w:lock w:val="sdtLocked"/>
          <w:placeholder>
            <w:docPart w:val="DefaultPlaceholder_-1854013440"/>
          </w:placeholder>
        </w:sdtPr>
        <w:sdtEndPr/>
        <w:sdtContent>
          <w:r w:rsidR="00BE1F4C">
            <w:rPr>
              <w:color w:val="000000"/>
            </w:rPr>
            <w:t>Bij Kabinetsmissive van 20 december 2022, no.2022002873, heeft Uwe Majesteit, op voordracht van de Staatssecretaris van Justitie en Veiligheid, bij de Afdeling advisering van de Raad van State ter overweging aanhangig gemaakt het voorstel van wet tot houdende regels inzake een wettelijke taak van gemeenten om opvangvoorzieningen voor asielzoekers mogelijk te maken (Wet gemeentelijke taak mogelijk maken asielopvangvoorzieningen), met memorie van toelichting.</w:t>
          </w:r>
        </w:sdtContent>
      </w:sdt>
    </w:p>
    <w:p w:rsidR="00B47CA6" w:rsidRDefault="00B47CA6" w14:paraId="53B47A0F" w14:textId="77777777"/>
    <w:sdt>
      <w:sdtPr>
        <w:tag w:val="bmVrijeTekst1"/>
        <w:id w:val="166219582"/>
        <w:lock w:val="sdtLocked"/>
        <w:placeholder>
          <w:docPart w:val="9D186FD14F214ECF88BBD5596E17EE97"/>
        </w:placeholder>
      </w:sdtPr>
      <w:sdtEndPr/>
      <w:sdtContent>
        <w:sdt>
          <w:sdtPr>
            <w:tag w:val="bmVrijeTekst1"/>
            <w:id w:val="651499366"/>
            <w:placeholder>
              <w:docPart w:val="D541B0827FE349EA9146C04558A937A9"/>
            </w:placeholder>
          </w:sdtPr>
          <w:sdtEndPr/>
          <w:sdtContent>
            <w:p w:rsidR="002F46AE" w:rsidP="002F46AE" w:rsidRDefault="002F46AE" w14:paraId="78FB7AB0" w14:textId="1077E157">
              <w:r>
                <w:t xml:space="preserve">Met dit wetsvoorstel </w:t>
              </w:r>
              <w:r w:rsidRPr="00A227B4">
                <w:t>wil</w:t>
              </w:r>
              <w:r>
                <w:t xml:space="preserve"> de regering</w:t>
              </w:r>
              <w:r w:rsidRPr="00A227B4">
                <w:t xml:space="preserve"> verandering brengen in de situatie dat het </w:t>
              </w:r>
              <w:r w:rsidRPr="00297730" w:rsidR="00297730">
                <w:t>Centraal orgaan opvang Asielzoeker</w:t>
              </w:r>
              <w:r w:rsidR="00297730">
                <w:t xml:space="preserve"> (</w:t>
              </w:r>
              <w:r w:rsidRPr="00A227B4">
                <w:t>COA</w:t>
              </w:r>
              <w:r w:rsidR="00297730">
                <w:t>)</w:t>
              </w:r>
              <w:r w:rsidRPr="00A227B4">
                <w:t xml:space="preserve"> afhankelijk is </w:t>
              </w:r>
              <w:r>
                <w:t xml:space="preserve">van de </w:t>
              </w:r>
              <w:r w:rsidRPr="00A227B4">
                <w:t xml:space="preserve">vrijwillige medewerking van gemeenten bij het realiseren van asielopvang. </w:t>
              </w:r>
              <w:r>
                <w:t xml:space="preserve">Het introduceert daartoe een (structurele) wettelijke taak voor gemeenten om asielopvangvoorzieningen te bieden. Het voorstel </w:t>
              </w:r>
              <w:r w:rsidRPr="00A227B4">
                <w:t xml:space="preserve">beoogt </w:t>
              </w:r>
              <w:r>
                <w:t xml:space="preserve">langs deze weg </w:t>
              </w:r>
              <w:r w:rsidRPr="00A227B4">
                <w:t xml:space="preserve">te komen tot een </w:t>
              </w:r>
              <w:r w:rsidR="009975CE">
                <w:t xml:space="preserve">stabiel en robuust stelsel en een </w:t>
              </w:r>
              <w:r w:rsidRPr="00A227B4">
                <w:t xml:space="preserve">evenwichtigere verdeling van asielzoekers over </w:t>
              </w:r>
              <w:r>
                <w:t xml:space="preserve">alle </w:t>
              </w:r>
              <w:r w:rsidRPr="00A227B4">
                <w:t>gemeenten.</w:t>
              </w:r>
              <w:r>
                <w:t xml:space="preserve"> </w:t>
              </w:r>
            </w:p>
            <w:p w:rsidR="002F46AE" w:rsidP="002F46AE" w:rsidRDefault="002F46AE" w14:paraId="629EAD91" w14:textId="77777777"/>
            <w:p w:rsidR="002F46AE" w:rsidP="002F46AE" w:rsidRDefault="002F46AE" w14:paraId="7C7588C9" w14:textId="2DCBAEC4">
              <w:r>
                <w:t xml:space="preserve">Hiertoe creëert het voorstel een </w:t>
              </w:r>
              <w:r w:rsidR="00D21457">
                <w:t xml:space="preserve">op een eerste ministeriële raming volgende </w:t>
              </w:r>
              <w:r>
                <w:t xml:space="preserve">verdelingsprocedure op provinciaal niveau, onder leiding van de </w:t>
              </w:r>
              <w:r w:rsidR="00BA5EE5">
                <w:t>C</w:t>
              </w:r>
              <w:r>
                <w:t xml:space="preserve">ommissaris van de Koning als rijksorgaan. Dit wordt gevolgd door een vaststellingsbesluit van de Minister van Justitie en Veiligheid </w:t>
              </w:r>
              <w:r w:rsidR="009D2C6D">
                <w:t xml:space="preserve">(hierna: de minister) </w:t>
              </w:r>
              <w:r>
                <w:t xml:space="preserve">waarin de gemeenten zijn opgenomen op wie de taak rust daadwerkelijk te voorzien in opvanglocaties. Gemeenten die vrijwillig opvangplaatsen beschikbaar stellen die langer dan vijf jaar beschikbaar zijn, kunnen, naast de reguliere kostenvergoeding, een financiële beloning verkrijgen. </w:t>
              </w:r>
            </w:p>
            <w:p w:rsidR="007F42AC" w:rsidP="007F42AC" w:rsidRDefault="007F42AC" w14:paraId="440D838D" w14:textId="77777777"/>
            <w:p w:rsidRPr="00A227B4" w:rsidR="007F42AC" w:rsidP="007F42AC" w:rsidRDefault="007F42AC" w14:paraId="557C8DDD" w14:textId="79FC6AEB">
              <w:r w:rsidRPr="00A227B4">
                <w:t xml:space="preserve">Het </w:t>
              </w:r>
              <w:r w:rsidR="00073A17">
                <w:t>wets</w:t>
              </w:r>
              <w:r w:rsidRPr="00A227B4">
                <w:t xml:space="preserve">voorstel kan, zo betoogt de toelichting, niet los gezien worden van de huidige crisis in de asielopvang. </w:t>
              </w:r>
              <w:r>
                <w:t xml:space="preserve">De regering streeft </w:t>
              </w:r>
              <w:r w:rsidRPr="00A227B4">
                <w:t>daarom</w:t>
              </w:r>
              <w:r>
                <w:t xml:space="preserve"> spoedige inwerkingtreding van het voorstel na. Het voorstel is met verkorte termijnen voorbereid</w:t>
              </w:r>
              <w:r w:rsidDel="0052198D">
                <w:t xml:space="preserve"> en is ook met een verzoek om spoedadvies aan de Afdeling advisering van de Raad van State voorgelegd</w:t>
              </w:r>
              <w:r>
                <w:t xml:space="preserve">. </w:t>
              </w:r>
              <w:r w:rsidRPr="00A227B4">
                <w:t>Tegelijkertijd moet nog veel worden uitgewerkt</w:t>
              </w:r>
              <w:r w:rsidR="00842EE9">
                <w:t xml:space="preserve"> in</w:t>
              </w:r>
              <w:r w:rsidRPr="00A227B4">
                <w:t xml:space="preserve"> </w:t>
              </w:r>
              <w:r>
                <w:t>lagere regelgeving</w:t>
              </w:r>
              <w:r w:rsidRPr="00A227B4" w:rsidR="002F46AE">
                <w:t>.</w:t>
              </w:r>
              <w:r w:rsidRPr="00A227B4">
                <w:t xml:space="preserve"> </w:t>
              </w:r>
              <w:r>
                <w:t xml:space="preserve">De regering streeft ernaar gelijktijdig met de indiening van het voorstel aan de Tweede Kamer, </w:t>
              </w:r>
              <w:r w:rsidR="00842EE9">
                <w:t>daartoe een algemene maatregel van bestuur</w:t>
              </w:r>
              <w:r w:rsidR="002F46AE">
                <w:t xml:space="preserve"> in consultatie te geven. </w:t>
              </w:r>
            </w:p>
            <w:p w:rsidR="00A11E83" w:rsidP="007F42AC" w:rsidRDefault="00A11E83" w14:paraId="265B48BA" w14:textId="77777777"/>
            <w:p w:rsidR="00AD2916" w:rsidP="00A11E83" w:rsidRDefault="00AD2916" w14:paraId="215D532C" w14:textId="38B08846">
              <w:r>
                <w:t xml:space="preserve">Met de regering en veel geconsulteerde partijen onderschrijft de Afdeling de noodzaak om </w:t>
              </w:r>
              <w:r w:rsidRPr="00A227B4">
                <w:t xml:space="preserve">te komen tot een </w:t>
              </w:r>
              <w:r>
                <w:t>effectief, robuust en duurzaam</w:t>
              </w:r>
              <w:r w:rsidRPr="00A227B4">
                <w:t xml:space="preserve"> wettelijk stelsel waarmee kan worden voorzien in </w:t>
              </w:r>
              <w:r>
                <w:t xml:space="preserve">een eerlijkere en evenwichtigere verdeling van </w:t>
              </w:r>
              <w:r w:rsidRPr="00A227B4">
                <w:t xml:space="preserve">asielzoekers. </w:t>
              </w:r>
              <w:r w:rsidR="00CB131A">
                <w:t>H</w:t>
              </w:r>
              <w:r w:rsidR="004D5C89">
                <w:t xml:space="preserve">et </w:t>
              </w:r>
              <w:r w:rsidR="00CB131A">
                <w:t xml:space="preserve">is </w:t>
              </w:r>
              <w:r w:rsidR="004D5C89">
                <w:t xml:space="preserve">dan ook positief dat de regering </w:t>
              </w:r>
              <w:r w:rsidR="00596F66">
                <w:t xml:space="preserve">daartoe </w:t>
              </w:r>
              <w:r w:rsidR="004D5C89">
                <w:t xml:space="preserve">nu stappen zet om </w:t>
              </w:r>
              <w:r w:rsidR="00C61957">
                <w:t>te komen tot nieuwe wetgeving</w:t>
              </w:r>
              <w:r w:rsidR="00596F66">
                <w:t xml:space="preserve"> en dat </w:t>
              </w:r>
              <w:r>
                <w:t>gemeenten bij wet in medebewind worden geroepen.</w:t>
              </w:r>
            </w:p>
            <w:p w:rsidR="00AD2916" w:rsidP="00A11E83" w:rsidRDefault="00AD2916" w14:paraId="4DCEA4F0" w14:textId="77777777"/>
            <w:p w:rsidR="007A387E" w:rsidP="00A11E83" w:rsidRDefault="00A11E83" w14:paraId="5BA18D51" w14:textId="3271CA72">
              <w:r>
                <w:t xml:space="preserve">De Afdeling </w:t>
              </w:r>
              <w:r w:rsidR="003B32B3">
                <w:t xml:space="preserve">onderstreept </w:t>
              </w:r>
              <w:r>
                <w:t xml:space="preserve">dat het </w:t>
              </w:r>
              <w:r w:rsidR="003B32B3">
                <w:t>wets</w:t>
              </w:r>
              <w:r>
                <w:t xml:space="preserve">voorstel een stelselwijziging is en geen tijdelijke noodwet. Het voorstel creëert een nieuwe bestuurlijke systematiek. </w:t>
              </w:r>
              <w:r w:rsidR="002F46AE">
                <w:t xml:space="preserve">Deze is permanent </w:t>
              </w:r>
              <w:r w:rsidR="00765B65">
                <w:t xml:space="preserve">en structureel </w:t>
              </w:r>
              <w:r w:rsidR="002F46AE">
                <w:t>van karakter en beoogt een duurzaam toekomstperspectief voor asielopvang te bewerkstellingen. Een dergelijke stelselwijziging moet als zodanig behandeld worden</w:t>
              </w:r>
              <w:r w:rsidR="002016FA">
                <w:t>.</w:t>
              </w:r>
              <w:r w:rsidR="002F46AE">
                <w:t xml:space="preserve"> </w:t>
              </w:r>
              <w:r w:rsidR="002B3860">
                <w:t xml:space="preserve">In het bijzonder </w:t>
              </w:r>
              <w:r w:rsidR="002F46AE">
                <w:t>met het oog op de uitvoerbaarheid</w:t>
              </w:r>
              <w:r w:rsidR="002B3860">
                <w:t xml:space="preserve"> moet het daarom ook</w:t>
              </w:r>
              <w:r w:rsidR="002F46AE">
                <w:t xml:space="preserve"> met zorgvuldigheid worden voorbereid. </w:t>
              </w:r>
              <w:bookmarkStart w:name="_Hlk126158268" w:id="1"/>
            </w:p>
            <w:p w:rsidR="007A387E" w:rsidP="00A11E83" w:rsidRDefault="007A387E" w14:paraId="2930B78F" w14:textId="77777777"/>
            <w:p w:rsidR="00A11E83" w:rsidP="00A11E83" w:rsidRDefault="002F46AE" w14:paraId="1701E190" w14:textId="6D8318F2">
              <w:r>
                <w:t xml:space="preserve">Dat betekent dat </w:t>
              </w:r>
              <w:r w:rsidRPr="007630A4" w:rsidR="00491A8E">
                <w:t>een wetsvoorstel</w:t>
              </w:r>
              <w:r w:rsidR="00E7363F">
                <w:t>, hoe</w:t>
              </w:r>
              <w:r w:rsidR="002743D6">
                <w:t xml:space="preserve"> urgent </w:t>
              </w:r>
              <w:r w:rsidR="000A5D2B">
                <w:t xml:space="preserve">de totstandkoming daarvan </w:t>
              </w:r>
              <w:r w:rsidR="00F2535C">
                <w:t>ook is,</w:t>
              </w:r>
              <w:r>
                <w:t xml:space="preserve"> niet op zeer korte termijn in </w:t>
              </w:r>
              <w:r w:rsidRPr="00CF3224">
                <w:t>werking kan treden</w:t>
              </w:r>
              <w:r w:rsidRPr="007630A4" w:rsidR="00491A8E">
                <w:t xml:space="preserve">. Zoals </w:t>
              </w:r>
              <w:r w:rsidRPr="00CF3224">
                <w:t>ook in de consultatie is opgemerkt</w:t>
              </w:r>
              <w:r w:rsidRPr="007630A4" w:rsidR="00491A8E">
                <w:t xml:space="preserve"> zal </w:t>
              </w:r>
              <w:r w:rsidRPr="007630A4" w:rsidR="007630A4">
                <w:t>een nieuw wettelijk stelsel</w:t>
              </w:r>
              <w:r w:rsidRPr="00CF3224">
                <w:t xml:space="preserve"> op zijn vroegst in 2024 tot de realisatie van meer opvangplaatsen gaat leiden. </w:t>
              </w:r>
              <w:bookmarkStart w:name="_Hlk125725863" w:id="2"/>
              <w:bookmarkEnd w:id="1"/>
              <w:r w:rsidR="00646C8D">
                <w:t>G</w:t>
              </w:r>
              <w:r w:rsidR="004A33B7">
                <w:t>elet op de urgentie van het vraagstuk</w:t>
              </w:r>
              <w:r w:rsidR="00646C8D">
                <w:t xml:space="preserve"> ligt het wel</w:t>
              </w:r>
              <w:r w:rsidR="004A33B7">
                <w:t xml:space="preserve"> voor de </w:t>
              </w:r>
              <w:r w:rsidR="004A33B7">
                <w:lastRenderedPageBreak/>
                <w:t>hand om</w:t>
              </w:r>
              <w:r w:rsidRPr="00CF3224">
                <w:t xml:space="preserve"> vooruitlopend op een wet</w:t>
              </w:r>
              <w:r>
                <w:t>telijke regeling</w:t>
              </w:r>
              <w:r w:rsidRPr="00CF3224">
                <w:t xml:space="preserve"> </w:t>
              </w:r>
              <w:r w:rsidR="004A33B7">
                <w:t xml:space="preserve">reeds </w:t>
              </w:r>
              <w:r w:rsidRPr="00CF3224">
                <w:t xml:space="preserve">op vrijwillige basis </w:t>
              </w:r>
              <w:r w:rsidR="00E017E2">
                <w:t>te we</w:t>
              </w:r>
              <w:r w:rsidR="007630A4">
                <w:t>r</w:t>
              </w:r>
              <w:r w:rsidR="00E017E2">
                <w:t>ken</w:t>
              </w:r>
              <w:r w:rsidRPr="00CF3224">
                <w:t xml:space="preserve"> langs de lijnen van een </w:t>
              </w:r>
              <w:r w:rsidR="00BD3C16">
                <w:t xml:space="preserve">wettelijk </w:t>
              </w:r>
              <w:r w:rsidRPr="00CF3224">
                <w:t xml:space="preserve">stelsel waarin alle gemeenten </w:t>
              </w:r>
              <w:r w:rsidR="002D7785">
                <w:t xml:space="preserve">in goed overleg </w:t>
              </w:r>
              <w:r w:rsidRPr="00CF3224">
                <w:t>bijdragen aan het mogelijk maken van opvangvoorzieningen</w:t>
              </w:r>
              <w:r w:rsidR="00AB53D0">
                <w:t xml:space="preserve"> </w:t>
              </w:r>
              <w:bookmarkEnd w:id="2"/>
              <w:r w:rsidR="00AB53D0">
                <w:t>(punt 2)</w:t>
              </w:r>
              <w:r w:rsidR="001F4F74">
                <w:t>.</w:t>
              </w:r>
            </w:p>
            <w:p w:rsidR="00A11E83" w:rsidP="007F42AC" w:rsidRDefault="00A11E83" w14:paraId="3E370A8F" w14:textId="77777777"/>
            <w:p w:rsidR="001A4D37" w:rsidP="007F42AC" w:rsidRDefault="0050023F" w14:paraId="153AAA9C" w14:textId="650EE5B5">
              <w:r>
                <w:t xml:space="preserve">Dat de Afdeling </w:t>
              </w:r>
              <w:r w:rsidR="00B32B88">
                <w:t>de noodzaak van w</w:t>
              </w:r>
              <w:r w:rsidR="00D9070A">
                <w:t xml:space="preserve">etgeving onderschrijft </w:t>
              </w:r>
              <w:r w:rsidR="008A40D8">
                <w:t xml:space="preserve">laat onverlet dat </w:t>
              </w:r>
              <w:r w:rsidR="00AE44A5">
                <w:t>z</w:t>
              </w:r>
              <w:r w:rsidR="007F42AC">
                <w:t xml:space="preserve">ij kanttekeningen </w:t>
              </w:r>
              <w:r w:rsidR="007C63D6">
                <w:t xml:space="preserve">plaatst </w:t>
              </w:r>
              <w:r w:rsidR="007F42AC">
                <w:t xml:space="preserve">bij de wijze waarop het </w:t>
              </w:r>
              <w:r w:rsidR="008422CA">
                <w:t xml:space="preserve">in dit wetsvoorstel </w:t>
              </w:r>
              <w:r w:rsidR="00C21AD6">
                <w:t>opgenomen</w:t>
              </w:r>
              <w:r w:rsidR="007F42AC">
                <w:t xml:space="preserve"> stelsel is ingericht en bij de uitvoerbaarheid daarvan.</w:t>
              </w:r>
              <w:r w:rsidR="00E23C6F">
                <w:t xml:space="preserve"> </w:t>
              </w:r>
              <w:r w:rsidR="007F42AC">
                <w:t xml:space="preserve">De voorgestelde systematiek acht de Afdeling onnodig complex. De besluitvorming in twee fasen en de daarmee gepaard gaande financiële prikkels </w:t>
              </w:r>
              <w:r w:rsidR="002F46AE">
                <w:t>dragen</w:t>
              </w:r>
              <w:r w:rsidR="005E486B">
                <w:t xml:space="preserve"> </w:t>
              </w:r>
              <w:r w:rsidR="000245A1">
                <w:t>niet bij aan het effectief bereiken van</w:t>
              </w:r>
              <w:r w:rsidDel="008A7B99" w:rsidR="007F42AC">
                <w:t xml:space="preserve"> </w:t>
              </w:r>
              <w:r w:rsidR="007F42AC">
                <w:t xml:space="preserve">de doelstellingen van het voorstel. Ook bevordert het de interbestuurlijke verhoudingen niet. </w:t>
              </w:r>
            </w:p>
            <w:p w:rsidR="001A4D37" w:rsidP="007F42AC" w:rsidRDefault="001A4D37" w14:paraId="1E3E2EDF" w14:textId="77777777"/>
            <w:p w:rsidR="005B3723" w:rsidP="007F42AC" w:rsidRDefault="007F42AC" w14:paraId="12B1BC94" w14:textId="77777777">
              <w:r>
                <w:t>Daarnaast wordt het instrument van de specifieke uitkering oneigenlijk gebruikt en is de realisatietermijn die gemeenten krijgen om in de opvangopgave te voorzien onduidelijk (punt 3). Zowel de complexiteit van de wet als zodanig, de veelheid aan nadere uitwerking in lagere regelgeving, de onzekerheid over de financiële voorwaarden en complicerende factoren zoals de ruimtelijke inpassing en de mede daaruit voortvloeiende juridische procedures</w:t>
              </w:r>
              <w:r w:rsidR="00CF142D">
                <w:t xml:space="preserve"> </w:t>
              </w:r>
              <w:r>
                <w:t xml:space="preserve">roepen </w:t>
              </w:r>
              <w:r w:rsidR="00F76CE7">
                <w:t xml:space="preserve">ten slotte </w:t>
              </w:r>
              <w:r>
                <w:t>indringende vragen op over de uitvoerbaarheid van het wetsvoorstel (punt 4).</w:t>
              </w:r>
            </w:p>
            <w:p w:rsidR="007F42AC" w:rsidP="007F42AC" w:rsidRDefault="007F42AC" w14:paraId="71704328" w14:textId="1D59A23D">
              <w:r>
                <w:t xml:space="preserve"> </w:t>
              </w:r>
            </w:p>
            <w:p w:rsidR="007F42AC" w:rsidP="007F42AC" w:rsidRDefault="00210F29" w14:paraId="7ACD4519" w14:textId="03284A33">
              <w:r>
                <w:t xml:space="preserve">Gelet op het voorgaande adviseert de Afdeling het wetsvoorstel te heroverwegen en daarbij te kiezen voor een eenvoudiger stelsel met meer duidelijkheid voor gemeenten. </w:t>
              </w:r>
              <w:r w:rsidR="00AF60E7">
                <w:t xml:space="preserve">Zij adviseert in het bijzonder de fasering en de zogenoemde financiële prikkel opnieuw te bezien. </w:t>
              </w:r>
              <w:r>
                <w:t xml:space="preserve">Een voor de hand liggend alternatief biedt, zoals ook in de consultatie naar voren komt, het model van de Huisvestingswet. Een dergelijk stelsel is niet alleen eenvoudiger en duidelijker maar maakt het tevens mogelijk om op basis van vrijwilligheid en in overleg met andere gemeenten en de provincie, tot nadere afspraken te komen over asielopvang en/of de huisvesting van statushouders. </w:t>
              </w:r>
            </w:p>
            <w:p w:rsidR="00BB0F1E" w:rsidP="007F42AC" w:rsidRDefault="00BB0F1E" w14:paraId="29B55E6A" w14:textId="77777777"/>
            <w:p w:rsidR="00511DCB" w:rsidP="007F42AC" w:rsidRDefault="00DA03C9" w14:paraId="2FE0BBC1" w14:textId="1087D092">
              <w:r>
                <w:t xml:space="preserve">Ervan uitgaande dat </w:t>
              </w:r>
              <w:r w:rsidR="00D21934">
                <w:t>voor de</w:t>
              </w:r>
              <w:r>
                <w:t xml:space="preserve"> te realiseren opvang een ruimhartige en reële vergoeding wordt geboden, kan daarin een voor alle gemeenten adequate financiële randvoorwaarde en stimulans worden gezien om mee te werken aan de uitvoering van een wettelijke taak zonder dat gemeenten met elkaar in competitie zijn en zonder de daaruit voortvloeiende complicaties die inherent zijn aan het thans voorliggende wetsvoorstel</w:t>
              </w:r>
              <w:r w:rsidR="00FE7C00">
                <w:t xml:space="preserve">. </w:t>
              </w:r>
              <w:r w:rsidR="005D32A8">
                <w:t>Zo’n</w:t>
              </w:r>
              <w:r w:rsidR="00E82B80">
                <w:t xml:space="preserve"> aanpak </w:t>
              </w:r>
              <w:r w:rsidR="005D32A8">
                <w:t xml:space="preserve">hoeft </w:t>
              </w:r>
              <w:r w:rsidR="00E82B80">
                <w:t xml:space="preserve">niet tot vertraging te leiden, te meer omdat een vereenvoudigd stelsel waarschijnlijk op meer draagvlak </w:t>
              </w:r>
              <w:r w:rsidR="00CE69C7">
                <w:t xml:space="preserve">kan rekenen </w:t>
              </w:r>
              <w:r w:rsidR="00E82B80">
                <w:t>va</w:t>
              </w:r>
              <w:r w:rsidR="00F803F4">
                <w:t xml:space="preserve">n </w:t>
              </w:r>
              <w:r w:rsidR="00446C0C">
                <w:t>de partijen</w:t>
              </w:r>
              <w:r w:rsidR="00F803F4">
                <w:t xml:space="preserve"> die de wet moeten uitvoeren </w:t>
              </w:r>
              <w:r w:rsidR="002F46AE">
                <w:t>(punt 5</w:t>
              </w:r>
              <w:r w:rsidR="00302EFF">
                <w:t>)</w:t>
              </w:r>
              <w:r w:rsidR="005D4B44">
                <w:t>.</w:t>
              </w:r>
            </w:p>
            <w:p w:rsidR="00FE3239" w:rsidRDefault="00FE3239" w14:paraId="5B8FB5B3" w14:textId="77777777"/>
            <w:p w:rsidR="00DC68D9" w:rsidRDefault="00DC68D9" w14:paraId="333A8505" w14:textId="77777777">
              <w:r>
                <w:t>1.</w:t>
              </w:r>
              <w:r>
                <w:tab/>
              </w:r>
              <w:r w:rsidR="00120517">
                <w:rPr>
                  <w:u w:val="single"/>
                </w:rPr>
                <w:t>Context</w:t>
              </w:r>
              <w:r w:rsidRPr="00DC68D9">
                <w:rPr>
                  <w:u w:val="single"/>
                </w:rPr>
                <w:t xml:space="preserve"> en inhoud van het voorstel</w:t>
              </w:r>
            </w:p>
            <w:p w:rsidR="00DC68D9" w:rsidRDefault="00DC68D9" w14:paraId="670DE75B" w14:textId="77777777"/>
            <w:p w:rsidRPr="00E361A8" w:rsidR="00987F04" w:rsidP="00987F04" w:rsidRDefault="00C638E7" w14:paraId="1B718665" w14:textId="77777777">
              <w:r>
                <w:t>a.</w:t>
              </w:r>
              <w:r>
                <w:tab/>
              </w:r>
              <w:r>
                <w:rPr>
                  <w:i/>
                  <w:iCs/>
                </w:rPr>
                <w:t>A</w:t>
              </w:r>
              <w:r w:rsidR="00120517">
                <w:rPr>
                  <w:i/>
                  <w:iCs/>
                </w:rPr>
                <w:t>anleiding</w:t>
              </w:r>
              <w:r w:rsidR="000733C6">
                <w:rPr>
                  <w:i/>
                </w:rPr>
                <w:t xml:space="preserve"> en </w:t>
              </w:r>
              <w:r w:rsidR="00987F04">
                <w:rPr>
                  <w:i/>
                  <w:iCs/>
                </w:rPr>
                <w:t>doelstelling</w:t>
              </w:r>
              <w:r w:rsidRPr="00E05196" w:rsidR="002F46AE">
                <w:rPr>
                  <w:rStyle w:val="Voetnootmarkering"/>
                </w:rPr>
                <w:footnoteReference w:id="2"/>
              </w:r>
            </w:p>
            <w:p w:rsidR="002F46AE" w:rsidP="002F46AE" w:rsidRDefault="002F46AE" w14:paraId="6D3D9F97" w14:textId="77777777">
              <w:r>
                <w:t>In 2022 waren er te weinig opvangplaatsen om de Nederland binnengekomen asielzoekers opvang te bieden. Daarom heeft het kabinet op 17 juni 2022 de nationale crisisstructuur geactiveerd.</w:t>
              </w:r>
              <w:r>
                <w:rPr>
                  <w:rStyle w:val="Voetnootmarkering"/>
                </w:rPr>
                <w:footnoteReference w:id="3"/>
              </w:r>
              <w:r>
                <w:t xml:space="preserve"> Op basis van bestuurlijke afspraken met medeoverheden konden eind 2022 meer dan 51.000 asielzoekers in opvangvoorzieningen verblijven. Dat betreft 17.000 extra plaatsen ten opzichte van de toen bestaande voorraad en staat los van de opvangplaatsen voor ontheemden uit Oekraïne.</w:t>
              </w:r>
              <w:r>
                <w:rPr>
                  <w:rStyle w:val="Voetnootmarkering"/>
                </w:rPr>
                <w:footnoteReference w:id="4"/>
              </w:r>
              <w:r>
                <w:t xml:space="preserve"> Deze extra gerealiseerde opvang voor asielzoekers is echter minder dan beoogd en onvoldoende gebleken in relatie tot de gestegen behoefte. Bovendien betreft het veelal (crisis)noodopvang, die tijdelijk van aard is. </w:t>
              </w:r>
            </w:p>
            <w:p w:rsidR="002F46AE" w:rsidP="002F46AE" w:rsidRDefault="002F46AE" w14:paraId="702047F5" w14:textId="77777777"/>
            <w:p w:rsidR="002F46AE" w:rsidP="002F46AE" w:rsidRDefault="002F46AE" w14:paraId="2175759F" w14:textId="7510D3A8">
              <w:pPr>
                <w:rPr>
                  <w:szCs w:val="22"/>
                </w:rPr>
              </w:pPr>
              <w:r>
                <w:t xml:space="preserve">Dat in onvoldoende opvangplaatsen kon worden voorzien, houdt onder meer verband met het feit </w:t>
              </w:r>
              <w:r w:rsidR="00482DB6">
                <w:t xml:space="preserve">dat </w:t>
              </w:r>
              <w:r>
                <w:t>het COA op dit moment afhankelijk is van de bereidwilligheid van gemeenten. Bij het ontbreken van bereidwilligheid wordt als veel gehoorde reden genoemd het gebrek aan draagvlak en onvrede bij gemeenten over het feit dat de opvangvoorzieningen die in 2015 en 2016 zijn gerealiseerd voor Syrische vluchtelingen niet in stand zijn gehouden. De (duurzame vaste) voorraad was aldus onvoldoende. Bovendien was de instroom hoger dan geraamd.</w:t>
              </w:r>
              <w:r>
                <w:rPr>
                  <w:rStyle w:val="Voetnootmarkering"/>
                </w:rPr>
                <w:footnoteReference w:id="5"/>
              </w:r>
              <w:r>
                <w:t xml:space="preserve"> Naar verwachting houdt die instroom de </w:t>
              </w:r>
              <w:r w:rsidRPr="00F347A4">
                <w:rPr>
                  <w:szCs w:val="22"/>
                </w:rPr>
                <w:t xml:space="preserve">komende jaren aan en zal zonder nadere maatregelen </w:t>
              </w:r>
              <w:r>
                <w:rPr>
                  <w:szCs w:val="22"/>
                </w:rPr>
                <w:t>niet in</w:t>
              </w:r>
              <w:r w:rsidRPr="00F347A4">
                <w:rPr>
                  <w:szCs w:val="22"/>
                </w:rPr>
                <w:t xml:space="preserve"> voldoende reguliere opvangcapaciteit kunnen worden voorzien. </w:t>
              </w:r>
            </w:p>
            <w:p w:rsidR="002F46AE" w:rsidP="002F46AE" w:rsidRDefault="002F46AE" w14:paraId="322E12BB" w14:textId="77777777">
              <w:pPr>
                <w:rPr>
                  <w:szCs w:val="22"/>
                </w:rPr>
              </w:pPr>
            </w:p>
            <w:p w:rsidR="00A623BE" w:rsidP="00A623BE" w:rsidRDefault="002F46AE" w14:paraId="57D8447D" w14:textId="0B7E03BA">
              <w:r w:rsidRPr="008D0958">
                <w:rPr>
                  <w:szCs w:val="22"/>
                </w:rPr>
                <w:t xml:space="preserve">Het </w:t>
              </w:r>
              <w:r w:rsidR="000127E1">
                <w:rPr>
                  <w:szCs w:val="22"/>
                </w:rPr>
                <w:t>wets</w:t>
              </w:r>
              <w:r w:rsidRPr="008D0958">
                <w:rPr>
                  <w:szCs w:val="22"/>
                </w:rPr>
                <w:t xml:space="preserve">voorstel </w:t>
              </w:r>
              <w:r w:rsidR="00A5651A">
                <w:rPr>
                  <w:szCs w:val="22"/>
                </w:rPr>
                <w:t>is</w:t>
              </w:r>
              <w:r w:rsidDel="00E511CD" w:rsidR="000B315B">
                <w:rPr>
                  <w:szCs w:val="22"/>
                </w:rPr>
                <w:t xml:space="preserve"> </w:t>
              </w:r>
              <w:r w:rsidR="000B315B">
                <w:rPr>
                  <w:szCs w:val="22"/>
                </w:rPr>
                <w:t>onderdeel is van een breder pakket aan maatregelen</w:t>
              </w:r>
              <w:r w:rsidR="00A5651A">
                <w:rPr>
                  <w:szCs w:val="22"/>
                </w:rPr>
                <w:t>. Het</w:t>
              </w:r>
              <w:r w:rsidRPr="008D0958" w:rsidR="007F42AC">
                <w:rPr>
                  <w:szCs w:val="22"/>
                </w:rPr>
                <w:t xml:space="preserve"> beoogt</w:t>
              </w:r>
              <w:r w:rsidR="007F42AC">
                <w:rPr>
                  <w:szCs w:val="22"/>
                </w:rPr>
                <w:t xml:space="preserve"> </w:t>
              </w:r>
              <w:r w:rsidR="00E511CD">
                <w:rPr>
                  <w:szCs w:val="22"/>
                </w:rPr>
                <w:t>te reali</w:t>
              </w:r>
              <w:r w:rsidR="009519C2">
                <w:rPr>
                  <w:szCs w:val="22"/>
                </w:rPr>
                <w:t>s</w:t>
              </w:r>
              <w:r w:rsidR="00E511CD">
                <w:rPr>
                  <w:szCs w:val="22"/>
                </w:rPr>
                <w:t xml:space="preserve">eren dat de asielopvang niet meer afhankelijk is </w:t>
              </w:r>
              <w:r w:rsidR="007F42AC">
                <w:rPr>
                  <w:szCs w:val="22"/>
                </w:rPr>
                <w:t xml:space="preserve">van </w:t>
              </w:r>
              <w:r w:rsidR="009519C2">
                <w:rPr>
                  <w:szCs w:val="22"/>
                </w:rPr>
                <w:t xml:space="preserve">de </w:t>
              </w:r>
              <w:r w:rsidR="007F42AC">
                <w:rPr>
                  <w:szCs w:val="22"/>
                </w:rPr>
                <w:t>vrijwillige medewerking van gemeenten</w:t>
              </w:r>
              <w:r>
                <w:rPr>
                  <w:szCs w:val="22"/>
                </w:rPr>
                <w:t xml:space="preserve">. De </w:t>
              </w:r>
              <w:r w:rsidR="007F42AC">
                <w:rPr>
                  <w:szCs w:val="22"/>
                </w:rPr>
                <w:t xml:space="preserve">regering </w:t>
              </w:r>
              <w:r w:rsidR="009519C2">
                <w:rPr>
                  <w:szCs w:val="22"/>
                </w:rPr>
                <w:t>wil door middel van</w:t>
              </w:r>
              <w:r w:rsidR="00846FA3">
                <w:rPr>
                  <w:szCs w:val="22"/>
                </w:rPr>
                <w:t xml:space="preserve"> </w:t>
              </w:r>
              <w:r>
                <w:rPr>
                  <w:szCs w:val="22"/>
                </w:rPr>
                <w:t xml:space="preserve">dit voorstel </w:t>
              </w:r>
              <w:r w:rsidR="007F42AC">
                <w:rPr>
                  <w:szCs w:val="22"/>
                </w:rPr>
                <w:t xml:space="preserve">komen tot </w:t>
              </w:r>
              <w:r w:rsidRPr="008D0958" w:rsidR="007F42AC">
                <w:rPr>
                  <w:szCs w:val="22"/>
                </w:rPr>
                <w:t xml:space="preserve">een </w:t>
              </w:r>
              <w:r w:rsidR="007F42AC">
                <w:rPr>
                  <w:szCs w:val="22"/>
                </w:rPr>
                <w:t xml:space="preserve">evenwichtigere verdeling van </w:t>
              </w:r>
              <w:r w:rsidR="007F42AC">
                <w:t xml:space="preserve">asielzoekers over alle gemeenten. </w:t>
              </w:r>
              <w:r w:rsidR="00A623BE">
                <w:t xml:space="preserve">De toelichting benoemt </w:t>
              </w:r>
              <w:r w:rsidR="003B1FBA">
                <w:t xml:space="preserve">in dat verband </w:t>
              </w:r>
              <w:r w:rsidR="00A623BE">
                <w:t>dat gemeenten die dat nu nog niet doen, door dit voorstel ook hun bijdrage moeten gaan leveren aan een duurzame opvang van asielzoekers. Als uitgangspunten daarbij noemt de toelichting ‘</w:t>
              </w:r>
              <w:r w:rsidRPr="0089469B" w:rsidR="00A623BE">
                <w:t>solidariteit tussen</w:t>
              </w:r>
              <w:r w:rsidR="00A623BE">
                <w:t xml:space="preserve"> </w:t>
              </w:r>
              <w:r w:rsidRPr="0089469B" w:rsidR="00A623BE">
                <w:t xml:space="preserve">gemeenten, een eerlijke en evenwichtige spreiding over het land, zoveel mogelijk vrijwillig ter beschikking stellen van opvangplaatsen en het voorkomen van </w:t>
              </w:r>
              <w:r w:rsidR="00A623BE">
                <w:t>c</w:t>
              </w:r>
              <w:r w:rsidRPr="0089469B" w:rsidR="00A623BE">
                <w:t>risisnoodopvang</w:t>
              </w:r>
              <w:r w:rsidR="00A623BE">
                <w:t>’</w:t>
              </w:r>
              <w:r w:rsidRPr="0089469B" w:rsidR="00A623BE">
                <w:t xml:space="preserve">. </w:t>
              </w:r>
            </w:p>
            <w:p w:rsidR="00A623BE" w:rsidP="00A623BE" w:rsidRDefault="00A623BE" w14:paraId="67DBEE3A" w14:textId="77777777"/>
            <w:p w:rsidR="007F42AC" w:rsidP="007F42AC" w:rsidRDefault="00856AEA" w14:paraId="2C914BBA" w14:textId="3F678C04">
              <w:r>
                <w:t xml:space="preserve">Om deze doelstellingen te realiseren streeft het voorstel naar </w:t>
              </w:r>
              <w:r w:rsidR="007F42AC">
                <w:t xml:space="preserve">een duurzaam </w:t>
              </w:r>
              <w:r>
                <w:t>stelsel</w:t>
              </w:r>
              <w:r w:rsidR="007F42AC">
                <w:t xml:space="preserve"> met een ‘voldoende duurzame flexibele opvangcapaciteit’ die mee kan bewegen met de schommelingen van in- en uitstroom</w:t>
              </w:r>
              <w:r w:rsidRPr="008D0958" w:rsidR="007F42AC">
                <w:t xml:space="preserve">. </w:t>
              </w:r>
              <w:r w:rsidR="007F42AC">
                <w:t xml:space="preserve">Het gaat daarbij om het creëren van een grotere ‘vaste voorraad’ aan opvangplaatsen. Volgens de toelichting komt met dit voorstel ‘meer rust, stabiliteit én flexibiliteit’ in het wettelijk stelsel rondom de asielopvang. </w:t>
              </w:r>
            </w:p>
            <w:p w:rsidR="007F42AC" w:rsidP="007F42AC" w:rsidRDefault="007F42AC" w14:paraId="1B4F5B29" w14:textId="77777777">
              <w:pPr>
                <w:ind w:left="705" w:hanging="705"/>
              </w:pPr>
            </w:p>
            <w:p w:rsidRPr="00E668F5" w:rsidR="00987F04" w:rsidP="00987F04" w:rsidRDefault="00987F04" w14:paraId="4E68F861" w14:textId="77777777">
              <w:pPr>
                <w:ind w:left="705" w:hanging="705"/>
                <w:rPr>
                  <w:i/>
                  <w:iCs/>
                </w:rPr>
              </w:pPr>
              <w:r>
                <w:t>b.</w:t>
              </w:r>
              <w:r>
                <w:tab/>
              </w:r>
              <w:r>
                <w:rPr>
                  <w:i/>
                  <w:iCs/>
                </w:rPr>
                <w:t>Voorgestelde verde</w:t>
              </w:r>
              <w:r w:rsidR="005D0BA9">
                <w:rPr>
                  <w:i/>
                  <w:iCs/>
                </w:rPr>
                <w:t>lings</w:t>
              </w:r>
              <w:r>
                <w:rPr>
                  <w:i/>
                  <w:iCs/>
                </w:rPr>
                <w:t xml:space="preserve">- en beloningssystematiek </w:t>
              </w:r>
            </w:p>
            <w:p w:rsidR="009E6FDD" w:rsidP="00B71F47" w:rsidRDefault="005D036D" w14:paraId="5DE6B791" w14:textId="77777777">
              <w:pPr>
                <w:pStyle w:val="Default"/>
                <w:rPr>
                  <w:sz w:val="22"/>
                  <w:szCs w:val="22"/>
                </w:rPr>
              </w:pPr>
              <w:r>
                <w:rPr>
                  <w:sz w:val="22"/>
                  <w:szCs w:val="22"/>
                </w:rPr>
                <w:t>Er wordt een tweejaarlijkse procedure voorgesteld, waarbinnen rijk, provincies</w:t>
              </w:r>
              <w:r w:rsidR="000B315B">
                <w:rPr>
                  <w:sz w:val="22"/>
                  <w:szCs w:val="22"/>
                </w:rPr>
                <w:t xml:space="preserve"> en </w:t>
              </w:r>
              <w:r>
                <w:rPr>
                  <w:sz w:val="22"/>
                  <w:szCs w:val="22"/>
                </w:rPr>
                <w:t>gemeenten komen tot een verdeling</w:t>
              </w:r>
              <w:r w:rsidR="005E008A">
                <w:rPr>
                  <w:sz w:val="22"/>
                  <w:szCs w:val="22"/>
                </w:rPr>
                <w:t xml:space="preserve"> van opvanglocaties. Deze procedure </w:t>
              </w:r>
              <w:r w:rsidRPr="00987F04" w:rsidR="00987F04">
                <w:rPr>
                  <w:sz w:val="22"/>
                  <w:szCs w:val="22"/>
                </w:rPr>
                <w:t xml:space="preserve">begint met een </w:t>
              </w:r>
              <w:r w:rsidR="005E008A">
                <w:rPr>
                  <w:sz w:val="22"/>
                  <w:szCs w:val="22"/>
                </w:rPr>
                <w:t xml:space="preserve">door de minister te maken raming </w:t>
              </w:r>
              <w:r w:rsidRPr="00987F04" w:rsidR="00987F04">
                <w:rPr>
                  <w:sz w:val="22"/>
                  <w:szCs w:val="22"/>
                </w:rPr>
                <w:t xml:space="preserve">van het aantal benodigde opvangplaatsen </w:t>
              </w:r>
              <w:r w:rsidR="005E008A">
                <w:rPr>
                  <w:sz w:val="22"/>
                  <w:szCs w:val="22"/>
                </w:rPr>
                <w:t>(vóór 1 februari)</w:t>
              </w:r>
              <w:r w:rsidRPr="00987F04" w:rsidR="00987F04">
                <w:rPr>
                  <w:sz w:val="22"/>
                  <w:szCs w:val="22"/>
                </w:rPr>
                <w:t>. Van dat aantal wordt het reeds bestaande aantal opvangplaatsen afgetrokken</w:t>
              </w:r>
              <w:r w:rsidR="005E008A">
                <w:rPr>
                  <w:sz w:val="22"/>
                  <w:szCs w:val="22"/>
                </w:rPr>
                <w:t>, zodat duidelijk is hoeveel nieuwe opvangplaatsen gerealiseerd moeten worden</w:t>
              </w:r>
              <w:r w:rsidRPr="00987F04" w:rsidR="00987F04">
                <w:rPr>
                  <w:sz w:val="22"/>
                  <w:szCs w:val="22"/>
                </w:rPr>
                <w:t xml:space="preserve">. </w:t>
              </w:r>
            </w:p>
            <w:p w:rsidR="009E6FDD" w:rsidP="00B71F47" w:rsidRDefault="009E6FDD" w14:paraId="3B5F7E14" w14:textId="77777777">
              <w:pPr>
                <w:pStyle w:val="Default"/>
                <w:rPr>
                  <w:sz w:val="22"/>
                  <w:szCs w:val="22"/>
                </w:rPr>
              </w:pPr>
            </w:p>
            <w:p w:rsidRPr="00B71F47" w:rsidR="00987F04" w:rsidP="00B71F47" w:rsidRDefault="002F46AE" w14:paraId="2C0D7BD4" w14:textId="7C61B116">
              <w:pPr>
                <w:pStyle w:val="Default"/>
                <w:rPr>
                  <w:sz w:val="22"/>
                  <w:szCs w:val="22"/>
                </w:rPr>
              </w:pPr>
              <w:r>
                <w:rPr>
                  <w:sz w:val="22"/>
                  <w:szCs w:val="22"/>
                </w:rPr>
                <w:t xml:space="preserve">Die opgave </w:t>
              </w:r>
              <w:r w:rsidR="00803C6E">
                <w:rPr>
                  <w:sz w:val="22"/>
                  <w:szCs w:val="22"/>
                </w:rPr>
                <w:t>wordt over</w:t>
              </w:r>
              <w:r w:rsidR="007548FB">
                <w:rPr>
                  <w:sz w:val="22"/>
                  <w:szCs w:val="22"/>
                </w:rPr>
                <w:t xml:space="preserve"> </w:t>
              </w:r>
              <w:r w:rsidR="005E008A">
                <w:rPr>
                  <w:sz w:val="22"/>
                  <w:szCs w:val="22"/>
                </w:rPr>
                <w:t xml:space="preserve">provincies </w:t>
              </w:r>
              <w:r w:rsidR="007548FB">
                <w:rPr>
                  <w:sz w:val="22"/>
                  <w:szCs w:val="22"/>
                </w:rPr>
                <w:t>verdeeld</w:t>
              </w:r>
              <w:r w:rsidR="005E008A">
                <w:rPr>
                  <w:sz w:val="22"/>
                  <w:szCs w:val="22"/>
                </w:rPr>
                <w:t xml:space="preserve"> en wordt </w:t>
              </w:r>
              <w:r w:rsidRPr="00987F04" w:rsidR="00987F04">
                <w:rPr>
                  <w:sz w:val="22"/>
                  <w:szCs w:val="22"/>
                </w:rPr>
                <w:t>v</w:t>
              </w:r>
              <w:r w:rsidR="005E008A">
                <w:rPr>
                  <w:sz w:val="22"/>
                  <w:szCs w:val="22"/>
                </w:rPr>
                <w:t>óó</w:t>
              </w:r>
              <w:r w:rsidRPr="00987F04" w:rsidR="00987F04">
                <w:rPr>
                  <w:sz w:val="22"/>
                  <w:szCs w:val="22"/>
                </w:rPr>
                <w:t>r 1 mei</w:t>
              </w:r>
              <w:r w:rsidR="00B71F47">
                <w:rPr>
                  <w:sz w:val="22"/>
                  <w:szCs w:val="22"/>
                </w:rPr>
                <w:t xml:space="preserve"> </w:t>
              </w:r>
              <w:r w:rsidRPr="00987F04" w:rsidR="00987F04">
                <w:rPr>
                  <w:sz w:val="22"/>
                  <w:szCs w:val="22"/>
                </w:rPr>
                <w:t xml:space="preserve">bekend gemaakt. </w:t>
              </w:r>
              <w:r w:rsidR="005E008A">
                <w:rPr>
                  <w:sz w:val="22"/>
                  <w:szCs w:val="22"/>
                </w:rPr>
                <w:t>Bij deze</w:t>
              </w:r>
              <w:r w:rsidRPr="00987F04" w:rsidR="00987F04">
                <w:rPr>
                  <w:sz w:val="22"/>
                  <w:szCs w:val="22"/>
                </w:rPr>
                <w:t xml:space="preserve"> provinciale opgave </w:t>
              </w:r>
              <w:r w:rsidR="005E008A">
                <w:rPr>
                  <w:sz w:val="22"/>
                  <w:szCs w:val="22"/>
                </w:rPr>
                <w:t>voegt de minister een</w:t>
              </w:r>
              <w:r w:rsidRPr="00987F04" w:rsidR="00987F04">
                <w:rPr>
                  <w:sz w:val="22"/>
                  <w:szCs w:val="22"/>
                </w:rPr>
                <w:t xml:space="preserve"> </w:t>
              </w:r>
              <w:r w:rsidRPr="00B71F47" w:rsidR="00987F04">
                <w:rPr>
                  <w:sz w:val="22"/>
                  <w:szCs w:val="22"/>
                </w:rPr>
                <w:t xml:space="preserve">‘indicatieve opgave’ voor </w:t>
              </w:r>
              <w:r w:rsidR="000B315B">
                <w:rPr>
                  <w:sz w:val="22"/>
                  <w:szCs w:val="22"/>
                </w:rPr>
                <w:t>de</w:t>
              </w:r>
              <w:r w:rsidRPr="00B71F47" w:rsidR="00987F04">
                <w:rPr>
                  <w:sz w:val="22"/>
                  <w:szCs w:val="22"/>
                </w:rPr>
                <w:t xml:space="preserve"> gemeenten.</w:t>
              </w:r>
              <w:r w:rsidR="00B56822">
                <w:rPr>
                  <w:sz w:val="22"/>
                  <w:szCs w:val="22"/>
                </w:rPr>
                <w:t xml:space="preserve"> </w:t>
              </w:r>
              <w:r>
                <w:rPr>
                  <w:sz w:val="22"/>
                  <w:szCs w:val="22"/>
                </w:rPr>
                <w:t>O</w:t>
              </w:r>
              <w:r w:rsidRPr="00B71F47">
                <w:rPr>
                  <w:sz w:val="22"/>
                  <w:szCs w:val="22"/>
                </w:rPr>
                <w:t xml:space="preserve">nder leiding van de </w:t>
              </w:r>
              <w:r w:rsidR="009E6FDD">
                <w:rPr>
                  <w:sz w:val="22"/>
                  <w:szCs w:val="22"/>
                </w:rPr>
                <w:t>C</w:t>
              </w:r>
              <w:r w:rsidRPr="00B71F47" w:rsidR="002509B4">
                <w:rPr>
                  <w:sz w:val="22"/>
                  <w:szCs w:val="22"/>
                </w:rPr>
                <w:t>ommissaris</w:t>
              </w:r>
              <w:r w:rsidRPr="00B71F47" w:rsidR="00987F04">
                <w:rPr>
                  <w:sz w:val="22"/>
                  <w:szCs w:val="22"/>
                </w:rPr>
                <w:t xml:space="preserve"> van de Koning (hierna: CdK) als rijksorgaan </w:t>
              </w:r>
              <w:r w:rsidR="00B56822">
                <w:rPr>
                  <w:sz w:val="22"/>
                  <w:szCs w:val="22"/>
                </w:rPr>
                <w:t>wordt</w:t>
              </w:r>
              <w:r w:rsidR="000B315B">
                <w:rPr>
                  <w:sz w:val="22"/>
                  <w:szCs w:val="22"/>
                </w:rPr>
                <w:t xml:space="preserve"> tussen colleges van burgemeester en wethouders, gedeputeerde staten en het COA </w:t>
              </w:r>
              <w:r w:rsidR="005E008A">
                <w:rPr>
                  <w:sz w:val="22"/>
                  <w:szCs w:val="22"/>
                </w:rPr>
                <w:t>overleg gevoerd</w:t>
              </w:r>
              <w:r w:rsidRPr="00B71F47" w:rsidR="00987F04">
                <w:rPr>
                  <w:sz w:val="22"/>
                  <w:szCs w:val="22"/>
                </w:rPr>
                <w:t xml:space="preserve"> over de verdeling </w:t>
              </w:r>
              <w:r w:rsidR="000B315B">
                <w:rPr>
                  <w:sz w:val="22"/>
                  <w:szCs w:val="22"/>
                </w:rPr>
                <w:t xml:space="preserve">van de opvangplaatsen </w:t>
              </w:r>
              <w:r w:rsidRPr="00B71F47" w:rsidR="00987F04">
                <w:rPr>
                  <w:sz w:val="22"/>
                  <w:szCs w:val="22"/>
                </w:rPr>
                <w:t>binnen de provincie</w:t>
              </w:r>
              <w:r w:rsidR="000B315B">
                <w:rPr>
                  <w:sz w:val="22"/>
                  <w:szCs w:val="22"/>
                </w:rPr>
                <w:t xml:space="preserve"> (‘provinciale regietafel’)</w:t>
              </w:r>
              <w:r w:rsidR="004346FD">
                <w:rPr>
                  <w:sz w:val="22"/>
                  <w:szCs w:val="22"/>
                </w:rPr>
                <w:t>. De CdK brengt daarover v</w:t>
              </w:r>
              <w:r w:rsidR="00C856EF">
                <w:rPr>
                  <w:sz w:val="22"/>
                  <w:szCs w:val="22"/>
                </w:rPr>
                <w:t>óó</w:t>
              </w:r>
              <w:r w:rsidR="004346FD">
                <w:rPr>
                  <w:sz w:val="22"/>
                  <w:szCs w:val="22"/>
                </w:rPr>
                <w:t xml:space="preserve">r 1 juli verslag uit aan de minister die dit betrekt </w:t>
              </w:r>
              <w:r w:rsidR="00C856EF">
                <w:rPr>
                  <w:sz w:val="22"/>
                  <w:szCs w:val="22"/>
                </w:rPr>
                <w:t xml:space="preserve">bij het </w:t>
              </w:r>
              <w:r w:rsidR="005D036D">
                <w:rPr>
                  <w:sz w:val="22"/>
                  <w:szCs w:val="22"/>
                </w:rPr>
                <w:t xml:space="preserve">door hem te nemen </w:t>
              </w:r>
              <w:r w:rsidR="00C856EF">
                <w:rPr>
                  <w:sz w:val="22"/>
                  <w:szCs w:val="22"/>
                </w:rPr>
                <w:t>‘</w:t>
              </w:r>
              <w:r w:rsidR="005D036D">
                <w:rPr>
                  <w:sz w:val="22"/>
                  <w:szCs w:val="22"/>
                </w:rPr>
                <w:t>verdeelbesluit</w:t>
              </w:r>
              <w:r w:rsidR="00C856EF">
                <w:rPr>
                  <w:sz w:val="22"/>
                  <w:szCs w:val="22"/>
                </w:rPr>
                <w:t>’</w:t>
              </w:r>
              <w:r w:rsidR="00523E39">
                <w:rPr>
                  <w:sz w:val="22"/>
                  <w:szCs w:val="22"/>
                </w:rPr>
                <w:t xml:space="preserve"> (vóór 1 september)</w:t>
              </w:r>
              <w:r w:rsidR="005D036D">
                <w:rPr>
                  <w:sz w:val="22"/>
                  <w:szCs w:val="22"/>
                </w:rPr>
                <w:t>.</w:t>
              </w:r>
            </w:p>
            <w:p w:rsidR="00987F04" w:rsidP="00987F04" w:rsidRDefault="00987F04" w14:paraId="1C543EA6" w14:textId="77777777">
              <w:pPr>
                <w:rPr>
                  <w:szCs w:val="22"/>
                </w:rPr>
              </w:pPr>
            </w:p>
            <w:p w:rsidR="00987F04" w:rsidP="00987F04" w:rsidRDefault="00523E39" w14:paraId="66F4167B" w14:textId="77777777">
              <w:pPr>
                <w:rPr>
                  <w:szCs w:val="22"/>
                </w:rPr>
              </w:pPr>
              <w:r>
                <w:rPr>
                  <w:szCs w:val="22"/>
                </w:rPr>
                <w:t xml:space="preserve">Om gemeenten zoveel mogelijk aan te zetten tot een vrijwillige bijdrage, </w:t>
              </w:r>
              <w:r w:rsidR="00987F04">
                <w:rPr>
                  <w:szCs w:val="22"/>
                </w:rPr>
                <w:t xml:space="preserve">voorziet het voorstel in de mogelijkheid </w:t>
              </w:r>
              <w:r>
                <w:rPr>
                  <w:szCs w:val="22"/>
                </w:rPr>
                <w:t xml:space="preserve">om, </w:t>
              </w:r>
              <w:r w:rsidR="00987F04">
                <w:rPr>
                  <w:szCs w:val="22"/>
                </w:rPr>
                <w:t xml:space="preserve">in verschillende fasen </w:t>
              </w:r>
              <w:r w:rsidR="00102AD4">
                <w:rPr>
                  <w:szCs w:val="22"/>
                </w:rPr>
                <w:t xml:space="preserve">van </w:t>
              </w:r>
              <w:r w:rsidR="00987F04">
                <w:rPr>
                  <w:szCs w:val="22"/>
                </w:rPr>
                <w:t xml:space="preserve">het bestuurlijke proces, </w:t>
              </w:r>
              <w:r>
                <w:rPr>
                  <w:szCs w:val="22"/>
                </w:rPr>
                <w:t xml:space="preserve">aanvullende uitkeringen te verstrekken. </w:t>
              </w:r>
              <w:r w:rsidR="002F46AE">
                <w:rPr>
                  <w:szCs w:val="22"/>
                </w:rPr>
                <w:t xml:space="preserve">De toelichting spreekt in dat verband over de ‘financiële prikkels’ </w:t>
              </w:r>
              <w:r w:rsidRPr="00A118EA" w:rsidR="002F46AE">
                <w:t>om reeds in een vroeg stadium opvangplaatsen te leveren</w:t>
              </w:r>
              <w:r w:rsidR="002F46AE">
                <w:rPr>
                  <w:szCs w:val="22"/>
                </w:rPr>
                <w:t>.</w:t>
              </w:r>
              <w:r w:rsidR="002F46AE">
                <w:rPr>
                  <w:rStyle w:val="Voetnootmarkering"/>
                  <w:szCs w:val="22"/>
                </w:rPr>
                <w:footnoteReference w:id="6"/>
              </w:r>
              <w:r w:rsidR="002F46AE">
                <w:rPr>
                  <w:szCs w:val="22"/>
                </w:rPr>
                <w:t xml:space="preserve"> Het gaat om aanvullende vergoedingen boven op de reële compensatie van gemaakte kosten.</w:t>
              </w:r>
            </w:p>
            <w:p w:rsidR="00987F04" w:rsidP="00987F04" w:rsidRDefault="00987F04" w14:paraId="3D0F6505" w14:textId="77777777">
              <w:pPr>
                <w:rPr>
                  <w:szCs w:val="22"/>
                </w:rPr>
              </w:pPr>
            </w:p>
            <w:p w:rsidR="008464E7" w:rsidP="00987F04" w:rsidRDefault="00D42800" w14:paraId="07E8BF4F" w14:textId="77777777">
              <w:pPr>
                <w:rPr>
                  <w:szCs w:val="22"/>
                </w:rPr>
              </w:pPr>
              <w:r>
                <w:rPr>
                  <w:szCs w:val="22"/>
                </w:rPr>
                <w:t>De ontvangen extra vergoedingen kunnen blijkens het voorstel in verschillende fasen van de procedure aan de orde zijn.</w:t>
              </w:r>
              <w:r w:rsidR="002F46AE">
                <w:rPr>
                  <w:rStyle w:val="Voetnootmarkering"/>
                  <w:szCs w:val="22"/>
                </w:rPr>
                <w:footnoteReference w:id="7"/>
              </w:r>
              <w:r>
                <w:rPr>
                  <w:szCs w:val="22"/>
                </w:rPr>
                <w:t xml:space="preserve"> Allereerst kunnen </w:t>
              </w:r>
              <w:r w:rsidR="002F46AE">
                <w:rPr>
                  <w:szCs w:val="22"/>
                </w:rPr>
                <w:t xml:space="preserve">gemeenten </w:t>
              </w:r>
              <w:r w:rsidR="00987F04">
                <w:rPr>
                  <w:szCs w:val="22"/>
                </w:rPr>
                <w:t xml:space="preserve">tussen de capaciteitsraming (1 februari) en de vaststelling van de provinciale opgave (1 mei) </w:t>
              </w:r>
              <w:r w:rsidR="002F46AE">
                <w:rPr>
                  <w:szCs w:val="22"/>
                </w:rPr>
                <w:t>aangeven dat zij een bepaald aantal opvangplaatsen ter beschikking willen stellen.</w:t>
              </w:r>
              <w:r w:rsidR="00987F04">
                <w:rPr>
                  <w:szCs w:val="22"/>
                </w:rPr>
                <w:t xml:space="preserve"> Het moet daarbij gaan om opvanglocaties die voor vijf jaar (of langer) beschikbaar worden gesteld (‘duurzaam’).</w:t>
              </w:r>
              <w:r w:rsidR="00FC085F">
                <w:rPr>
                  <w:rStyle w:val="Voetnootmarkering"/>
                  <w:szCs w:val="22"/>
                </w:rPr>
                <w:footnoteReference w:id="8"/>
              </w:r>
              <w:r w:rsidR="00987F04">
                <w:rPr>
                  <w:szCs w:val="22"/>
                </w:rPr>
                <w:t xml:space="preserve"> Het doel daarvan is een grotere vaste voorraad opvangplaatsen te realiseren. </w:t>
              </w:r>
            </w:p>
            <w:p w:rsidR="008464E7" w:rsidP="00987F04" w:rsidRDefault="008464E7" w14:paraId="7484086E" w14:textId="77777777">
              <w:pPr>
                <w:rPr>
                  <w:szCs w:val="22"/>
                </w:rPr>
              </w:pPr>
            </w:p>
            <w:p w:rsidR="00987F04" w:rsidP="00987F04" w:rsidRDefault="00987F04" w14:paraId="12A33FB8" w14:textId="31DCCE05">
              <w:pPr>
                <w:rPr>
                  <w:szCs w:val="22"/>
                </w:rPr>
              </w:pPr>
              <w:r>
                <w:rPr>
                  <w:szCs w:val="22"/>
                </w:rPr>
                <w:t>Voor die vrijwillig ingebrachte</w:t>
              </w:r>
              <w:r w:rsidR="000B315B">
                <w:rPr>
                  <w:szCs w:val="22"/>
                </w:rPr>
                <w:t>,</w:t>
              </w:r>
              <w:r>
                <w:rPr>
                  <w:szCs w:val="22"/>
                </w:rPr>
                <w:t xml:space="preserve"> duurzaam beschikbare opvangplaatsen kunnen gemeenten een </w:t>
              </w:r>
              <w:r w:rsidR="000B315B">
                <w:rPr>
                  <w:szCs w:val="22"/>
                </w:rPr>
                <w:t xml:space="preserve">aanvullende </w:t>
              </w:r>
              <w:r>
                <w:rPr>
                  <w:szCs w:val="22"/>
                </w:rPr>
                <w:t>vergoeding krijgen</w:t>
              </w:r>
              <w:r w:rsidR="000B315B">
                <w:rPr>
                  <w:szCs w:val="22"/>
                </w:rPr>
                <w:t>. G</w:t>
              </w:r>
              <w:r>
                <w:rPr>
                  <w:szCs w:val="22"/>
                </w:rPr>
                <w:t xml:space="preserve">edacht wordt aan een eenmalig bedrag van </w:t>
              </w:r>
              <w:r w:rsidR="00774338">
                <w:rPr>
                  <w:szCs w:val="22"/>
                </w:rPr>
                <w:t>€ </w:t>
              </w:r>
              <w:r>
                <w:rPr>
                  <w:szCs w:val="22"/>
                </w:rPr>
                <w:t>2500 per opvangplaats</w:t>
              </w:r>
              <w:r w:rsidR="000B315B">
                <w:rPr>
                  <w:szCs w:val="22"/>
                </w:rPr>
                <w:t>.</w:t>
              </w:r>
              <w:r>
                <w:rPr>
                  <w:rStyle w:val="Voetnootmarkering"/>
                  <w:szCs w:val="22"/>
                </w:rPr>
                <w:footnoteReference w:id="9"/>
              </w:r>
              <w:r>
                <w:rPr>
                  <w:szCs w:val="22"/>
                </w:rPr>
                <w:t xml:space="preserve"> </w:t>
              </w:r>
              <w:r w:rsidR="000B315B">
                <w:rPr>
                  <w:szCs w:val="22"/>
                </w:rPr>
                <w:t xml:space="preserve">Het </w:t>
              </w:r>
              <w:r w:rsidR="005A323A">
                <w:rPr>
                  <w:szCs w:val="22"/>
                </w:rPr>
                <w:t xml:space="preserve">aantal </w:t>
              </w:r>
              <w:r>
                <w:rPr>
                  <w:szCs w:val="22"/>
                </w:rPr>
                <w:t>vrijwillig ingebrachte</w:t>
              </w:r>
              <w:r w:rsidR="005A323A">
                <w:rPr>
                  <w:szCs w:val="22"/>
                </w:rPr>
                <w:t xml:space="preserve"> </w:t>
              </w:r>
              <w:r>
                <w:rPr>
                  <w:szCs w:val="22"/>
                </w:rPr>
                <w:t>opvanglocaties word</w:t>
              </w:r>
              <w:r w:rsidR="005A323A">
                <w:rPr>
                  <w:szCs w:val="22"/>
                </w:rPr>
                <w:t>t</w:t>
              </w:r>
              <w:r>
                <w:rPr>
                  <w:szCs w:val="22"/>
                </w:rPr>
                <w:t xml:space="preserve"> in minder</w:t>
              </w:r>
              <w:r w:rsidR="005A323A">
                <w:rPr>
                  <w:szCs w:val="22"/>
                </w:rPr>
                <w:t>ing</w:t>
              </w:r>
              <w:r>
                <w:rPr>
                  <w:szCs w:val="22"/>
                </w:rPr>
                <w:t xml:space="preserve"> gebracht op de </w:t>
              </w:r>
              <w:r w:rsidR="005A323A">
                <w:rPr>
                  <w:szCs w:val="22"/>
                </w:rPr>
                <w:t>capaciteitsraming</w:t>
              </w:r>
              <w:r>
                <w:rPr>
                  <w:szCs w:val="22"/>
                </w:rPr>
                <w:t xml:space="preserve">. Het aantal dat overblijft vormt het minimaal aantal opvanglocaties dat door middel van het provinciale overleg moet worden verdeeld onder de </w:t>
              </w:r>
              <w:r w:rsidR="000B315B">
                <w:rPr>
                  <w:szCs w:val="22"/>
                </w:rPr>
                <w:t>gemeenten.</w:t>
              </w:r>
              <w:r>
                <w:rPr>
                  <w:szCs w:val="22"/>
                </w:rPr>
                <w:t xml:space="preserve"> </w:t>
              </w:r>
            </w:p>
            <w:p w:rsidR="00987F04" w:rsidP="00987F04" w:rsidRDefault="00987F04" w14:paraId="1BD03396" w14:textId="77777777"/>
            <w:p w:rsidR="005B7C7E" w:rsidP="00987F04" w:rsidRDefault="00987F04" w14:paraId="1D57CEBF" w14:textId="77777777">
              <w:pPr>
                <w:rPr>
                  <w:szCs w:val="22"/>
                </w:rPr>
              </w:pPr>
              <w:r>
                <w:t xml:space="preserve">Om te komen tot het daadwerkelijk realiseren van </w:t>
              </w:r>
              <w:r w:rsidR="000B315B">
                <w:t>het aantal vastgestelde opvanglocaties</w:t>
              </w:r>
              <w:r>
                <w:t xml:space="preserve"> is </w:t>
              </w:r>
              <w:r w:rsidR="00D42800">
                <w:t xml:space="preserve">in een volgende fase </w:t>
              </w:r>
              <w:r w:rsidR="000B315B">
                <w:t>opnieuw een</w:t>
              </w:r>
              <w:r>
                <w:t xml:space="preserve"> financiële prikkel ingebouwd, gekoppeld</w:t>
              </w:r>
              <w:r w:rsidR="005A323A">
                <w:t xml:space="preserve"> </w:t>
              </w:r>
              <w:r>
                <w:t>aan een termijn van twee jaar. W</w:t>
              </w:r>
              <w:r>
                <w:rPr>
                  <w:szCs w:val="22"/>
                </w:rPr>
                <w:t xml:space="preserve">anneer binnen de termijn van twee jaar 75% of meer opvangplaatsen </w:t>
              </w:r>
              <w:r w:rsidR="005A323A">
                <w:rPr>
                  <w:szCs w:val="22"/>
                </w:rPr>
                <w:t>gerealiseerd zijn ten opzichte van het aantal dat in</w:t>
              </w:r>
              <w:r>
                <w:rPr>
                  <w:szCs w:val="22"/>
                </w:rPr>
                <w:t xml:space="preserve"> het verdeelbesluit is vastgesteld, dan verstrekt de minister de provincie en</w:t>
              </w:r>
              <w:r w:rsidR="005A323A">
                <w:rPr>
                  <w:szCs w:val="22"/>
                </w:rPr>
                <w:t xml:space="preserve"> betreffende</w:t>
              </w:r>
              <w:r>
                <w:rPr>
                  <w:szCs w:val="22"/>
                </w:rPr>
                <w:t xml:space="preserve"> gemeenten een uitkering. </w:t>
              </w:r>
              <w:r w:rsidR="002F46AE">
                <w:rPr>
                  <w:szCs w:val="22"/>
                </w:rPr>
                <w:t>Nadere uitwerking van de</w:t>
              </w:r>
              <w:r>
                <w:rPr>
                  <w:szCs w:val="22"/>
                </w:rPr>
                <w:t xml:space="preserve"> verdeling </w:t>
              </w:r>
              <w:r w:rsidR="005A323A">
                <w:rPr>
                  <w:szCs w:val="22"/>
                </w:rPr>
                <w:t xml:space="preserve">van die uitkering tussen de provincie en gemeenten </w:t>
              </w:r>
              <w:r>
                <w:rPr>
                  <w:szCs w:val="22"/>
                </w:rPr>
                <w:t xml:space="preserve">vindt plaats bij </w:t>
              </w:r>
              <w:r w:rsidRPr="00C76EF2" w:rsidR="00C76EF2">
                <w:rPr>
                  <w:szCs w:val="22"/>
                </w:rPr>
                <w:t>ministeriële</w:t>
              </w:r>
              <w:r w:rsidR="00C76EF2">
                <w:rPr>
                  <w:szCs w:val="22"/>
                </w:rPr>
                <w:t xml:space="preserve"> </w:t>
              </w:r>
              <w:r>
                <w:rPr>
                  <w:szCs w:val="22"/>
                </w:rPr>
                <w:t xml:space="preserve">regeling. </w:t>
              </w:r>
            </w:p>
            <w:p w:rsidR="005B7C7E" w:rsidP="00987F04" w:rsidRDefault="005B7C7E" w14:paraId="4CA33347" w14:textId="77777777">
              <w:pPr>
                <w:rPr>
                  <w:szCs w:val="22"/>
                </w:rPr>
              </w:pPr>
            </w:p>
            <w:p w:rsidR="00987F04" w:rsidP="00987F04" w:rsidRDefault="00987F04" w14:paraId="2BF305FB" w14:textId="77777777">
              <w:pPr>
                <w:rPr>
                  <w:szCs w:val="22"/>
                </w:rPr>
              </w:pPr>
              <w:r>
                <w:rPr>
                  <w:szCs w:val="22"/>
                </w:rPr>
                <w:t xml:space="preserve">De </w:t>
              </w:r>
              <w:r w:rsidR="003A0CC8">
                <w:rPr>
                  <w:szCs w:val="22"/>
                </w:rPr>
                <w:t xml:space="preserve">voorgestelde </w:t>
              </w:r>
              <w:r>
                <w:rPr>
                  <w:szCs w:val="22"/>
                </w:rPr>
                <w:t xml:space="preserve">systematiek komt </w:t>
              </w:r>
              <w:r w:rsidR="000B315B">
                <w:rPr>
                  <w:szCs w:val="22"/>
                </w:rPr>
                <w:t xml:space="preserve">daarmee </w:t>
              </w:r>
              <w:r>
                <w:rPr>
                  <w:szCs w:val="22"/>
                </w:rPr>
                <w:t>schematisch op het volgende neer.</w:t>
              </w:r>
            </w:p>
            <w:p w:rsidR="00EC0E15" w:rsidP="00987F04" w:rsidRDefault="00EC0E15" w14:paraId="25394A33" w14:textId="77777777">
              <w:pPr>
                <w:pStyle w:val="Default"/>
                <w:rPr>
                  <w:sz w:val="22"/>
                  <w:szCs w:val="22"/>
                </w:rPr>
              </w:pPr>
            </w:p>
            <w:tbl>
              <w:tblPr>
                <w:tblStyle w:val="Tabelraster"/>
                <w:tblW w:w="8500" w:type="dxa"/>
                <w:tblLook w:val="04A0" w:firstRow="1" w:lastRow="0" w:firstColumn="1" w:lastColumn="0" w:noHBand="0" w:noVBand="1"/>
              </w:tblPr>
              <w:tblGrid>
                <w:gridCol w:w="475"/>
                <w:gridCol w:w="1187"/>
                <w:gridCol w:w="3436"/>
                <w:gridCol w:w="3402"/>
              </w:tblGrid>
              <w:tr w:rsidR="002F46AE" w:rsidTr="00F131CC" w14:paraId="55276999" w14:textId="77777777">
                <w:tc>
                  <w:tcPr>
                    <w:tcW w:w="475" w:type="dxa"/>
                  </w:tcPr>
                  <w:p w:rsidRPr="00476687" w:rsidR="002F46AE" w:rsidP="00F131CC" w:rsidRDefault="002F46AE" w14:paraId="21E03C1A" w14:textId="77777777">
                    <w:pPr>
                      <w:rPr>
                        <w:b/>
                        <w:bCs/>
                        <w:sz w:val="20"/>
                        <w:szCs w:val="20"/>
                      </w:rPr>
                    </w:pPr>
                  </w:p>
                </w:tc>
                <w:tc>
                  <w:tcPr>
                    <w:tcW w:w="8025" w:type="dxa"/>
                    <w:gridSpan w:val="3"/>
                  </w:tcPr>
                  <w:p w:rsidRPr="00476687" w:rsidR="002F46AE" w:rsidP="00F131CC" w:rsidRDefault="002F46AE" w14:paraId="326E866A" w14:textId="77777777">
                    <w:pPr>
                      <w:rPr>
                        <w:b/>
                        <w:bCs/>
                        <w:sz w:val="20"/>
                        <w:szCs w:val="20"/>
                      </w:rPr>
                    </w:pPr>
                    <w:r w:rsidRPr="00476687">
                      <w:rPr>
                        <w:b/>
                        <w:bCs/>
                        <w:sz w:val="20"/>
                        <w:szCs w:val="20"/>
                      </w:rPr>
                      <w:t>Tweejaarlijkse cyclus</w:t>
                    </w:r>
                  </w:p>
                </w:tc>
              </w:tr>
              <w:tr w:rsidR="002F46AE" w:rsidTr="00F131CC" w14:paraId="32722869" w14:textId="77777777">
                <w:tc>
                  <w:tcPr>
                    <w:tcW w:w="475" w:type="dxa"/>
                  </w:tcPr>
                  <w:p w:rsidRPr="00476687" w:rsidR="002F46AE" w:rsidP="00F131CC" w:rsidRDefault="002F46AE" w14:paraId="640AEB4C" w14:textId="77777777">
                    <w:pPr>
                      <w:rPr>
                        <w:sz w:val="20"/>
                        <w:szCs w:val="20"/>
                      </w:rPr>
                    </w:pPr>
                  </w:p>
                </w:tc>
                <w:tc>
                  <w:tcPr>
                    <w:tcW w:w="1187" w:type="dxa"/>
                  </w:tcPr>
                  <w:p w:rsidRPr="00476687" w:rsidR="002F46AE" w:rsidP="00F131CC" w:rsidRDefault="002F46AE" w14:paraId="11F19ED9" w14:textId="77777777">
                    <w:pPr>
                      <w:rPr>
                        <w:sz w:val="20"/>
                        <w:szCs w:val="20"/>
                      </w:rPr>
                    </w:pPr>
                    <w:r w:rsidRPr="00476687">
                      <w:rPr>
                        <w:sz w:val="20"/>
                        <w:szCs w:val="20"/>
                      </w:rPr>
                      <w:t>Datum</w:t>
                    </w:r>
                  </w:p>
                </w:tc>
                <w:tc>
                  <w:tcPr>
                    <w:tcW w:w="3436" w:type="dxa"/>
                  </w:tcPr>
                  <w:p w:rsidRPr="00476687" w:rsidR="002F46AE" w:rsidP="00F131CC" w:rsidRDefault="002F46AE" w14:paraId="7D67B54F" w14:textId="77777777">
                    <w:pPr>
                      <w:rPr>
                        <w:sz w:val="20"/>
                        <w:szCs w:val="20"/>
                      </w:rPr>
                    </w:pPr>
                    <w:r w:rsidRPr="00476687">
                      <w:rPr>
                        <w:sz w:val="20"/>
                        <w:szCs w:val="20"/>
                      </w:rPr>
                      <w:t xml:space="preserve">Processtap </w:t>
                    </w:r>
                  </w:p>
                </w:tc>
                <w:tc>
                  <w:tcPr>
                    <w:tcW w:w="3402" w:type="dxa"/>
                  </w:tcPr>
                  <w:p w:rsidRPr="00476687" w:rsidR="002F46AE" w:rsidP="00F131CC" w:rsidRDefault="002F46AE" w14:paraId="0EA386AC" w14:textId="77777777">
                    <w:pPr>
                      <w:rPr>
                        <w:sz w:val="20"/>
                        <w:szCs w:val="20"/>
                      </w:rPr>
                    </w:pPr>
                    <w:r w:rsidRPr="00476687">
                      <w:rPr>
                        <w:sz w:val="20"/>
                        <w:szCs w:val="20"/>
                      </w:rPr>
                      <w:t>Bijzonderheden</w:t>
                    </w:r>
                  </w:p>
                </w:tc>
              </w:tr>
              <w:tr w:rsidR="002F46AE" w:rsidTr="00F131CC" w14:paraId="3802ECED" w14:textId="77777777">
                <w:tc>
                  <w:tcPr>
                    <w:tcW w:w="475" w:type="dxa"/>
                  </w:tcPr>
                  <w:p w:rsidRPr="00476687" w:rsidR="002F46AE" w:rsidP="00F131CC" w:rsidRDefault="002F46AE" w14:paraId="60851943" w14:textId="77777777">
                    <w:pPr>
                      <w:rPr>
                        <w:sz w:val="20"/>
                        <w:szCs w:val="20"/>
                      </w:rPr>
                    </w:pPr>
                  </w:p>
                </w:tc>
                <w:tc>
                  <w:tcPr>
                    <w:tcW w:w="1187" w:type="dxa"/>
                  </w:tcPr>
                  <w:p w:rsidRPr="00476687" w:rsidR="002F46AE" w:rsidP="00F131CC" w:rsidRDefault="002F46AE" w14:paraId="6D27065D" w14:textId="77777777">
                    <w:pPr>
                      <w:rPr>
                        <w:sz w:val="20"/>
                        <w:szCs w:val="20"/>
                      </w:rPr>
                    </w:pPr>
                    <w:r w:rsidRPr="00476687">
                      <w:rPr>
                        <w:sz w:val="20"/>
                        <w:szCs w:val="20"/>
                      </w:rPr>
                      <w:t>Vóór 1 februari</w:t>
                    </w:r>
                  </w:p>
                </w:tc>
                <w:tc>
                  <w:tcPr>
                    <w:tcW w:w="3436" w:type="dxa"/>
                  </w:tcPr>
                  <w:p w:rsidRPr="00476687" w:rsidR="002F46AE" w:rsidP="00F131CC" w:rsidRDefault="002F46AE" w14:paraId="0D2C14A0" w14:textId="1B74BBD1">
                    <w:pPr>
                      <w:rPr>
                        <w:sz w:val="20"/>
                        <w:szCs w:val="20"/>
                      </w:rPr>
                    </w:pPr>
                    <w:r w:rsidRPr="00476687">
                      <w:rPr>
                        <w:sz w:val="20"/>
                        <w:szCs w:val="20"/>
                      </w:rPr>
                      <w:t xml:space="preserve">Bekendmaking door de </w:t>
                    </w:r>
                    <w:r w:rsidR="008E5F85">
                      <w:rPr>
                        <w:sz w:val="20"/>
                        <w:szCs w:val="20"/>
                      </w:rPr>
                      <w:t>minister</w:t>
                    </w:r>
                    <w:r w:rsidRPr="00476687">
                      <w:rPr>
                        <w:sz w:val="20"/>
                        <w:szCs w:val="20"/>
                      </w:rPr>
                      <w:t xml:space="preserve"> hoeveel opvangplaatsen de komende twee jaar naar verwachting behoefte zal zijn.</w:t>
                    </w:r>
                  </w:p>
                </w:tc>
                <w:tc>
                  <w:tcPr>
                    <w:tcW w:w="3402" w:type="dxa"/>
                  </w:tcPr>
                  <w:p w:rsidRPr="00476687" w:rsidR="002F46AE" w:rsidP="00F131CC" w:rsidRDefault="002F46AE" w14:paraId="6F1FF4E5" w14:textId="77777777">
                    <w:pPr>
                      <w:rPr>
                        <w:sz w:val="20"/>
                        <w:szCs w:val="20"/>
                      </w:rPr>
                    </w:pPr>
                  </w:p>
                </w:tc>
              </w:tr>
              <w:tr w:rsidR="002F46AE" w:rsidTr="00F131CC" w14:paraId="419BC38B" w14:textId="77777777">
                <w:tc>
                  <w:tcPr>
                    <w:tcW w:w="475" w:type="dxa"/>
                    <w:vMerge w:val="restart"/>
                    <w:textDirection w:val="btLr"/>
                  </w:tcPr>
                  <w:p w:rsidRPr="00476687" w:rsidR="002F46AE" w:rsidP="00F131CC" w:rsidRDefault="002F46AE" w14:paraId="63482420" w14:textId="77777777">
                    <w:pPr>
                      <w:ind w:left="113" w:right="113"/>
                      <w:jc w:val="center"/>
                      <w:rPr>
                        <w:sz w:val="20"/>
                        <w:szCs w:val="20"/>
                      </w:rPr>
                    </w:pPr>
                    <w:r w:rsidRPr="00476687">
                      <w:rPr>
                        <w:sz w:val="20"/>
                        <w:szCs w:val="20"/>
                      </w:rPr>
                      <w:t>Nationale inbreng</w:t>
                    </w:r>
                  </w:p>
                </w:tc>
                <w:tc>
                  <w:tcPr>
                    <w:tcW w:w="1187" w:type="dxa"/>
                  </w:tcPr>
                  <w:p w:rsidR="002F46AE" w:rsidP="00F131CC" w:rsidRDefault="002F46AE" w14:paraId="619ECC45" w14:textId="77777777">
                    <w:pPr>
                      <w:rPr>
                        <w:sz w:val="20"/>
                        <w:szCs w:val="20"/>
                      </w:rPr>
                    </w:pPr>
                    <w:r w:rsidRPr="00476687">
                      <w:rPr>
                        <w:sz w:val="20"/>
                        <w:szCs w:val="20"/>
                      </w:rPr>
                      <w:t xml:space="preserve">Tussen </w:t>
                    </w:r>
                  </w:p>
                  <w:p w:rsidRPr="00476687" w:rsidR="002F46AE" w:rsidP="00F131CC" w:rsidRDefault="002F46AE" w14:paraId="240F5B72" w14:textId="77777777">
                    <w:pPr>
                      <w:rPr>
                        <w:sz w:val="20"/>
                        <w:szCs w:val="20"/>
                      </w:rPr>
                    </w:pPr>
                    <w:r w:rsidRPr="00476687">
                      <w:rPr>
                        <w:sz w:val="20"/>
                        <w:szCs w:val="20"/>
                      </w:rPr>
                      <w:t>1 februari en 1 mei</w:t>
                    </w:r>
                  </w:p>
                </w:tc>
                <w:tc>
                  <w:tcPr>
                    <w:tcW w:w="3436" w:type="dxa"/>
                  </w:tcPr>
                  <w:p w:rsidRPr="00476687" w:rsidR="002F46AE" w:rsidP="00F131CC" w:rsidRDefault="002F46AE" w14:paraId="7C33D8DC" w14:textId="77777777">
                    <w:pPr>
                      <w:rPr>
                        <w:sz w:val="20"/>
                        <w:szCs w:val="20"/>
                      </w:rPr>
                    </w:pPr>
                    <w:r w:rsidRPr="00476687">
                      <w:rPr>
                        <w:sz w:val="20"/>
                        <w:szCs w:val="20"/>
                      </w:rPr>
                      <w:t xml:space="preserve">Mogelijkheid voor gemeenten om vrijwillig opvangplaatsen ter beschikking te stellen die voor vijf jaar of langer beschikbaar zijn. </w:t>
                    </w:r>
                  </w:p>
                </w:tc>
                <w:tc>
                  <w:tcPr>
                    <w:tcW w:w="3402" w:type="dxa"/>
                  </w:tcPr>
                  <w:p w:rsidRPr="00476687" w:rsidR="002F46AE" w:rsidP="00F131CC" w:rsidRDefault="002F46AE" w14:paraId="6C1375D1" w14:textId="4E0A0B2E">
                    <w:pPr>
                      <w:rPr>
                        <w:sz w:val="20"/>
                        <w:szCs w:val="20"/>
                      </w:rPr>
                    </w:pPr>
                    <w:r w:rsidRPr="00476687">
                      <w:rPr>
                        <w:sz w:val="20"/>
                        <w:szCs w:val="20"/>
                      </w:rPr>
                      <w:t xml:space="preserve">Deze opvangplaatsen leveren (in de vorm van een specifieke uitkering) een bonus van </w:t>
                    </w:r>
                    <w:r w:rsidR="00C33151">
                      <w:rPr>
                        <w:sz w:val="20"/>
                        <w:szCs w:val="20"/>
                      </w:rPr>
                      <w:t>€</w:t>
                    </w:r>
                    <w:r w:rsidR="00040CE4">
                      <w:rPr>
                        <w:sz w:val="20"/>
                        <w:szCs w:val="20"/>
                      </w:rPr>
                      <w:t> </w:t>
                    </w:r>
                    <w:r w:rsidRPr="00476687">
                      <w:rPr>
                        <w:sz w:val="20"/>
                        <w:szCs w:val="20"/>
                      </w:rPr>
                      <w:t>2500 op.</w:t>
                    </w:r>
                  </w:p>
                </w:tc>
              </w:tr>
              <w:tr w:rsidR="002F46AE" w:rsidTr="00F131CC" w14:paraId="16DD3286" w14:textId="77777777">
                <w:tc>
                  <w:tcPr>
                    <w:tcW w:w="475" w:type="dxa"/>
                    <w:vMerge/>
                  </w:tcPr>
                  <w:p w:rsidRPr="00476687" w:rsidR="002F46AE" w:rsidP="00F131CC" w:rsidRDefault="002F46AE" w14:paraId="0FA985A3" w14:textId="77777777">
                    <w:pPr>
                      <w:rPr>
                        <w:sz w:val="20"/>
                        <w:szCs w:val="20"/>
                      </w:rPr>
                    </w:pPr>
                  </w:p>
                </w:tc>
                <w:tc>
                  <w:tcPr>
                    <w:tcW w:w="1187" w:type="dxa"/>
                  </w:tcPr>
                  <w:p w:rsidRPr="00476687" w:rsidR="002F46AE" w:rsidP="00F131CC" w:rsidRDefault="002F46AE" w14:paraId="75788565" w14:textId="77777777">
                    <w:pPr>
                      <w:rPr>
                        <w:sz w:val="20"/>
                        <w:szCs w:val="20"/>
                      </w:rPr>
                    </w:pPr>
                    <w:r w:rsidRPr="00476687">
                      <w:rPr>
                        <w:sz w:val="20"/>
                        <w:szCs w:val="20"/>
                      </w:rPr>
                      <w:t>Vóór 1 mei</w:t>
                    </w:r>
                  </w:p>
                </w:tc>
                <w:tc>
                  <w:tcPr>
                    <w:tcW w:w="3436" w:type="dxa"/>
                  </w:tcPr>
                  <w:p w:rsidR="002F46AE" w:rsidP="00F131CC" w:rsidRDefault="002F46AE" w14:paraId="2BA262F6" w14:textId="1F7CF2D5">
                    <w:pPr>
                      <w:rPr>
                        <w:sz w:val="20"/>
                        <w:szCs w:val="20"/>
                      </w:rPr>
                    </w:pPr>
                    <w:r w:rsidRPr="00476687">
                      <w:rPr>
                        <w:sz w:val="20"/>
                        <w:szCs w:val="20"/>
                      </w:rPr>
                      <w:t xml:space="preserve">Bekendmaking door de </w:t>
                    </w:r>
                    <w:r w:rsidR="008E5F85">
                      <w:rPr>
                        <w:sz w:val="20"/>
                        <w:szCs w:val="20"/>
                      </w:rPr>
                      <w:t>minister</w:t>
                    </w:r>
                    <w:r w:rsidRPr="00476687">
                      <w:rPr>
                        <w:sz w:val="20"/>
                        <w:szCs w:val="20"/>
                      </w:rPr>
                      <w:t xml:space="preserve"> van het bindende aantal opvangplaatsen per provincie moet worden gerealiseerd</w:t>
                    </w:r>
                    <w:r>
                      <w:rPr>
                        <w:sz w:val="20"/>
                        <w:szCs w:val="20"/>
                      </w:rPr>
                      <w:t xml:space="preserve"> (‘provinciale opgave’)</w:t>
                    </w:r>
                    <w:r w:rsidRPr="00476687">
                      <w:rPr>
                        <w:sz w:val="20"/>
                        <w:szCs w:val="20"/>
                      </w:rPr>
                      <w:t xml:space="preserve">. </w:t>
                    </w:r>
                  </w:p>
                  <w:p w:rsidR="00E74FD0" w:rsidP="00F131CC" w:rsidRDefault="00E74FD0" w14:paraId="043CFBBC" w14:textId="77777777">
                    <w:pPr>
                      <w:rPr>
                        <w:sz w:val="20"/>
                        <w:szCs w:val="20"/>
                      </w:rPr>
                    </w:pPr>
                  </w:p>
                  <w:p w:rsidRPr="00476687" w:rsidR="002F46AE" w:rsidP="00F131CC" w:rsidRDefault="002F46AE" w14:paraId="0FBB472B" w14:textId="2D315CFD">
                    <w:pPr>
                      <w:rPr>
                        <w:sz w:val="20"/>
                        <w:szCs w:val="20"/>
                      </w:rPr>
                    </w:pPr>
                    <w:r w:rsidRPr="00476687">
                      <w:rPr>
                        <w:sz w:val="20"/>
                        <w:szCs w:val="20"/>
                      </w:rPr>
                      <w:t xml:space="preserve">Daarbij stelt de </w:t>
                    </w:r>
                    <w:r w:rsidR="008E5F85">
                      <w:rPr>
                        <w:sz w:val="20"/>
                        <w:szCs w:val="20"/>
                      </w:rPr>
                      <w:t>minister</w:t>
                    </w:r>
                    <w:r w:rsidRPr="00476687">
                      <w:rPr>
                        <w:sz w:val="20"/>
                        <w:szCs w:val="20"/>
                      </w:rPr>
                      <w:t xml:space="preserve"> tevens een indicatieve verdeling per gemeente op.</w:t>
                    </w:r>
                  </w:p>
                </w:tc>
                <w:tc>
                  <w:tcPr>
                    <w:tcW w:w="3402" w:type="dxa"/>
                  </w:tcPr>
                  <w:p w:rsidR="002F46AE" w:rsidP="00F131CC" w:rsidRDefault="002F46AE" w14:paraId="1EA60142" w14:textId="77777777">
                    <w:pPr>
                      <w:rPr>
                        <w:sz w:val="20"/>
                        <w:szCs w:val="20"/>
                      </w:rPr>
                    </w:pPr>
                    <w:r>
                      <w:rPr>
                        <w:sz w:val="20"/>
                        <w:szCs w:val="20"/>
                      </w:rPr>
                      <w:t>B</w:t>
                    </w:r>
                    <w:r w:rsidRPr="00476687">
                      <w:rPr>
                        <w:sz w:val="20"/>
                        <w:szCs w:val="20"/>
                      </w:rPr>
                      <w:t>etreft de verwachte behoefte (raming 1 februari) minus het aantal bestaande plaatsen en de vrijwillig door gemeenten</w:t>
                    </w:r>
                    <w:r>
                      <w:rPr>
                        <w:sz w:val="20"/>
                        <w:szCs w:val="20"/>
                      </w:rPr>
                      <w:t xml:space="preserve"> a</w:t>
                    </w:r>
                    <w:r w:rsidRPr="00476687">
                      <w:rPr>
                        <w:sz w:val="20"/>
                        <w:szCs w:val="20"/>
                      </w:rPr>
                      <w:t xml:space="preserve">angeboden aantal plaatsen. </w:t>
                    </w:r>
                  </w:p>
                  <w:p w:rsidR="002F46AE" w:rsidP="00F131CC" w:rsidRDefault="002F46AE" w14:paraId="618B0323" w14:textId="77777777">
                    <w:pPr>
                      <w:rPr>
                        <w:sz w:val="20"/>
                        <w:szCs w:val="20"/>
                      </w:rPr>
                    </w:pPr>
                  </w:p>
                  <w:p w:rsidRPr="00476687" w:rsidR="002F46AE" w:rsidP="00F131CC" w:rsidRDefault="002F46AE" w14:paraId="2D043E77" w14:textId="49E7300E">
                    <w:pPr>
                      <w:rPr>
                        <w:sz w:val="20"/>
                        <w:szCs w:val="20"/>
                      </w:rPr>
                    </w:pPr>
                    <w:r>
                      <w:rPr>
                        <w:sz w:val="20"/>
                        <w:szCs w:val="20"/>
                      </w:rPr>
                      <w:t xml:space="preserve">De provinciale opgave wordt </w:t>
                    </w:r>
                    <w:r w:rsidR="00DB5D45">
                      <w:rPr>
                        <w:sz w:val="20"/>
                        <w:szCs w:val="20"/>
                      </w:rPr>
                      <w:t>volgens de bij</w:t>
                    </w:r>
                    <w:r>
                      <w:rPr>
                        <w:sz w:val="20"/>
                        <w:szCs w:val="20"/>
                      </w:rPr>
                      <w:t xml:space="preserve"> amvb </w:t>
                    </w:r>
                    <w:r w:rsidR="00DB5D45">
                      <w:rPr>
                        <w:sz w:val="20"/>
                        <w:szCs w:val="20"/>
                      </w:rPr>
                      <w:t xml:space="preserve">vastgelegde systematiek </w:t>
                    </w:r>
                    <w:r>
                      <w:rPr>
                        <w:sz w:val="20"/>
                        <w:szCs w:val="20"/>
                      </w:rPr>
                      <w:t>bekend gemaakt.</w:t>
                    </w:r>
                    <w:r w:rsidR="00245FF5">
                      <w:rPr>
                        <w:rStyle w:val="Voetnootmarkering"/>
                        <w:sz w:val="20"/>
                        <w:szCs w:val="20"/>
                      </w:rPr>
                      <w:footnoteReference w:id="10"/>
                    </w:r>
                    <w:r>
                      <w:rPr>
                        <w:sz w:val="20"/>
                        <w:szCs w:val="20"/>
                      </w:rPr>
                      <w:t xml:space="preserve"> </w:t>
                    </w:r>
                  </w:p>
                </w:tc>
              </w:tr>
              <w:tr w:rsidR="002F46AE" w:rsidTr="00F131CC" w14:paraId="70611E7F" w14:textId="77777777">
                <w:tc>
                  <w:tcPr>
                    <w:tcW w:w="475" w:type="dxa"/>
                    <w:vMerge w:val="restart"/>
                    <w:textDirection w:val="btLr"/>
                  </w:tcPr>
                  <w:p w:rsidRPr="00476687" w:rsidR="002F46AE" w:rsidP="00F131CC" w:rsidRDefault="002F46AE" w14:paraId="3EE8099C" w14:textId="77777777">
                    <w:pPr>
                      <w:ind w:left="113" w:right="113"/>
                      <w:jc w:val="center"/>
                      <w:rPr>
                        <w:sz w:val="20"/>
                        <w:szCs w:val="20"/>
                      </w:rPr>
                    </w:pPr>
                    <w:r w:rsidRPr="00476687">
                      <w:rPr>
                        <w:sz w:val="20"/>
                        <w:szCs w:val="20"/>
                      </w:rPr>
                      <w:t>Provinciale inbreng</w:t>
                    </w:r>
                  </w:p>
                </w:tc>
                <w:tc>
                  <w:tcPr>
                    <w:tcW w:w="1187" w:type="dxa"/>
                  </w:tcPr>
                  <w:p w:rsidR="002F46AE" w:rsidP="00F131CC" w:rsidRDefault="002F46AE" w14:paraId="66C571B9" w14:textId="77777777">
                    <w:pPr>
                      <w:rPr>
                        <w:sz w:val="20"/>
                        <w:szCs w:val="20"/>
                      </w:rPr>
                    </w:pPr>
                    <w:r w:rsidRPr="00476687">
                      <w:rPr>
                        <w:sz w:val="20"/>
                        <w:szCs w:val="20"/>
                      </w:rPr>
                      <w:t xml:space="preserve">Tussen </w:t>
                    </w:r>
                  </w:p>
                  <w:p w:rsidR="002F46AE" w:rsidP="00F131CC" w:rsidRDefault="002F46AE" w14:paraId="3FA8AE0F" w14:textId="77777777">
                    <w:pPr>
                      <w:rPr>
                        <w:sz w:val="20"/>
                        <w:szCs w:val="20"/>
                      </w:rPr>
                    </w:pPr>
                    <w:r w:rsidRPr="00476687">
                      <w:rPr>
                        <w:sz w:val="20"/>
                        <w:szCs w:val="20"/>
                      </w:rPr>
                      <w:t xml:space="preserve">1 mei </w:t>
                    </w:r>
                  </w:p>
                  <w:p w:rsidRPr="00476687" w:rsidR="002F46AE" w:rsidP="00F131CC" w:rsidRDefault="002F46AE" w14:paraId="452A45D9" w14:textId="77777777">
                    <w:pPr>
                      <w:rPr>
                        <w:sz w:val="20"/>
                        <w:szCs w:val="20"/>
                      </w:rPr>
                    </w:pPr>
                    <w:r w:rsidRPr="00476687">
                      <w:rPr>
                        <w:sz w:val="20"/>
                        <w:szCs w:val="20"/>
                      </w:rPr>
                      <w:t>en 1 juli</w:t>
                    </w:r>
                  </w:p>
                </w:tc>
                <w:tc>
                  <w:tcPr>
                    <w:tcW w:w="3436" w:type="dxa"/>
                  </w:tcPr>
                  <w:p w:rsidRPr="00476687" w:rsidR="002F46AE" w:rsidP="00F131CC" w:rsidRDefault="002F46AE" w14:paraId="01C66BDB" w14:textId="77777777">
                    <w:pPr>
                      <w:rPr>
                        <w:sz w:val="20"/>
                        <w:szCs w:val="20"/>
                      </w:rPr>
                    </w:pPr>
                    <w:r w:rsidRPr="00476687">
                      <w:rPr>
                        <w:sz w:val="20"/>
                        <w:szCs w:val="20"/>
                      </w:rPr>
                      <w:t>Provinciale regietafels onder leiding van de CdK’s om overeenstemming te bereiken over welke gemeenten de opvangplaatsen</w:t>
                    </w:r>
                    <w:r>
                      <w:rPr>
                        <w:sz w:val="20"/>
                        <w:szCs w:val="20"/>
                      </w:rPr>
                      <w:t xml:space="preserve"> </w:t>
                    </w:r>
                    <w:r w:rsidRPr="00476687">
                      <w:rPr>
                        <w:sz w:val="20"/>
                        <w:szCs w:val="20"/>
                      </w:rPr>
                      <w:t>gaan realiseren en welke aantallen het betreft.</w:t>
                    </w:r>
                    <w:r>
                      <w:rPr>
                        <w:sz w:val="20"/>
                        <w:szCs w:val="20"/>
                      </w:rPr>
                      <w:t xml:space="preserve"> </w:t>
                    </w:r>
                  </w:p>
                </w:tc>
                <w:tc>
                  <w:tcPr>
                    <w:tcW w:w="3402" w:type="dxa"/>
                  </w:tcPr>
                  <w:p w:rsidRPr="00476687" w:rsidR="002F46AE" w:rsidP="00F131CC" w:rsidRDefault="002F46AE" w14:paraId="342451C1" w14:textId="77777777">
                    <w:pPr>
                      <w:rPr>
                        <w:sz w:val="20"/>
                        <w:szCs w:val="20"/>
                      </w:rPr>
                    </w:pPr>
                  </w:p>
                </w:tc>
              </w:tr>
              <w:tr w:rsidR="002F46AE" w:rsidTr="00F131CC" w14:paraId="1C703DB9" w14:textId="77777777">
                <w:tc>
                  <w:tcPr>
                    <w:tcW w:w="475" w:type="dxa"/>
                    <w:vMerge/>
                  </w:tcPr>
                  <w:p w:rsidRPr="00476687" w:rsidR="002F46AE" w:rsidP="00F131CC" w:rsidRDefault="002F46AE" w14:paraId="58DBE69F" w14:textId="77777777">
                    <w:pPr>
                      <w:rPr>
                        <w:sz w:val="20"/>
                        <w:szCs w:val="20"/>
                      </w:rPr>
                    </w:pPr>
                  </w:p>
                </w:tc>
                <w:tc>
                  <w:tcPr>
                    <w:tcW w:w="1187" w:type="dxa"/>
                  </w:tcPr>
                  <w:p w:rsidRPr="00476687" w:rsidR="002F46AE" w:rsidP="00F131CC" w:rsidRDefault="002F46AE" w14:paraId="072B3E9A" w14:textId="77777777">
                    <w:pPr>
                      <w:rPr>
                        <w:sz w:val="20"/>
                        <w:szCs w:val="20"/>
                      </w:rPr>
                    </w:pPr>
                    <w:r w:rsidRPr="00476687">
                      <w:rPr>
                        <w:sz w:val="20"/>
                        <w:szCs w:val="20"/>
                      </w:rPr>
                      <w:t>Vóór 1 juli</w:t>
                    </w:r>
                  </w:p>
                </w:tc>
                <w:tc>
                  <w:tcPr>
                    <w:tcW w:w="3436" w:type="dxa"/>
                  </w:tcPr>
                  <w:p w:rsidRPr="00476687" w:rsidR="002F46AE" w:rsidP="00F131CC" w:rsidRDefault="002F46AE" w14:paraId="210D4F72" w14:textId="40412288">
                    <w:pPr>
                      <w:rPr>
                        <w:sz w:val="20"/>
                        <w:szCs w:val="20"/>
                      </w:rPr>
                    </w:pPr>
                    <w:r w:rsidRPr="00476687">
                      <w:rPr>
                        <w:sz w:val="20"/>
                        <w:szCs w:val="20"/>
                      </w:rPr>
                      <w:t xml:space="preserve">Verslag van de CdK’s over de uitkomst van provinciale regietafels aan de </w:t>
                    </w:r>
                    <w:r w:rsidR="008E5F85">
                      <w:rPr>
                        <w:sz w:val="20"/>
                        <w:szCs w:val="20"/>
                      </w:rPr>
                      <w:t>minister.</w:t>
                    </w:r>
                  </w:p>
                </w:tc>
                <w:tc>
                  <w:tcPr>
                    <w:tcW w:w="3402" w:type="dxa"/>
                  </w:tcPr>
                  <w:p w:rsidRPr="00476687" w:rsidR="002F46AE" w:rsidP="00F131CC" w:rsidRDefault="002F46AE" w14:paraId="16AD966B" w14:textId="731975D0">
                    <w:pPr>
                      <w:rPr>
                        <w:sz w:val="20"/>
                        <w:szCs w:val="20"/>
                      </w:rPr>
                    </w:pPr>
                    <w:r w:rsidRPr="00476687">
                      <w:rPr>
                        <w:sz w:val="20"/>
                        <w:szCs w:val="20"/>
                      </w:rPr>
                      <w:t xml:space="preserve">Verslag is voor de </w:t>
                    </w:r>
                    <w:r w:rsidR="008E5F85">
                      <w:rPr>
                        <w:sz w:val="20"/>
                        <w:szCs w:val="20"/>
                      </w:rPr>
                      <w:t>m</w:t>
                    </w:r>
                    <w:r w:rsidRPr="00476687" w:rsidR="008E5F85">
                      <w:rPr>
                        <w:sz w:val="20"/>
                        <w:szCs w:val="20"/>
                      </w:rPr>
                      <w:t xml:space="preserve">inister </w:t>
                    </w:r>
                    <w:r w:rsidRPr="00476687">
                      <w:rPr>
                        <w:sz w:val="20"/>
                        <w:szCs w:val="20"/>
                      </w:rPr>
                      <w:t>niet bindend</w:t>
                    </w:r>
                    <w:r>
                      <w:rPr>
                        <w:sz w:val="20"/>
                        <w:szCs w:val="20"/>
                      </w:rPr>
                      <w:t>.</w:t>
                    </w:r>
                  </w:p>
                </w:tc>
              </w:tr>
              <w:tr w:rsidR="002F46AE" w:rsidTr="00F131CC" w14:paraId="706AB31D" w14:textId="77777777">
                <w:tc>
                  <w:tcPr>
                    <w:tcW w:w="475" w:type="dxa"/>
                  </w:tcPr>
                  <w:p w:rsidRPr="00476687" w:rsidR="002F46AE" w:rsidP="00F131CC" w:rsidRDefault="002F46AE" w14:paraId="18FC9430" w14:textId="77777777">
                    <w:pPr>
                      <w:rPr>
                        <w:sz w:val="20"/>
                        <w:szCs w:val="20"/>
                      </w:rPr>
                    </w:pPr>
                  </w:p>
                </w:tc>
                <w:tc>
                  <w:tcPr>
                    <w:tcW w:w="1187" w:type="dxa"/>
                  </w:tcPr>
                  <w:p w:rsidRPr="00476687" w:rsidR="002F46AE" w:rsidP="00F131CC" w:rsidRDefault="002F46AE" w14:paraId="2CCDAED6" w14:textId="77777777">
                    <w:pPr>
                      <w:rPr>
                        <w:sz w:val="20"/>
                        <w:szCs w:val="20"/>
                      </w:rPr>
                    </w:pPr>
                    <w:r w:rsidRPr="00476687">
                      <w:rPr>
                        <w:sz w:val="20"/>
                        <w:szCs w:val="20"/>
                      </w:rPr>
                      <w:t>Vóór 1 september</w:t>
                    </w:r>
                  </w:p>
                </w:tc>
                <w:tc>
                  <w:tcPr>
                    <w:tcW w:w="3436" w:type="dxa"/>
                  </w:tcPr>
                  <w:p w:rsidRPr="00476687" w:rsidR="002F46AE" w:rsidP="00F131CC" w:rsidRDefault="002F46AE" w14:paraId="69B90076" w14:textId="775D5F98">
                    <w:pPr>
                      <w:rPr>
                        <w:sz w:val="20"/>
                        <w:szCs w:val="20"/>
                      </w:rPr>
                    </w:pPr>
                    <w:r w:rsidRPr="00476687">
                      <w:rPr>
                        <w:sz w:val="20"/>
                        <w:szCs w:val="20"/>
                      </w:rPr>
                      <w:t xml:space="preserve">Verdeelbesluit per provincie door de </w:t>
                    </w:r>
                    <w:r w:rsidR="008E5F85">
                      <w:rPr>
                        <w:sz w:val="20"/>
                        <w:szCs w:val="20"/>
                      </w:rPr>
                      <w:t>minister</w:t>
                    </w:r>
                    <w:r w:rsidRPr="00476687">
                      <w:rPr>
                        <w:sz w:val="20"/>
                        <w:szCs w:val="20"/>
                      </w:rPr>
                      <w:t xml:space="preserve"> met de betreffende gemeenten die de opvangplaatsen gaan realiseren en welke aantallen het betreft. </w:t>
                    </w:r>
                  </w:p>
                </w:tc>
                <w:tc>
                  <w:tcPr>
                    <w:tcW w:w="3402" w:type="dxa"/>
                  </w:tcPr>
                  <w:p w:rsidRPr="00476687" w:rsidR="002F46AE" w:rsidP="00F131CC" w:rsidRDefault="002F46AE" w14:paraId="79539BF6" w14:textId="70216763">
                    <w:pPr>
                      <w:rPr>
                        <w:sz w:val="20"/>
                        <w:szCs w:val="20"/>
                      </w:rPr>
                    </w:pPr>
                    <w:r>
                      <w:rPr>
                        <w:sz w:val="20"/>
                        <w:szCs w:val="20"/>
                      </w:rPr>
                      <w:t>Deze bevoegdheid is niet geclausuleerd. De</w:t>
                    </w:r>
                    <w:r w:rsidRPr="00476687">
                      <w:rPr>
                        <w:sz w:val="20"/>
                        <w:szCs w:val="20"/>
                      </w:rPr>
                      <w:t xml:space="preserve"> </w:t>
                    </w:r>
                    <w:r w:rsidR="008E5F85">
                      <w:rPr>
                        <w:sz w:val="20"/>
                        <w:szCs w:val="20"/>
                      </w:rPr>
                      <w:t>m</w:t>
                    </w:r>
                    <w:r w:rsidRPr="00476687" w:rsidR="008E5F85">
                      <w:rPr>
                        <w:sz w:val="20"/>
                        <w:szCs w:val="20"/>
                      </w:rPr>
                      <w:t xml:space="preserve">inister </w:t>
                    </w:r>
                    <w:r>
                      <w:rPr>
                        <w:sz w:val="20"/>
                        <w:szCs w:val="20"/>
                      </w:rPr>
                      <w:t xml:space="preserve">‘slaat acht’ op het verslag van de CdK en bepaalt vervolgens per provincie de concrete verdeling over gemeenten. </w:t>
                    </w:r>
                  </w:p>
                  <w:p w:rsidRPr="00476687" w:rsidR="002F46AE" w:rsidP="00F131CC" w:rsidRDefault="002F46AE" w14:paraId="17931831" w14:textId="77777777">
                    <w:pPr>
                      <w:rPr>
                        <w:sz w:val="20"/>
                        <w:szCs w:val="20"/>
                      </w:rPr>
                    </w:pPr>
                  </w:p>
                  <w:p w:rsidRPr="00476687" w:rsidR="002F46AE" w:rsidP="00F131CC" w:rsidRDefault="002F46AE" w14:paraId="0113D1F7" w14:textId="167D2071">
                    <w:pPr>
                      <w:rPr>
                        <w:sz w:val="20"/>
                        <w:szCs w:val="20"/>
                      </w:rPr>
                    </w:pPr>
                    <w:r w:rsidRPr="00476687">
                      <w:rPr>
                        <w:sz w:val="20"/>
                        <w:szCs w:val="20"/>
                      </w:rPr>
                      <w:t>Verdeelbesluit betreft bindend en appellabel besluit.</w:t>
                    </w:r>
                  </w:p>
                </w:tc>
              </w:tr>
              <w:tr w:rsidR="002F46AE" w:rsidTr="00F131CC" w14:paraId="12DCBB78" w14:textId="77777777">
                <w:tc>
                  <w:tcPr>
                    <w:tcW w:w="475" w:type="dxa"/>
                  </w:tcPr>
                  <w:p w:rsidRPr="00476687" w:rsidR="002F46AE" w:rsidP="00F131CC" w:rsidRDefault="002F46AE" w14:paraId="48665D31" w14:textId="77777777">
                    <w:pPr>
                      <w:rPr>
                        <w:sz w:val="20"/>
                        <w:szCs w:val="20"/>
                      </w:rPr>
                    </w:pPr>
                  </w:p>
                </w:tc>
                <w:tc>
                  <w:tcPr>
                    <w:tcW w:w="1187" w:type="dxa"/>
                  </w:tcPr>
                  <w:p w:rsidR="002F46AE" w:rsidP="00F131CC" w:rsidRDefault="002F46AE" w14:paraId="1A11F758" w14:textId="77777777">
                    <w:pPr>
                      <w:rPr>
                        <w:sz w:val="20"/>
                        <w:szCs w:val="20"/>
                      </w:rPr>
                    </w:pPr>
                    <w:r w:rsidRPr="00476687">
                      <w:rPr>
                        <w:sz w:val="20"/>
                        <w:szCs w:val="20"/>
                      </w:rPr>
                      <w:t xml:space="preserve">Vóór </w:t>
                    </w:r>
                  </w:p>
                  <w:p w:rsidRPr="00476687" w:rsidR="002F46AE" w:rsidP="00F131CC" w:rsidRDefault="002F46AE" w14:paraId="3E4ABCF1" w14:textId="77777777">
                    <w:pPr>
                      <w:rPr>
                        <w:sz w:val="20"/>
                        <w:szCs w:val="20"/>
                      </w:rPr>
                    </w:pPr>
                    <w:r w:rsidRPr="00476687">
                      <w:rPr>
                        <w:sz w:val="20"/>
                        <w:szCs w:val="20"/>
                      </w:rPr>
                      <w:t>1 februari twee jaar later</w:t>
                    </w:r>
                  </w:p>
                </w:tc>
                <w:tc>
                  <w:tcPr>
                    <w:tcW w:w="3436" w:type="dxa"/>
                  </w:tcPr>
                  <w:p w:rsidRPr="00476687" w:rsidR="002F46AE" w:rsidP="00F131CC" w:rsidRDefault="002F46AE" w14:paraId="543F3873" w14:textId="77777777">
                    <w:pPr>
                      <w:rPr>
                        <w:sz w:val="20"/>
                        <w:szCs w:val="20"/>
                      </w:rPr>
                    </w:pPr>
                    <w:r w:rsidRPr="00476687">
                      <w:rPr>
                        <w:sz w:val="20"/>
                        <w:szCs w:val="20"/>
                      </w:rPr>
                      <w:t>Opvangplaatsen uit het verdeelbesluit gerealiseerd hebben.</w:t>
                    </w:r>
                  </w:p>
                </w:tc>
                <w:tc>
                  <w:tcPr>
                    <w:tcW w:w="3402" w:type="dxa"/>
                  </w:tcPr>
                  <w:p w:rsidRPr="00476687" w:rsidR="002F46AE" w:rsidP="00F131CC" w:rsidRDefault="002F46AE" w14:paraId="186577E2" w14:textId="77777777">
                    <w:pPr>
                      <w:rPr>
                        <w:sz w:val="20"/>
                        <w:szCs w:val="20"/>
                      </w:rPr>
                    </w:pPr>
                    <w:r w:rsidRPr="00476687">
                      <w:rPr>
                        <w:sz w:val="20"/>
                        <w:szCs w:val="20"/>
                      </w:rPr>
                      <w:t>Evenwel wordt ook een termijn van zes maanden genoemd; en voor de vrijwillig aangedragen locaties (die vallen buiten de provinciale opgave) een termijn van twaalf maanden.</w:t>
                    </w:r>
                  </w:p>
                  <w:p w:rsidRPr="00476687" w:rsidR="002F46AE" w:rsidP="00F131CC" w:rsidRDefault="002F46AE" w14:paraId="07B4E65B" w14:textId="77777777">
                    <w:pPr>
                      <w:rPr>
                        <w:sz w:val="20"/>
                        <w:szCs w:val="20"/>
                      </w:rPr>
                    </w:pPr>
                  </w:p>
                  <w:p w:rsidRPr="00476687" w:rsidR="002F46AE" w:rsidP="00F131CC" w:rsidRDefault="002F46AE" w14:paraId="41F5EEF3" w14:textId="5641C854">
                    <w:pPr>
                      <w:rPr>
                        <w:sz w:val="20"/>
                        <w:szCs w:val="20"/>
                      </w:rPr>
                    </w:pPr>
                    <w:r w:rsidRPr="00476687">
                      <w:rPr>
                        <w:sz w:val="20"/>
                        <w:szCs w:val="20"/>
                      </w:rPr>
                      <w:t xml:space="preserve">De termijnen zijn inclusief de benodigde vergunningverlening en omgevingsrechtelijke aanpassingen </w:t>
                    </w:r>
                    <w:r w:rsidRPr="007868FA">
                      <w:rPr>
                        <w:sz w:val="20"/>
                        <w:szCs w:val="20"/>
                      </w:rPr>
                      <w:t>en de afhandeling van eventuele juridische procedures.</w:t>
                    </w:r>
                    <w:r>
                      <w:rPr>
                        <w:rStyle w:val="Voetnootmarkering"/>
                        <w:sz w:val="20"/>
                        <w:szCs w:val="20"/>
                      </w:rPr>
                      <w:footnoteReference w:id="11"/>
                    </w:r>
                  </w:p>
                </w:tc>
              </w:tr>
            </w:tbl>
            <w:p w:rsidR="002F46AE" w:rsidP="002F46AE" w:rsidRDefault="002F46AE" w14:paraId="3910A03E" w14:textId="77777777">
              <w:pPr>
                <w:rPr>
                  <w:szCs w:val="22"/>
                </w:rPr>
              </w:pPr>
            </w:p>
            <w:p w:rsidR="002F46AE" w:rsidP="002F46AE" w:rsidRDefault="002F46AE" w14:paraId="4DE04676" w14:textId="77777777">
              <w:pPr>
                <w:rPr>
                  <w:szCs w:val="22"/>
                </w:rPr>
              </w:pPr>
              <w:r>
                <w:rPr>
                  <w:szCs w:val="22"/>
                </w:rPr>
                <w:t>Tot slot zij gewezen op de voorgestelde ‘overgangsvoorziening’. Dit behelst dat op het tijdstip van de inwerkingtreding door de minister bekend wordt gemaakt aan hoeveel opvangplaatsen de komende twee jaar behoefte zal zijn. Daarbij wordt direct een indicatieve verdeling over de gemeenten bepaald. Een beloning (vrij te besteden specifieke uitkering) wordt verstrekt aan de gemeenten voor iedere opvangplaats die ter beschikking wordt gesteld bovenop het indicatief toebedeelde aantal. Dit is bedoeld om gemeenten te stimuleren zo snel mogelijk na inwerkingtreding opvangplaatsen ter beschikking te stellen.</w:t>
              </w:r>
              <w:r>
                <w:rPr>
                  <w:rStyle w:val="Voetnootmarkering"/>
                  <w:szCs w:val="22"/>
                </w:rPr>
                <w:footnoteReference w:id="12"/>
              </w:r>
              <w:r>
                <w:rPr>
                  <w:szCs w:val="22"/>
                </w:rPr>
                <w:t xml:space="preserve"> </w:t>
              </w:r>
            </w:p>
            <w:p w:rsidR="002F46AE" w:rsidP="002F46AE" w:rsidRDefault="002F46AE" w14:paraId="2FFBF1D6" w14:textId="77777777">
              <w:pPr>
                <w:rPr>
                  <w:szCs w:val="22"/>
                </w:rPr>
              </w:pPr>
            </w:p>
            <w:p w:rsidR="002F46AE" w:rsidP="002F46AE" w:rsidRDefault="002F46AE" w14:paraId="6F7977D4" w14:textId="77777777">
              <w:pPr>
                <w:rPr>
                  <w:szCs w:val="22"/>
                </w:rPr>
              </w:pPr>
              <w:r>
                <w:rPr>
                  <w:szCs w:val="22"/>
                </w:rPr>
                <w:t xml:space="preserve">d. </w:t>
              </w:r>
              <w:r>
                <w:rPr>
                  <w:szCs w:val="22"/>
                </w:rPr>
                <w:tab/>
              </w:r>
              <w:r>
                <w:rPr>
                  <w:i/>
                  <w:iCs/>
                  <w:szCs w:val="22"/>
                </w:rPr>
                <w:t>Consultatie</w:t>
              </w:r>
              <w:r w:rsidRPr="000C44D0">
                <w:rPr>
                  <w:rStyle w:val="Voetnootmarkering"/>
                </w:rPr>
                <w:footnoteReference w:id="13"/>
              </w:r>
            </w:p>
            <w:p w:rsidR="002F46AE" w:rsidP="002F46AE" w:rsidRDefault="002F46AE" w14:paraId="21F6FF19" w14:textId="725BC364">
              <w:r>
                <w:rPr>
                  <w:szCs w:val="22"/>
                </w:rPr>
                <w:t xml:space="preserve">Onder de geconsulteerde partijen bestaat </w:t>
              </w:r>
              <w:r w:rsidRPr="00A83682">
                <w:rPr>
                  <w:szCs w:val="22"/>
                </w:rPr>
                <w:t>overeenstemming dat de huidige situatie in de asielopvang</w:t>
              </w:r>
              <w:r>
                <w:rPr>
                  <w:szCs w:val="22"/>
                </w:rPr>
                <w:t xml:space="preserve"> </w:t>
              </w:r>
              <w:r w:rsidR="00F75236">
                <w:rPr>
                  <w:szCs w:val="22"/>
                </w:rPr>
                <w:t>niet langer</w:t>
              </w:r>
              <w:r>
                <w:rPr>
                  <w:szCs w:val="22"/>
                </w:rPr>
                <w:t xml:space="preserve"> </w:t>
              </w:r>
              <w:r w:rsidRPr="00A83682">
                <w:rPr>
                  <w:szCs w:val="22"/>
                </w:rPr>
                <w:t>houdbaar is.</w:t>
              </w:r>
              <w:r w:rsidRPr="00A83682">
                <w:rPr>
                  <w:rStyle w:val="Voetnootmarkering"/>
                  <w:szCs w:val="22"/>
                </w:rPr>
                <w:footnoteReference w:id="14"/>
              </w:r>
              <w:r w:rsidRPr="00A83682">
                <w:rPr>
                  <w:szCs w:val="22"/>
                </w:rPr>
                <w:t xml:space="preserve"> </w:t>
              </w:r>
              <w:r>
                <w:rPr>
                  <w:szCs w:val="22"/>
                </w:rPr>
                <w:t>De</w:t>
              </w:r>
              <w:r w:rsidRPr="00A83682">
                <w:rPr>
                  <w:szCs w:val="22"/>
                </w:rPr>
                <w:t xml:space="preserve"> VNG, het IPO</w:t>
              </w:r>
              <w:r>
                <w:rPr>
                  <w:szCs w:val="22"/>
                </w:rPr>
                <w:t>,</w:t>
              </w:r>
              <w:r w:rsidRPr="00A83682">
                <w:rPr>
                  <w:szCs w:val="22"/>
                </w:rPr>
                <w:t xml:space="preserve"> de Kring van </w:t>
              </w:r>
              <w:r w:rsidR="00063E19">
                <w:rPr>
                  <w:szCs w:val="22"/>
                </w:rPr>
                <w:t>C</w:t>
              </w:r>
              <w:r w:rsidR="00DB688C">
                <w:rPr>
                  <w:szCs w:val="22"/>
                </w:rPr>
                <w:t>ommiss</w:t>
              </w:r>
              <w:r w:rsidR="00F754F2">
                <w:rPr>
                  <w:szCs w:val="22"/>
                </w:rPr>
                <w:t xml:space="preserve">arissen van de Koning </w:t>
              </w:r>
              <w:r w:rsidRPr="00A83682">
                <w:rPr>
                  <w:szCs w:val="22"/>
                </w:rPr>
                <w:t xml:space="preserve">en het Veiligheidsberaad noemen het belang van een oplossing, en daarbij </w:t>
              </w:r>
              <w:r>
                <w:rPr>
                  <w:szCs w:val="22"/>
                </w:rPr>
                <w:t xml:space="preserve">ook het belang van het creëren van </w:t>
              </w:r>
              <w:r w:rsidRPr="00A83682">
                <w:rPr>
                  <w:szCs w:val="22"/>
                </w:rPr>
                <w:t>duidelijkheid voor gemeenten. J</w:t>
              </w:r>
              <w:r w:rsidRPr="00A83682">
                <w:t xml:space="preserve">uridisch instrumentarium om asielzoekers evenwichtig(er) over gemeenten te verdelen wordt ook door deze partijen als een noodzakelijke oplossing voor de opvangcrisis gezien. </w:t>
              </w:r>
              <w:r>
                <w:t>Ook vanuit de migratieketen wordt het voorstel een belangrijke stap genoemd om (binnen een breder palet aan maatregelen) uit de ‘crisismodus’ te komen.</w:t>
              </w:r>
            </w:p>
            <w:p w:rsidR="002F46AE" w:rsidP="002F46AE" w:rsidRDefault="002F46AE" w14:paraId="1BA517F5" w14:textId="77777777"/>
            <w:p w:rsidR="005B3D86" w:rsidP="002F46AE" w:rsidRDefault="002F46AE" w14:paraId="5A459533" w14:textId="2174BD0E">
              <w:r>
                <w:t xml:space="preserve">Het aldus vormgegeven wetsvoorstel heeft echter </w:t>
              </w:r>
              <w:r w:rsidR="00C502C9">
                <w:t xml:space="preserve">ook </w:t>
              </w:r>
              <w:r w:rsidRPr="00A83682">
                <w:t xml:space="preserve">geleid tot </w:t>
              </w:r>
              <w:r>
                <w:t>de breed gedragen kritische reactie dat</w:t>
              </w:r>
              <w:r w:rsidRPr="00A83682">
                <w:t xml:space="preserve"> het voorstel een te complexe systematiek kent</w:t>
              </w:r>
              <w:r w:rsidRPr="000C44D0">
                <w:t>.</w:t>
              </w:r>
              <w:r w:rsidRPr="000C44D0">
                <w:rPr>
                  <w:rStyle w:val="Voetnootmarkering"/>
                </w:rPr>
                <w:footnoteReference w:id="15"/>
              </w:r>
              <w:r w:rsidRPr="000C44D0">
                <w:t xml:space="preserve"> Daarbij wordt getwijfeld aan de effectiviteit ervan</w:t>
              </w:r>
              <w:r w:rsidR="00DF2112">
                <w:t>.</w:t>
              </w:r>
              <w:r>
                <w:t xml:space="preserve"> </w:t>
              </w:r>
              <w:r w:rsidR="00DF2112">
                <w:t>N</w:t>
              </w:r>
              <w:r>
                <w:t>iet verwacht wordt dat de financiële prikkel het beoogde effect zal hebben</w:t>
              </w:r>
              <w:r w:rsidR="007E5F94">
                <w:t>,</w:t>
              </w:r>
              <w:r>
                <w:t xml:space="preserve"> terwijl de procedure in verschillende </w:t>
              </w:r>
              <w:r w:rsidR="00E7339B">
                <w:t xml:space="preserve">fasen </w:t>
              </w:r>
              <w:r>
                <w:t xml:space="preserve">maakt dat </w:t>
              </w:r>
              <w:r w:rsidRPr="000C44D0">
                <w:t>lange tijd onduidelijk is wat de uiteindelijke (verplichte) verdeling van de opvangplaatsen zal zijn</w:t>
              </w:r>
              <w:r>
                <w:t xml:space="preserve">. </w:t>
              </w:r>
            </w:p>
            <w:p w:rsidR="005B3D86" w:rsidP="002F46AE" w:rsidRDefault="005B3D86" w14:paraId="63C8AE9E" w14:textId="77777777"/>
            <w:p w:rsidR="002F46AE" w:rsidP="002F46AE" w:rsidRDefault="002F46AE" w14:paraId="2794DC7C" w14:textId="53EDC5C3">
              <w:r>
                <w:t>Verschillende partijen vrezen dat de financiële beloningen vooral schadelijk zullen zijn voor de samenwerking tussen gemeenten. Daarnaast wordt benoemd dat het ongepast is om het behalen van maatschappelijke opgaven en het naleven van mensenrechtelijke verplichtingen te koppelen aan een financiële beloning. C</w:t>
              </w:r>
              <w:r w:rsidRPr="000C44D0">
                <w:t>oncreet</w:t>
              </w:r>
              <w:r>
                <w:t xml:space="preserve"> wordt</w:t>
              </w:r>
              <w:r w:rsidRPr="000C44D0">
                <w:t xml:space="preserve"> gevraagd om een versimpeling van de procedure door beperking tot één </w:t>
              </w:r>
              <w:r w:rsidR="00E7339B">
                <w:t>fase</w:t>
              </w:r>
              <w:r w:rsidRPr="000C44D0">
                <w:t xml:space="preserve">. </w:t>
              </w:r>
              <w:r w:rsidR="00266F93">
                <w:t xml:space="preserve">Daarbij wordt ook </w:t>
              </w:r>
              <w:r w:rsidR="00D776BB">
                <w:t xml:space="preserve">verwezen naar </w:t>
              </w:r>
              <w:r w:rsidR="00266F93">
                <w:t>de bestaande wettelijke systematiek voor de huisvesting van statushouders.</w:t>
              </w:r>
            </w:p>
            <w:p w:rsidR="002F46AE" w:rsidP="002F46AE" w:rsidRDefault="002F46AE" w14:paraId="14DB49A8" w14:textId="77777777">
              <w:pPr>
                <w:rPr>
                  <w:i/>
                  <w:iCs/>
                </w:rPr>
              </w:pPr>
            </w:p>
            <w:p w:rsidR="002F46AE" w:rsidP="002F46AE" w:rsidRDefault="002F46AE" w14:paraId="3BA565E2" w14:textId="4D7C5F3E">
              <w:r>
                <w:t xml:space="preserve">De regering houdt ondanks deze breed gedragen kritiek, </w:t>
              </w:r>
              <w:r w:rsidR="005B3D86">
                <w:t>in het bijzonder</w:t>
              </w:r>
              <w:r>
                <w:t xml:space="preserve"> ook van de organisaties die de wet moeten gaan uitvoeren, vast aan de voorgestelde systematiek</w:t>
              </w:r>
              <w:r w:rsidR="005B3D86">
                <w:t>.</w:t>
              </w:r>
              <w:r>
                <w:t xml:space="preserve"> </w:t>
              </w:r>
              <w:r w:rsidR="005B3D86">
                <w:t>D</w:t>
              </w:r>
              <w:r>
                <w:t xml:space="preserve">e regering handhaaft de twee </w:t>
              </w:r>
              <w:r w:rsidR="00266F93">
                <w:t xml:space="preserve">fases </w:t>
              </w:r>
              <w:r>
                <w:t xml:space="preserve">in de verdelingsprocedure en de financiële prikkel om vroegtijdig asielopvangplaatsen ter beschikking te stellen. De regering erkent, blijkens de toelichting, </w:t>
              </w:r>
              <w:r w:rsidRPr="00A118EA">
                <w:t xml:space="preserve">dat er zorgen bestaan over de uitwerking van </w:t>
              </w:r>
              <w:r>
                <w:t>dit onderdeel van het wetsvoorstel</w:t>
              </w:r>
              <w:r w:rsidRPr="00A118EA">
                <w:t xml:space="preserve"> en de invloed</w:t>
              </w:r>
              <w:r>
                <w:t xml:space="preserve"> van financiële beloningen</w:t>
              </w:r>
              <w:r w:rsidRPr="00A118EA">
                <w:t xml:space="preserve"> op de bestuurlijke verhoudingen</w:t>
              </w:r>
              <w:r>
                <w:t>. Volgens de regering bieden de specifieke uitkeringen desalniettemin een ‘extra prikkel’ om in een vroeg stadium asielopvangplaatsen te realiseren. Wel zal bij de uitvoering van de wet nauwgezet in de gaten worden gehouden of de beloningssystematiek zoals deze is vormgegeven het beoogde effect sorter</w:t>
              </w:r>
              <w:r w:rsidR="0032392B">
                <w:t>en</w:t>
              </w:r>
              <w:r>
                <w:t xml:space="preserve"> of dat aanpassing nodig is, aldus de toelichting.</w:t>
              </w:r>
              <w:r>
                <w:rPr>
                  <w:rStyle w:val="Voetnootmarkering"/>
                </w:rPr>
                <w:footnoteReference w:id="16"/>
              </w:r>
              <w:r>
                <w:t xml:space="preserve"> </w:t>
              </w:r>
            </w:p>
            <w:p w:rsidR="002F46AE" w:rsidP="002F46AE" w:rsidRDefault="002F46AE" w14:paraId="53425D40" w14:textId="77777777">
              <w:pPr>
                <w:rPr>
                  <w:szCs w:val="22"/>
                </w:rPr>
              </w:pPr>
            </w:p>
            <w:p w:rsidRPr="000A5373" w:rsidR="002F46AE" w:rsidP="002F46AE" w:rsidRDefault="002F46AE" w14:paraId="34004B66" w14:textId="77777777">
              <w:pPr>
                <w:pStyle w:val="Default"/>
                <w:rPr>
                  <w:sz w:val="22"/>
                  <w:szCs w:val="22"/>
                  <w:u w:val="single"/>
                </w:rPr>
              </w:pPr>
              <w:r>
                <w:rPr>
                  <w:sz w:val="22"/>
                  <w:szCs w:val="22"/>
                </w:rPr>
                <w:t>2.</w:t>
              </w:r>
              <w:r>
                <w:rPr>
                  <w:sz w:val="22"/>
                  <w:szCs w:val="22"/>
                </w:rPr>
                <w:tab/>
              </w:r>
              <w:r>
                <w:rPr>
                  <w:sz w:val="22"/>
                  <w:szCs w:val="22"/>
                  <w:u w:val="single"/>
                </w:rPr>
                <w:t>H</w:t>
              </w:r>
              <w:r w:rsidRPr="006B2BEE">
                <w:rPr>
                  <w:sz w:val="22"/>
                  <w:szCs w:val="22"/>
                  <w:u w:val="single"/>
                </w:rPr>
                <w:t xml:space="preserve">et </w:t>
              </w:r>
              <w:r>
                <w:rPr>
                  <w:sz w:val="22"/>
                  <w:szCs w:val="22"/>
                  <w:u w:val="single"/>
                </w:rPr>
                <w:t>wets</w:t>
              </w:r>
              <w:r w:rsidRPr="006B2BEE">
                <w:rPr>
                  <w:sz w:val="22"/>
                  <w:szCs w:val="22"/>
                  <w:u w:val="single"/>
                </w:rPr>
                <w:t>voorstel: stelselwijziging</w:t>
              </w:r>
              <w:r>
                <w:rPr>
                  <w:sz w:val="22"/>
                  <w:szCs w:val="22"/>
                  <w:u w:val="single"/>
                </w:rPr>
                <w:t>, geen noodwet</w:t>
              </w:r>
              <w:r>
                <w:rPr>
                  <w:szCs w:val="22"/>
                </w:rPr>
                <w:t xml:space="preserve"> </w:t>
              </w:r>
            </w:p>
            <w:p w:rsidR="002F46AE" w:rsidP="002F46AE" w:rsidRDefault="002F46AE" w14:paraId="0A595828" w14:textId="77777777">
              <w:pPr>
                <w:rPr>
                  <w:szCs w:val="22"/>
                </w:rPr>
              </w:pPr>
            </w:p>
            <w:p w:rsidR="002F46AE" w:rsidP="002F46AE" w:rsidRDefault="002F46AE" w14:paraId="2097B0AE" w14:textId="77777777">
              <w:pPr>
                <w:rPr>
                  <w:szCs w:val="22"/>
                </w:rPr>
              </w:pPr>
              <w:r>
                <w:rPr>
                  <w:szCs w:val="22"/>
                </w:rPr>
                <w:t xml:space="preserve">Om het wetsvoorstel goed te begrijpen is allereerst inzicht nodig in de aard van het wetsvoorstel en hoe dat zich verhoudt tot de huidige situatie. Zowel het </w:t>
              </w:r>
              <w:r w:rsidRPr="00B66C20">
                <w:rPr>
                  <w:szCs w:val="22"/>
                </w:rPr>
                <w:t xml:space="preserve">COA </w:t>
              </w:r>
              <w:r>
                <w:rPr>
                  <w:szCs w:val="22"/>
                </w:rPr>
                <w:t>als d</w:t>
              </w:r>
              <w:r w:rsidRPr="00B66C20">
                <w:rPr>
                  <w:szCs w:val="22"/>
                </w:rPr>
                <w:t>e gemeenten</w:t>
              </w:r>
              <w:r>
                <w:rPr>
                  <w:szCs w:val="22"/>
                </w:rPr>
                <w:t xml:space="preserve"> hebben aangegeven dat </w:t>
              </w:r>
              <w:r w:rsidRPr="00B66C20">
                <w:rPr>
                  <w:szCs w:val="22"/>
                </w:rPr>
                <w:t xml:space="preserve">75.500 opvangplaatsen </w:t>
              </w:r>
              <w:r>
                <w:rPr>
                  <w:szCs w:val="22"/>
                </w:rPr>
                <w:t>nodig zijn in het jaar 2023. De toelichting spreekt in dat verband over 40.000 nieuw te realiseren opvangplaatsen vóór 1 januari 2024</w:t>
              </w:r>
              <w:r w:rsidRPr="00B66C20">
                <w:rPr>
                  <w:szCs w:val="22"/>
                </w:rPr>
                <w:t>.</w:t>
              </w:r>
              <w:r>
                <w:rPr>
                  <w:rStyle w:val="Voetnootmarkering"/>
                  <w:szCs w:val="22"/>
                </w:rPr>
                <w:footnoteReference w:id="17"/>
              </w:r>
              <w:r w:rsidRPr="00B66C20">
                <w:rPr>
                  <w:szCs w:val="22"/>
                </w:rPr>
                <w:t xml:space="preserve"> </w:t>
              </w:r>
              <w:r w:rsidRPr="00F347A4">
                <w:rPr>
                  <w:szCs w:val="22"/>
                </w:rPr>
                <w:t>Dit tekent de urgentie van het voorliggende vraagstuk.</w:t>
              </w:r>
            </w:p>
            <w:p w:rsidR="002F46AE" w:rsidP="002F46AE" w:rsidRDefault="002F46AE" w14:paraId="7661B4E3" w14:textId="77777777">
              <w:pPr>
                <w:rPr>
                  <w:szCs w:val="22"/>
                </w:rPr>
              </w:pPr>
            </w:p>
            <w:p w:rsidR="002F46AE" w:rsidP="002F46AE" w:rsidRDefault="002F46AE" w14:paraId="1D6552B7" w14:textId="453BECF9">
              <w:pPr>
                <w:rPr>
                  <w:szCs w:val="22"/>
                </w:rPr>
              </w:pPr>
              <w:r>
                <w:rPr>
                  <w:szCs w:val="22"/>
                </w:rPr>
                <w:t xml:space="preserve">Duidelijk is dat zonder wettelijke verplichtingen onvoldoende locaties zullen worden gerealiseerd die </w:t>
              </w:r>
              <w:r w:rsidR="0007171B">
                <w:rPr>
                  <w:szCs w:val="22"/>
                </w:rPr>
                <w:t xml:space="preserve">voldoen </w:t>
              </w:r>
              <w:r>
                <w:rPr>
                  <w:szCs w:val="22"/>
                </w:rPr>
                <w:t xml:space="preserve">aan de daaraan, ook internationaal, gestelde eisen. Dat de regering stappen zet om te komen tot juridisch instrumentarium teneinde een solide en duurzaam opvangstelsel te creëren, </w:t>
              </w:r>
              <w:r w:rsidR="005B3ECD">
                <w:rPr>
                  <w:szCs w:val="22"/>
                </w:rPr>
                <w:t xml:space="preserve">is </w:t>
              </w:r>
              <w:r>
                <w:rPr>
                  <w:szCs w:val="22"/>
                </w:rPr>
                <w:t xml:space="preserve">daarom aangewezen. Daartoe roept het voorstel gemeenten in medebewind op het terrein van de asielopvang, creëert het een nieuwe, permanente bestuurlijke en financiële systematiek en wijzigt het de relatie tussen de gemeenten en het COA (zie hierna </w:t>
              </w:r>
              <w:r w:rsidRPr="005D0BA9">
                <w:rPr>
                  <w:szCs w:val="22"/>
                </w:rPr>
                <w:t>punt 3f).</w:t>
              </w:r>
              <w:r>
                <w:rPr>
                  <w:szCs w:val="22"/>
                </w:rPr>
                <w:t xml:space="preserve"> Het wetsvoorstel is dus geen tijdelijke noodwet maar een stelselwijziging. Wil een stelselwijziging duurzaam en effectief zijn dan moet het voorstel als zodanig worden benaderd en zorgvuldig op zijn effecten in de uitvoeringspraktijk bezien en beoordeeld worden. </w:t>
              </w:r>
            </w:p>
            <w:p w:rsidR="002F46AE" w:rsidP="002F46AE" w:rsidRDefault="002F46AE" w14:paraId="5322FFD6" w14:textId="77777777">
              <w:pPr>
                <w:rPr>
                  <w:szCs w:val="22"/>
                </w:rPr>
              </w:pPr>
            </w:p>
            <w:p w:rsidR="002F46AE" w:rsidP="002F46AE" w:rsidRDefault="002F46AE" w14:paraId="00BD87EB" w14:textId="1F0AEFB6">
              <w:r>
                <w:t xml:space="preserve">Verschillende partijen hebben tegen de achtergrond van het voorgaande opgemerkt dat het voorliggende wetsvoorstel, dat nog de gehele parlementaire wetgevingsprocedure moet doorlopen, op zijn vroegst in 2024 tot de realisatie van meer opvangplaatsen gaat leiden. </w:t>
              </w:r>
              <w:r w:rsidR="006E7249">
                <w:t>G</w:t>
              </w:r>
              <w:r w:rsidR="00F93BBF">
                <w:t>elet op de urgentie van het vraagstuk</w:t>
              </w:r>
              <w:r w:rsidR="006E7249">
                <w:t xml:space="preserve"> ligt het wel</w:t>
              </w:r>
              <w:r w:rsidR="00BF197D">
                <w:t xml:space="preserve"> voor de hand om</w:t>
              </w:r>
              <w:r w:rsidRPr="00CF3224">
                <w:t xml:space="preserve"> vooruitlopend op een wet </w:t>
              </w:r>
              <w:r w:rsidR="00BF197D">
                <w:t xml:space="preserve">reeds </w:t>
              </w:r>
              <w:r w:rsidRPr="00CF3224">
                <w:t xml:space="preserve">op vrijwillige basis </w:t>
              </w:r>
              <w:r w:rsidR="00BF197D">
                <w:t>te werken</w:t>
              </w:r>
              <w:r w:rsidRPr="00CF3224">
                <w:t xml:space="preserve"> langs de lijnen van een stelsel waarin alle gemeenten </w:t>
              </w:r>
              <w:r w:rsidR="002440A7">
                <w:t xml:space="preserve">in goed overleg </w:t>
              </w:r>
              <w:r w:rsidRPr="00CF3224">
                <w:t>bijdragen aan het mogelijk maken van opvangvoorzieningen</w:t>
              </w:r>
              <w:r>
                <w:t xml:space="preserve">. </w:t>
              </w:r>
            </w:p>
            <w:p w:rsidR="002F46AE" w:rsidP="002F46AE" w:rsidRDefault="002F46AE" w14:paraId="0213E751" w14:textId="77777777"/>
            <w:p w:rsidR="002F46AE" w:rsidP="002F46AE" w:rsidRDefault="002F46AE" w14:paraId="509DB098" w14:textId="170C11B6">
              <w:r>
                <w:t xml:space="preserve">Het voorgaande neemt niet weg dat bij het voorgestelde stelsel zoals het nu is ingericht (punt 3) </w:t>
              </w:r>
              <w:r w:rsidR="009522F5">
                <w:t>en</w:t>
              </w:r>
              <w:r w:rsidR="00592928">
                <w:t xml:space="preserve"> bij</w:t>
              </w:r>
              <w:r>
                <w:t xml:space="preserve"> de uitvoerbaarheid daarvan (punt 4), kanttekeningen zijn te plaatsen. Wil het wetsvoorstel, zoals de regering beoogt, daadwerkelijk en duurzaam effect hebben dan is een aanmerkelijke vereenvoudiging noodzakelijk (punt 5).</w:t>
              </w:r>
            </w:p>
            <w:p w:rsidR="002F46AE" w:rsidP="002F46AE" w:rsidRDefault="002F46AE" w14:paraId="4C8C95F6" w14:textId="77777777">
              <w:pPr>
                <w:rPr>
                  <w:szCs w:val="22"/>
                </w:rPr>
              </w:pPr>
            </w:p>
            <w:p w:rsidR="006B2BEE" w:rsidP="00E262B0" w:rsidRDefault="006B2BEE" w14:paraId="4861EEAF" w14:textId="77777777">
              <w:pPr>
                <w:rPr>
                  <w:szCs w:val="22"/>
                </w:rPr>
              </w:pPr>
              <w:r>
                <w:rPr>
                  <w:szCs w:val="22"/>
                </w:rPr>
                <w:t>3.</w:t>
              </w:r>
              <w:r>
                <w:rPr>
                  <w:szCs w:val="22"/>
                </w:rPr>
                <w:tab/>
              </w:r>
              <w:r>
                <w:rPr>
                  <w:szCs w:val="22"/>
                  <w:u w:val="single"/>
                </w:rPr>
                <w:t>Complexiteit voorgestelde systematiek</w:t>
              </w:r>
            </w:p>
            <w:p w:rsidR="007F42AC" w:rsidP="007F42AC" w:rsidRDefault="007F42AC" w14:paraId="700E9420" w14:textId="77777777"/>
            <w:p w:rsidR="007F42AC" w:rsidP="007F42AC" w:rsidRDefault="007F42AC" w14:paraId="7A5586AF" w14:textId="77777777">
              <w:pPr>
                <w:rPr>
                  <w:i/>
                  <w:iCs/>
                </w:rPr>
              </w:pPr>
              <w:r>
                <w:t>a.</w:t>
              </w:r>
              <w:r>
                <w:tab/>
              </w:r>
              <w:r>
                <w:rPr>
                  <w:i/>
                  <w:iCs/>
                </w:rPr>
                <w:t>Samenhang procedures en financiële prikkels</w:t>
              </w:r>
            </w:p>
            <w:p w:rsidR="007F42AC" w:rsidP="007F42AC" w:rsidRDefault="007F42AC" w14:paraId="3E1CD98A" w14:textId="4510397A">
              <w:r>
                <w:t xml:space="preserve">De Afdeling constateert dat de geschetste systematiek van twee </w:t>
              </w:r>
              <w:r w:rsidR="00EE1D3C">
                <w:t>fases</w:t>
              </w:r>
              <w:r>
                <w:t xml:space="preserve"> direct verband houdt met de financiële prikkel om gemeenten ertoe te bewegen vroegtijdig (</w:t>
              </w:r>
              <w:r w:rsidR="00740BCE">
                <w:t>de eerste fase</w:t>
              </w:r>
              <w:r w:rsidR="002F46AE">
                <w:t xml:space="preserve">, de nationale inbreng) opvangplaatsen ter beschikking te stellen. De verdeling in twee </w:t>
              </w:r>
              <w:r w:rsidR="007B4EAC">
                <w:t>fases</w:t>
              </w:r>
              <w:r>
                <w:t xml:space="preserve"> houdt </w:t>
              </w:r>
              <w:r w:rsidR="007016C2">
                <w:t>in het bijzonder</w:t>
              </w:r>
              <w:r>
                <w:t xml:space="preserve"> verband met het uitgangspunt van het zoveel als mogelijk vrijwillig realiseren van asielopvang. Dit heeft echter geleid tot een ingewikkelde procedure die veel tijd in beslag gaat nemen en bovendien mogelijk aanleiding zal geven tot strategisch gedrag. </w:t>
              </w:r>
            </w:p>
            <w:p w:rsidR="007F42AC" w:rsidP="007F42AC" w:rsidRDefault="007F42AC" w14:paraId="73D2679C" w14:textId="77777777"/>
            <w:p w:rsidR="003D310D" w:rsidDel="00CE025C" w:rsidP="007F42AC" w:rsidRDefault="007F42AC" w14:paraId="69DDBBC3" w14:textId="675EF9C7">
              <w:r>
                <w:t xml:space="preserve">De Afdeling merkt </w:t>
              </w:r>
              <w:r w:rsidR="00BE47AD">
                <w:t>daarbij</w:t>
              </w:r>
              <w:r>
                <w:t xml:space="preserve"> op dat de financiële prikkel om vroegtijdig opvangplaatsen bij de minister aan te bieden, gemeenten voor een dilemma plaatst. De gemeenten die (nu) wel vroegtijdig een nationale inbreng leveren, krijgen een aanvullende vergoeding in het vooruitzicht gesteld maar kunnen daardoor minder (of geheel niet) bijdragen aan de provinciale taakstelling. Omgekeerd geldt dat de verdelingsprocedure bepaalde provincies en gemeenten kan uitnodigen om lang te wachten met het inbrengen van beschikbare opvangplaatsen</w:t>
              </w:r>
              <w:r w:rsidR="0036484D">
                <w:t>.</w:t>
              </w:r>
              <w:r>
                <w:t xml:space="preserve"> </w:t>
              </w:r>
              <w:r w:rsidR="0036484D">
                <w:t>Z</w:t>
              </w:r>
              <w:r>
                <w:t xml:space="preserve">ij kunnen ervoor kiezen het aan andere gemeenten over te laten om een vrijwillige nationale inbreng te leveren. </w:t>
              </w:r>
              <w:r w:rsidR="002F46AE">
                <w:t xml:space="preserve">Deze keuze kan zijn ingegeven </w:t>
              </w:r>
              <w:r w:rsidR="002E71D4">
                <w:t>door</w:t>
              </w:r>
              <w:r>
                <w:t xml:space="preserve"> de verwachting dat de indicatieve verdeling van de minister op 1 mei voor hen mee zal blijken te vallen en mogelijk zelfs op nihil kan worden gesteld door de onderhandelingen aan de provinciale regietafel. </w:t>
              </w:r>
            </w:p>
            <w:p w:rsidR="003D310D" w:rsidDel="00CE025C" w:rsidP="007F42AC" w:rsidRDefault="003D310D" w14:paraId="7A791DD9" w14:textId="77777777"/>
            <w:p w:rsidR="007F42AC" w:rsidP="007F42AC" w:rsidRDefault="009C4C06" w14:paraId="137B1142" w14:textId="5F2A53E2">
              <w:r>
                <w:t xml:space="preserve">Het </w:t>
              </w:r>
              <w:r w:rsidR="00DD47FD">
                <w:t>wets</w:t>
              </w:r>
              <w:r>
                <w:t xml:space="preserve">voorstel </w:t>
              </w:r>
              <w:r w:rsidR="00DD47FD">
                <w:t>bevat</w:t>
              </w:r>
              <w:r>
                <w:t xml:space="preserve"> </w:t>
              </w:r>
              <w:r w:rsidR="002F46AE">
                <w:t>als gevolg</w:t>
              </w:r>
              <w:r w:rsidR="00CE025C">
                <w:t xml:space="preserve"> van het voorgaande</w:t>
              </w:r>
              <w:r>
                <w:t xml:space="preserve"> een competitief element</w:t>
              </w:r>
              <w:r w:rsidR="004B2392">
                <w:t>.</w:t>
              </w:r>
              <w:r w:rsidR="00CE025C">
                <w:t xml:space="preserve"> De voor het welslagen van de wet noodzakelijke goede interbestuurlijke verhoudingen worden er waarschijnlijk niet door bevorderd.</w:t>
              </w:r>
              <w:r w:rsidR="004B2392">
                <w:t xml:space="preserve"> </w:t>
              </w:r>
              <w:r w:rsidR="002F46AE">
                <w:t>De vraag is daarmee hoe het</w:t>
              </w:r>
              <w:r w:rsidR="00CE025C">
                <w:t xml:space="preserve"> voorgestelde</w:t>
              </w:r>
              <w:r w:rsidR="007F42AC">
                <w:t xml:space="preserve"> stelsel zich verhoudt tot de uitgangspunten van solidariteit en evenwichtigheid in de spreiding </w:t>
              </w:r>
              <w:r w:rsidR="00CE025C">
                <w:t xml:space="preserve">van asielzoekers </w:t>
              </w:r>
              <w:r w:rsidR="007F42AC">
                <w:t xml:space="preserve">en in hoeverre </w:t>
              </w:r>
              <w:r w:rsidR="00CE025C">
                <w:t xml:space="preserve">het voorstel gelet daarop gaat bijdragen aan het effectief realiseren van de door de regering beoogde </w:t>
              </w:r>
              <w:r w:rsidR="002F46AE">
                <w:t>doelstellingen.</w:t>
              </w:r>
              <w:r>
                <w:t xml:space="preserve"> </w:t>
              </w:r>
            </w:p>
            <w:p w:rsidR="007F42AC" w:rsidP="007F42AC" w:rsidRDefault="007F42AC" w14:paraId="7351DB87" w14:textId="77777777"/>
            <w:p w:rsidRPr="00AE5E8F" w:rsidR="007F42AC" w:rsidP="007F42AC" w:rsidRDefault="007F42AC" w14:paraId="265FBFFB" w14:textId="77777777">
              <w:pPr>
                <w:rPr>
                  <w:i/>
                  <w:iCs/>
                </w:rPr>
              </w:pPr>
              <w:r>
                <w:t>b.</w:t>
              </w:r>
              <w:r>
                <w:tab/>
              </w:r>
              <w:r w:rsidR="001B4B8F">
                <w:rPr>
                  <w:i/>
                  <w:iCs/>
                </w:rPr>
                <w:t>Reikwijdte</w:t>
              </w:r>
              <w:r w:rsidRPr="00AE5E8F">
                <w:rPr>
                  <w:i/>
                  <w:iCs/>
                </w:rPr>
                <w:t xml:space="preserve"> medebewindstaak </w:t>
              </w:r>
            </w:p>
            <w:p w:rsidR="001E0A4E" w:rsidP="007F42AC" w:rsidRDefault="006B4465" w14:paraId="4254D66D" w14:textId="4DB1EE54">
              <w:r>
                <w:t xml:space="preserve">Het voorstel roept de vraag op wat </w:t>
              </w:r>
              <w:r w:rsidR="007F42AC">
                <w:t>de precieze reikwijdte van de gemeentelijke taak is. Het voorgestelde artikel 6 bepaalt dat het college van een in het verdeelbesluit aangewezen gemeente zorgdraagt voor ‘het mogelijk maken’ van asielopvang</w:t>
              </w:r>
              <w:r>
                <w:t>, en wel</w:t>
              </w:r>
              <w:r w:rsidR="007F42AC">
                <w:t xml:space="preserve"> binnen een termijn van twee jaar. Dit betreft daarmee niet alle gemeenten maar alleen die gemeenten die na de provinciale uitwerking </w:t>
              </w:r>
              <w:r>
                <w:t>daartoe in het verdeelbesluit zijn</w:t>
              </w:r>
              <w:r w:rsidR="007F42AC">
                <w:t xml:space="preserve"> aangewezen. Zij dienen </w:t>
              </w:r>
              <w:r w:rsidR="00CC78EF">
                <w:t xml:space="preserve">het daarin vastgestelde aantal </w:t>
              </w:r>
              <w:r w:rsidR="007F42AC">
                <w:t xml:space="preserve">opvanglocaties daadwerkelijk te realiseren. Volgens de artikelsgewijze toelichting betreft </w:t>
              </w:r>
              <w:r w:rsidR="00CC78EF">
                <w:t>deze bepaling de</w:t>
              </w:r>
              <w:r w:rsidR="007F42AC">
                <w:t xml:space="preserve"> ‘kern’ van het voorstel. </w:t>
              </w:r>
            </w:p>
            <w:p w:rsidR="001E0A4E" w:rsidP="007F42AC" w:rsidRDefault="001E0A4E" w14:paraId="4BB2F00F" w14:textId="77777777"/>
            <w:p w:rsidR="007F42AC" w:rsidP="007F42AC" w:rsidRDefault="007F42AC" w14:paraId="00EA55E3" w14:textId="0D8C30BD">
              <w:r>
                <w:t xml:space="preserve">In het algemeen deel van de toelichting </w:t>
              </w:r>
              <w:r w:rsidR="001E0A4E">
                <w:t xml:space="preserve">wordt in dat verband gesteld </w:t>
              </w:r>
              <w:r>
                <w:t xml:space="preserve">dat op alle </w:t>
              </w:r>
              <w:r w:rsidRPr="00B31782">
                <w:t xml:space="preserve">gemeenten ‘een verplichting rust’ mee te werken aan asielopvang, maar dat deze verplichting wordt ingevuld door een taak voor </w:t>
              </w:r>
              <w:r w:rsidRPr="00B31782">
                <w:rPr>
                  <w:i/>
                  <w:iCs/>
                </w:rPr>
                <w:t>bepaalde</w:t>
              </w:r>
              <w:r w:rsidRPr="00B31782">
                <w:t xml:space="preserve"> gemeenten om een vastgesteld aantal opvangplaatsen asielopvang mogelijk te maken.</w:t>
              </w:r>
              <w:r w:rsidRPr="00B31782">
                <w:rPr>
                  <w:rStyle w:val="Voetnootmarkering"/>
                </w:rPr>
                <w:footnoteReference w:id="18"/>
              </w:r>
              <w:r w:rsidRPr="00B31782">
                <w:t xml:space="preserve"> De artikelsgewijze toelichting stelt </w:t>
              </w:r>
              <w:r w:rsidRPr="00B31782" w:rsidR="001E0A4E">
                <w:t>echter</w:t>
              </w:r>
              <w:r w:rsidRPr="00B31782">
                <w:t xml:space="preserve"> dat het voorstel </w:t>
              </w:r>
              <w:r w:rsidRPr="00B31782">
                <w:rPr>
                  <w:i/>
                  <w:iCs/>
                </w:rPr>
                <w:t>alle</w:t>
              </w:r>
              <w:r w:rsidRPr="00B31782">
                <w:t xml:space="preserve"> gemeenten in medebewind roept. </w:t>
              </w:r>
              <w:r>
                <w:t xml:space="preserve">De in de toelichting genoemde verplichting om ‘mee te werken’ aan asielopvang – losstaand van een realisatieverplichting – is </w:t>
              </w:r>
              <w:r w:rsidRPr="00B31782" w:rsidR="00B31782">
                <w:t xml:space="preserve">echter </w:t>
              </w:r>
              <w:r>
                <w:t xml:space="preserve">in het wetsvoorstel niet </w:t>
              </w:r>
              <w:r w:rsidRPr="00B31782" w:rsidR="00B31782">
                <w:t>opgenomen</w:t>
              </w:r>
              <w:r w:rsidRPr="00B31782">
                <w:t>.</w:t>
              </w:r>
              <w:r>
                <w:t xml:space="preserve"> </w:t>
              </w:r>
              <w:r w:rsidR="002F46AE">
                <w:t xml:space="preserve">Daarbij </w:t>
              </w:r>
              <w:r w:rsidR="00C30537">
                <w:t>komt</w:t>
              </w:r>
              <w:r>
                <w:t xml:space="preserve"> dat het realiseren van de vrijwillig vroegtijdig ingebrachte opvangplaatsen buiten de reikwijdte van artikel 6 val</w:t>
              </w:r>
              <w:r w:rsidR="00E66E2B">
                <w:t>t</w:t>
              </w:r>
              <w:r>
                <w:t xml:space="preserve"> omdat de provinciale opgave de uitkomst is van de capaciteitsraming minus de vrijwillig ingebrachte opvanglocaties.</w:t>
              </w:r>
              <w:r w:rsidR="00D1572F">
                <w:rPr>
                  <w:rStyle w:val="Voetnootmarkering"/>
                </w:rPr>
                <w:footnoteReference w:id="19"/>
              </w:r>
              <w:r>
                <w:t xml:space="preserve">  </w:t>
              </w:r>
            </w:p>
            <w:p w:rsidR="007F42AC" w:rsidP="007F42AC" w:rsidRDefault="007F42AC" w14:paraId="38EDA90D" w14:textId="77777777"/>
            <w:p w:rsidR="007F42AC" w:rsidP="007F42AC" w:rsidRDefault="007F42AC" w14:paraId="107B2B6C" w14:textId="77777777">
              <w:r>
                <w:t>c.</w:t>
              </w:r>
              <w:r>
                <w:tab/>
              </w:r>
              <w:r>
                <w:rPr>
                  <w:i/>
                  <w:iCs/>
                </w:rPr>
                <w:t xml:space="preserve">Realisatietermijn </w:t>
              </w:r>
            </w:p>
            <w:p w:rsidR="007F42AC" w:rsidP="007F42AC" w:rsidRDefault="00BC3E2D" w14:paraId="603D890D" w14:textId="419928C2">
              <w:r>
                <w:t xml:space="preserve">Ten aanzien van de </w:t>
              </w:r>
              <w:r w:rsidR="006E0B8C">
                <w:t xml:space="preserve">realisatietermijn voor de </w:t>
              </w:r>
              <w:r>
                <w:t>op grond</w:t>
              </w:r>
              <w:r w:rsidR="007F42AC">
                <w:t xml:space="preserve"> van het verdeelbesluit </w:t>
              </w:r>
              <w:r>
                <w:t>te realiseren opvangplaatsen</w:t>
              </w:r>
              <w:r w:rsidR="007F42AC">
                <w:t xml:space="preserve"> is </w:t>
              </w:r>
              <w:r>
                <w:t xml:space="preserve">het </w:t>
              </w:r>
              <w:r w:rsidR="007F42AC">
                <w:t>voorstel tegenstrijdig. Het voorgestelde artikel 6 spreekt over een termijn van twee jaar waarbinnen het college van b</w:t>
              </w:r>
              <w:r w:rsidR="00CD495D">
                <w:t>urgemeester</w:t>
              </w:r>
              <w:r w:rsidR="007F42AC">
                <w:t xml:space="preserve"> en w</w:t>
              </w:r>
              <w:r w:rsidR="00CD495D">
                <w:t>ethouders</w:t>
              </w:r>
              <w:r w:rsidR="007F42AC">
                <w:t xml:space="preserve"> de in het verdeelbesluit aangewezen opvanglocatie gerealiseerd moet hebben. Het voorgestelde artikel 7 spreekt – evenals de toelichting – bij het realiseren van deze opgave echter over een realisatietermijn van zes maanden (dan wel een in het verdeelbesluit gestelde langere termijn). Binnen </w:t>
              </w:r>
              <w:r w:rsidRPr="004E7EBD" w:rsidR="007F42AC">
                <w:rPr>
                  <w:i/>
                </w:rPr>
                <w:t>die</w:t>
              </w:r>
              <w:r w:rsidR="007F42AC">
                <w:t xml:space="preserve"> termijn dienen door het college aan het COA locaties en accommodaties ter beschikking te zijn gesteld dan wel de benodigde vergunningen voor ingebruikneming te zijn verstrekt. De gemeenteraad wordt opgedragen de benodigde aanpassingen van het bestemmingsplan of de beheersverordening binnen de in het wetsvoorstel genoemde termijnen te realiseren.</w:t>
              </w:r>
              <w:r w:rsidR="007F42AC">
                <w:rPr>
                  <w:rStyle w:val="Voetnootmarkering"/>
                </w:rPr>
                <w:footnoteReference w:id="20"/>
              </w:r>
              <w:r w:rsidR="007F42AC">
                <w:t xml:space="preserve"> </w:t>
              </w:r>
            </w:p>
            <w:p w:rsidR="007F42AC" w:rsidP="007F42AC" w:rsidRDefault="007F42AC" w14:paraId="33BFA81E" w14:textId="77777777"/>
            <w:p w:rsidR="007F42AC" w:rsidP="007F42AC" w:rsidRDefault="007F42AC" w14:paraId="5AA14C0E" w14:textId="7B4B08A4">
              <w:r>
                <w:t xml:space="preserve">Met dit vraagstuk hangt samen dat het voorgestelde artikel 8 bepaalt dat indien zich feiten of omstandigheden voordoen die maken dat de verplichtingen uit </w:t>
              </w:r>
              <w:r w:rsidRPr="007A2871">
                <w:t>artikel 7</w:t>
              </w:r>
              <w:r>
                <w:t xml:space="preserve"> (de genoemde zes maanden) ‘niet tijdig’ kunnen worden gerealiseerd, het college daarvan ‘onverwijld’ melding doet aan de minister. Die regeling verdraagt zich niet met de gestelde termijn van twee jaar. </w:t>
              </w:r>
              <w:r w:rsidR="00225D4F">
                <w:t xml:space="preserve">Dat </w:t>
              </w:r>
              <w:r w:rsidR="00062BC6">
                <w:t>geldt ook voor de</w:t>
              </w:r>
              <w:r w:rsidR="002F46AE">
                <w:t xml:space="preserve"> specifieke regeling </w:t>
              </w:r>
              <w:r w:rsidR="00E0128D">
                <w:t xml:space="preserve">die is </w:t>
              </w:r>
              <w:r w:rsidR="002F46AE">
                <w:t>opgenomen voor ‘bijzondere omstandigheden’ waaronder de minister het verdeelbesluit tussentijds kan aanpassen.</w:t>
              </w:r>
              <w:r w:rsidR="002F46AE">
                <w:rPr>
                  <w:rStyle w:val="Voetnootmarkering"/>
                </w:rPr>
                <w:footnoteReference w:id="21"/>
              </w:r>
              <w:r w:rsidR="002F46AE">
                <w:t xml:space="preserve"> Het algemeen deel van de toelichting benoemt dat het denkbaar is deze procedure toe te passen wanneer het ter beschikking stellen van de locaties niet tijdig tot stand kan komen door derden.</w:t>
              </w:r>
              <w:r w:rsidR="002F46AE">
                <w:rPr>
                  <w:rStyle w:val="Voetnootmarkering"/>
                </w:rPr>
                <w:footnoteReference w:id="22"/>
              </w:r>
              <w:r w:rsidR="002F46AE">
                <w:t xml:space="preserve"> Het gaat daarbij om situaties als bedoeld in artikel 7, eerste lid</w:t>
              </w:r>
              <w:r w:rsidR="001F3ED5">
                <w:t>,</w:t>
              </w:r>
              <w:r w:rsidR="002F46AE">
                <w:t xml:space="preserve"> en ziet derhalve op de termijn van zes maanden. Ook hier is de vraag hoe </w:t>
              </w:r>
              <w:r w:rsidR="00225D4F">
                <w:t>dit</w:t>
              </w:r>
              <w:r>
                <w:t xml:space="preserve"> zich verhoudt tot de eerder genoemde termijn van twee jaar.</w:t>
              </w:r>
            </w:p>
            <w:p w:rsidR="007F42AC" w:rsidP="007F42AC" w:rsidRDefault="007F42AC" w14:paraId="78EFA806" w14:textId="77777777"/>
            <w:p w:rsidR="007E2512" w:rsidP="007F42AC" w:rsidRDefault="007F42AC" w14:paraId="1D0DE073" w14:textId="75E0E262">
              <w:r>
                <w:t xml:space="preserve">De vraag is </w:t>
              </w:r>
              <w:r w:rsidR="00BC3E2D">
                <w:t>verder</w:t>
              </w:r>
              <w:r>
                <w:t xml:space="preserve"> hoe deze onduidelijkheid over de realisatietermijn zich verhoudt tot het generieke kader van interbestuurlijk toezicht bij medebewind zoals bepaald in artikel 124 van de Gemeentewet. Op grond van dat kader kan de toezichthouder interveniëren (in de plaats treden) indien een medebewindstaak ‘niet tijdig’ wordt uitgevoerd. Gelet </w:t>
              </w:r>
              <w:r w:rsidRPr="00A727D8">
                <w:t xml:space="preserve">op artikel 6 moet daarbij worden uitgegaan van een termijn van twee jaar. Pas na die termijn kan er sprake zijn van taakverwaarlozing en </w:t>
              </w:r>
              <w:r>
                <w:t xml:space="preserve">in verband daarmee </w:t>
              </w:r>
              <w:r w:rsidR="0001709C">
                <w:t xml:space="preserve">van </w:t>
              </w:r>
              <w:r w:rsidRPr="00A727D8">
                <w:t xml:space="preserve">een grondslag voor toezichthoudend optreden. </w:t>
              </w:r>
              <w:r w:rsidR="007E2512">
                <w:t>Dit voor de werking van het stelsel belangrijke aspect versterkt het belang om in het wetsvoorstel duidelijkheid te creëren omtrent de beoogde realisatietermijn.</w:t>
              </w:r>
            </w:p>
            <w:p w:rsidR="007E2512" w:rsidP="007F42AC" w:rsidRDefault="007E2512" w14:paraId="38684F67" w14:textId="77777777"/>
            <w:p w:rsidRPr="00DB31DB" w:rsidR="00DB31DB" w:rsidP="00DB31DB" w:rsidRDefault="00DB31DB" w14:paraId="14BB0208" w14:textId="77777777">
              <w:pPr>
                <w:rPr>
                  <w:rFonts w:cs="Calibri" w:eastAsiaTheme="minorHAnsi"/>
                  <w:szCs w:val="22"/>
                  <w:lang w:eastAsia="en-US"/>
                </w:rPr>
              </w:pPr>
              <w:r w:rsidRPr="00DB31DB">
                <w:rPr>
                  <w:rFonts w:cs="Calibri" w:eastAsiaTheme="minorHAnsi"/>
                  <w:szCs w:val="22"/>
                  <w:lang w:eastAsia="en-US"/>
                </w:rPr>
                <w:t>d.</w:t>
              </w:r>
              <w:r>
                <w:rPr>
                  <w:rFonts w:cs="Calibri" w:eastAsiaTheme="minorHAnsi"/>
                  <w:szCs w:val="22"/>
                  <w:lang w:eastAsia="en-US"/>
                </w:rPr>
                <w:tab/>
              </w:r>
              <w:r w:rsidRPr="00DB31DB">
                <w:rPr>
                  <w:rFonts w:cs="Calibri" w:eastAsiaTheme="minorHAnsi"/>
                  <w:i/>
                  <w:iCs/>
                  <w:szCs w:val="22"/>
                  <w:lang w:eastAsia="en-US"/>
                </w:rPr>
                <w:t>Specifieke uitkering als instrument</w:t>
              </w:r>
            </w:p>
            <w:p w:rsidRPr="00DB31DB" w:rsidR="00DB31DB" w:rsidP="00DB31DB" w:rsidRDefault="00DB31DB" w14:paraId="654997B0" w14:textId="43718C11">
              <w:pPr>
                <w:rPr>
                  <w:rFonts w:cs="Calibri" w:eastAsiaTheme="minorHAnsi"/>
                  <w:szCs w:val="22"/>
                  <w:lang w:eastAsia="en-US"/>
                </w:rPr>
              </w:pPr>
              <w:r w:rsidRPr="00DB31DB">
                <w:rPr>
                  <w:rFonts w:cs="Calibri" w:eastAsiaTheme="minorHAnsi"/>
                  <w:szCs w:val="22"/>
                  <w:lang w:eastAsia="en-US"/>
                </w:rPr>
                <w:t xml:space="preserve">Naast de reële compensatie voor de gemaakte kosten regelt het wetsvoorstel dat gemeenten verschillende specifieke uitkeringen kunnen aanvragen. In het bijzonder wijst de Afdeling op de </w:t>
              </w:r>
              <w:r w:rsidR="000305B2">
                <w:rPr>
                  <w:rFonts w:cs="Calibri" w:eastAsiaTheme="minorHAnsi"/>
                  <w:szCs w:val="22"/>
                  <w:lang w:eastAsia="en-US"/>
                </w:rPr>
                <w:t>€ </w:t>
              </w:r>
              <w:r w:rsidRPr="00DB31DB">
                <w:rPr>
                  <w:rFonts w:cs="Calibri" w:eastAsiaTheme="minorHAnsi"/>
                  <w:szCs w:val="22"/>
                  <w:lang w:eastAsia="en-US"/>
                </w:rPr>
                <w:t xml:space="preserve">2500 per vrijwillig ingebrachte, duurzaam beschikbare opvangplaats (nationale inbreng) en de aanvullende uitkering die kan worden verkregen wanneer 75% van de provinciale opgave binnen twee jaar is gerealiseerd (zie ook hierna punt </w:t>
              </w:r>
              <w:r>
                <w:rPr>
                  <w:rFonts w:cs="Calibri" w:eastAsiaTheme="minorHAnsi"/>
                  <w:szCs w:val="22"/>
                  <w:lang w:eastAsia="en-US"/>
                </w:rPr>
                <w:t>4</w:t>
              </w:r>
              <w:r w:rsidRPr="00DB31DB">
                <w:rPr>
                  <w:rFonts w:cs="Calibri" w:eastAsiaTheme="minorHAnsi"/>
                  <w:szCs w:val="22"/>
                  <w:lang w:eastAsia="en-US"/>
                </w:rPr>
                <w:t>). In beide gevallen geldt dat de uitkeringen kunnen worden besteed aan een ander doel dan de opvang van asielzoekers.</w:t>
              </w:r>
              <w:r>
                <w:rPr>
                  <w:rStyle w:val="Voetnootmarkering"/>
                  <w:rFonts w:cs="Calibri" w:eastAsiaTheme="minorHAnsi"/>
                  <w:szCs w:val="22"/>
                  <w:lang w:eastAsia="en-US"/>
                </w:rPr>
                <w:footnoteReference w:id="23"/>
              </w:r>
              <w:r w:rsidRPr="00DB31DB">
                <w:rPr>
                  <w:rFonts w:cs="Calibri" w:eastAsiaTheme="minorHAnsi"/>
                  <w:szCs w:val="22"/>
                  <w:lang w:eastAsia="en-US"/>
                </w:rPr>
                <w:t xml:space="preserve"> Aldus is er steeds sprake van een vrij te besteden specifieke uitkering. </w:t>
              </w:r>
            </w:p>
            <w:p w:rsidRPr="00DB31DB" w:rsidR="007F42AC" w:rsidP="007F42AC" w:rsidRDefault="007F42AC" w14:paraId="534D3046" w14:textId="77777777">
              <w:pPr>
                <w:rPr>
                  <w:rFonts w:cs="Calibri" w:eastAsiaTheme="minorHAnsi"/>
                  <w:szCs w:val="22"/>
                  <w:lang w:eastAsia="en-US"/>
                </w:rPr>
              </w:pPr>
            </w:p>
            <w:p w:rsidRPr="00DB31DB" w:rsidR="007F42AC" w:rsidP="007F42AC" w:rsidRDefault="007F42AC" w14:paraId="5341D880" w14:textId="60DF04D4">
              <w:pPr>
                <w:rPr>
                  <w:rFonts w:cs="Calibri" w:eastAsiaTheme="minorHAnsi"/>
                  <w:szCs w:val="22"/>
                  <w:lang w:eastAsia="en-US"/>
                </w:rPr>
              </w:pPr>
              <w:r w:rsidRPr="00DB31DB">
                <w:rPr>
                  <w:rFonts w:cs="Calibri" w:eastAsiaTheme="minorHAnsi"/>
                  <w:szCs w:val="22"/>
                  <w:lang w:eastAsia="en-US"/>
                </w:rPr>
                <w:t>Bij de op deze wijze vormgegeven financiële prikkel plaatst de Afdeling vraagtekens. Medebewindswetgeving betekent dat gemeenten uitvoering moeten geven aan nationale opgaven. Dat betekent ook dat zij geen eigen afweging kunnen maken om het betreffende onderwerp wel of niet ter hand te nemen</w:t>
              </w:r>
              <w:r w:rsidR="00386A26">
                <w:rPr>
                  <w:rFonts w:cs="Calibri" w:eastAsiaTheme="minorHAnsi"/>
                  <w:szCs w:val="22"/>
                  <w:lang w:eastAsia="en-US"/>
                </w:rPr>
                <w:t>. Z</w:t>
              </w:r>
              <w:r w:rsidRPr="00DB31DB">
                <w:rPr>
                  <w:rFonts w:cs="Calibri" w:eastAsiaTheme="minorHAnsi"/>
                  <w:szCs w:val="22"/>
                  <w:lang w:eastAsia="en-US"/>
                </w:rPr>
                <w:t xml:space="preserve">ij zijn wettelijk gehouden dat te doen. Het is gelet daarop, zoals ook in de consultatie is opgemerkt, niet passend om de uitvoering van een wettelijke taak, naast en bovenop de noodzakelijke vergoeding van de kosten, te koppelen aan een financiële beloning. Daarbij rijst </w:t>
              </w:r>
              <w:r w:rsidR="000A10CF">
                <w:rPr>
                  <w:rFonts w:cs="Calibri" w:eastAsiaTheme="minorHAnsi"/>
                  <w:szCs w:val="22"/>
                  <w:lang w:eastAsia="en-US"/>
                </w:rPr>
                <w:t xml:space="preserve">tevens </w:t>
              </w:r>
              <w:r w:rsidRPr="00DB31DB">
                <w:rPr>
                  <w:rFonts w:cs="Calibri" w:eastAsiaTheme="minorHAnsi"/>
                  <w:szCs w:val="22"/>
                  <w:lang w:eastAsia="en-US"/>
                </w:rPr>
                <w:t xml:space="preserve">de vraag waarom een dergelijke aanvulling verkregen wordt terwijl niet 100% van de wettelijke taak wordt gerealiseerd. De aanvullende vergoeding is immers niet afhankelijk gesteld van het alsnog volledig voldoen aan de realisatie van het aantal vastgestelde opvangplaatsen. </w:t>
              </w:r>
            </w:p>
            <w:p w:rsidRPr="00DB31DB" w:rsidR="007F42AC" w:rsidP="007F42AC" w:rsidRDefault="007F42AC" w14:paraId="201B95FF" w14:textId="77777777">
              <w:pPr>
                <w:rPr>
                  <w:rFonts w:cs="Calibri" w:eastAsiaTheme="minorHAnsi"/>
                  <w:szCs w:val="22"/>
                  <w:lang w:eastAsia="en-US"/>
                </w:rPr>
              </w:pPr>
            </w:p>
            <w:p w:rsidR="004F2404" w:rsidP="00DB31DB" w:rsidRDefault="00DB31DB" w14:paraId="709D24CD" w14:textId="77777777">
              <w:pPr>
                <w:rPr>
                  <w:rFonts w:cs="Calibri" w:eastAsiaTheme="minorHAnsi"/>
                  <w:szCs w:val="22"/>
                  <w:lang w:eastAsia="en-US"/>
                </w:rPr>
              </w:pPr>
              <w:r w:rsidRPr="00DB31DB">
                <w:rPr>
                  <w:rFonts w:cs="Calibri" w:eastAsiaTheme="minorHAnsi"/>
                  <w:szCs w:val="22"/>
                  <w:lang w:eastAsia="en-US"/>
                </w:rPr>
                <w:t>De Afdeling wijst er verder op dat de Financiële-verhoudingswet twee criteria kent voor het verstrekken van specifieke uitkeringen. Het gaat volgens die wet om een uitkering ‘onder voorwaarden’ én ten behoeve van ‘een bepaald openbaar belang’.</w:t>
              </w:r>
              <w:r w:rsidRPr="00DB31DB">
                <w:rPr>
                  <w:rFonts w:cs="Calibri" w:eastAsiaTheme="minorHAnsi"/>
                  <w:szCs w:val="22"/>
                  <w:vertAlign w:val="superscript"/>
                  <w:lang w:eastAsia="en-US"/>
                </w:rPr>
                <w:footnoteReference w:id="24"/>
              </w:r>
              <w:r w:rsidRPr="00DB31DB">
                <w:rPr>
                  <w:rFonts w:cs="Calibri" w:eastAsiaTheme="minorHAnsi"/>
                  <w:szCs w:val="22"/>
                  <w:lang w:eastAsia="en-US"/>
                </w:rPr>
                <w:t xml:space="preserve"> </w:t>
              </w:r>
              <w:r w:rsidR="00453CC5">
                <w:rPr>
                  <w:rFonts w:cs="Calibri" w:eastAsiaTheme="minorHAnsi"/>
                  <w:szCs w:val="22"/>
                  <w:lang w:eastAsia="en-US"/>
                </w:rPr>
                <w:t xml:space="preserve">Aan het laatste criterium voldoet het voorstel niet. </w:t>
              </w:r>
              <w:r w:rsidR="002F46AE">
                <w:rPr>
                  <w:rFonts w:cs="Calibri" w:eastAsiaTheme="minorHAnsi"/>
                  <w:szCs w:val="22"/>
                  <w:lang w:eastAsia="en-US"/>
                </w:rPr>
                <w:t xml:space="preserve">De te stellen </w:t>
              </w:r>
              <w:r w:rsidRPr="00DB31DB" w:rsidR="002F46AE">
                <w:rPr>
                  <w:rFonts w:cs="Calibri" w:eastAsiaTheme="minorHAnsi"/>
                  <w:szCs w:val="22"/>
                  <w:lang w:eastAsia="en-US"/>
                </w:rPr>
                <w:t>voorwaarden waaronder de specifieke uitkeringen worden verstrekt, zijn</w:t>
              </w:r>
              <w:r w:rsidR="002F46AE">
                <w:rPr>
                  <w:rFonts w:cs="Calibri" w:eastAsiaTheme="minorHAnsi"/>
                  <w:szCs w:val="22"/>
                  <w:lang w:eastAsia="en-US"/>
                </w:rPr>
                <w:t xml:space="preserve"> in het voorstel immers</w:t>
              </w:r>
              <w:r w:rsidRPr="00DB31DB" w:rsidR="002F46AE">
                <w:rPr>
                  <w:rFonts w:cs="Calibri" w:eastAsiaTheme="minorHAnsi"/>
                  <w:szCs w:val="22"/>
                  <w:lang w:eastAsia="en-US"/>
                </w:rPr>
                <w:t xml:space="preserve"> niet gekoppeld aan een bepaald openbaar belang. </w:t>
              </w:r>
            </w:p>
            <w:p w:rsidR="004F2404" w:rsidP="00DB31DB" w:rsidRDefault="004F2404" w14:paraId="51F647F6" w14:textId="77777777">
              <w:pPr>
                <w:rPr>
                  <w:rFonts w:cs="Calibri" w:eastAsiaTheme="minorHAnsi"/>
                  <w:szCs w:val="22"/>
                  <w:lang w:eastAsia="en-US"/>
                </w:rPr>
              </w:pPr>
            </w:p>
            <w:p w:rsidRPr="00DB31DB" w:rsidR="00DB31DB" w:rsidP="00DB31DB" w:rsidRDefault="002F46AE" w14:paraId="5D5615E7" w14:textId="2C68F7C7">
              <w:pPr>
                <w:rPr>
                  <w:rFonts w:cs="Calibri" w:eastAsiaTheme="minorHAnsi"/>
                  <w:szCs w:val="22"/>
                  <w:lang w:eastAsia="en-US"/>
                </w:rPr>
              </w:pPr>
              <w:r w:rsidRPr="00DB31DB">
                <w:rPr>
                  <w:rFonts w:cs="Calibri" w:eastAsiaTheme="minorHAnsi"/>
                  <w:szCs w:val="22"/>
                  <w:lang w:eastAsia="en-US"/>
                </w:rPr>
                <w:t xml:space="preserve">Expliciet bepaalt het voorstel dat er juist geen specifiek doel is waaraan de verkregen gelden moeten worden ontleend. Het ontbreken van een specifiek bestedingsdoel (‘oormerken’) in </w:t>
              </w:r>
              <w:r>
                <w:rPr>
                  <w:rFonts w:cs="Calibri" w:eastAsiaTheme="minorHAnsi"/>
                  <w:szCs w:val="22"/>
                  <w:lang w:eastAsia="en-US"/>
                </w:rPr>
                <w:t xml:space="preserve">het </w:t>
              </w:r>
              <w:r w:rsidRPr="00DB31DB">
                <w:rPr>
                  <w:rFonts w:cs="Calibri" w:eastAsiaTheme="minorHAnsi"/>
                  <w:szCs w:val="22"/>
                  <w:lang w:eastAsia="en-US"/>
                </w:rPr>
                <w:t xml:space="preserve">voorstel is niet in lijn met het op dit punt bepaalde in de Financiële-verhoudingswet. De toelichting besteedt </w:t>
              </w:r>
              <w:r>
                <w:rPr>
                  <w:rFonts w:cs="Calibri" w:eastAsiaTheme="minorHAnsi"/>
                  <w:szCs w:val="22"/>
                  <w:lang w:eastAsia="en-US"/>
                </w:rPr>
                <w:t xml:space="preserve">aan deze afwijking </w:t>
              </w:r>
              <w:r w:rsidRPr="00DB31DB">
                <w:rPr>
                  <w:rFonts w:cs="Calibri" w:eastAsiaTheme="minorHAnsi"/>
                  <w:szCs w:val="22"/>
                  <w:lang w:eastAsia="en-US"/>
                </w:rPr>
                <w:t>in het geheel geen aandacht.</w:t>
              </w:r>
              <w:r w:rsidRPr="00DB31DB">
                <w:rPr>
                  <w:rStyle w:val="Voetnootmarkering"/>
                  <w:rFonts w:cs="Calibri" w:eastAsiaTheme="minorHAnsi"/>
                  <w:szCs w:val="22"/>
                  <w:lang w:eastAsia="en-US"/>
                </w:rPr>
                <w:footnoteReference w:id="25"/>
              </w:r>
              <w:r w:rsidRPr="00DB31DB">
                <w:rPr>
                  <w:rFonts w:cs="Calibri" w:eastAsiaTheme="minorHAnsi"/>
                  <w:szCs w:val="22"/>
                  <w:lang w:eastAsia="en-US"/>
                </w:rPr>
                <w:t xml:space="preserve"> </w:t>
              </w:r>
            </w:p>
            <w:p w:rsidRPr="00DB31DB" w:rsidR="007F42AC" w:rsidP="007F42AC" w:rsidRDefault="007F42AC" w14:paraId="4A931695" w14:textId="4F9F56C9">
              <w:pPr>
                <w:rPr>
                  <w:szCs w:val="22"/>
                </w:rPr>
              </w:pPr>
            </w:p>
            <w:p w:rsidRPr="00DB31DB" w:rsidR="007F42AC" w:rsidP="007F42AC" w:rsidRDefault="007F42AC" w14:paraId="07D63FE7" w14:textId="77777777">
              <w:pPr>
                <w:rPr>
                  <w:szCs w:val="22"/>
                </w:rPr>
              </w:pPr>
              <w:r w:rsidRPr="00DB31DB">
                <w:rPr>
                  <w:szCs w:val="22"/>
                </w:rPr>
                <w:t>e</w:t>
              </w:r>
              <w:r w:rsidRPr="00DB31DB">
                <w:rPr>
                  <w:szCs w:val="22"/>
                </w:rPr>
                <w:tab/>
              </w:r>
              <w:r w:rsidRPr="00DB31DB">
                <w:rPr>
                  <w:i/>
                  <w:szCs w:val="22"/>
                </w:rPr>
                <w:t>Rol provincies</w:t>
              </w:r>
              <w:r w:rsidRPr="00DB31DB" w:rsidR="00781D04">
                <w:rPr>
                  <w:i/>
                  <w:iCs/>
                  <w:szCs w:val="22"/>
                </w:rPr>
                <w:t xml:space="preserve"> </w:t>
              </w:r>
            </w:p>
            <w:p w:rsidR="00F70381" w:rsidP="007F42AC" w:rsidRDefault="007F42AC" w14:paraId="5D4E3922" w14:textId="2ED12DCB">
              <w:r w:rsidRPr="00DB31DB">
                <w:rPr>
                  <w:szCs w:val="22"/>
                </w:rPr>
                <w:t xml:space="preserve">Zoals hiervoor </w:t>
              </w:r>
              <w:r w:rsidR="005E6375">
                <w:rPr>
                  <w:szCs w:val="22"/>
                </w:rPr>
                <w:t xml:space="preserve">is </w:t>
              </w:r>
              <w:r w:rsidRPr="00DB31DB">
                <w:rPr>
                  <w:szCs w:val="22"/>
                </w:rPr>
                <w:t>opgemerkt</w:t>
              </w:r>
              <w:r w:rsidR="005E6375">
                <w:rPr>
                  <w:szCs w:val="22"/>
                </w:rPr>
                <w:t>,</w:t>
              </w:r>
              <w:r w:rsidRPr="00DB31DB">
                <w:rPr>
                  <w:szCs w:val="22"/>
                </w:rPr>
                <w:t xml:space="preserve"> roept het wetsvoorstel gemeenten, los van de precieze reikwijdte daarvan (zie hiervoor</w:t>
              </w:r>
              <w:r>
                <w:t xml:space="preserve"> punt b), in medebewind. Tegelijkertijd spelen ook de provincies een rol. De uiteindelijke opgave voor </w:t>
              </w:r>
              <w:r w:rsidR="00D82683">
                <w:t>(</w:t>
              </w:r>
              <w:r>
                <w:t>bepaalde</w:t>
              </w:r>
              <w:r w:rsidR="00D82683">
                <w:t>)</w:t>
              </w:r>
              <w:r>
                <w:t xml:space="preserve"> gemeenten loopt immers langs de lijn van de ‘provinciale’ opgave. </w:t>
              </w:r>
              <w:r w:rsidR="00455E42">
                <w:t>Verder</w:t>
              </w:r>
              <w:r>
                <w:t xml:space="preserve"> nemen gedeputeerde staten deel aan de ‘provinciale regietafel</w:t>
              </w:r>
              <w:r w:rsidR="00455E42">
                <w:t xml:space="preserve">’ </w:t>
              </w:r>
              <w:r>
                <w:t xml:space="preserve">en </w:t>
              </w:r>
              <w:r w:rsidR="00455E42">
                <w:t xml:space="preserve">zijn </w:t>
              </w:r>
              <w:r>
                <w:t>d</w:t>
              </w:r>
              <w:r w:rsidR="00251288">
                <w:t>aarmee</w:t>
              </w:r>
              <w:r>
                <w:t xml:space="preserve"> </w:t>
              </w:r>
              <w:r w:rsidR="00D82683">
                <w:t>‘</w:t>
              </w:r>
              <w:r w:rsidR="00455E42">
                <w:t>gesprekspartner</w:t>
              </w:r>
              <w:r w:rsidR="00D82683">
                <w:t>’</w:t>
              </w:r>
              <w:r w:rsidR="00455E42">
                <w:t>.</w:t>
              </w:r>
              <w:r>
                <w:t xml:space="preserve"> </w:t>
              </w:r>
            </w:p>
            <w:p w:rsidR="00F70381" w:rsidP="007F42AC" w:rsidRDefault="00F70381" w14:paraId="0A71F41D" w14:textId="77777777"/>
            <w:p w:rsidR="007F42AC" w:rsidP="007F42AC" w:rsidRDefault="007F42AC" w14:paraId="415E385D" w14:textId="455FE21B">
              <w:r>
                <w:t>Ook zijn de provincies bij de uitwerking van de opgave betrokken gelet o</w:t>
              </w:r>
              <w:r w:rsidR="00F30AF6">
                <w:t>p</w:t>
              </w:r>
              <w:r>
                <w:t xml:space="preserve"> de eventueel benodigde omgevingsrechtelijke aanpassingen. </w:t>
              </w:r>
              <w:r w:rsidR="002F46AE">
                <w:t>Dit betekent</w:t>
              </w:r>
              <w:r w:rsidDel="005A64BB" w:rsidR="00CF15BA">
                <w:t xml:space="preserve"> </w:t>
              </w:r>
              <w:r w:rsidR="00CF15BA">
                <w:t>dat p</w:t>
              </w:r>
              <w:r>
                <w:t xml:space="preserve">rovinciale omgevingswensen van invloed </w:t>
              </w:r>
              <w:r w:rsidR="00CF15BA">
                <w:t>kunnen</w:t>
              </w:r>
              <w:r>
                <w:t xml:space="preserve"> zijn op de ruimte die gemeenten hebben om in onderling overleg afspraken te maken over de verdeling van de asielopgave. </w:t>
              </w:r>
            </w:p>
            <w:p w:rsidR="007F42AC" w:rsidP="007F42AC" w:rsidRDefault="007F42AC" w14:paraId="56A53182" w14:textId="77777777"/>
            <w:p w:rsidR="00CF15BA" w:rsidP="007F42AC" w:rsidRDefault="00120584" w14:paraId="1A692D62" w14:textId="76E0B08F">
              <w:r>
                <w:t>D</w:t>
              </w:r>
              <w:r w:rsidRPr="00BA757A" w:rsidR="00AB7A2B">
                <w:t xml:space="preserve">e Afdeling </w:t>
              </w:r>
              <w:r>
                <w:t xml:space="preserve">onderkent </w:t>
              </w:r>
              <w:r w:rsidRPr="00BA757A" w:rsidR="00AB7A2B">
                <w:t>de rol van provinciale regietafels voor regionale afstemming</w:t>
              </w:r>
              <w:r>
                <w:t>.</w:t>
              </w:r>
              <w:r w:rsidR="00DC4310">
                <w:t xml:space="preserve"> D</w:t>
              </w:r>
              <w:r w:rsidRPr="00642602" w:rsidR="00AB7A2B">
                <w:t xml:space="preserve">e vraag </w:t>
              </w:r>
              <w:r w:rsidR="00DC4310">
                <w:t xml:space="preserve">dringt zich echter </w:t>
              </w:r>
              <w:r w:rsidR="00AB7A2B">
                <w:t xml:space="preserve">op hoe de rol van de provincies </w:t>
              </w:r>
              <w:r w:rsidRPr="00642602" w:rsidR="00AB7A2B">
                <w:t xml:space="preserve">zowel juridisch als </w:t>
              </w:r>
              <w:r w:rsidR="00AB7A2B">
                <w:t xml:space="preserve">in termen van de bestuurlijke verhoudingen moet worden geduid. </w:t>
              </w:r>
              <w:r w:rsidR="00895B9E">
                <w:t>Meer in het bijzonder is d</w:t>
              </w:r>
              <w:r w:rsidRPr="00642602" w:rsidR="003B6F27">
                <w:t xml:space="preserve">e vraag of de ‘provinciale’ opgave die </w:t>
              </w:r>
              <w:r w:rsidRPr="00642602" w:rsidR="00E75E7D">
                <w:t>aan de ‘provinciale’ regietafel wordt verdeeld</w:t>
              </w:r>
              <w:r w:rsidR="00F70381">
                <w:t>,</w:t>
              </w:r>
              <w:r w:rsidRPr="00642602" w:rsidR="00E75E7D">
                <w:t xml:space="preserve"> samenvalt met een wettelijke taak voor de provincie als</w:t>
              </w:r>
              <w:r w:rsidRPr="00642602" w:rsidR="00F54040">
                <w:t xml:space="preserve"> zijnde een in medebewind geroepen </w:t>
              </w:r>
              <w:r w:rsidRPr="00642602" w:rsidR="00E75E7D">
                <w:t>bestuurs</w:t>
              </w:r>
              <w:r w:rsidRPr="00642602" w:rsidR="00F54040">
                <w:t xml:space="preserve">laag. Dat lijkt niet het geval. Een expliciete taak is immers slechts vastgesteld voor de </w:t>
              </w:r>
              <w:r w:rsidR="00D03E11">
                <w:t>C</w:t>
              </w:r>
              <w:r w:rsidRPr="00642602" w:rsidR="00F54040">
                <w:t>ommissaris van de Koning in zijn hoedanigheid als rijksorgaan, n</w:t>
              </w:r>
              <w:r w:rsidRPr="00642602" w:rsidR="00A759C0">
                <w:t xml:space="preserve">iet als provinciaal orgaan. </w:t>
              </w:r>
              <w:r w:rsidRPr="00642602" w:rsidR="00E511EA">
                <w:t xml:space="preserve">Onder zijn leiding als rijksorgaan wordt de </w:t>
              </w:r>
              <w:r w:rsidRPr="00642602" w:rsidR="00041048">
                <w:t>provinciale opgave onder gemeenten verdeeld, waarover hij verslag uitbrengt</w:t>
              </w:r>
              <w:r w:rsidR="00B744E7">
                <w:t xml:space="preserve"> aan de minister</w:t>
              </w:r>
              <w:r w:rsidRPr="00642602" w:rsidR="00041048">
                <w:t xml:space="preserve">. </w:t>
              </w:r>
              <w:r w:rsidRPr="00642602" w:rsidR="006A69B4">
                <w:t xml:space="preserve">Ook het monitoren van de voortgang </w:t>
              </w:r>
              <w:r w:rsidRPr="00642602" w:rsidR="0041597B">
                <w:t xml:space="preserve">dat </w:t>
              </w:r>
              <w:r w:rsidR="00B744E7">
                <w:t xml:space="preserve">als taak </w:t>
              </w:r>
              <w:r w:rsidRPr="00642602" w:rsidR="0041597B">
                <w:t>aan de provinciale regietafel wordt toegeschreven</w:t>
              </w:r>
              <w:r w:rsidRPr="00642602" w:rsidR="00364830">
                <w:t>,</w:t>
              </w:r>
              <w:r w:rsidRPr="00642602" w:rsidR="00364830">
                <w:rPr>
                  <w:rStyle w:val="Voetnootmarkering"/>
                </w:rPr>
                <w:footnoteReference w:id="26"/>
              </w:r>
              <w:r w:rsidRPr="00642602" w:rsidR="0041597B">
                <w:t xml:space="preserve"> is niet </w:t>
              </w:r>
              <w:r w:rsidRPr="00642602" w:rsidR="00364830">
                <w:t>nader aan bijvoorbeeld gedeputeerde staten opgedragen.</w:t>
              </w:r>
              <w:r w:rsidR="0041597B">
                <w:t xml:space="preserve"> </w:t>
              </w:r>
            </w:p>
            <w:p w:rsidR="007F42AC" w:rsidP="007F42AC" w:rsidRDefault="007F42AC" w14:paraId="4FFEC452" w14:textId="77777777"/>
            <w:p w:rsidR="007F42AC" w:rsidP="007F42AC" w:rsidRDefault="002F46AE" w14:paraId="7BBE4EB5" w14:textId="2874FED7">
              <w:r w:rsidRPr="00642602">
                <w:t xml:space="preserve">De vraag </w:t>
              </w:r>
              <w:r w:rsidRPr="00642602" w:rsidR="00F16BB5">
                <w:t xml:space="preserve">naar de </w:t>
              </w:r>
              <w:r w:rsidRPr="00642602" w:rsidR="0096158E">
                <w:t>rol en positie van de provincie als bestuurslaag</w:t>
              </w:r>
              <w:r w:rsidR="007F42AC">
                <w:t xml:space="preserve"> houdt ook verband met de aanvullende vergoeding in de vorm van een specifieke uitkering die kan worden verstrekt wanneer 75% van de opgave is gerealiseerd. Deze specifieke uitkering wordt (ook) aan de provincie </w:t>
              </w:r>
              <w:r w:rsidR="00F06B51">
                <w:t>verstrekt</w:t>
              </w:r>
              <w:r w:rsidR="007F42AC">
                <w:t xml:space="preserve">. De vraag is </w:t>
              </w:r>
              <w:r w:rsidR="00F50EB7">
                <w:t xml:space="preserve">of </w:t>
              </w:r>
              <w:r w:rsidR="00F97775">
                <w:t>ook ten aanzien van provincies geldt dat di</w:t>
              </w:r>
              <w:r w:rsidR="00F50EB7">
                <w:t xml:space="preserve">t </w:t>
              </w:r>
              <w:r w:rsidR="00F97775">
                <w:t>een aanvulling is op reëel gemaakte kosten</w:t>
              </w:r>
              <w:r w:rsidR="00F06B51">
                <w:t xml:space="preserve"> in het kader van medebewind of dat het een bijzondere wijze van vergoeden is voor een meer bestuurlijk ingevulde taak (zie ook hierna punt </w:t>
              </w:r>
              <w:r w:rsidR="002A26CF">
                <w:t>4d</w:t>
              </w:r>
              <w:r w:rsidR="00F06B51">
                <w:t>).</w:t>
              </w:r>
              <w:r w:rsidR="00173AD8">
                <w:t xml:space="preserve"> </w:t>
              </w:r>
              <w:r w:rsidR="00A93F45">
                <w:t xml:space="preserve">Die vraag wordt versterkt </w:t>
              </w:r>
              <w:r w:rsidR="00391DAB">
                <w:t xml:space="preserve">doordat </w:t>
              </w:r>
              <w:r w:rsidR="005561A3">
                <w:t xml:space="preserve">daar waar </w:t>
              </w:r>
              <w:r w:rsidR="00391DAB">
                <w:t xml:space="preserve">de toelichting </w:t>
              </w:r>
              <w:r w:rsidR="00A67A8A">
                <w:t xml:space="preserve">spreekt </w:t>
              </w:r>
              <w:r w:rsidR="005561A3">
                <w:t>over</w:t>
              </w:r>
              <w:r w:rsidR="00391DAB">
                <w:t xml:space="preserve"> toegenomen lasten van </w:t>
              </w:r>
              <w:r w:rsidR="00173AD8">
                <w:t>provincies</w:t>
              </w:r>
              <w:r w:rsidR="005561A3">
                <w:t xml:space="preserve">, </w:t>
              </w:r>
              <w:r w:rsidR="00B107D3">
                <w:t>dit gerelateerd wordt</w:t>
              </w:r>
              <w:r w:rsidR="005561A3">
                <w:t xml:space="preserve"> aan de werkzaamheden van d</w:t>
              </w:r>
              <w:r w:rsidR="00392CD4">
                <w:t xml:space="preserve">e </w:t>
              </w:r>
              <w:r w:rsidR="00141A85">
                <w:t>C</w:t>
              </w:r>
              <w:r w:rsidR="00392CD4">
                <w:t>ommissaris van de Koning</w:t>
              </w:r>
              <w:r w:rsidR="00B20EE7">
                <w:t xml:space="preserve"> terwijl deze zijn werkzaamheden verricht als rijksorgaan en niet als provinciaal orgaan</w:t>
              </w:r>
              <w:r w:rsidR="00392CD4">
                <w:t>.</w:t>
              </w:r>
              <w:r w:rsidR="00392CD4">
                <w:rPr>
                  <w:rStyle w:val="Voetnootmarkering"/>
                </w:rPr>
                <w:footnoteReference w:id="27"/>
              </w:r>
            </w:p>
            <w:p w:rsidR="002F46AE" w:rsidP="002F46AE" w:rsidRDefault="002F46AE" w14:paraId="4EDE7C8D" w14:textId="77777777"/>
            <w:p w:rsidR="002F46AE" w:rsidP="002F46AE" w:rsidRDefault="002F46AE" w14:paraId="485CFE5F" w14:textId="77777777">
              <w:pPr>
                <w:rPr>
                  <w:szCs w:val="22"/>
                </w:rPr>
              </w:pPr>
              <w:r>
                <w:rPr>
                  <w:szCs w:val="22"/>
                </w:rPr>
                <w:t>f.</w:t>
              </w:r>
              <w:r>
                <w:rPr>
                  <w:szCs w:val="22"/>
                </w:rPr>
                <w:tab/>
              </w:r>
              <w:r w:rsidRPr="00835C4F">
                <w:rPr>
                  <w:i/>
                  <w:iCs/>
                  <w:szCs w:val="22"/>
                </w:rPr>
                <w:t>Rol van het COA</w:t>
              </w:r>
            </w:p>
            <w:p w:rsidR="003615E4" w:rsidP="000B315B" w:rsidRDefault="000B315B" w14:paraId="09287B78" w14:textId="77777777">
              <w:pPr>
                <w:rPr>
                  <w:szCs w:val="22"/>
                </w:rPr>
              </w:pPr>
              <w:r>
                <w:rPr>
                  <w:szCs w:val="22"/>
                </w:rPr>
                <w:t xml:space="preserve">Het voorstel wijzigt ook de Wet COA. Toegevoegd wordt een definitie van een opvangvoorziening. Daarin wordt tot uitdrukking gebracht dat het een accommodatie betreft waarin door het COA dan wel door het college </w:t>
              </w:r>
              <w:r w:rsidR="005A64BB">
                <w:rPr>
                  <w:szCs w:val="22"/>
                </w:rPr>
                <w:t xml:space="preserve">van </w:t>
              </w:r>
              <w:r w:rsidR="002F46AE">
                <w:rPr>
                  <w:szCs w:val="22"/>
                </w:rPr>
                <w:t>b en w opvang wordt geboden aan asielzoekers.</w:t>
              </w:r>
              <w:r>
                <w:rPr>
                  <w:szCs w:val="22"/>
                </w:rPr>
                <w:t xml:space="preserve"> Verder wordt een nieuwe bepaling voorgesteld waaruit volgt dat het COA met het college overeen kan komen dat het college verantwoordelijk is voor de exploitatie van de opvang. </w:t>
              </w:r>
            </w:p>
            <w:p w:rsidR="003615E4" w:rsidP="000B315B" w:rsidRDefault="003615E4" w14:paraId="33C3A9ED" w14:textId="77777777">
              <w:pPr>
                <w:rPr>
                  <w:szCs w:val="22"/>
                </w:rPr>
              </w:pPr>
            </w:p>
            <w:p w:rsidR="000B315B" w:rsidP="000B315B" w:rsidRDefault="000B315B" w14:paraId="3297517D" w14:textId="5B0A4346">
              <w:pPr>
                <w:rPr>
                  <w:szCs w:val="22"/>
                </w:rPr>
              </w:pPr>
              <w:r>
                <w:rPr>
                  <w:szCs w:val="22"/>
                </w:rPr>
                <w:t>De toelichting zet uiteen dat hiermee wordt ingespeeld op de behoefte aan een combinatie van opvangvoorzieningen en huisvesting van andere aandachtsgroepen. Daarover kunnen nadere regels worden gesteld.</w:t>
              </w:r>
              <w:r>
                <w:rPr>
                  <w:rStyle w:val="Voetnootmarkering"/>
                  <w:szCs w:val="22"/>
                </w:rPr>
                <w:footnoteReference w:id="28"/>
              </w:r>
              <w:r>
                <w:rPr>
                  <w:szCs w:val="22"/>
                </w:rPr>
                <w:t xml:space="preserve"> Daarnaast wordt voorgesteld in de wet op te nemen – in plaats van bij ministeriële regeling – dat het COA de verantwoordelijkheid heeft over de plaatsing van asielzoekers en de overplaatsing naar een andere voorziening</w:t>
              </w:r>
              <w:r w:rsidRPr="008B1AA0">
                <w:rPr>
                  <w:szCs w:val="22"/>
                </w:rPr>
                <w:t>.</w:t>
              </w:r>
              <w:r w:rsidR="00826509">
                <w:rPr>
                  <w:rStyle w:val="Voetnootmarkering"/>
                  <w:szCs w:val="22"/>
                </w:rPr>
                <w:footnoteReference w:id="29"/>
              </w:r>
              <w:r>
                <w:rPr>
                  <w:szCs w:val="22"/>
                </w:rPr>
                <w:t xml:space="preserve"> </w:t>
              </w:r>
            </w:p>
            <w:p w:rsidR="000B315B" w:rsidP="000B315B" w:rsidRDefault="000B315B" w14:paraId="721DED1E" w14:textId="77777777">
              <w:pPr>
                <w:rPr>
                  <w:szCs w:val="22"/>
                </w:rPr>
              </w:pPr>
            </w:p>
            <w:p w:rsidR="000B315B" w:rsidP="007F42AC" w:rsidRDefault="000B315B" w14:paraId="011E8765" w14:textId="068D2BEF">
              <w:r>
                <w:t xml:space="preserve">Door de partijen in de migratieketen wordt in dit verband </w:t>
              </w:r>
              <w:r w:rsidR="00B456F4">
                <w:t xml:space="preserve">in de consultatie </w:t>
              </w:r>
              <w:r>
                <w:t xml:space="preserve">gewezen op de implicaties van het voorstel als het gaat om de coördinatie, informatievoorziening, zicht en sturing op het asielproces alsmede het interbestuurlijk toezicht op de kwaliteit van de asielopvang. Waar nu de IND over plaatsing en beschikbaarheid alleen contact heeft met het COA, wordt dit verbreed naar </w:t>
              </w:r>
              <w:r w:rsidR="002F46AE">
                <w:t>in</w:t>
              </w:r>
              <w:r w:rsidR="00885D11">
                <w:t xml:space="preserve"> beginsel alle</w:t>
              </w:r>
              <w:r>
                <w:t xml:space="preserve"> colleges </w:t>
              </w:r>
              <w:r w:rsidR="00B456F4">
                <w:t>van b</w:t>
              </w:r>
              <w:r w:rsidR="00887EDC">
                <w:t>urgemeester</w:t>
              </w:r>
              <w:r w:rsidR="00B456F4">
                <w:t xml:space="preserve"> en w</w:t>
              </w:r>
              <w:r w:rsidR="00887EDC">
                <w:t>ethouders,</w:t>
              </w:r>
              <w:r w:rsidR="00B456F4">
                <w:t xml:space="preserve"> </w:t>
              </w:r>
              <w:r>
                <w:t xml:space="preserve">dan wel de onder diens verantwoordelijkheid werkende derden. Dit is temeer een complicerende factor omdat gemeenten niet zijn aangesloten op het centrale informatiesysteem in de vreemdelingenketen. Gepleit wordt </w:t>
              </w:r>
              <w:r w:rsidR="007D1AEB">
                <w:t xml:space="preserve">daarom </w:t>
              </w:r>
              <w:r>
                <w:t>voor een coördinerende rol bij één partij.</w:t>
              </w:r>
              <w:r w:rsidR="009E73EC">
                <w:rPr>
                  <w:rStyle w:val="Voetnootmarkering"/>
                </w:rPr>
                <w:footnoteReference w:id="30"/>
              </w:r>
              <w:r>
                <w:t xml:space="preserve"> </w:t>
              </w:r>
            </w:p>
            <w:p w:rsidR="000B315B" w:rsidP="007F42AC" w:rsidRDefault="000B315B" w14:paraId="0B3CEBF6" w14:textId="77777777"/>
            <w:p w:rsidR="000B315B" w:rsidP="007F42AC" w:rsidRDefault="000B315B" w14:paraId="3B34EDAC" w14:textId="77777777">
              <w:pPr>
                <w:rPr>
                  <w:szCs w:val="22"/>
                </w:rPr>
              </w:pPr>
              <w:r>
                <w:rPr>
                  <w:szCs w:val="22"/>
                </w:rPr>
                <w:t>De regering stelt slechts dat pleidooi ‘te onderschrijven’, en dat de wijze van opvang geen belemmering mag vormen voor het asielproces. Bij ‘de uitwerking van de randvoorwaarden’ zal hiermee rekening worden gehouden.</w:t>
              </w:r>
              <w:r>
                <w:rPr>
                  <w:rStyle w:val="Voetnootmarkering"/>
                </w:rPr>
                <w:footnoteReference w:id="31"/>
              </w:r>
              <w:r>
                <w:rPr>
                  <w:szCs w:val="22"/>
                </w:rPr>
                <w:t xml:space="preserve"> </w:t>
              </w:r>
              <w:r w:rsidR="00A53338">
                <w:rPr>
                  <w:szCs w:val="22"/>
                </w:rPr>
                <w:t xml:space="preserve">De Afdeling acht deze toelichting niet toereikend. </w:t>
              </w:r>
              <w:r>
                <w:rPr>
                  <w:szCs w:val="22"/>
                </w:rPr>
                <w:t xml:space="preserve">De </w:t>
              </w:r>
              <w:r w:rsidR="00A53338">
                <w:rPr>
                  <w:szCs w:val="22"/>
                </w:rPr>
                <w:t xml:space="preserve">beantwoording van de </w:t>
              </w:r>
              <w:r>
                <w:rPr>
                  <w:szCs w:val="22"/>
                </w:rPr>
                <w:t xml:space="preserve">fundamentele vragen die hieruit voortvloeien zouden – gelet op het karakter van het voorstel als stelselwijziging – niet </w:t>
              </w:r>
              <w:r w:rsidR="00A53338">
                <w:rPr>
                  <w:szCs w:val="22"/>
                </w:rPr>
                <w:t xml:space="preserve">en in elk geval niet volledig </w:t>
              </w:r>
              <w:r>
                <w:rPr>
                  <w:szCs w:val="22"/>
                </w:rPr>
                <w:t xml:space="preserve">moeten worden </w:t>
              </w:r>
              <w:r w:rsidDel="000D56A2">
                <w:rPr>
                  <w:szCs w:val="22"/>
                </w:rPr>
                <w:t>verdaagd</w:t>
              </w:r>
              <w:r>
                <w:rPr>
                  <w:szCs w:val="22"/>
                </w:rPr>
                <w:t xml:space="preserve"> naar de uitwerking in lagere regelgeving. </w:t>
              </w:r>
            </w:p>
            <w:p w:rsidR="002F46AE" w:rsidP="002F46AE" w:rsidRDefault="002F46AE" w14:paraId="788EB264" w14:textId="77777777">
              <w:pPr>
                <w:rPr>
                  <w:szCs w:val="22"/>
                </w:rPr>
              </w:pPr>
            </w:p>
            <w:p w:rsidRPr="001843C5" w:rsidR="002F46AE" w:rsidP="002F46AE" w:rsidRDefault="002F46AE" w14:paraId="155E92D4" w14:textId="77777777">
              <w:pPr>
                <w:rPr>
                  <w:i/>
                  <w:iCs/>
                  <w:szCs w:val="22"/>
                </w:rPr>
              </w:pPr>
              <w:r>
                <w:rPr>
                  <w:szCs w:val="22"/>
                </w:rPr>
                <w:t>g</w:t>
              </w:r>
              <w:r w:rsidRPr="008933C5">
                <w:rPr>
                  <w:szCs w:val="22"/>
                </w:rPr>
                <w:t>.</w:t>
              </w:r>
              <w:r w:rsidRPr="008933C5">
                <w:rPr>
                  <w:szCs w:val="22"/>
                </w:rPr>
                <w:tab/>
              </w:r>
              <w:r>
                <w:rPr>
                  <w:i/>
                  <w:iCs/>
                  <w:szCs w:val="22"/>
                </w:rPr>
                <w:t>Toezicht en v</w:t>
              </w:r>
              <w:r w:rsidRPr="008933C5">
                <w:rPr>
                  <w:i/>
                  <w:iCs/>
                  <w:szCs w:val="22"/>
                </w:rPr>
                <w:t>oorschot op overdracht aan gedeputeerde staten</w:t>
              </w:r>
            </w:p>
            <w:p w:rsidR="000B315B" w:rsidP="00815F8F" w:rsidRDefault="007F42AC" w14:paraId="68338317" w14:textId="037D9D93">
              <w:pPr>
                <w:rPr>
                  <w:szCs w:val="22"/>
                </w:rPr>
              </w:pPr>
              <w:r w:rsidRPr="00AD02FF">
                <w:rPr>
                  <w:szCs w:val="22"/>
                </w:rPr>
                <w:t xml:space="preserve">Een </w:t>
              </w:r>
              <w:r w:rsidR="000B315B">
                <w:rPr>
                  <w:szCs w:val="22"/>
                </w:rPr>
                <w:t xml:space="preserve">ander complicerend aspect van het voorstel betreft het toezicht op de opvangvoorzieningen – en daarmee verband houdend de hiervoor benoemde </w:t>
              </w:r>
              <w:r w:rsidR="002F46AE">
                <w:rPr>
                  <w:szCs w:val="22"/>
                </w:rPr>
                <w:t>positie</w:t>
              </w:r>
              <w:r w:rsidR="00FF3D90">
                <w:rPr>
                  <w:szCs w:val="22"/>
                </w:rPr>
                <w:t>s</w:t>
              </w:r>
              <w:r w:rsidR="002F46AE">
                <w:rPr>
                  <w:szCs w:val="22"/>
                </w:rPr>
                <w:t xml:space="preserve"> van de provincie en het COA</w:t>
              </w:r>
              <w:r w:rsidRPr="00AD02FF" w:rsidR="002F46AE">
                <w:rPr>
                  <w:szCs w:val="22"/>
                </w:rPr>
                <w:t>.</w:t>
              </w:r>
              <w:r w:rsidRPr="00AD02FF">
                <w:rPr>
                  <w:szCs w:val="22"/>
                </w:rPr>
                <w:t xml:space="preserve"> </w:t>
              </w:r>
            </w:p>
            <w:p w:rsidR="000B315B" w:rsidP="00815F8F" w:rsidRDefault="000B315B" w14:paraId="1B38EC6A" w14:textId="77777777">
              <w:pPr>
                <w:rPr>
                  <w:szCs w:val="22"/>
                </w:rPr>
              </w:pPr>
            </w:p>
            <w:p w:rsidR="007C7D1C" w:rsidP="00815F8F" w:rsidRDefault="000B315B" w14:paraId="75D565A5" w14:textId="77777777">
              <w:pPr>
                <w:rPr>
                  <w:szCs w:val="22"/>
                </w:rPr>
              </w:pPr>
              <w:r>
                <w:rPr>
                  <w:szCs w:val="22"/>
                </w:rPr>
                <w:t xml:space="preserve">De toelichting vermeldt dat het gaat om toezicht op ‘de kwaliteit’ van de asielopvang en dat de </w:t>
              </w:r>
              <w:r w:rsidR="007D1AEB">
                <w:rPr>
                  <w:szCs w:val="22"/>
                </w:rPr>
                <w:t xml:space="preserve">daarvoor benodigde </w:t>
              </w:r>
              <w:r>
                <w:rPr>
                  <w:szCs w:val="22"/>
                </w:rPr>
                <w:t xml:space="preserve">expertise ligt bij de centrale overheid. Om die reden wordt voorgesteld de minister als toezichthouder aan te wijzen (in plaats </w:t>
              </w:r>
              <w:r w:rsidR="00A53338">
                <w:rPr>
                  <w:szCs w:val="22"/>
                </w:rPr>
                <w:t xml:space="preserve">van </w:t>
              </w:r>
              <w:r>
                <w:rPr>
                  <w:szCs w:val="22"/>
                </w:rPr>
                <w:t>de provincies zoals</w:t>
              </w:r>
              <w:r w:rsidR="00815F8F">
                <w:rPr>
                  <w:szCs w:val="22"/>
                </w:rPr>
                <w:t xml:space="preserve"> het </w:t>
              </w:r>
              <w:r>
                <w:rPr>
                  <w:szCs w:val="22"/>
                </w:rPr>
                <w:t>uitgangspunt is bij medebewind).</w:t>
              </w:r>
              <w:r>
                <w:rPr>
                  <w:rStyle w:val="Voetnootmarkering"/>
                  <w:szCs w:val="22"/>
                </w:rPr>
                <w:footnoteReference w:id="32"/>
              </w:r>
              <w:r>
                <w:rPr>
                  <w:szCs w:val="22"/>
                </w:rPr>
                <w:t xml:space="preserve"> </w:t>
              </w:r>
              <w:r w:rsidR="00A53338">
                <w:rPr>
                  <w:szCs w:val="22"/>
                </w:rPr>
                <w:t xml:space="preserve">Blijkens het voorstel is dit een tijdelijke voorziening; zij geldt </w:t>
              </w:r>
              <w:r w:rsidR="002F46AE">
                <w:rPr>
                  <w:szCs w:val="22"/>
                </w:rPr>
                <w:t>alleen voor de eerste vier jaar.</w:t>
              </w:r>
              <w:r w:rsidRPr="00AD02FF" w:rsidR="002F46AE">
                <w:rPr>
                  <w:rStyle w:val="Voetnootmarkering"/>
                  <w:szCs w:val="22"/>
                </w:rPr>
                <w:footnoteReference w:id="33"/>
              </w:r>
              <w:r w:rsidRPr="00AD02FF">
                <w:rPr>
                  <w:szCs w:val="22"/>
                </w:rPr>
                <w:t xml:space="preserve"> </w:t>
              </w:r>
              <w:r>
                <w:rPr>
                  <w:szCs w:val="22"/>
                </w:rPr>
                <w:t xml:space="preserve">Daarna nemen gedeputeerde staten die rol over, zo stelt de toelichting. </w:t>
              </w:r>
            </w:p>
            <w:p w:rsidR="007C7D1C" w:rsidP="00815F8F" w:rsidRDefault="007C7D1C" w14:paraId="3827A4F2" w14:textId="77777777">
              <w:pPr>
                <w:rPr>
                  <w:szCs w:val="22"/>
                </w:rPr>
              </w:pPr>
            </w:p>
            <w:p w:rsidR="00815F8F" w:rsidP="00815F8F" w:rsidRDefault="000B315B" w14:paraId="71D256ED" w14:textId="05F236A9">
              <w:r>
                <w:rPr>
                  <w:szCs w:val="22"/>
                </w:rPr>
                <w:t>Het wetsvoorstel bepaalt in dat verband</w:t>
              </w:r>
              <w:r w:rsidR="00815F8F">
                <w:rPr>
                  <w:szCs w:val="22"/>
                </w:rPr>
                <w:t xml:space="preserve"> dat uiterlijk</w:t>
              </w:r>
              <w:r w:rsidRPr="00846BAC" w:rsidR="00815F8F">
                <w:rPr>
                  <w:szCs w:val="22"/>
                </w:rPr>
                <w:t xml:space="preserve"> vier jaar na inwerkingtreding van het </w:t>
              </w:r>
              <w:r>
                <w:rPr>
                  <w:szCs w:val="22"/>
                </w:rPr>
                <w:t xml:space="preserve">wetsvoorstel </w:t>
              </w:r>
              <w:r w:rsidRPr="00846BAC" w:rsidR="00815F8F">
                <w:rPr>
                  <w:szCs w:val="22"/>
                </w:rPr>
                <w:t xml:space="preserve">een </w:t>
              </w:r>
              <w:r>
                <w:rPr>
                  <w:szCs w:val="22"/>
                </w:rPr>
                <w:t>wetsvoorstel</w:t>
              </w:r>
              <w:r w:rsidRPr="00846BAC" w:rsidR="00815F8F">
                <w:rPr>
                  <w:szCs w:val="22"/>
                </w:rPr>
                <w:t xml:space="preserve"> in procedure moet worden gebracht om het toezicht op de uitvoering van de wettelijke taak door gemeenten </w:t>
              </w:r>
              <w:r>
                <w:rPr>
                  <w:szCs w:val="22"/>
                </w:rPr>
                <w:t>‘</w:t>
              </w:r>
              <w:r w:rsidRPr="00846BAC" w:rsidR="00815F8F">
                <w:rPr>
                  <w:szCs w:val="22"/>
                </w:rPr>
                <w:t>definitief</w:t>
              </w:r>
              <w:r>
                <w:rPr>
                  <w:szCs w:val="22"/>
                </w:rPr>
                <w:t>’</w:t>
              </w:r>
              <w:r w:rsidRPr="00846BAC" w:rsidR="00815F8F">
                <w:rPr>
                  <w:szCs w:val="22"/>
                </w:rPr>
                <w:t xml:space="preserve"> vorm te geven.</w:t>
              </w:r>
              <w:r w:rsidRPr="00846BAC" w:rsidR="00815F8F">
                <w:rPr>
                  <w:rStyle w:val="Voetnootmarkering"/>
                  <w:szCs w:val="22"/>
                </w:rPr>
                <w:footnoteReference w:id="34"/>
              </w:r>
              <w:r w:rsidR="00815F8F">
                <w:rPr>
                  <w:szCs w:val="22"/>
                </w:rPr>
                <w:t xml:space="preserve"> </w:t>
              </w:r>
              <w:r w:rsidR="00815F8F">
                <w:t xml:space="preserve">De toelichting </w:t>
              </w:r>
              <w:r>
                <w:t>stelt</w:t>
              </w:r>
              <w:r w:rsidR="00815F8F">
                <w:t xml:space="preserve"> dat het ‘goed denkbaar is’ dat de (na twee en vier jaar</w:t>
              </w:r>
              <w:r w:rsidR="00815F8F">
                <w:rPr>
                  <w:rStyle w:val="Voetnootmarkering"/>
                </w:rPr>
                <w:footnoteReference w:id="35"/>
              </w:r>
              <w:r w:rsidR="00815F8F">
                <w:t xml:space="preserve">) te houden evaluatie van het wetsvoorstel leidt tot herijking van onder meer dit punt. Dat roept de vraag op waarom reeds nu wordt geregeld dát uiterlijk over vier jaar na inwerkingtreding een wetsvoorstel wordt ingediend die het toezicht over doet gaan op gedeputeerde staten. </w:t>
              </w:r>
            </w:p>
            <w:p w:rsidR="002F46AE" w:rsidP="002F46AE" w:rsidRDefault="002F46AE" w14:paraId="2D5DB9AF" w14:textId="77777777"/>
            <w:p w:rsidRPr="000B315B" w:rsidR="002F46AE" w:rsidP="002F46AE" w:rsidRDefault="002F46AE" w14:paraId="7FA94483" w14:textId="77777777">
              <w:pPr>
                <w:rPr>
                  <w:szCs w:val="22"/>
                </w:rPr>
              </w:pPr>
              <w:r>
                <w:rPr>
                  <w:szCs w:val="22"/>
                </w:rPr>
                <w:t>Tegelijkertijd spreekt de toelichting over een rol voor het COA om te monitoren of het totaal aantal benodigde opvangvoorzieningen tijdig is gerealiseerd. Die informatie levert het COA aan bij ‘de toezichthouder’.</w:t>
              </w:r>
              <w:r>
                <w:rPr>
                  <w:rStyle w:val="Voetnootmarkering"/>
                  <w:szCs w:val="22"/>
                </w:rPr>
                <w:footnoteReference w:id="36"/>
              </w:r>
              <w:r>
                <w:rPr>
                  <w:szCs w:val="22"/>
                </w:rPr>
                <w:t xml:space="preserve"> Inhoudelijk zal voor gemeenten – nu en in de toekomst – helder moeten zijn welk bestuursorgaan toezichthoudend kan optreden. Die duidelijkheid dient te bestaan als het gaat om zowel de realisatie van de opvanglocaties (zie ook hiervoor punt c) als de kwaliteit ervan. In dat verband moet ook duidelijk zijn wat daarbij de rol is van de minister, het COA en de provincie. </w:t>
              </w:r>
            </w:p>
            <w:p w:rsidR="002F46AE" w:rsidP="002F46AE" w:rsidRDefault="002F46AE" w14:paraId="1BB662E8" w14:textId="77777777"/>
            <w:p w:rsidR="002F46AE" w:rsidP="002F46AE" w:rsidRDefault="002F46AE" w14:paraId="3EFD27F0" w14:textId="77777777">
              <w:pPr>
                <w:rPr>
                  <w:szCs w:val="22"/>
                </w:rPr>
              </w:pPr>
              <w:r>
                <w:rPr>
                  <w:szCs w:val="22"/>
                </w:rPr>
                <w:t>h.</w:t>
              </w:r>
              <w:r>
                <w:rPr>
                  <w:szCs w:val="22"/>
                </w:rPr>
                <w:tab/>
              </w:r>
              <w:r w:rsidRPr="00D61552">
                <w:rPr>
                  <w:i/>
                  <w:iCs/>
                  <w:szCs w:val="22"/>
                </w:rPr>
                <w:t>Benodigde nadere uitwerking in lagere regelgeving</w:t>
              </w:r>
            </w:p>
            <w:p w:rsidRPr="007F1051" w:rsidR="00195E01" w:rsidP="00195E01" w:rsidRDefault="007F1051" w14:paraId="10F1EADF" w14:textId="77777777">
              <w:pPr>
                <w:rPr>
                  <w:szCs w:val="22"/>
                </w:rPr>
              </w:pPr>
              <w:r>
                <w:rPr>
                  <w:szCs w:val="22"/>
                </w:rPr>
                <w:t>Tot slot – maar niet in het minst – wijst de Afdeling erop dat</w:t>
              </w:r>
              <w:r w:rsidR="00195E01">
                <w:rPr>
                  <w:szCs w:val="22"/>
                </w:rPr>
                <w:t xml:space="preserve"> veel </w:t>
              </w:r>
              <w:r>
                <w:rPr>
                  <w:szCs w:val="22"/>
                </w:rPr>
                <w:t xml:space="preserve">aspecten </w:t>
              </w:r>
              <w:r w:rsidR="00195E01">
                <w:rPr>
                  <w:szCs w:val="22"/>
                </w:rPr>
                <w:t>nog nadere uitwerking</w:t>
              </w:r>
              <w:r w:rsidR="00B1641F">
                <w:rPr>
                  <w:szCs w:val="22"/>
                </w:rPr>
                <w:t xml:space="preserve"> vergen en volgens het voorstel in lagere regelingen zullen worden opgenomen. </w:t>
              </w:r>
              <w:r w:rsidR="00195E01">
                <w:t>Beoogd is om de algemene maatregel van bestuur in concept voor advies en internetconsultatie gereed te hebben zodra het voorstel bij de Tweede Kamer wordt ingediend.</w:t>
              </w:r>
              <w:r w:rsidR="00195E01">
                <w:rPr>
                  <w:rStyle w:val="Voetnootmarkering"/>
                </w:rPr>
                <w:footnoteReference w:id="37"/>
              </w:r>
              <w:r w:rsidR="00195E01">
                <w:t xml:space="preserve"> De (bevoegdheid tot het stellen van) nadere regelgeving betreft </w:t>
              </w:r>
              <w:r w:rsidR="00154832">
                <w:t>blijkens het wetsvoorstel de volgende aspecten:</w:t>
              </w:r>
            </w:p>
            <w:p w:rsidR="00195E01" w:rsidP="00195E01" w:rsidRDefault="00195E01" w14:paraId="2BCC27D5" w14:textId="77777777"/>
            <w:p w:rsidR="00195E01" w:rsidP="00493042" w:rsidRDefault="00195E01" w14:paraId="5220E068" w14:textId="77777777">
              <w:pPr>
                <w:pStyle w:val="Lijstalinea"/>
                <w:numPr>
                  <w:ilvl w:val="0"/>
                  <w:numId w:val="9"/>
                </w:numPr>
                <w:ind w:left="284" w:hanging="284"/>
              </w:pPr>
              <w:r>
                <w:t>Bij of krachtens amvb: De minimale omvang van opvanglocaties- of accommodaties die door gemeenten beschikbaar worden gesteld en in mindering kunnen worden gebracht van de provinciale opvangopgave.</w:t>
              </w:r>
              <w:r>
                <w:rPr>
                  <w:rStyle w:val="Voetnootmarkering"/>
                </w:rPr>
                <w:footnoteReference w:id="38"/>
              </w:r>
              <w:r>
                <w:t xml:space="preserve"> </w:t>
              </w:r>
            </w:p>
            <w:p w:rsidR="00195E01" w:rsidP="00493042" w:rsidRDefault="00195E01" w14:paraId="524DE14D" w14:textId="77777777">
              <w:pPr>
                <w:pStyle w:val="Lijstalinea"/>
                <w:numPr>
                  <w:ilvl w:val="0"/>
                  <w:numId w:val="9"/>
                </w:numPr>
                <w:ind w:left="284" w:hanging="284"/>
              </w:pPr>
              <w:r>
                <w:t xml:space="preserve">Bij of krachtens amvb: </w:t>
              </w:r>
              <w:bookmarkStart w:name="_Hlk126071007" w:id="3"/>
              <w:r>
                <w:t>De wijze waarop de minimaal vereiste opvangplaatsen over de provincies en (indicatief over) de gemeenten worden verdeeld</w:t>
              </w:r>
              <w:bookmarkEnd w:id="3"/>
              <w:r>
                <w:t>.</w:t>
              </w:r>
              <w:r>
                <w:rPr>
                  <w:rStyle w:val="Voetnootmarkering"/>
                </w:rPr>
                <w:footnoteReference w:id="39"/>
              </w:r>
            </w:p>
            <w:p w:rsidR="00195E01" w:rsidP="00493042" w:rsidRDefault="00195E01" w14:paraId="10C939EA" w14:textId="77777777">
              <w:pPr>
                <w:pStyle w:val="Lijstalinea"/>
                <w:numPr>
                  <w:ilvl w:val="0"/>
                  <w:numId w:val="9"/>
                </w:numPr>
                <w:ind w:left="284" w:hanging="284"/>
              </w:pPr>
              <w:r>
                <w:t>Bij amvb: een uitwerking van het voorzitten van de provinciale regietafel door de CdK en het verslag daarvan aan de minister.</w:t>
              </w:r>
              <w:r>
                <w:rPr>
                  <w:rStyle w:val="Voetnootmarkering"/>
                </w:rPr>
                <w:footnoteReference w:id="40"/>
              </w:r>
            </w:p>
            <w:p w:rsidR="00195E01" w:rsidP="00493042" w:rsidRDefault="00195E01" w14:paraId="12BF91EA" w14:textId="2B61455D">
              <w:pPr>
                <w:pStyle w:val="Lijstalinea"/>
                <w:numPr>
                  <w:ilvl w:val="0"/>
                  <w:numId w:val="9"/>
                </w:numPr>
                <w:ind w:left="284" w:hanging="284"/>
              </w:pPr>
              <w:r>
                <w:t>Bij ministeri</w:t>
              </w:r>
              <w:r w:rsidR="00A923EA">
                <w:t>ë</w:t>
              </w:r>
              <w:r>
                <w:t xml:space="preserve">le regeling: de (hoogte van de) specifieke uitkeringen aan gemeenten en provincies alsmede de </w:t>
              </w:r>
              <w:r w:rsidRPr="00C1482D">
                <w:t xml:space="preserve">modaliteiten van de verstrekking </w:t>
              </w:r>
              <w:r>
                <w:t>ervan</w:t>
              </w:r>
              <w:r w:rsidRPr="00C1482D">
                <w:t xml:space="preserve"> (aanvraag, verlenen, vaststellen, uitbetalen, terugvorderen)</w:t>
              </w:r>
              <w:r>
                <w:t>.</w:t>
              </w:r>
              <w:r>
                <w:rPr>
                  <w:rStyle w:val="Voetnootmarkering"/>
                </w:rPr>
                <w:footnoteReference w:id="41"/>
              </w:r>
            </w:p>
            <w:p w:rsidR="00195E01" w:rsidP="00493042" w:rsidRDefault="00195E01" w14:paraId="5A4D718F" w14:textId="77777777">
              <w:pPr>
                <w:pStyle w:val="Lijstalinea"/>
                <w:numPr>
                  <w:ilvl w:val="0"/>
                  <w:numId w:val="9"/>
                </w:numPr>
                <w:ind w:left="284" w:hanging="284"/>
              </w:pPr>
              <w:r>
                <w:t xml:space="preserve">Bij </w:t>
              </w:r>
              <w:r w:rsidRPr="00657268" w:rsidR="00657268">
                <w:t>ministeriële</w:t>
              </w:r>
              <w:r>
                <w:t xml:space="preserve"> regeling: regels over de uitkeringen aan gemeenten bij de overgangsregeling.</w:t>
              </w:r>
              <w:r>
                <w:rPr>
                  <w:rStyle w:val="Voetnootmarkering"/>
                </w:rPr>
                <w:footnoteReference w:id="42"/>
              </w:r>
            </w:p>
            <w:p w:rsidR="00195E01" w:rsidP="00493042" w:rsidRDefault="00195E01" w14:paraId="680A5396" w14:textId="4DAED0A9">
              <w:pPr>
                <w:pStyle w:val="Lijstalinea"/>
                <w:numPr>
                  <w:ilvl w:val="0"/>
                  <w:numId w:val="9"/>
                </w:numPr>
                <w:ind w:left="284" w:hanging="284"/>
              </w:pPr>
              <w:r>
                <w:t>Bij min</w:t>
              </w:r>
              <w:r w:rsidR="00DD48D7">
                <w:t>i</w:t>
              </w:r>
              <w:r>
                <w:t>steri</w:t>
              </w:r>
              <w:r w:rsidR="00A923EA">
                <w:t>ë</w:t>
              </w:r>
              <w:r>
                <w:t>le regeling: de wijze van toekenning aan en de inhoud van de financiële beloningen voor provincies en gemeenten die vrijwillig en vroegtijdig bijzondere vormen van opvang realiseren.</w:t>
              </w:r>
              <w:r>
                <w:rPr>
                  <w:rStyle w:val="Voetnootmarkering"/>
                </w:rPr>
                <w:footnoteReference w:id="43"/>
              </w:r>
            </w:p>
            <w:p w:rsidR="00195E01" w:rsidP="00493042" w:rsidRDefault="00195E01" w14:paraId="6F359D1F" w14:textId="77777777">
              <w:pPr>
                <w:pStyle w:val="Lijstalinea"/>
                <w:numPr>
                  <w:ilvl w:val="0"/>
                  <w:numId w:val="9"/>
                </w:numPr>
                <w:ind w:left="284" w:hanging="284"/>
              </w:pPr>
              <w:r>
                <w:t>Bij of krachtens amvb: de regels die van toepassing zijn op de exploitatie van een opvangvoorziening door het college van burgemeesters en wethouders van een gemeente (in de plaats van het COA).</w:t>
              </w:r>
              <w:r>
                <w:rPr>
                  <w:rStyle w:val="Voetnootmarkering"/>
                </w:rPr>
                <w:footnoteReference w:id="44"/>
              </w:r>
              <w:r>
                <w:t xml:space="preserve"> </w:t>
              </w:r>
            </w:p>
            <w:p w:rsidR="00195E01" w:rsidP="00493042" w:rsidRDefault="00195E01" w14:paraId="76D9A339" w14:textId="77777777">
              <w:pPr>
                <w:pStyle w:val="Lijstalinea"/>
                <w:numPr>
                  <w:ilvl w:val="0"/>
                  <w:numId w:val="9"/>
                </w:numPr>
                <w:ind w:left="284" w:hanging="284"/>
              </w:pPr>
              <w:r>
                <w:t xml:space="preserve">Bij </w:t>
              </w:r>
              <w:r w:rsidRPr="00657268" w:rsidR="00657268">
                <w:t>ministeriële</w:t>
              </w:r>
              <w:r>
                <w:t xml:space="preserve"> regeling: de eisen waaraan voorzieningen voor reguliere opvang, opvang van alleenstaande minderjarige vreemdelingen en andere opvang van bijzondere aard, dienen te voldoen. De toelichting spreekt daarbij in het kader van interbestuurlijk toezicht over een ‘kwaliteitskader’ met materiele en immateriële eisen.</w:t>
              </w:r>
              <w:r>
                <w:rPr>
                  <w:rStyle w:val="Voetnootmarkering"/>
                </w:rPr>
                <w:footnoteReference w:id="45"/>
              </w:r>
              <w:r>
                <w:t xml:space="preserve"> </w:t>
              </w:r>
            </w:p>
            <w:p w:rsidR="00CC2124" w:rsidP="00CC2124" w:rsidRDefault="00CC2124" w14:paraId="1657B061" w14:textId="77777777">
              <w:pPr>
                <w:pStyle w:val="Lijstalinea"/>
              </w:pPr>
            </w:p>
            <w:p w:rsidR="0094721A" w:rsidP="00154832" w:rsidRDefault="00040FCD" w14:paraId="3D1637A7" w14:textId="7C39DB1F">
              <w:r>
                <w:t>Duidelijk wordt dat de nader te stellen regels onder meer gaan over de wijze waarop gekomen wordt tot verdeling van de locaties, mede in relatie tot de verantwoordelijkheden van het COA, het te ontwikkelen kwaliteitskader en het daaraan gerelateerde toezicht. Daarbij</w:t>
              </w:r>
              <w:r w:rsidR="00C41105">
                <w:t xml:space="preserve"> geldt </w:t>
              </w:r>
              <w:r>
                <w:t>dat de eisen waaraan opvangvoorzieningen moeten voldoen – gelet op mensenrechtenverdragen en recente rechterlijke uitspraken</w:t>
              </w:r>
              <w:r>
                <w:rPr>
                  <w:rStyle w:val="Voetnootmarkering"/>
                </w:rPr>
                <w:footnoteReference w:id="46"/>
              </w:r>
              <w:r>
                <w:t xml:space="preserve"> – bepalend zijn voor de locaties die voor gemeenten geschikt zijn om aan te dragen (zowel bij de nationale inbreng als de provinciale inbreng).</w:t>
              </w:r>
              <w:r w:rsidR="001B6DD1">
                <w:rPr>
                  <w:rStyle w:val="Voetnootmarkering"/>
                </w:rPr>
                <w:footnoteReference w:id="47"/>
              </w:r>
              <w:r>
                <w:t xml:space="preserve"> </w:t>
              </w:r>
            </w:p>
            <w:p w:rsidR="0094721A" w:rsidP="00154832" w:rsidRDefault="0094721A" w14:paraId="1861E746" w14:textId="77777777"/>
            <w:p w:rsidR="002E2E0F" w:rsidP="002F46AE" w:rsidRDefault="00DA1630" w14:paraId="515A3422" w14:textId="4687AEFF">
              <w:r>
                <w:t xml:space="preserve">De onderwerpen die </w:t>
              </w:r>
              <w:r w:rsidR="002060C7">
                <w:t xml:space="preserve">in het voorstel </w:t>
              </w:r>
              <w:r>
                <w:t>ter nadere</w:t>
              </w:r>
              <w:r w:rsidR="002F46AE">
                <w:t xml:space="preserve"> regeling aan de regering of de minister zijn gedelegeerd </w:t>
              </w:r>
              <w:r>
                <w:t>kunnen</w:t>
              </w:r>
              <w:r w:rsidR="00AB6B75">
                <w:t xml:space="preserve"> daarom</w:t>
              </w:r>
              <w:r>
                <w:t xml:space="preserve"> niet op voorhand </w:t>
              </w:r>
              <w:r w:rsidR="002F46AE">
                <w:t>als meer technische uitwerkingsvraagstukken worden beschouwd</w:t>
              </w:r>
              <w:r w:rsidR="00AB6B75">
                <w:t>.</w:t>
              </w:r>
              <w:r w:rsidR="002F46AE">
                <w:t xml:space="preserve"> </w:t>
              </w:r>
              <w:r w:rsidR="00AB6B75">
                <w:t xml:space="preserve">Zij raken immers het stelsel als geheel en zouden daarom </w:t>
              </w:r>
              <w:r w:rsidR="00BE6304">
                <w:t xml:space="preserve">op adequate wijze </w:t>
              </w:r>
              <w:r w:rsidR="002F46AE">
                <w:t>in de voorbereiding van het wetsvoorstel moeten worden betrokken. Aannemelijk is dat doordenking van in elk geval een aantal van de genoemde aspecten mede van invloed zal zijn op de wijze waarop het stelsel in de wet zélf moet worden vormgegeven.</w:t>
              </w:r>
              <w:r w:rsidRPr="000056C0" w:rsidR="00AB6B75">
                <w:rPr>
                  <w:rStyle w:val="Voetnootmarkering"/>
                </w:rPr>
                <w:footnoteReference w:id="48"/>
              </w:r>
              <w:r w:rsidR="00904BEC">
                <w:t xml:space="preserve"> </w:t>
              </w:r>
            </w:p>
            <w:p w:rsidR="002E2E0F" w:rsidP="002F46AE" w:rsidRDefault="002E2E0F" w14:paraId="2DB43FA3" w14:textId="77777777"/>
            <w:p w:rsidR="002F46AE" w:rsidP="002F46AE" w:rsidRDefault="00CD2BEC" w14:paraId="7EF22797" w14:textId="5E51510A">
              <w:r>
                <w:t xml:space="preserve">Daarbij zal </w:t>
              </w:r>
              <w:r w:rsidR="00205A8C">
                <w:t>ook</w:t>
              </w:r>
              <w:r w:rsidR="00085385">
                <w:t xml:space="preserve"> nader moeten worden bezien wat in de wet</w:t>
              </w:r>
              <w:r w:rsidR="00205A8C">
                <w:t xml:space="preserve"> zélf geregeld moet worden </w:t>
              </w:r>
              <w:r w:rsidR="000655D5">
                <w:t>en wat ter nadere regeling kan worden overgelaten aan een amvb of een ministeriële regeling.</w:t>
              </w:r>
              <w:r w:rsidR="000209B5">
                <w:t xml:space="preserve"> Daarbij </w:t>
              </w:r>
              <w:r w:rsidR="00D41E2F">
                <w:t xml:space="preserve">is </w:t>
              </w:r>
              <w:r w:rsidR="00EA3366">
                <w:t xml:space="preserve">het aangewezen dat in ieder geval </w:t>
              </w:r>
              <w:r w:rsidR="00134401">
                <w:t xml:space="preserve">de </w:t>
              </w:r>
              <w:r w:rsidRPr="00134401" w:rsidR="00134401">
                <w:t>wijze waarop de minimaal vereiste opvangplaatsen over de provincies en (indicatief over) de gemeenten worden verdeeld</w:t>
              </w:r>
              <w:r w:rsidR="00134401">
                <w:t xml:space="preserve">, </w:t>
              </w:r>
              <w:r w:rsidR="00EA3366">
                <w:t xml:space="preserve">uit een in de wet zelf opgenomen </w:t>
              </w:r>
              <w:r w:rsidR="00EE5AE1">
                <w:t>regeling</w:t>
              </w:r>
              <w:r w:rsidR="00EA3366">
                <w:t xml:space="preserve"> </w:t>
              </w:r>
              <w:r w:rsidR="00EE5AE1">
                <w:t>voortvloeit</w:t>
              </w:r>
              <w:r w:rsidR="00EA3366">
                <w:t>.</w:t>
              </w:r>
              <w:r w:rsidR="00EA3366">
                <w:rPr>
                  <w:rStyle w:val="Voetnootmarkering"/>
                </w:rPr>
                <w:footnoteReference w:id="49"/>
              </w:r>
            </w:p>
            <w:p w:rsidRPr="000056C0" w:rsidR="005F5F13" w:rsidP="001C4C03" w:rsidRDefault="005F5F13" w14:paraId="2AE5D0C8" w14:textId="77777777"/>
            <w:p w:rsidR="003B6B5B" w:rsidRDefault="003B6B5B" w14:paraId="173A94ED" w14:textId="77777777">
              <w:r>
                <w:br w:type="page"/>
              </w:r>
            </w:p>
            <w:p w:rsidR="007F42AC" w:rsidP="007F42AC" w:rsidRDefault="007F42AC" w14:paraId="4D87451F" w14:textId="5622FC6C">
              <w:pPr>
                <w:rPr>
                  <w:u w:val="single"/>
                </w:rPr>
              </w:pPr>
              <w:r>
                <w:t>4</w:t>
              </w:r>
              <w:r w:rsidRPr="000056C0">
                <w:t>.</w:t>
              </w:r>
              <w:r w:rsidRPr="000056C0">
                <w:tab/>
              </w:r>
              <w:r w:rsidRPr="001C4C03">
                <w:rPr>
                  <w:u w:val="single"/>
                </w:rPr>
                <w:t>Uitvoerbaarheid</w:t>
              </w:r>
            </w:p>
            <w:p w:rsidR="007F42AC" w:rsidP="007F42AC" w:rsidRDefault="007F42AC" w14:paraId="5973A681" w14:textId="77777777"/>
            <w:p w:rsidR="00DB2147" w:rsidP="00DB2147" w:rsidRDefault="00E262B0" w14:paraId="44C78073" w14:textId="77777777">
              <w:r>
                <w:t>a.</w:t>
              </w:r>
              <w:r>
                <w:tab/>
              </w:r>
              <w:r w:rsidRPr="0012766B">
                <w:rPr>
                  <w:i/>
                  <w:iCs/>
                </w:rPr>
                <w:t>Beperkte voorbereidingstijd</w:t>
              </w:r>
            </w:p>
            <w:p w:rsidR="002F46AE" w:rsidP="002F46AE" w:rsidRDefault="002F46AE" w14:paraId="34979099" w14:textId="77777777">
              <w:r>
                <w:t>Omdat er sprake is van een stelselwijziging (zie punt 2) die aanmerkelijke gevolgen zal hebben voor de uitvoering, valt het op dat het voorstel slechts twee weken ter consultatie heeft voorgelegen bij de medeoverheden en de partijen in de migratieketen. Daardoor is bijvoorbeeld door de VNG, het COA en de IND in plaats van de reguliere uitvoeringstoetsen volstaan met een ‘uitvoeringsscan’. Ook de regering stelt dat vanwege ‘de veel kortere tijdsperiode dan gebruikelijk’ en de nog ontbrekende lagere regelgeving ‘volstaan’ moest worden met een ‘quickscan’ in plaats van een volledige financiële uitvoering toetst conform artikel 2 van de Financiële verhoudingswet.</w:t>
              </w:r>
              <w:r>
                <w:rPr>
                  <w:rStyle w:val="Voetnootmarkering"/>
                </w:rPr>
                <w:footnoteReference w:id="50"/>
              </w:r>
              <w:r>
                <w:t xml:space="preserve"> </w:t>
              </w:r>
            </w:p>
            <w:p w:rsidR="00DB2147" w:rsidP="00DB2147" w:rsidRDefault="00DB2147" w14:paraId="359308BC" w14:textId="77777777"/>
            <w:p w:rsidR="00FB6F81" w:rsidP="00DB2147" w:rsidRDefault="00DB2147" w14:paraId="3B63F3C6" w14:textId="77777777">
              <w:r>
                <w:t>Hoewel de Code interbestuurlijke verhoudingen de mogelijkheid geeft om voor decentrale overheden de reguliere consultatietermijn van twee maanden te bekorten,</w:t>
              </w:r>
              <w:r w:rsidR="00665480">
                <w:t xml:space="preserve"> en hoewel uitvoeringsscans een zeker inzic</w:t>
              </w:r>
              <w:r w:rsidR="0062389B">
                <w:t>ht geven,</w:t>
              </w:r>
              <w:r>
                <w:t xml:space="preserve"> is de vraag is of </w:t>
              </w:r>
              <w:r w:rsidR="0062389B">
                <w:t>bij d</w:t>
              </w:r>
              <w:r w:rsidR="00F31527">
                <w:t>it</w:t>
              </w:r>
              <w:r w:rsidR="0062389B">
                <w:t xml:space="preserve"> wetsvoorstel de bekorting van de termijnen </w:t>
              </w:r>
              <w:r w:rsidR="002F46AE">
                <w:t>in deze mate gerechtvaardigd is.</w:t>
              </w:r>
              <w:r w:rsidR="002F46AE">
                <w:rPr>
                  <w:rStyle w:val="Voetnootmarkering"/>
                </w:rPr>
                <w:footnoteReference w:id="51"/>
              </w:r>
              <w:r>
                <w:t xml:space="preserve"> Dat geldt ook ten aanzien van de partijen in de migratieketen. </w:t>
              </w:r>
            </w:p>
            <w:p w:rsidR="00FB6F81" w:rsidP="00DB2147" w:rsidRDefault="00FB6F81" w14:paraId="7E1322D6" w14:textId="77777777"/>
            <w:p w:rsidR="00DB2147" w:rsidP="00DB2147" w:rsidRDefault="00DB2147" w14:paraId="64C2F541" w14:textId="173EEA80">
              <w:r>
                <w:t xml:space="preserve">Aangezien het </w:t>
              </w:r>
              <w:r w:rsidR="00FB6F81">
                <w:t>wets</w:t>
              </w:r>
              <w:r>
                <w:t xml:space="preserve">voorstel een </w:t>
              </w:r>
              <w:r w:rsidRPr="00366940">
                <w:t xml:space="preserve">nieuw </w:t>
              </w:r>
              <w:r>
                <w:t xml:space="preserve">en duurzaam </w:t>
              </w:r>
              <w:r w:rsidRPr="00366940">
                <w:t>stelsel voor asielopvang</w:t>
              </w:r>
              <w:r>
                <w:t xml:space="preserve"> beoogt te scheppen is de vraag waarom dan juist degenen die het voorstel moeten uitvoeren, beperkt en onvoldoende in samenhang in de gelegenheid worden gesteld het voorstel van de gebruikelijke uitvoeringstoets te voorzien. Dat is immers voor de effectiviteit van het voorstel van wezenlijk belang. De gevolgde consultatieprocedure wringt temeer tegen de achtergrond van de daaraan voorafgaande langdurige politieke onderhandelingen in de afgelopen maanden.</w:t>
              </w:r>
            </w:p>
            <w:p w:rsidR="00DB2147" w:rsidP="00DB2147" w:rsidRDefault="00DB2147" w14:paraId="26479A1A" w14:textId="77777777"/>
            <w:p w:rsidR="00DB2147" w:rsidP="00DB2147" w:rsidRDefault="00DB2147" w14:paraId="23EFA8F8" w14:textId="709ED5C1">
              <w:r w:rsidRPr="0012766B">
                <w:t xml:space="preserve">Verder wijst de Afdeling er in dit verband op dat het voorstel zowel in de besluitvormingsfase als in de uitvoeringsfase (vergunningverlening, ruimtelijke inpassing) juridische procedures met zich kan brengen. </w:t>
              </w:r>
              <w:r w:rsidR="0061789F">
                <w:t>M</w:t>
              </w:r>
              <w:r w:rsidR="00C27C26">
                <w:t>et het oog daarop</w:t>
              </w:r>
              <w:r w:rsidR="0061789F">
                <w:t xml:space="preserve"> is het</w:t>
              </w:r>
              <w:r w:rsidR="00C27C26">
                <w:t xml:space="preserve"> opmerkelijk</w:t>
              </w:r>
              <w:r w:rsidR="00B71486">
                <w:t xml:space="preserve"> dat d</w:t>
              </w:r>
              <w:r w:rsidRPr="0012766B">
                <w:t xml:space="preserve">e Raad voor de rechtspraak en de Afdeling bestuursrechtspraak </w:t>
              </w:r>
              <w:r w:rsidRPr="0012766B" w:rsidR="00672DD0">
                <w:t xml:space="preserve">niet </w:t>
              </w:r>
              <w:r w:rsidR="00B71486">
                <w:t>geconsulteerd zijn</w:t>
              </w:r>
              <w:r w:rsidR="00CE5EA4">
                <w:t xml:space="preserve"> om</w:t>
              </w:r>
              <w:r w:rsidRPr="0012766B" w:rsidR="00672DD0">
                <w:t xml:space="preserve"> de verwachte gevolgen voor de rechtspraak</w:t>
              </w:r>
              <w:r w:rsidR="00DD59E7">
                <w:t>, ook in termen van werklast</w:t>
              </w:r>
              <w:r w:rsidR="00A81730">
                <w:t>,</w:t>
              </w:r>
              <w:r w:rsidRPr="0012766B" w:rsidR="00672DD0">
                <w:t xml:space="preserve"> in kaart te brengen</w:t>
              </w:r>
              <w:r w:rsidRPr="0012766B">
                <w:t xml:space="preserve">. De toelichting benoemt slechts dat eventuele procedures rondom de besluitvorming ‘aanvullende inzet van het ministerie’ vergen maar laat de </w:t>
              </w:r>
              <w:r w:rsidR="002F46AE">
                <w:t>noodzakelijk</w:t>
              </w:r>
              <w:r w:rsidR="003811D1">
                <w:t>e</w:t>
              </w:r>
              <w:r w:rsidRPr="0012766B">
                <w:t xml:space="preserve"> inzet van anderen daarbij nagenoeg onbesproken.</w:t>
              </w:r>
              <w:r w:rsidRPr="0012766B">
                <w:rPr>
                  <w:rStyle w:val="Voetnootmarkering"/>
                </w:rPr>
                <w:footnoteReference w:id="52"/>
              </w:r>
              <w:r w:rsidRPr="007B206D">
                <w:t xml:space="preserve"> </w:t>
              </w:r>
            </w:p>
            <w:p w:rsidR="00DB2147" w:rsidP="007F42AC" w:rsidRDefault="00DB2147" w14:paraId="3C31FD8C" w14:textId="77777777"/>
            <w:p w:rsidR="007F42AC" w:rsidP="007F42AC" w:rsidRDefault="00EB0D05" w14:paraId="64D8BA53" w14:textId="77777777">
              <w:pPr>
                <w:rPr>
                  <w:i/>
                  <w:iCs/>
                </w:rPr>
              </w:pPr>
              <w:r>
                <w:t>b</w:t>
              </w:r>
              <w:r w:rsidR="007F42AC">
                <w:t xml:space="preserve">. </w:t>
              </w:r>
              <w:r w:rsidR="007F42AC">
                <w:tab/>
              </w:r>
              <w:r w:rsidR="007F42AC">
                <w:rPr>
                  <w:i/>
                  <w:iCs/>
                </w:rPr>
                <w:t>Complexiteit stelsel en uitvoering</w:t>
              </w:r>
            </w:p>
            <w:p w:rsidR="007F42AC" w:rsidP="007F42AC" w:rsidRDefault="00C568DF" w14:paraId="6970F384" w14:textId="3B40623F">
              <w:r>
                <w:t xml:space="preserve">Het voorgaande betekent dat de tijd te kort is geweest om de beoogde </w:t>
              </w:r>
              <w:r w:rsidR="003263C3">
                <w:t xml:space="preserve">stelselwijziging </w:t>
              </w:r>
              <w:r w:rsidR="002F46AE">
                <w:t xml:space="preserve">in voldoende mate op zijn uitvoeringseffecten te beoordelen. </w:t>
              </w:r>
              <w:r>
                <w:t xml:space="preserve">Dat betreft in de eerste plaats de gevolgen van </w:t>
              </w:r>
              <w:r w:rsidR="002F46AE">
                <w:t>de</w:t>
              </w:r>
              <w:r w:rsidR="007F42AC">
                <w:t xml:space="preserve"> complexiteit van het voorgestelde wettelijke stelsel </w:t>
              </w:r>
              <w:r>
                <w:t xml:space="preserve">als zodanig </w:t>
              </w:r>
              <w:r w:rsidR="007F42AC">
                <w:t>(zie hiervoor punt 3</w:t>
              </w:r>
              <w:r w:rsidR="002F46AE">
                <w:t>). Zoals</w:t>
              </w:r>
              <w:r w:rsidR="007F42AC">
                <w:t xml:space="preserve"> ook in diverse consultatiereacties naar voren komt, </w:t>
              </w:r>
              <w:r>
                <w:t xml:space="preserve">werkt die complexiteit </w:t>
              </w:r>
              <w:r w:rsidR="007F42AC">
                <w:t xml:space="preserve">rechtstreeks door in de uitvoering. De voorgestelde procedure in verschillende </w:t>
              </w:r>
              <w:r w:rsidR="00A81730">
                <w:t>fases</w:t>
              </w:r>
              <w:r w:rsidR="007F42AC">
                <w:t xml:space="preserve"> zal vermoedelijk veel tijd en inspanning vergen van alle betrokken bestuursorganen. Het gevolg daarvan is ook dat, ondanks de gestelde realisatietermijnen, </w:t>
              </w:r>
              <w:r w:rsidRPr="000C44D0" w:rsidR="007F42AC">
                <w:t xml:space="preserve">lange tijd onduidelijk </w:t>
              </w:r>
              <w:r w:rsidR="007F42AC">
                <w:t>zal blijven</w:t>
              </w:r>
              <w:r w:rsidRPr="000C44D0" w:rsidR="007F42AC">
                <w:t xml:space="preserve"> wat de uiteindelijke (verplichte) verdeling van de opvangplaatsen zal zijn</w:t>
              </w:r>
              <w:r w:rsidR="007F42AC">
                <w:t xml:space="preserve">. </w:t>
              </w:r>
            </w:p>
            <w:p w:rsidR="007F42AC" w:rsidP="007F42AC" w:rsidRDefault="007F42AC" w14:paraId="2D3B0857" w14:textId="77777777"/>
            <w:p w:rsidRPr="00EF34E8" w:rsidR="007F42AC" w:rsidP="007F42AC" w:rsidRDefault="007F42AC" w14:paraId="4CBBAEF9" w14:textId="7607C624">
              <w:r>
                <w:t xml:space="preserve">Verder is het zeer de vraag of de voorgestelde financiële prikkels het beoogde effect zullen hebben. </w:t>
              </w:r>
              <w:r w:rsidR="002F46AE">
                <w:t xml:space="preserve">Mogelijk zijn deze financiële beloningen met het oog op een effectieve uitvoering contraproductief omdat zij, zoals verschillende partijen vrezen, schadelijk </w:t>
              </w:r>
              <w:r w:rsidR="003263C3">
                <w:t xml:space="preserve">kunnen </w:t>
              </w:r>
              <w:r>
                <w:t xml:space="preserve">zijn voor de samenwerking tussen gemeenten en daarmee ook afbreuk kunnen doen aan een belangrijke doelstelling van het wetsvoorstel: de versterking van de onderlinge solidariteit bij het realiseren van een gemeenschappelijke opgave. </w:t>
              </w:r>
            </w:p>
            <w:p w:rsidR="007F42AC" w:rsidP="007F42AC" w:rsidRDefault="007F42AC" w14:paraId="5734573B" w14:textId="77777777"/>
            <w:p w:rsidRPr="00826D46" w:rsidR="007F42AC" w:rsidP="007F42AC" w:rsidRDefault="00EB0D05" w14:paraId="0E0344EF" w14:textId="77777777">
              <w:pPr>
                <w:rPr>
                  <w:i/>
                  <w:iCs/>
                </w:rPr>
              </w:pPr>
              <w:r>
                <w:t>c</w:t>
              </w:r>
              <w:r w:rsidR="007F42AC">
                <w:t>.</w:t>
              </w:r>
              <w:r w:rsidR="007F42AC">
                <w:tab/>
              </w:r>
              <w:r w:rsidR="007F42AC">
                <w:rPr>
                  <w:i/>
                  <w:iCs/>
                </w:rPr>
                <w:t>Uitvoeringsconsequenties onduidelijk</w:t>
              </w:r>
              <w:r w:rsidR="00CF142D">
                <w:rPr>
                  <w:i/>
                  <w:iCs/>
                </w:rPr>
                <w:t xml:space="preserve"> </w:t>
              </w:r>
            </w:p>
            <w:p w:rsidR="007F42AC" w:rsidP="007F42AC" w:rsidRDefault="007F42AC" w14:paraId="2E7837C7" w14:textId="3962CC1D">
              <w:r>
                <w:t>De Afdeling constateert verder dat vanwege het gebrek aan uitwerking</w:t>
              </w:r>
              <w:r w:rsidR="00F9075F">
                <w:t xml:space="preserve"> (zie hiervoor punt 3h)</w:t>
              </w:r>
              <w:r w:rsidR="002F46AE">
                <w:t>,</w:t>
              </w:r>
              <w:r>
                <w:t xml:space="preserve"> de gevolgen voor de uitvoering en de financiële gevolgen van het wetsvoorstel maar beperkt in kaart konden worden gebracht. Een financiële toets die de gevolgen voor gemeenten en provincies in kaart brengt wordt daarom ook nog later uitgevoerd, zo blijkt uit de toelichting. Ondertussen wordt het wetsvoorstel bij de Staten-Generaal ingediend.</w:t>
              </w:r>
              <w:r>
                <w:rPr>
                  <w:rStyle w:val="Voetnootmarkering"/>
                </w:rPr>
                <w:footnoteReference w:id="53"/>
              </w:r>
              <w:r>
                <w:t xml:space="preserve"> </w:t>
              </w:r>
            </w:p>
            <w:p w:rsidR="007F42AC" w:rsidP="007F42AC" w:rsidRDefault="007F42AC" w14:paraId="5500948C" w14:textId="77777777"/>
            <w:p w:rsidR="007F42AC" w:rsidP="007F42AC" w:rsidRDefault="007F42AC" w14:paraId="124FB519" w14:textId="0951A5FE">
              <w:r>
                <w:rPr>
                  <w:szCs w:val="22"/>
                </w:rPr>
                <w:t>V</w:t>
              </w:r>
              <w:r>
                <w:t>olgens de regering kan o</w:t>
              </w:r>
              <w:r w:rsidRPr="0075531F">
                <w:t>p basis van de uitvoeringsscans</w:t>
              </w:r>
              <w:r>
                <w:t xml:space="preserve"> worden </w:t>
              </w:r>
              <w:r w:rsidRPr="0075531F">
                <w:t xml:space="preserve">geconcludeerd dat het wetsvoorstel </w:t>
              </w:r>
              <w:r>
                <w:t>‘</w:t>
              </w:r>
              <w:r w:rsidRPr="0075531F">
                <w:t>uitvoerbaar is, maar dat het wel leidt tot veel extra werkzaamheden voor alle betrokkenen, waarbij een aantal zaken ook nadere uitwerking behoeft</w:t>
              </w:r>
              <w:r>
                <w:t>’</w:t>
              </w:r>
              <w:r w:rsidRPr="0075531F">
                <w:t xml:space="preserve">. </w:t>
              </w:r>
              <w:r>
                <w:rPr>
                  <w:szCs w:val="22"/>
                </w:rPr>
                <w:t>De regering erkent dat n</w:t>
              </w:r>
              <w:r w:rsidRPr="00F42394">
                <w:rPr>
                  <w:szCs w:val="22"/>
                </w:rPr>
                <w:t xml:space="preserve">a inwerkingtreding van </w:t>
              </w:r>
              <w:r>
                <w:rPr>
                  <w:szCs w:val="22"/>
                </w:rPr>
                <w:t xml:space="preserve">dit wetsvoorstel het enige tijd zal duren voordat </w:t>
              </w:r>
              <w:r w:rsidRPr="00F42394">
                <w:rPr>
                  <w:szCs w:val="22"/>
                </w:rPr>
                <w:t xml:space="preserve">de daarin neergelegde systematiek </w:t>
              </w:r>
              <w:r>
                <w:rPr>
                  <w:szCs w:val="22"/>
                </w:rPr>
                <w:t>ertoe leidt dat er</w:t>
              </w:r>
              <w:r w:rsidRPr="00F42394">
                <w:rPr>
                  <w:szCs w:val="22"/>
                </w:rPr>
                <w:t xml:space="preserve"> meer opvangplaatsen ter beschikking komen en een goede spreiding over het land wordt bereikt.</w:t>
              </w:r>
              <w:r>
                <w:rPr>
                  <w:rStyle w:val="Voetnootmarkering"/>
                  <w:szCs w:val="22"/>
                </w:rPr>
                <w:footnoteReference w:id="54"/>
              </w:r>
              <w:r>
                <w:rPr>
                  <w:szCs w:val="22"/>
                </w:rPr>
                <w:t xml:space="preserve"> Ook erkent de regering op voorhand dat de gekozen systematiek ‘waarschijnlijk niet vanaf de eerste cyclus optimaal zal werken’ maar spreekt </w:t>
              </w:r>
              <w:r w:rsidR="007111A8">
                <w:rPr>
                  <w:szCs w:val="22"/>
                </w:rPr>
                <w:t xml:space="preserve">zij </w:t>
              </w:r>
              <w:r>
                <w:rPr>
                  <w:szCs w:val="22"/>
                </w:rPr>
                <w:t>de verwachting uit dat het realiseren van de asielopvang ‘na enkele jaren beter planbaar is’.</w:t>
              </w:r>
              <w:r>
                <w:rPr>
                  <w:rStyle w:val="Voetnootmarkering"/>
                  <w:szCs w:val="22"/>
                </w:rPr>
                <w:footnoteReference w:id="55"/>
              </w:r>
              <w:r>
                <w:rPr>
                  <w:szCs w:val="22"/>
                </w:rPr>
                <w:t xml:space="preserve"> </w:t>
              </w:r>
            </w:p>
            <w:p w:rsidR="007F42AC" w:rsidP="007F42AC" w:rsidRDefault="007F42AC" w14:paraId="16E34BB0" w14:textId="77777777"/>
            <w:p w:rsidR="00C80482" w:rsidP="007F42AC" w:rsidRDefault="007F42AC" w14:paraId="00B4FF6F" w14:textId="187B4740">
              <w:r w:rsidRPr="000056C0">
                <w:t>Veel partijen geven aan</w:t>
              </w:r>
              <w:r>
                <w:t>, zoals al uit het voorgaande bleek,</w:t>
              </w:r>
              <w:r w:rsidRPr="000056C0">
                <w:t xml:space="preserve"> dat het gebrek aan </w:t>
              </w:r>
              <w:r>
                <w:t>uitwerking</w:t>
              </w:r>
              <w:r w:rsidRPr="000056C0">
                <w:t xml:space="preserve"> hen onvoldoende in staat stelt de uitvoeringsconsequenties adequaat te toetsen. Illustratief</w:t>
              </w:r>
              <w:r>
                <w:t xml:space="preserve"> is dat het COA bij de uitgebrachte uitvoeringsscan aangeeft dat de gegeven deadlines ‘het helaas niet mogelijk maken een volwaardige uitvoeringstoets te kunnen doen’ alsmede dat zij ‘nog niet alle details van het voorstel kunnen doorgronden’. </w:t>
              </w:r>
              <w:r w:rsidRPr="00CD1E94">
                <w:t xml:space="preserve">Ook de Kring van </w:t>
              </w:r>
              <w:r w:rsidR="009F3A10">
                <w:t>C</w:t>
              </w:r>
              <w:r w:rsidRPr="00CD1E94">
                <w:t>ommissarissen van de Koning laat zich in d</w:t>
              </w:r>
              <w:r>
                <w:t>i</w:t>
              </w:r>
              <w:r w:rsidRPr="00CD1E94">
                <w:t xml:space="preserve">e bewoordingen uit. </w:t>
              </w:r>
            </w:p>
            <w:p w:rsidR="00C80482" w:rsidP="007F42AC" w:rsidRDefault="00C80482" w14:paraId="5E64C41E" w14:textId="77777777"/>
            <w:p w:rsidR="007F42AC" w:rsidP="007F42AC" w:rsidRDefault="007F42AC" w14:paraId="28DB5CFB" w14:textId="482213F7">
              <w:r>
                <w:t xml:space="preserve">De IND wijst er in dit verband op dat voor een ‘gedegen en volledige’ uitvoeringstoets met een doorlooptijd van zes weken tot drie maanden gerekend moet worden. Ook blijkt </w:t>
              </w:r>
              <w:r w:rsidRPr="008921FF">
                <w:t>een systeem waarin de opvangplaatsen en</w:t>
              </w:r>
              <w:r>
                <w:t xml:space="preserve"> -</w:t>
              </w:r>
              <w:r w:rsidRPr="008921FF">
                <w:t>locaties door gemeenten geregistreerd kunnen worden</w:t>
              </w:r>
              <w:r>
                <w:t xml:space="preserve"> nog niet </w:t>
              </w:r>
              <w:r w:rsidR="00BB09C0">
                <w:t>gerealiseerd</w:t>
              </w:r>
              <w:r>
                <w:t>.</w:t>
              </w:r>
              <w:r>
                <w:rPr>
                  <w:rStyle w:val="Voetnootmarkering"/>
                </w:rPr>
                <w:footnoteReference w:id="56"/>
              </w:r>
              <w:r>
                <w:t xml:space="preserve"> </w:t>
              </w:r>
              <w:r w:rsidR="00DC2028">
                <w:t>Dergelijke ICT-voorzieningen zijn juist gelet op de twee verschillende fasen waarin het voorstel voorziet, een relevante randvoorwaarde om de uitvoering te laten slagen.</w:t>
              </w:r>
            </w:p>
            <w:p w:rsidR="007F42AC" w:rsidP="007F42AC" w:rsidRDefault="007F42AC" w14:paraId="028ACBF3" w14:textId="77777777"/>
            <w:p w:rsidRPr="00061E37" w:rsidR="007F42AC" w:rsidP="007F42AC" w:rsidRDefault="00EB0D05" w14:paraId="21BED6B0" w14:textId="77777777">
              <w:r>
                <w:t>d</w:t>
              </w:r>
              <w:r w:rsidR="007F42AC">
                <w:t>.</w:t>
              </w:r>
              <w:r w:rsidR="007F42AC">
                <w:tab/>
              </w:r>
              <w:r w:rsidR="007F42AC">
                <w:rPr>
                  <w:i/>
                  <w:iCs/>
                </w:rPr>
                <w:t>Financiële randvoorwaarden</w:t>
              </w:r>
            </w:p>
            <w:p w:rsidRPr="00061E37" w:rsidR="007F42AC" w:rsidP="007F42AC" w:rsidRDefault="008B30F3" w14:paraId="313ED444" w14:textId="5611C6FD">
              <w:r>
                <w:t>In de</w:t>
              </w:r>
              <w:r w:rsidRPr="00061E37" w:rsidR="007F42AC">
                <w:t xml:space="preserve"> consultatiereacties </w:t>
              </w:r>
              <w:r>
                <w:t>is er</w:t>
              </w:r>
              <w:r w:rsidRPr="00061E37" w:rsidR="007F42AC">
                <w:t>op gewezen dat de financiële prikkel voor vroegtijdig ingebrachte, duurzaam beschikbare opvangplaatsen niet het beoogde effect zal sorteren</w:t>
              </w:r>
              <w:r w:rsidR="007F42AC">
                <w:t xml:space="preserve"> en dat financiën niet de drijfveer zijn voor gemeenten om extra opvangplaatsen te realiseren.</w:t>
              </w:r>
              <w:r w:rsidRPr="00061E37" w:rsidR="007F42AC">
                <w:rPr>
                  <w:rStyle w:val="Voetnootmarkering"/>
                </w:rPr>
                <w:footnoteReference w:id="57"/>
              </w:r>
              <w:r w:rsidRPr="00061E37" w:rsidR="007F42AC">
                <w:t xml:space="preserve"> </w:t>
              </w:r>
              <w:r w:rsidR="007F42AC">
                <w:t>Gemeenten</w:t>
              </w:r>
              <w:r w:rsidRPr="00061E37" w:rsidR="007F42AC">
                <w:t xml:space="preserve"> </w:t>
              </w:r>
              <w:r w:rsidR="007F42AC">
                <w:t xml:space="preserve">vragen </w:t>
              </w:r>
              <w:r w:rsidRPr="00061E37" w:rsidR="007F42AC">
                <w:t>om niet meer en niet minder dan een adequate financiële compensatie voor de kosten die gepaard gaan met het bieden van asielopvang (waaronder in relatie tot de aanverwante voorzieningen) en om een meerjarige stabiele financiering van de uitvoeringsorganisaties.</w:t>
              </w:r>
              <w:r w:rsidR="007F42AC">
                <w:rPr>
                  <w:rStyle w:val="Voetnootmarkering"/>
                </w:rPr>
                <w:footnoteReference w:id="58"/>
              </w:r>
              <w:r w:rsidRPr="00061E37" w:rsidR="007F42AC">
                <w:t xml:space="preserve"> </w:t>
              </w:r>
              <w:r w:rsidR="007F42AC">
                <w:t>Dat pleidooi strookt met het bepaalde in de Gemeentewet, de Financiële verhoudingswet en de Comptabiliteitswet</w:t>
              </w:r>
              <w:r w:rsidR="001E0CC0">
                <w:t xml:space="preserve"> 2016</w:t>
              </w:r>
              <w:r w:rsidR="002F46AE">
                <w:t>.</w:t>
              </w:r>
              <w:r w:rsidR="002F46AE">
                <w:rPr>
                  <w:rStyle w:val="Voetnootmarkering"/>
                </w:rPr>
                <w:footnoteReference w:id="59"/>
              </w:r>
              <w:r w:rsidR="007F42AC">
                <w:t xml:space="preserve"> </w:t>
              </w:r>
            </w:p>
            <w:p w:rsidR="007F42AC" w:rsidP="007F42AC" w:rsidRDefault="007F42AC" w14:paraId="5261F344" w14:textId="77777777">
              <w:pPr>
                <w:rPr>
                  <w:u w:val="single"/>
                </w:rPr>
              </w:pPr>
            </w:p>
            <w:p w:rsidR="005B3090" w:rsidP="007F42AC" w:rsidRDefault="007F42AC" w14:paraId="11F844B0" w14:textId="77777777">
              <w:r w:rsidRPr="001660F7">
                <w:t xml:space="preserve">De Afdeling </w:t>
              </w:r>
              <w:r>
                <w:t>merkt</w:t>
              </w:r>
              <w:r w:rsidRPr="001660F7">
                <w:t xml:space="preserve"> op dat ook gemeenten die uiteindelijk niet in het verdeelbesluit </w:t>
              </w:r>
              <w:r w:rsidR="0012766B">
                <w:t xml:space="preserve">worden aangewezen </w:t>
              </w:r>
              <w:r w:rsidRPr="001660F7">
                <w:t xml:space="preserve">om opvangplaatsen te realiseren, ook </w:t>
              </w:r>
              <w:r w:rsidR="0012766B">
                <w:t>kosten zullen hebben gemaakt die direct uit de noodzaak van asielopvang voortvloeien</w:t>
              </w:r>
              <w:r w:rsidRPr="001660F7">
                <w:t xml:space="preserve">. Denkbaar is dat gemeenten vroegtijdig (ter </w:t>
              </w:r>
              <w:r w:rsidRPr="00EE4BC3">
                <w:t xml:space="preserve">voorbereiding op een nieuwe cyclus) participatieprocessen doorlopen </w:t>
              </w:r>
              <w:r w:rsidR="00F866B7">
                <w:t xml:space="preserve">en </w:t>
              </w:r>
              <w:r w:rsidR="009259EF">
                <w:t xml:space="preserve">mogelijk andere </w:t>
              </w:r>
              <w:r w:rsidRPr="00EE4BC3">
                <w:t xml:space="preserve">werkzaamheden </w:t>
              </w:r>
              <w:r w:rsidR="00F866B7">
                <w:t xml:space="preserve">verrichten. </w:t>
              </w:r>
              <w:r w:rsidR="001A76D1">
                <w:t>Ook</w:t>
              </w:r>
              <w:r w:rsidR="0074172F">
                <w:t xml:space="preserve"> worden zij geacht deel te nemen aan de </w:t>
              </w:r>
              <w:r w:rsidR="001A76D1">
                <w:t>provinciale regietafel</w:t>
              </w:r>
              <w:r w:rsidR="00787C2B">
                <w:t>; daar wordt immers gesproken over de door de minister opgestelde ‘indicatieve verdeling’ van het aantal opvangplaatsen over de gemeenten</w:t>
              </w:r>
              <w:r w:rsidR="001A76D1">
                <w:t xml:space="preserve">. </w:t>
              </w:r>
            </w:p>
            <w:p w:rsidR="005B3090" w:rsidP="007F42AC" w:rsidRDefault="005B3090" w14:paraId="2B774F5E" w14:textId="77777777"/>
            <w:p w:rsidR="0012766B" w:rsidP="007F42AC" w:rsidRDefault="00F866B7" w14:paraId="12BE6B3F" w14:textId="75ADE6AC">
              <w:r>
                <w:t xml:space="preserve">Verder kan het zijn dat gemeenten vanwege juridische procedures </w:t>
              </w:r>
              <w:r w:rsidR="001A76D1">
                <w:t>wel kosten maken maar uiteindelijk geen opvang (kunnen) realiseren.</w:t>
              </w:r>
              <w:r w:rsidR="00787C2B">
                <w:rPr>
                  <w:rStyle w:val="Voetnootmarkering"/>
                </w:rPr>
                <w:footnoteReference w:id="60"/>
              </w:r>
              <w:r w:rsidR="001A76D1">
                <w:t xml:space="preserve"> </w:t>
              </w:r>
              <w:r w:rsidRPr="00EE4BC3" w:rsidR="007F42AC">
                <w:t xml:space="preserve">Ook die activiteiten behoren </w:t>
              </w:r>
              <w:r w:rsidR="009259EF">
                <w:t xml:space="preserve">– los van de benoemde onduidelijkheid over de reikwijdte van de medebewindstaak (zie hiervoor punt </w:t>
              </w:r>
              <w:r w:rsidR="00A556A3">
                <w:t>3b</w:t>
              </w:r>
              <w:r w:rsidR="002F46AE">
                <w:t xml:space="preserve">) – </w:t>
              </w:r>
              <w:r w:rsidRPr="00EE4BC3" w:rsidR="002F46AE">
                <w:t>bij adequate medebewindswetgeving vergoed te worden.</w:t>
              </w:r>
              <w:r w:rsidR="002F46AE">
                <w:t xml:space="preserve"> </w:t>
              </w:r>
              <w:r w:rsidR="00153772">
                <w:t xml:space="preserve">De noodzaak van een </w:t>
              </w:r>
              <w:r w:rsidR="002F46AE">
                <w:t xml:space="preserve">adequate vergoeding geldt ook voor </w:t>
              </w:r>
              <w:r w:rsidRPr="00EE4BC3" w:rsidR="002F46AE">
                <w:t>de taken die op grond van dit wetsvoorstel op provincies komen te rusten</w:t>
              </w:r>
              <w:r w:rsidR="002F46AE">
                <w:t xml:space="preserve"> (zie ook punt 3e). </w:t>
              </w:r>
            </w:p>
            <w:p w:rsidR="0012766B" w:rsidP="007F42AC" w:rsidRDefault="0012766B" w14:paraId="2E2506D0" w14:textId="77777777"/>
            <w:p w:rsidR="007F42AC" w:rsidP="007F42AC" w:rsidRDefault="007F42AC" w14:paraId="5D831282" w14:textId="77777777">
              <w:r>
                <w:t>De noodzaak van een adequate doorrekening wordt tevens versterkt door het recent uitgebrachte rapport van de Algemene Rekenkamer waarin wordt geconcludeerd dat de uitgaven structureel te laag worden ingeschat.</w:t>
              </w:r>
              <w:r>
                <w:rPr>
                  <w:rStyle w:val="Voetnootmarkering"/>
                </w:rPr>
                <w:footnoteReference w:id="61"/>
              </w:r>
              <w:r>
                <w:t xml:space="preserve"> </w:t>
              </w:r>
            </w:p>
            <w:p w:rsidR="007F42AC" w:rsidP="007F42AC" w:rsidRDefault="007F42AC" w14:paraId="0869E0DE" w14:textId="77777777"/>
            <w:p w:rsidR="003B6B5B" w:rsidRDefault="003B6B5B" w14:paraId="0E82CC04" w14:textId="77777777">
              <w:r>
                <w:br w:type="page"/>
              </w:r>
            </w:p>
            <w:p w:rsidRPr="00A727D8" w:rsidR="007F42AC" w:rsidP="007F42AC" w:rsidRDefault="00EB0D05" w14:paraId="60E45DBE" w14:textId="3D700BD5">
              <w:r w:rsidRPr="00552402">
                <w:t>e</w:t>
              </w:r>
              <w:r w:rsidRPr="00A727D8" w:rsidR="007F42AC">
                <w:t>.</w:t>
              </w:r>
              <w:r w:rsidRPr="00A727D8" w:rsidR="007F42AC">
                <w:tab/>
              </w:r>
              <w:r w:rsidRPr="00A727D8" w:rsidR="007F42AC">
                <w:rPr>
                  <w:i/>
                  <w:iCs/>
                </w:rPr>
                <w:t>Juridische procedures</w:t>
              </w:r>
            </w:p>
            <w:p w:rsidRPr="00A727D8" w:rsidR="007F42AC" w:rsidP="007F42AC" w:rsidRDefault="007F42AC" w14:paraId="33ED2B99" w14:textId="6E9523F5">
              <w:r>
                <w:t xml:space="preserve">De uitvoerbaarheid van het voorstel wordt ten slotte bepaald door de juridische procedures die mogelijkerwijs na de bestuurlijke besluitvorming zullen volgen. </w:t>
              </w:r>
              <w:r w:rsidRPr="00A727D8">
                <w:t>Het verdeelbesluit dat de staatssecretaris neemt (vóór 1 september) is appellabel.</w:t>
              </w:r>
              <w:r w:rsidRPr="00A727D8">
                <w:rPr>
                  <w:rStyle w:val="Voetnootmarkering"/>
                </w:rPr>
                <w:footnoteReference w:id="62"/>
              </w:r>
              <w:r w:rsidRPr="00A727D8">
                <w:t xml:space="preserve"> Dat betekent dat decentrale overheden </w:t>
              </w:r>
              <w:r>
                <w:t>die rechtstreeks door dat besluit geraakt worden,</w:t>
              </w:r>
              <w:r w:rsidRPr="00A727D8">
                <w:t xml:space="preserve"> daartegen kunnen opkomen. </w:t>
              </w:r>
              <w:r>
                <w:t>Bezwaar- en beroepsp</w:t>
              </w:r>
              <w:r w:rsidRPr="00A727D8">
                <w:t xml:space="preserve">rocedures </w:t>
              </w:r>
              <w:r>
                <w:t>kunnen</w:t>
              </w:r>
              <w:r w:rsidRPr="00A727D8">
                <w:t xml:space="preserve"> verband houden met onvrede over het gevoerde overleg aan de provinciale regietafel en de consequenties daarvan voor het verdeelbesluit. </w:t>
              </w:r>
              <w:r w:rsidRPr="00A727D8" w:rsidR="002F46AE">
                <w:t>Daarbij geldt dat zonder nadere regeling</w:t>
              </w:r>
              <w:r w:rsidR="0017068F">
                <w:t>,</w:t>
              </w:r>
              <w:r w:rsidRPr="00A727D8">
                <w:t xml:space="preserve"> </w:t>
              </w:r>
              <w:r>
                <w:t xml:space="preserve">op grond van de Algemene wet bestuursrecht </w:t>
              </w:r>
              <w:r w:rsidRPr="00A727D8">
                <w:t>zowel bezwaar, beroep als hoger beroep openstaan.</w:t>
              </w:r>
              <w:r w:rsidR="00E2714E">
                <w:rPr>
                  <w:rStyle w:val="Voetnootmarkering"/>
                </w:rPr>
                <w:footnoteReference w:id="63"/>
              </w:r>
              <w:r w:rsidRPr="00A727D8">
                <w:t xml:space="preserve"> </w:t>
              </w:r>
            </w:p>
            <w:p w:rsidRPr="00A727D8" w:rsidR="007F42AC" w:rsidP="007F42AC" w:rsidRDefault="007F42AC" w14:paraId="2CAE63CD" w14:textId="77777777"/>
            <w:p w:rsidRPr="00A727D8" w:rsidR="007F42AC" w:rsidP="007F42AC" w:rsidRDefault="007F42AC" w14:paraId="3937736F" w14:textId="77777777">
              <w:r w:rsidRPr="00A727D8">
                <w:t>Na de fase van vaststelling van de verdeling van de opvanglocaties, volgt de uitvoeringsfase. Daarvoor is een termijn van zes maanden gesteld voor de opvanglocaties die voortvloeien uit de provinciale opgave.</w:t>
              </w:r>
              <w:r w:rsidRPr="00A727D8">
                <w:rPr>
                  <w:rStyle w:val="Voetnootmarkering"/>
                </w:rPr>
                <w:footnoteReference w:id="64"/>
              </w:r>
              <w:r w:rsidRPr="00A727D8">
                <w:t xml:space="preserve"> Deze praktische uitvoering vergt nadere gemeentelijke besluitvorming in de vorm van bijvoorbeeld vergunningverlening en ruimtelijke inpassing in de zin van wijziging van bestemmingsplannen. Bestemmingsplanwijzigingen zijn een bevoegdheid van de gemeenteraad</w:t>
              </w:r>
              <w:r>
                <w:t xml:space="preserve"> en </w:t>
              </w:r>
              <w:r w:rsidRPr="00A727D8">
                <w:t>vereis</w:t>
              </w:r>
              <w:r>
                <w:t>en</w:t>
              </w:r>
              <w:r w:rsidRPr="00A727D8">
                <w:t xml:space="preserve"> </w:t>
              </w:r>
              <w:r>
                <w:t xml:space="preserve">dientengevolge dat daarover binnen de raad </w:t>
              </w:r>
              <w:r w:rsidRPr="00A727D8">
                <w:t xml:space="preserve">politieke overeenstemming </w:t>
              </w:r>
              <w:r>
                <w:t>ontstaat</w:t>
              </w:r>
              <w:r w:rsidRPr="00A727D8">
                <w:t>. Het voorstel bepaalt in dat kader dat de gemeenteraad indien nodig zorgdraagt voor de aanpassing van het bestemmingsplan of de beheersverordening.</w:t>
              </w:r>
              <w:r w:rsidRPr="00A727D8">
                <w:rPr>
                  <w:rStyle w:val="Voetnootmarkering"/>
                </w:rPr>
                <w:footnoteReference w:id="65"/>
              </w:r>
              <w:r w:rsidRPr="00A727D8">
                <w:t xml:space="preserve"> </w:t>
              </w:r>
            </w:p>
            <w:p w:rsidRPr="00A727D8" w:rsidR="007F42AC" w:rsidP="007F42AC" w:rsidRDefault="007F42AC" w14:paraId="1F543980" w14:textId="77777777"/>
            <w:p w:rsidR="002B5FA4" w:rsidP="007F42AC" w:rsidRDefault="007F42AC" w14:paraId="67AF3C31" w14:textId="77777777">
              <w:r w:rsidRPr="00A727D8">
                <w:t>Terecht merkt de toelichting op dat gemeentelijke regelgeving soms ook aan vastgestelde provinciale kaders voor ruimtelijke ordening en natuurbescherming raakt.</w:t>
              </w:r>
              <w:r w:rsidRPr="00A727D8">
                <w:rPr>
                  <w:rStyle w:val="Voetnootmarkering"/>
                </w:rPr>
                <w:footnoteReference w:id="66"/>
              </w:r>
              <w:r w:rsidRPr="00A727D8">
                <w:t xml:space="preserve"> </w:t>
              </w:r>
              <w:r w:rsidR="0024675D">
                <w:t>Ook door</w:t>
              </w:r>
              <w:r w:rsidRPr="00A727D8" w:rsidR="0024675D">
                <w:t xml:space="preserve"> de geconsulteerde </w:t>
              </w:r>
              <w:r w:rsidR="00A6062E">
                <w:t xml:space="preserve">partijen </w:t>
              </w:r>
              <w:r w:rsidR="0024675D">
                <w:t>is daar op gewezen</w:t>
              </w:r>
              <w:r w:rsidRPr="00A727D8" w:rsidR="0024675D">
                <w:t>, waarbij onder meer de vergunningverlening en stikstofvereisten worden genoemd.</w:t>
              </w:r>
              <w:r w:rsidRPr="00A727D8" w:rsidR="0024675D">
                <w:rPr>
                  <w:rStyle w:val="Voetnootmarkering"/>
                </w:rPr>
                <w:footnoteReference w:id="67"/>
              </w:r>
              <w:r w:rsidRPr="00A727D8" w:rsidR="0024675D">
                <w:t xml:space="preserve"> </w:t>
              </w:r>
              <w:r w:rsidR="0024675D">
                <w:t>Een en ander kan</w:t>
              </w:r>
              <w:r w:rsidRPr="00A727D8">
                <w:t xml:space="preserve"> de gemeentelijke besluitvorming </w:t>
              </w:r>
              <w:r>
                <w:t xml:space="preserve">verder </w:t>
              </w:r>
              <w:r w:rsidRPr="00A727D8">
                <w:t>compliceren. Colleges van b</w:t>
              </w:r>
              <w:r w:rsidR="00AA69EB">
                <w:t>urgemeester</w:t>
              </w:r>
              <w:r w:rsidRPr="00A727D8">
                <w:t xml:space="preserve"> en w</w:t>
              </w:r>
              <w:r w:rsidR="00AA69EB">
                <w:t>ethouders</w:t>
              </w:r>
              <w:r w:rsidRPr="00A727D8">
                <w:t xml:space="preserve"> zullen zich </w:t>
              </w:r>
              <w:r w:rsidR="0024675D">
                <w:t>van deze aspecten</w:t>
              </w:r>
              <w:r w:rsidRPr="00A727D8">
                <w:t xml:space="preserve"> rekenschap moeten geven bij hun inbreng aan de provinciale regietafel</w:t>
              </w:r>
              <w:r w:rsidR="0024675D">
                <w:t xml:space="preserve"> en bij de afweging of zij </w:t>
              </w:r>
              <w:r w:rsidR="00DB5F0E">
                <w:t>kun</w:t>
              </w:r>
              <w:r w:rsidR="0098590E">
                <w:t xml:space="preserve">nen voldoen aan de </w:t>
              </w:r>
              <w:r w:rsidR="008F6A1A">
                <w:t>voorwaarden die gelden voor de vroegtijdige nationale inbreng</w:t>
              </w:r>
              <w:r w:rsidRPr="00A727D8">
                <w:t xml:space="preserve">. </w:t>
              </w:r>
            </w:p>
            <w:p w:rsidR="002B5FA4" w:rsidP="007F42AC" w:rsidRDefault="002B5FA4" w14:paraId="462D9DA2" w14:textId="77777777"/>
            <w:p w:rsidR="003A0B18" w:rsidP="007F42AC" w:rsidRDefault="00137510" w14:paraId="7D2EA49C" w14:textId="42D02524">
              <w:r w:rsidRPr="00A727D8">
                <w:t>Daar komt bij dat de toelichting erkent dat bij de uitvoeringsfase soms gebruik zal moeten worden gemaakt van de uniforme openbare voorbereidingsprocedure.</w:t>
              </w:r>
              <w:r>
                <w:rPr>
                  <w:rStyle w:val="Voetnootmarkering"/>
                </w:rPr>
                <w:footnoteReference w:id="68"/>
              </w:r>
              <w:r w:rsidRPr="00A727D8">
                <w:t xml:space="preserve"> Deze procedure vergt een substantiële periode. </w:t>
              </w:r>
              <w:r w:rsidRPr="00A727D8" w:rsidR="007F42AC">
                <w:t xml:space="preserve">Tegen de vergunningverlening en omgevingsrechtelijke aanpassingen staat </w:t>
              </w:r>
              <w:r w:rsidR="009E1523">
                <w:t xml:space="preserve">vervolgens </w:t>
              </w:r>
              <w:r w:rsidRPr="00A727D8" w:rsidR="007F42AC">
                <w:t xml:space="preserve">rechtsbescherming open voor belanghebbenden, zoals omwonenden maar ook </w:t>
              </w:r>
              <w:r w:rsidR="007F42AC">
                <w:t>belangen</w:t>
              </w:r>
              <w:r w:rsidRPr="00A727D8" w:rsidR="007F42AC">
                <w:t xml:space="preserve">organisaties. </w:t>
              </w:r>
            </w:p>
            <w:p w:rsidR="009E1523" w:rsidP="007F42AC" w:rsidRDefault="009E1523" w14:paraId="016DEEF6" w14:textId="77777777"/>
            <w:p w:rsidR="002F46AE" w:rsidP="002F46AE" w:rsidRDefault="002F46AE" w14:paraId="7174F143" w14:textId="1E541510">
              <w:r>
                <w:t xml:space="preserve">De toelichting geeft slechts beperkt rekenschap van deze aspecten. Als het gaat om de procedures omtrent het verdeelbesluit volstaat de toelichting met </w:t>
              </w:r>
              <w:r w:rsidR="006A0579">
                <w:t>t</w:t>
              </w:r>
              <w:r>
                <w:t>e vermelden dat dit ‘aanvullende inzet van het ministerie’ vergt. Ten aanzien van de uitwerkingsfase volstaat de toelichting met de vaststelling dat de gestelde realisatietermijn van zes maanden inclusief de afhandeling van bezwaar en beroepsprocedures is, en dat gemeenten het verdeelbesluit niet hoeven af te wachten alvorens met deze besluitvorming te starten.</w:t>
              </w:r>
              <w:r>
                <w:rPr>
                  <w:rStyle w:val="Voetnootmarkering"/>
                </w:rPr>
                <w:footnoteReference w:id="69"/>
              </w:r>
              <w:r>
                <w:t xml:space="preserve"> De toelichting acht de Afdeling gelet op bovengenoemde complicaties voor de in het voorstel gestelde systematiek en bijbehorende </w:t>
              </w:r>
              <w:r w:rsidR="006A0579">
                <w:t>realisatie</w:t>
              </w:r>
              <w:r>
                <w:t xml:space="preserve">termijnen, niet toereikend. </w:t>
              </w:r>
            </w:p>
            <w:p w:rsidR="007F42AC" w:rsidP="007F42AC" w:rsidRDefault="000E178D" w14:paraId="2E588364" w14:textId="77777777">
              <w:r>
                <w:t xml:space="preserve"> </w:t>
              </w:r>
            </w:p>
            <w:p w:rsidR="007F42AC" w:rsidP="007F42AC" w:rsidRDefault="00EB0D05" w14:paraId="14B54F80" w14:textId="77777777">
              <w:r>
                <w:rPr>
                  <w:i/>
                  <w:iCs/>
                </w:rPr>
                <w:t>f</w:t>
              </w:r>
              <w:r w:rsidR="007F42AC">
                <w:rPr>
                  <w:i/>
                  <w:iCs/>
                </w:rPr>
                <w:t xml:space="preserve">. </w:t>
              </w:r>
              <w:r w:rsidR="004E3B44">
                <w:rPr>
                  <w:i/>
                  <w:iCs/>
                </w:rPr>
                <w:tab/>
              </w:r>
              <w:r w:rsidR="007F42AC">
                <w:rPr>
                  <w:i/>
                  <w:iCs/>
                </w:rPr>
                <w:t>Tussenconclusie</w:t>
              </w:r>
            </w:p>
            <w:p w:rsidRPr="00385EBB" w:rsidR="002F46AE" w:rsidP="002F46AE" w:rsidRDefault="002F46AE" w14:paraId="0AB78F82" w14:textId="4C6918B9">
              <w:r>
                <w:t xml:space="preserve">De </w:t>
              </w:r>
              <w:r w:rsidR="002B5FA4">
                <w:t>voorg</w:t>
              </w:r>
              <w:r>
                <w:t xml:space="preserve">aande elementen die zowel samenhangen met de complexiteit van het stelsel als geheel (punt b; zie ook punt 3) als met de onzekerheid over de uitvoeringsgevolgen van de nadere uitwerking (punt a en c), de financiële voorwaarden (punt d) en de in verband met de ruimtelijke inbedding </w:t>
              </w:r>
              <w:r w:rsidR="008723D9">
                <w:t xml:space="preserve">mogelijk </w:t>
              </w:r>
              <w:r>
                <w:t xml:space="preserve">te verwachten juridische procedures (punt e), zorgen er gezamenlijk voor dat de uitvoerbaarheid van het wetsvoorstel dat nu voorligt, zeer twijfelachtig is. Daarmee is de verwachting gerechtvaardigd dat de doelstellingen van de wet in de praktijk niet in voldoende mate en </w:t>
              </w:r>
              <w:r w:rsidR="00B31203">
                <w:t xml:space="preserve">niet </w:t>
              </w:r>
              <w:r>
                <w:t>tijdig zullen worden gerealiseerd.</w:t>
              </w:r>
            </w:p>
            <w:p w:rsidR="007F42AC" w:rsidP="007F42AC" w:rsidRDefault="007F42AC" w14:paraId="3F0935EF" w14:textId="77777777"/>
            <w:p w:rsidR="007F42AC" w:rsidP="007F42AC" w:rsidRDefault="007F42AC" w14:paraId="5F66E525" w14:textId="77777777">
              <w:r>
                <w:t>5.</w:t>
              </w:r>
              <w:r>
                <w:tab/>
              </w:r>
              <w:r w:rsidRPr="00D37890">
                <w:rPr>
                  <w:u w:val="single"/>
                </w:rPr>
                <w:t>Ui</w:t>
              </w:r>
              <w:r>
                <w:rPr>
                  <w:u w:val="single"/>
                </w:rPr>
                <w:t xml:space="preserve">tgangspunten </w:t>
              </w:r>
              <w:r w:rsidRPr="003F6C8C">
                <w:rPr>
                  <w:u w:val="single"/>
                </w:rPr>
                <w:t>opvangstelsel</w:t>
              </w:r>
            </w:p>
            <w:p w:rsidR="007F42AC" w:rsidP="007F42AC" w:rsidRDefault="007F42AC" w14:paraId="097195AF" w14:textId="77777777"/>
            <w:p w:rsidR="007F42AC" w:rsidP="007F42AC" w:rsidRDefault="007F42AC" w14:paraId="65881ADC" w14:textId="77777777">
              <w:r>
                <w:t>De voorgaande conclusie doet de vraag rijzen hoe</w:t>
              </w:r>
              <w:r w:rsidR="00511EAD">
                <w:t>,</w:t>
              </w:r>
              <w:r>
                <w:t xml:space="preserve"> gelet op de noodzaak van een kwalitatief goede en effectieve wet, het stelsel kan worden vereenvoudigd. Daarvoor is eerst nodig om in te gaan op de vraag welke (conflicterende) uitgangspunten aan het voorstel en aan het vraagstuk van asielopvang ten principale, ten grondslag liggen (punt a en b). Daarna formuleert de Afdeling een denkrichting voor een mogelijk alternatief (punt c). </w:t>
              </w:r>
            </w:p>
            <w:p w:rsidR="007F42AC" w:rsidP="007F42AC" w:rsidRDefault="007F42AC" w14:paraId="317B6448" w14:textId="77777777"/>
            <w:p w:rsidRPr="00CC2F19" w:rsidR="007F42AC" w:rsidP="007F42AC" w:rsidRDefault="007F42AC" w14:paraId="65C2E962" w14:textId="77777777">
              <w:r>
                <w:rPr>
                  <w:szCs w:val="22"/>
                </w:rPr>
                <w:t>a.</w:t>
              </w:r>
              <w:r>
                <w:rPr>
                  <w:szCs w:val="22"/>
                </w:rPr>
                <w:tab/>
              </w:r>
              <w:r w:rsidRPr="003F6C8C">
                <w:rPr>
                  <w:i/>
                </w:rPr>
                <w:t>Stabiliteit en wendbaarheid</w:t>
              </w:r>
              <w:r w:rsidRPr="00CC2F19">
                <w:t xml:space="preserve"> </w:t>
              </w:r>
            </w:p>
            <w:p w:rsidR="007F42AC" w:rsidP="007F42AC" w:rsidRDefault="002F46AE" w14:paraId="01803C88" w14:textId="57DDFFC5">
              <w:r>
                <w:t xml:space="preserve">Als veelvuldig genoemde reden voor gemeenten om niet </w:t>
              </w:r>
              <w:r w:rsidR="00224B74">
                <w:t>vrijwillig</w:t>
              </w:r>
              <w:r w:rsidR="007F42AC">
                <w:t xml:space="preserve"> mee te werken aan opvangvoorzieningen benoemt de toelichting het gebrek aan politiek, bestuurlijk en maatschappelijk draagvlak en de onvrede bij gemeenten over het afschalen van opvanglocaties na de verhoogde instroom in 2015 en 2016 rond de opvang van Syrische vluchtelingen. Daarnaast bestaat soms een discrepantie tussen de vraag van het COA en het aanbod van gemeenten, voornamelijk rondom de schaal van de opvangvoorziening.</w:t>
              </w:r>
              <w:r w:rsidR="00CF142D">
                <w:t xml:space="preserve"> </w:t>
              </w:r>
            </w:p>
            <w:p w:rsidR="007F42AC" w:rsidP="007F42AC" w:rsidRDefault="007F42AC" w14:paraId="2F9EDE69" w14:textId="77777777"/>
            <w:p w:rsidR="007F42AC" w:rsidP="007F42AC" w:rsidRDefault="007F42AC" w14:paraId="7CC7340A" w14:textId="51C35D42">
              <w:r>
                <w:t>Wendbaarheid in de zin van op- en afschalen al naar gelang de instroom zich aandient, zoals de afgelopen jaren het geval is geweest, heeft belangrijke nadelen. Het confronteert gemeenten, na een bepaalde periode met een relatief lage instroom, steeds opnieuw met grote opgaven die binnen korte tijd</w:t>
              </w:r>
              <w:r w:rsidR="00B17A26">
                <w:t xml:space="preserve"> en </w:t>
              </w:r>
              <w:r>
                <w:t xml:space="preserve">onder politieke hoogspanning gerealiseerd moeten worden. </w:t>
              </w:r>
              <w:r w:rsidR="002F46AE">
                <w:t>Omdat asielopvang geen keuze is maar een internationale verplichting, acht de Afdeling het met de regering aangewezen dat nu</w:t>
              </w:r>
              <w:r w:rsidDel="007B50F1">
                <w:t xml:space="preserve"> </w:t>
              </w:r>
              <w:r>
                <w:t xml:space="preserve">stappen </w:t>
              </w:r>
              <w:r w:rsidR="007B50F1">
                <w:t>worden ge</w:t>
              </w:r>
              <w:r>
                <w:t xml:space="preserve">zet om te komen tot een grotere vaste voorraad aan opvangplaatsen. </w:t>
              </w:r>
            </w:p>
            <w:p w:rsidR="007F42AC" w:rsidP="007F42AC" w:rsidRDefault="007F42AC" w14:paraId="01245D6F" w14:textId="77777777"/>
            <w:p w:rsidR="007F42AC" w:rsidP="007F42AC" w:rsidRDefault="008B1876" w14:paraId="6B211582" w14:textId="4B07526C">
              <w:r>
                <w:t>Het voorgaande</w:t>
              </w:r>
              <w:r w:rsidR="007F42AC">
                <w:t xml:space="preserve"> be</w:t>
              </w:r>
              <w:r>
                <w:t>te</w:t>
              </w:r>
              <w:r w:rsidR="007F42AC">
                <w:t>kent niet dat de betreffende locaties altijd volledig moeten zijn ingericht met alle mogelijke voorzieningen. De locaties moeten zijn aangewezen en binnen enkele dagen in gereed</w:t>
              </w:r>
              <w:r w:rsidR="008739D1">
                <w:t>heid</w:t>
              </w:r>
              <w:r w:rsidR="007F42AC">
                <w:t xml:space="preserve"> kunnen worden gebracht. Dit betekent in concrete situaties dat de te plegen inspanningen vooral logistiek van aard zijn, omdat de bestuurlijke besluitvorming reeds vóór de betreffende toestroom heeft plaatsgevonden. De toelichting wijst hier ook op daar waar het de mogelijkheid betreft om aan de opvanglocaties tijdelijk een andere invulling te geven (zie punt </w:t>
              </w:r>
              <w:r w:rsidR="008414E6">
                <w:t>3f</w:t>
              </w:r>
              <w:r w:rsidR="002F46AE">
                <w:t>).</w:t>
              </w:r>
              <w:r w:rsidR="007F42AC">
                <w:t xml:space="preserve"> Die invulling moet zich wel verhouden tot het op korte termijn herinrichten tot opvanglocatie.</w:t>
              </w:r>
            </w:p>
            <w:p w:rsidR="007F42AC" w:rsidP="007F42AC" w:rsidRDefault="007F42AC" w14:paraId="6F43002E" w14:textId="77777777"/>
            <w:p w:rsidR="007F42AC" w:rsidP="007F42AC" w:rsidRDefault="007F42AC" w14:paraId="786AD5ED" w14:textId="77777777">
              <w:r>
                <w:t>De Afdeling wijst erop dat om te komen tot rust en stabiliteit in het opvangstelsel, naast flexibiliteit ook robuustheid nodig is. Robuustheid heeft alles te maken met een capaciteitsraming die niet zonder meer uitgaat van de minimaal verwachte instroom maar een zeker percentage daarboven.</w:t>
              </w:r>
              <w:r>
                <w:rPr>
                  <w:rStyle w:val="Voetnootmarkering"/>
                </w:rPr>
                <w:footnoteReference w:id="70"/>
              </w:r>
              <w:r>
                <w:t xml:space="preserve"> De minimaal te realiseren opvangplaatsen zouden dan ook gebaseerd moeten worden op een hoger aantal dan de minimaal verwachte instroom.</w:t>
              </w:r>
              <w:r>
                <w:rPr>
                  <w:rStyle w:val="Voetnootmarkering"/>
                </w:rPr>
                <w:footnoteReference w:id="71"/>
              </w:r>
              <w:r>
                <w:t xml:space="preserve"> Juist een robuust stelsel waarborgt dat Nederland aan internationale verplichtingen kan voldoen in tijden dat de nood aan de man is. Dat kan ook voorkomen dat een toestroom van asielzoekers gepaard moet gaan met het uitroepen van een nationale crisis, zoals de regering nu genoodzaakt was te doen. </w:t>
              </w:r>
            </w:p>
            <w:p w:rsidR="007F42AC" w:rsidP="007F42AC" w:rsidRDefault="007F42AC" w14:paraId="359DD09F" w14:textId="77777777"/>
            <w:p w:rsidRPr="00CC2F19" w:rsidR="007F42AC" w:rsidP="007F42AC" w:rsidRDefault="007F42AC" w14:paraId="0259306B" w14:textId="48A74D29">
              <w:pPr>
                <w:ind w:left="705" w:hanging="705"/>
              </w:pPr>
              <w:r>
                <w:t>b</w:t>
              </w:r>
              <w:r w:rsidRPr="00CC2F19">
                <w:t>.</w:t>
              </w:r>
              <w:r w:rsidRPr="00CC2F19">
                <w:tab/>
              </w:r>
              <w:r w:rsidRPr="003F6C8C">
                <w:rPr>
                  <w:i/>
                </w:rPr>
                <w:t>D</w:t>
              </w:r>
              <w:r w:rsidR="00D020AC">
                <w:rPr>
                  <w:i/>
                </w:rPr>
                <w:t>wingend</w:t>
              </w:r>
              <w:r w:rsidRPr="003F6C8C">
                <w:rPr>
                  <w:i/>
                </w:rPr>
                <w:t>heid en vrijwilligheid</w:t>
              </w:r>
              <w:r w:rsidRPr="00CC2F19">
                <w:t xml:space="preserve"> </w:t>
              </w:r>
            </w:p>
            <w:p w:rsidR="00EA50F3" w:rsidP="003F6C8C" w:rsidRDefault="002F46AE" w14:paraId="32A32561" w14:textId="79114D7F">
              <w:r>
                <w:t>Duidelijk is</w:t>
              </w:r>
              <w:bookmarkStart w:name="_Hlk124181037" w:id="4"/>
              <w:r w:rsidR="007F42AC">
                <w:t xml:space="preserve"> dat het voorstel </w:t>
              </w:r>
              <w:r w:rsidR="006474BD">
                <w:t xml:space="preserve">probeert te </w:t>
              </w:r>
              <w:r>
                <w:t>laveren</w:t>
              </w:r>
              <w:r w:rsidR="007F42AC">
                <w:t xml:space="preserve"> tussen d</w:t>
              </w:r>
              <w:r w:rsidR="00D020AC">
                <w:t>wingend</w:t>
              </w:r>
              <w:r w:rsidR="007F42AC">
                <w:t xml:space="preserve">heid en vrijwilligheid. Het zoeken naar evenwicht daartussen is niet eenvoudig. Vrijwilligheid betekent dat het zoveel mogelijk aan gemeenten zelf is om te bepalen hoeveel personen binnen de gemeentegrens kunnen worden opgevangen. Dat conflicteert met de geuite behoefte aan de beoogde solidariteit tussen gemeenten en een eerlijke en evenwichtige spreiding over het land die juist om </w:t>
              </w:r>
              <w:r w:rsidR="00901BAD">
                <w:t xml:space="preserve">een </w:t>
              </w:r>
              <w:r>
                <w:t>zekere dwingendheid vraagt.</w:t>
              </w:r>
              <w:r w:rsidR="007F42AC">
                <w:t xml:space="preserve"> </w:t>
              </w:r>
              <w:bookmarkEnd w:id="4"/>
            </w:p>
            <w:p w:rsidR="0018429D" w:rsidP="003F6C8C" w:rsidRDefault="0018429D" w14:paraId="37DDD009" w14:textId="77777777"/>
            <w:p w:rsidR="007F42AC" w:rsidP="007F42AC" w:rsidRDefault="007F42AC" w14:paraId="5382B2EC" w14:textId="77777777">
              <w:r>
                <w:t xml:space="preserve">De vrijwilligheid in het voorstel is vooral gelegen in het feit dat gemeenten in de </w:t>
              </w:r>
              <w:r w:rsidR="0018429D">
                <w:t>g</w:t>
              </w:r>
              <w:r>
                <w:t xml:space="preserve">elegenheid worden gesteld om eerst vrijwillig opvangplaatsen aan te bieden (‘nationale inbreng’) en daartoe gestimuleerd worden door het financiële voordeel dat die inbreng oplevert. Tegelijkertijd </w:t>
              </w:r>
              <w:r w:rsidR="0018429D">
                <w:t xml:space="preserve">worden </w:t>
              </w:r>
              <w:r>
                <w:t xml:space="preserve">alle gemeenten in </w:t>
              </w:r>
              <w:r w:rsidR="0018429D">
                <w:t>het proces betrokken</w:t>
              </w:r>
              <w:r w:rsidR="002E15EF">
                <w:t>, in ieder geval in de zin dat zij deelnemer</w:t>
              </w:r>
              <w:r>
                <w:t xml:space="preserve"> zijn aan de provinciale </w:t>
              </w:r>
              <w:r w:rsidR="002E15EF">
                <w:t>regietafel</w:t>
              </w:r>
              <w:r>
                <w:t xml:space="preserve">. Bovendien wordt </w:t>
              </w:r>
              <w:r w:rsidR="002E15EF">
                <w:t>dat</w:t>
              </w:r>
              <w:r>
                <w:t xml:space="preserve"> gesprek in sterke mate beïnvloed door de ‘indicatieve verdeling’ naar gemeenten die de minister doet uitgaan wanneer hij de provinciale opgave vaststelt. </w:t>
              </w:r>
            </w:p>
            <w:p w:rsidR="007F42AC" w:rsidP="007F42AC" w:rsidRDefault="007F42AC" w14:paraId="5816F6C7" w14:textId="77777777"/>
            <w:p w:rsidR="000D250F" w:rsidDel="000D250F" w:rsidP="000D250F" w:rsidRDefault="007F42AC" w14:paraId="0406117B" w14:textId="6E192247">
              <w:r>
                <w:t xml:space="preserve">De kernvraag is welke mate van vrijwilligheid geboden kan worden bij het nakomen van internationale verplichtingen. </w:t>
              </w:r>
              <w:r w:rsidR="002F46AE">
                <w:t xml:space="preserve">Het creëren van meer en snellere duidelijkheid voor gemeenten kan het nakomen van deze verplichtingen bespoedigen. Een complex interbestuurlijk proces waarbij vrijwilligheid niet op voorhand een gegeven is, past daar niet goed in. Tegelijkertijd dient bij de ontwikkeling van een mogelijk alternatief ruimte voor gemeenten te bestaan om in de uitvoering van de medebewindstaak, met inachtneming van de wettelijke kaders en in overleg met andere gemeenten en overheden, </w:t>
              </w:r>
              <w:r w:rsidR="00030AFC">
                <w:t>nadere</w:t>
              </w:r>
              <w:r w:rsidR="000D250F">
                <w:t xml:space="preserve"> keuzes te maken en prioriteiten te stellen. </w:t>
              </w:r>
            </w:p>
            <w:p w:rsidR="002F46AE" w:rsidP="002F46AE" w:rsidRDefault="002F46AE" w14:paraId="77D93F59" w14:textId="77777777">
              <w:pPr>
                <w:rPr>
                  <w:szCs w:val="22"/>
                </w:rPr>
              </w:pPr>
            </w:p>
            <w:p w:rsidR="002F46AE" w:rsidP="002F46AE" w:rsidRDefault="002F46AE" w14:paraId="646024DA" w14:textId="77777777">
              <w:r>
                <w:t>c.</w:t>
              </w:r>
              <w:r>
                <w:tab/>
              </w:r>
              <w:r>
                <w:rPr>
                  <w:i/>
                  <w:iCs/>
                </w:rPr>
                <w:t>Een mogelijk alternatief: de</w:t>
              </w:r>
              <w:r w:rsidRPr="00CE5B8E">
                <w:rPr>
                  <w:i/>
                  <w:iCs/>
                </w:rPr>
                <w:t xml:space="preserve"> Huisvestingswet</w:t>
              </w:r>
            </w:p>
            <w:p w:rsidR="002F46AE" w:rsidP="002F46AE" w:rsidRDefault="002F46AE" w14:paraId="5772B236" w14:textId="77777777">
              <w:r>
                <w:t>Gelet op het voorgaande is de vraag hoe het noodzakelijke evenwicht tussen de genoemde uitgangspunten (zie de punten a en b) het beste kan worden bereikt. De Afdeling wijst in dat verband, in aansluiting op enkele consultatiereacties, op de taak die gemeenten hebben inzake de huisvesting van statushouders en de daarbij geldende procedure. De procedure die geldt voor de huisvesting van statushouders kan als inspiratie dienen bij de ontwikkeling een toekomstbestendig stelsel voor asielopvang. In die procedure is het de Staatssecretaris van Justitie en Veiligheid die het totale aantal vergunninghouders bekendmaakt voor wie door een gemeente in huisvesting voorzien moet worden. Het aantal te huisvesten vergunninghouders is naar rato van het aantal inwoners.</w:t>
              </w:r>
              <w:r>
                <w:rPr>
                  <w:rStyle w:val="Voetnootmarkering"/>
                </w:rPr>
                <w:footnoteReference w:id="72"/>
              </w:r>
              <w:r>
                <w:t xml:space="preserve"> </w:t>
              </w:r>
            </w:p>
            <w:p w:rsidR="002F46AE" w:rsidP="002F46AE" w:rsidRDefault="002F46AE" w14:paraId="662B947C" w14:textId="77777777"/>
            <w:p w:rsidR="005D2EE7" w:rsidP="00495E45" w:rsidRDefault="002F46AE" w14:paraId="30EC5534" w14:textId="6396B32C">
              <w:r>
                <w:t xml:space="preserve">De </w:t>
              </w:r>
              <w:r w:rsidR="00E065B6">
                <w:t xml:space="preserve">Huisvestingswet laat </w:t>
              </w:r>
              <w:r w:rsidR="002654D8">
                <w:t>ruimte voor flexibiliteit in de uitvoering</w:t>
              </w:r>
              <w:r w:rsidR="00B33DF9">
                <w:t>, zonder aan de robuustheid af te doen</w:t>
              </w:r>
              <w:r w:rsidR="002654D8">
                <w:t>.</w:t>
              </w:r>
              <w:r w:rsidR="00B96C0B">
                <w:t xml:space="preserve"> </w:t>
              </w:r>
              <w:r w:rsidR="00A33767">
                <w:t xml:space="preserve">In die wet is namelijk </w:t>
              </w:r>
              <w:r>
                <w:t>bepaald</w:t>
              </w:r>
              <w:r w:rsidDel="00A33767" w:rsidR="00B96C0B">
                <w:t xml:space="preserve"> </w:t>
              </w:r>
              <w:r w:rsidR="00B96C0B">
                <w:t xml:space="preserve">dat </w:t>
              </w:r>
              <w:r w:rsidR="002D0FD9">
                <w:t xml:space="preserve">de colleges van </w:t>
              </w:r>
              <w:r w:rsidR="00B96C0B">
                <w:t>b</w:t>
              </w:r>
              <w:r w:rsidR="000F4652">
                <w:t>urgemeester</w:t>
              </w:r>
              <w:r w:rsidR="00B96C0B">
                <w:t xml:space="preserve"> en w</w:t>
              </w:r>
              <w:r w:rsidR="000F4652">
                <w:t>ethouders</w:t>
              </w:r>
              <w:r w:rsidR="00B96C0B">
                <w:t xml:space="preserve"> de taakstelling die uit de geldende formule volgt, in onderling overleg kunnen wijzigen zolang het totale aantal van de betreffende </w:t>
              </w:r>
              <w:r>
                <w:t>gemeenten maar niet wijzigt.</w:t>
              </w:r>
              <w:r>
                <w:rPr>
                  <w:rStyle w:val="Voetnootmarkering"/>
                </w:rPr>
                <w:footnoteReference w:id="73"/>
              </w:r>
              <w:r w:rsidR="00B96C0B">
                <w:t xml:space="preserve"> De Huisvestingswet gaat daarmee uit van een medebewindstaak voor alle gemeenten en schept daarmee duidelijkheid. Tegen de achtergrond van die gegeven duidelijkheid is er vervolgens ruimte om de daadwerkelijke realisatie in onderling overleg nader te bepalen. </w:t>
              </w:r>
            </w:p>
            <w:p w:rsidR="005D2EE7" w:rsidP="00495E45" w:rsidRDefault="005D2EE7" w14:paraId="758D84E7" w14:textId="77777777"/>
            <w:p w:rsidR="00A92213" w:rsidRDefault="008003DA" w14:paraId="62C635C6" w14:textId="7C277989">
              <w:r>
                <w:t>Dit betekent ook dat een dergelijke procedure er niet per definitie toe leidt dat e</w:t>
              </w:r>
              <w:r w:rsidR="00E30B08">
                <w:t>r in alle gemeenten (kleine) opvanglocaties ontstaan. Het biedt gemeenten perspectief voor onderling overleg</w:t>
              </w:r>
              <w:r w:rsidR="0018325E">
                <w:t xml:space="preserve">, zonder dat de taakstelling als zodanig onderwerp van discussie is. </w:t>
              </w:r>
              <w:r w:rsidR="000072A0">
                <w:t xml:space="preserve">Vervolgens kan de uitwerking van de </w:t>
              </w:r>
              <w:r w:rsidR="00BE5EE1">
                <w:t xml:space="preserve">beide </w:t>
              </w:r>
              <w:r w:rsidR="000072A0">
                <w:t>taakstellingen in</w:t>
              </w:r>
              <w:r w:rsidR="00BE5EE1">
                <w:t xml:space="preserve"> onderling verband worden bezien</w:t>
              </w:r>
              <w:r w:rsidR="00266426">
                <w:t>.</w:t>
              </w:r>
              <w:r w:rsidR="00BE5EE1">
                <w:t xml:space="preserve"> </w:t>
              </w:r>
              <w:r w:rsidR="00266426">
                <w:t>W</w:t>
              </w:r>
              <w:r w:rsidR="005D2EE7">
                <w:t xml:space="preserve">aar de </w:t>
              </w:r>
              <w:r w:rsidR="007F42AC">
                <w:t xml:space="preserve">ene gemeente meer opvangplaatsen voor asiel </w:t>
              </w:r>
              <w:r w:rsidR="00495E45">
                <w:t xml:space="preserve">kan realiseren (bijvoorbeeld vanwege </w:t>
              </w:r>
              <w:r w:rsidR="00163539">
                <w:t>een al dan niet ruimtelijke karakter</w:t>
              </w:r>
              <w:r w:rsidR="005D2EE7">
                <w:t xml:space="preserve">) kan </w:t>
              </w:r>
              <w:r w:rsidR="007F42AC">
                <w:t>de andere gemeente meer doen aan de huisvesting van vergunninghouders</w:t>
              </w:r>
              <w:r w:rsidR="00163539">
                <w:t xml:space="preserve"> (bijvoorbeeld vanwege een meer binnenstedelijk karakter)</w:t>
              </w:r>
              <w:r w:rsidR="007F42AC">
                <w:t xml:space="preserve">. </w:t>
              </w:r>
            </w:p>
            <w:p w:rsidR="00A92213" w:rsidRDefault="00A92213" w14:paraId="1F7FF4A6" w14:textId="77777777"/>
            <w:p w:rsidR="006E3BC7" w:rsidRDefault="007F42AC" w14:paraId="51308A07" w14:textId="0E52F4A4">
              <w:r>
                <w:t xml:space="preserve">Die balans kan </w:t>
              </w:r>
              <w:r w:rsidR="00163539">
                <w:t xml:space="preserve">tevens </w:t>
              </w:r>
              <w:r>
                <w:t xml:space="preserve">worden </w:t>
              </w:r>
              <w:r w:rsidR="00163539">
                <w:t xml:space="preserve">bezien in het licht van de </w:t>
              </w:r>
              <w:r>
                <w:t xml:space="preserve">draagkracht van de lokale gemeenschap mede </w:t>
              </w:r>
              <w:r w:rsidR="00163539">
                <w:t>gegeven</w:t>
              </w:r>
              <w:r>
                <w:t xml:space="preserve"> de effecten </w:t>
              </w:r>
              <w:r w:rsidR="006E3BC7">
                <w:t xml:space="preserve">op sociale voorzieningen, </w:t>
              </w:r>
              <w:r w:rsidR="005D2EE7">
                <w:t xml:space="preserve">de </w:t>
              </w:r>
              <w:r>
                <w:t>zorg en</w:t>
              </w:r>
              <w:r w:rsidR="005D2EE7">
                <w:t xml:space="preserve"> het</w:t>
              </w:r>
              <w:r>
                <w:t xml:space="preserve"> onderwijs. Ook de behoefte van het COA in termen van omvang van opvanglocaties kan hier</w:t>
              </w:r>
              <w:r w:rsidR="005D2EE7">
                <w:t>in worden betrokken</w:t>
              </w:r>
              <w:r>
                <w:t xml:space="preserve">. </w:t>
              </w:r>
              <w:r w:rsidR="00A33767">
                <w:t xml:space="preserve">Het voordeel van aansluiting bij het model van de Huisvestingswet is ook dat doordat voor beide domeinen dezelfde systematiek geldt, de uitvoering van beide wettelijke stelsels in de praktijk beter op elkaar kunnen worden afgestemd. </w:t>
              </w:r>
            </w:p>
            <w:p w:rsidR="00725FB3" w:rsidRDefault="00725FB3" w14:paraId="4E2C0EFA" w14:textId="77777777"/>
            <w:p w:rsidR="00A97DC2" w:rsidRDefault="00A33767" w14:paraId="19B116D3" w14:textId="77777777">
              <w:r>
                <w:t xml:space="preserve">Gelet op de geschetste flexibiliteit kan aansluiting bij de Huisvestingswet </w:t>
              </w:r>
              <w:r w:rsidR="006F6943">
                <w:t>ook</w:t>
              </w:r>
              <w:r w:rsidRPr="00DF4C86" w:rsidR="002F46AE">
                <w:t xml:space="preserve"> positief uitwerken</w:t>
              </w:r>
              <w:r w:rsidR="006F6943">
                <w:t xml:space="preserve"> </w:t>
              </w:r>
              <w:r w:rsidRPr="00DF4C86" w:rsidR="006F6943">
                <w:t xml:space="preserve">vanuit het perspectief van </w:t>
              </w:r>
              <w:r w:rsidR="006F6943">
                <w:t xml:space="preserve">de doelstellingen die aan </w:t>
              </w:r>
              <w:r w:rsidRPr="00DF4C86" w:rsidR="006F6943">
                <w:t xml:space="preserve">het voorliggende wetsvoorstel </w:t>
              </w:r>
              <w:r w:rsidR="006F6943">
                <w:t>ten grondslag liggen</w:t>
              </w:r>
              <w:r w:rsidRPr="00DF4C86" w:rsidR="002F46AE">
                <w:t>. Een dergelijk stelsel maakt het immers mogelijk dat op basis van vrijwilligheid overleg met andere gemeenten en de provincie, tot nadere afspraken kan worden gekomen over asielopvang en/of de huisvesting van statushouders.</w:t>
              </w:r>
              <w:r w:rsidR="002F46AE">
                <w:t xml:space="preserve"> </w:t>
              </w:r>
            </w:p>
            <w:p w:rsidR="00A97DC2" w:rsidRDefault="00A97DC2" w14:paraId="48A3591C" w14:textId="77777777"/>
            <w:p w:rsidR="00A33767" w:rsidRDefault="002F46AE" w14:paraId="0B475DE5" w14:textId="57416841">
              <w:r>
                <w:t>Ervan uitgaande dat voor de door alle gemeenten te realiseren opvang (met inbegrip van het beroep op de gemeentelijke voorzieningen die daarvan het gevolg is) een ruimhartige en reële vergoeding wordt geboden, kan daarin een voor alle gemeenten adequate financiële randvoorwaarde en stimulans worden gezien om mee te werken aan de uitvoering van een wettelijke taak</w:t>
              </w:r>
              <w:r w:rsidR="00751C11">
                <w:t xml:space="preserve"> zonder </w:t>
              </w:r>
              <w:r w:rsidR="00EF1D74">
                <w:t xml:space="preserve">dat </w:t>
              </w:r>
              <w:r w:rsidR="002F4365">
                <w:t xml:space="preserve">gemeenten met elkaar in competitie zijn en </w:t>
              </w:r>
              <w:r w:rsidR="004A24C6">
                <w:t xml:space="preserve">zonder de </w:t>
              </w:r>
              <w:r w:rsidR="00887A58">
                <w:t xml:space="preserve">daaruit voortvloeiende </w:t>
              </w:r>
              <w:r w:rsidR="004A24C6">
                <w:t xml:space="preserve">complicaties </w:t>
              </w:r>
              <w:r w:rsidR="006C421C">
                <w:t xml:space="preserve">die </w:t>
              </w:r>
              <w:r w:rsidR="00A00749">
                <w:t>inherent zijn</w:t>
              </w:r>
              <w:r w:rsidR="00CB7D61">
                <w:t xml:space="preserve"> aan het thans voorliggende wetsvoorstel.</w:t>
              </w:r>
            </w:p>
            <w:p w:rsidR="002F46AE" w:rsidP="002F46AE" w:rsidRDefault="002F46AE" w14:paraId="4BE9E232" w14:textId="77777777"/>
            <w:p w:rsidRPr="006232BF" w:rsidR="002F46AE" w:rsidP="002F46AE" w:rsidRDefault="002F46AE" w14:paraId="6697875B" w14:textId="77777777">
              <w:pPr>
                <w:rPr>
                  <w:u w:val="single"/>
                </w:rPr>
              </w:pPr>
              <w:r w:rsidRPr="004E3B44">
                <w:t>6.</w:t>
              </w:r>
              <w:r w:rsidRPr="004E3B44">
                <w:rPr>
                  <w:i/>
                  <w:iCs/>
                </w:rPr>
                <w:tab/>
              </w:r>
              <w:r w:rsidRPr="004E3B44">
                <w:rPr>
                  <w:u w:val="single"/>
                </w:rPr>
                <w:t>Conclusie</w:t>
              </w:r>
              <w:r w:rsidRPr="006232BF">
                <w:rPr>
                  <w:u w:val="single"/>
                </w:rPr>
                <w:t xml:space="preserve"> </w:t>
              </w:r>
            </w:p>
            <w:p w:rsidR="007F42AC" w:rsidP="007F42AC" w:rsidRDefault="007F42AC" w14:paraId="5E309D2D" w14:textId="77777777"/>
            <w:p w:rsidRPr="00385EBB" w:rsidR="007F42AC" w:rsidP="007F42AC" w:rsidRDefault="007F42AC" w14:paraId="0A0AAF80" w14:textId="31CB09F0">
              <w:r>
                <w:t>De Afdeling onderschrijft de noodzaak van wetgeving om te komen tot een duurzaam en toekomstbestendig opvangstelsel. Het in het wetsvoorstel voorgestelde stelsel is echter zodanig complex dat de uitvoerbaarheid daarvan zeer twijfelachtig is. Daarmee is de verwachting gerechtvaardigd dat de doelstellingen van de wet in de praktijk niet in voldoende mate en tijdig zullen worden gerealiseerd.</w:t>
              </w:r>
              <w:r w:rsidR="00AB064B">
                <w:t xml:space="preserve"> </w:t>
              </w:r>
            </w:p>
            <w:p w:rsidR="007F42AC" w:rsidP="007F42AC" w:rsidRDefault="007F42AC" w14:paraId="56FB8768" w14:textId="77777777"/>
            <w:p w:rsidR="00F35ECB" w:rsidP="007F42AC" w:rsidRDefault="00F35ECB" w14:paraId="41628887" w14:textId="038827A8">
              <w:r w:rsidRPr="006C7823">
                <w:t xml:space="preserve">Gelet op het voorgaande adviseert de Afdeling het wetsvoorstel te heroverwegen en daarbij te kiezen voor een eenvoudiger stelsel met meer duidelijkheid voor gemeenten. </w:t>
              </w:r>
              <w:r w:rsidR="00654153">
                <w:t xml:space="preserve">Zij adviseert in het bijzonder </w:t>
              </w:r>
              <w:r w:rsidRPr="006C7823">
                <w:t xml:space="preserve">de fasering en de zogenoemde financiële prikkel opnieuw te bezien. Een voor de hand liggend alternatief biedt, zoals ook in de consultatie naar voren komt, het model van de Huisvestingswet. Een dergelijk stelsel is niet alleen eenvoudiger en duidelijker maar maakt het tevens mogelijk om op basis van vrijwilligheid en in overleg met andere gemeenten en de provincie, tot nadere afspraken te komen over asielopvang en/of de huisvesting van statushouders. </w:t>
              </w:r>
              <w:r>
                <w:t>Zo’n aanpak hoeft niet tot vertraging te leiden, te meer omdat een vereenvoudigd stelsel waarschijnlijk op meer draagvlak kan rekenen van de partijen die de wet moeten uitvoeren.</w:t>
              </w:r>
            </w:p>
            <w:p w:rsidR="003A0B85" w:rsidP="007F42AC" w:rsidRDefault="003A0B85" w14:paraId="63D8B50D" w14:textId="1D4608A8"/>
            <w:p w:rsidR="007F42AC" w:rsidP="007F42AC" w:rsidRDefault="002F46AE" w14:paraId="0A868CAE" w14:textId="04CA66DC">
              <w:r>
                <w:t>Omdat het medebewindswetgeving betreft en het voorstel raakt aan de</w:t>
              </w:r>
              <w:r w:rsidDel="000E56D9" w:rsidR="007F42AC">
                <w:t xml:space="preserve"> </w:t>
              </w:r>
              <w:r w:rsidR="007F42AC">
                <w:t xml:space="preserve">verhouding tussen overheden, adviseert de Afdeling verder om bij het wetsvoorstel en de op het voorstel te baseren nadere regels, te voorzien in medeondertekening door de Minister van BZK. </w:t>
              </w:r>
            </w:p>
            <w:p w:rsidR="007F42AC" w:rsidP="007F42AC" w:rsidRDefault="007F42AC" w14:paraId="66CFB844" w14:textId="77777777"/>
            <w:p w:rsidR="00591AB7" w:rsidP="002C2667" w:rsidRDefault="007F42AC" w14:paraId="032B25ED" w14:textId="787FB15C">
              <w:r>
                <w:t xml:space="preserve">Indien de regering </w:t>
              </w:r>
              <w:r w:rsidR="00184784">
                <w:t>niet kiest</w:t>
              </w:r>
              <w:r w:rsidR="00892AA1">
                <w:t xml:space="preserve"> voor een </w:t>
              </w:r>
              <w:r w:rsidR="00C7671C">
                <w:t>alternatief stelsel</w:t>
              </w:r>
              <w:r w:rsidR="00892AA1">
                <w:t xml:space="preserve">, al dan niet </w:t>
              </w:r>
              <w:r w:rsidR="00ED6439">
                <w:t xml:space="preserve">als hiervoor gesuggereerd, </w:t>
              </w:r>
              <w:r w:rsidR="002F46AE">
                <w:t>maar</w:t>
              </w:r>
              <w:r w:rsidR="006C2284">
                <w:t xml:space="preserve"> </w:t>
              </w:r>
              <w:r w:rsidR="00B47B5B">
                <w:t xml:space="preserve">wil vasthouden aan </w:t>
              </w:r>
              <w:r w:rsidR="002F46AE">
                <w:t>de</w:t>
              </w:r>
              <w:r>
                <w:t xml:space="preserve"> in het voorstel neergelegde procedure</w:t>
              </w:r>
              <w:r w:rsidR="00C63A52">
                <w:t xml:space="preserve"> dan vereist dat </w:t>
              </w:r>
              <w:r w:rsidR="00CB2796">
                <w:t xml:space="preserve">van de regering </w:t>
              </w:r>
              <w:r w:rsidR="002F46AE">
                <w:t>dat</w:t>
              </w:r>
              <w:r w:rsidR="00CB2796">
                <w:t xml:space="preserve"> zij</w:t>
              </w:r>
              <w:r>
                <w:t xml:space="preserve"> ingaat op elk afzonderlijk punt dat in dit advies aan de orde komt</w:t>
              </w:r>
              <w:r w:rsidR="002F46AE">
                <w:t>.</w:t>
              </w:r>
            </w:p>
          </w:sdtContent>
        </w:sdt>
      </w:sdtContent>
    </w:sdt>
    <w:p w:rsidR="00B47CA6" w:rsidP="00C1124C" w:rsidRDefault="00B47CA6" w14:paraId="53B47A10" w14:textId="41751B6A"/>
    <w:p w:rsidR="00F412D3" w:rsidP="00C1124C" w:rsidRDefault="00F412D3" w14:paraId="3C5F5A21" w14:textId="77777777"/>
    <w:sdt>
      <w:sdtPr>
        <w:tag w:val="bmDictum"/>
        <w:id w:val="-750349992"/>
        <w:lock w:val="sdtLocked"/>
        <w:placeholder>
          <w:docPart w:val="DefaultPlaceholder_-1854013440"/>
        </w:placeholder>
      </w:sdtPr>
      <w:sdtEndPr/>
      <w:sdtContent>
        <w:p w:rsidR="00951C34" w:rsidP="00951C34" w:rsidRDefault="00F412D3" w14:paraId="334F30C3" w14:textId="77777777">
          <w:pPr>
            <w:pStyle w:val="Lijstalinea"/>
            <w:ind w:left="0"/>
          </w:pPr>
          <w:r>
            <w:t>De Afdeling advisering van de Raad van State heeft een aantal bezwaren bij het voorstel en adviseert het voorstel niet bij de Tweede Kamer der Staten-Generaal in te dienen, tenzij het is aangepast.</w:t>
          </w:r>
        </w:p>
        <w:p w:rsidR="00F412D3" w:rsidP="00951C34" w:rsidRDefault="00F412D3" w14:paraId="44FFCFF2" w14:textId="3A230C5F">
          <w:pPr>
            <w:pStyle w:val="Lijstalinea"/>
            <w:ind w:left="0"/>
          </w:pPr>
          <w:r>
            <w:br/>
          </w:r>
          <w:r>
            <w:br/>
            <w:t>De vice-president van de Raad van State,</w:t>
          </w:r>
        </w:p>
      </w:sdtContent>
    </w:sdt>
    <w:sectPr w:rsidR="00F412D3" w:rsidSect="00493042">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7E9C" w14:textId="77777777" w:rsidR="00766106" w:rsidRDefault="00766106">
      <w:r>
        <w:separator/>
      </w:r>
    </w:p>
  </w:endnote>
  <w:endnote w:type="continuationSeparator" w:id="0">
    <w:p w14:paraId="71C61858" w14:textId="77777777" w:rsidR="00766106" w:rsidRDefault="00766106">
      <w:r>
        <w:continuationSeparator/>
      </w:r>
    </w:p>
  </w:endnote>
  <w:endnote w:type="continuationNotice" w:id="1">
    <w:p w14:paraId="4EDE8102" w14:textId="77777777" w:rsidR="00766106" w:rsidRDefault="00766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513E7" w14:textId="77777777" w:rsidR="005E1F3B" w:rsidRDefault="005E1F3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91A9C" w14:paraId="53B47A18" w14:textId="77777777" w:rsidTr="00B47CA6">
      <w:tc>
        <w:tcPr>
          <w:tcW w:w="4815" w:type="dxa"/>
        </w:tcPr>
        <w:p w14:paraId="53B47A16" w14:textId="77777777" w:rsidR="00B47CA6" w:rsidRDefault="00B47CA6" w:rsidP="00B47CA6">
          <w:pPr>
            <w:pStyle w:val="Voettekst"/>
          </w:pPr>
        </w:p>
      </w:tc>
      <w:tc>
        <w:tcPr>
          <w:tcW w:w="4247" w:type="dxa"/>
        </w:tcPr>
        <w:p w14:paraId="53B47A17" w14:textId="77777777" w:rsidR="00B47CA6" w:rsidRDefault="00B47CA6" w:rsidP="00B47CA6">
          <w:pPr>
            <w:pStyle w:val="Voettekst"/>
            <w:jc w:val="right"/>
          </w:pPr>
        </w:p>
      </w:tc>
    </w:tr>
  </w:tbl>
  <w:p w14:paraId="53B47A19" w14:textId="77777777" w:rsidR="00B47CA6" w:rsidRDefault="00B47C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F0F5" w14:textId="271C4C05" w:rsidR="005E1F3B" w:rsidRPr="00A8753B" w:rsidRDefault="00A8753B">
    <w:pPr>
      <w:pStyle w:val="Voettekst"/>
      <w:rPr>
        <w:rFonts w:ascii="Bembo" w:hAnsi="Bembo"/>
        <w:sz w:val="32"/>
      </w:rPr>
    </w:pPr>
    <w:r w:rsidRPr="00A8753B">
      <w:rPr>
        <w:rFonts w:ascii="Bembo" w:hAnsi="Bembo"/>
        <w:sz w:val="32"/>
      </w:rPr>
      <w:t>AAN DE KONING</w:t>
    </w:r>
  </w:p>
  <w:p w14:paraId="57DD3C06" w14:textId="77777777" w:rsidR="00295EC2" w:rsidRDefault="00295E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E8456" w14:textId="77777777" w:rsidR="00766106" w:rsidRDefault="00766106">
      <w:r>
        <w:separator/>
      </w:r>
    </w:p>
  </w:footnote>
  <w:footnote w:type="continuationSeparator" w:id="0">
    <w:p w14:paraId="09EC17A6" w14:textId="77777777" w:rsidR="00766106" w:rsidRDefault="00766106">
      <w:r>
        <w:continuationSeparator/>
      </w:r>
    </w:p>
  </w:footnote>
  <w:footnote w:type="continuationNotice" w:id="1">
    <w:p w14:paraId="4B9A84BA" w14:textId="77777777" w:rsidR="00766106" w:rsidRDefault="00766106"/>
  </w:footnote>
  <w:footnote w:id="2">
    <w:p w14:paraId="1C3F2370"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Deze weergave is gebaseerd op verschillende Kamerbrieven van de Staatssecretaris van Justitie en Veiligheid (te weten die van 12 september 2022, Kamerstukken II 2021/22, 19637, nr. 2983; van 14 oktober 2022, Kamerstukken II, 2022/23, 19637, nr. 2994; van 4 november 2022 (en bijlagen), Kamerstukken II 2021/22, 19637, nr. 3006; van 18 november 2022, Kamerstukken II, 2022/23, 19637, nr. 3009) alsmede op de memorie van toelichting. </w:t>
      </w:r>
    </w:p>
  </w:footnote>
  <w:footnote w:id="3">
    <w:p w14:paraId="3D3F3AA8"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Zie Kamerbrief van de Minister van JenV van 17 juni 2022, mede namens de staatssecretaris van JenV, de Minister van BZK en de Minister voor VRO, Kamerstukken II, 2021/22, 19637, nr. 2906. </w:t>
      </w:r>
    </w:p>
  </w:footnote>
  <w:footnote w:id="4">
    <w:p w14:paraId="3DBA16FF"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Dat betreft blijkens de in voetnoot 1 aangehaalde brief van 14 oktober 2022 ruim 61.000 plaatsen. </w:t>
      </w:r>
    </w:p>
  </w:footnote>
  <w:footnote w:id="5">
    <w:p w14:paraId="271117EB" w14:textId="7855EA13"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De zogenoemde Meerjaren Productie Prognose van begin 2022 ging uit van een lagere instroom (6700 minder) en de van begin 2021 van een nog lagere instroom (12.000 minder). </w:t>
      </w:r>
    </w:p>
  </w:footnote>
  <w:footnote w:id="6">
    <w:p w14:paraId="55CF5FB2"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Memorie van toelichting, paragraaf 8.4 (Beloningssystematiek) en paragraaf 10.2 (Beloningssystematiek).</w:t>
      </w:r>
    </w:p>
  </w:footnote>
  <w:footnote w:id="7">
    <w:p w14:paraId="0F971AE4" w14:textId="1EA20C4E"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Daarnaast regelt het wetsvoorstel dat voor opvangplaatsen van bijzondere aard (opvangplaatsen voor alleenstaande minderjarige vreemdelingen, plaatsen in een handhaving- en toezichtlocatie en in een gezinslocatie) een aanvullende vergoeding kan worden ontvangen.</w:t>
      </w:r>
    </w:p>
  </w:footnote>
  <w:footnote w:id="8">
    <w:p w14:paraId="32EF4D88" w14:textId="77777777" w:rsidR="00FC085F" w:rsidRPr="004010D9" w:rsidRDefault="00FC085F">
      <w:pPr>
        <w:pStyle w:val="Voetnoottekst"/>
        <w:rPr>
          <w:sz w:val="18"/>
          <w:szCs w:val="18"/>
        </w:rPr>
      </w:pPr>
      <w:r w:rsidRPr="004010D9">
        <w:rPr>
          <w:rStyle w:val="Voetnootmarkering"/>
          <w:sz w:val="18"/>
          <w:szCs w:val="18"/>
        </w:rPr>
        <w:footnoteRef/>
      </w:r>
      <w:r w:rsidRPr="004010D9">
        <w:rPr>
          <w:sz w:val="18"/>
          <w:szCs w:val="18"/>
        </w:rPr>
        <w:t xml:space="preserve"> Op dat moment beschikbaar worden gesteld, dan wel binnen twaalf maanden daarvoor beschikbaar komen</w:t>
      </w:r>
      <w:r w:rsidR="00826509" w:rsidRPr="004010D9">
        <w:rPr>
          <w:sz w:val="18"/>
          <w:szCs w:val="18"/>
        </w:rPr>
        <w:t xml:space="preserve"> (z</w:t>
      </w:r>
      <w:r w:rsidR="009658CB" w:rsidRPr="004010D9">
        <w:rPr>
          <w:sz w:val="18"/>
          <w:szCs w:val="18"/>
        </w:rPr>
        <w:t>ie voorgesteld artikel 2, derde l</w:t>
      </w:r>
      <w:r w:rsidR="00826509" w:rsidRPr="004010D9">
        <w:rPr>
          <w:sz w:val="18"/>
          <w:szCs w:val="18"/>
        </w:rPr>
        <w:t>id, eerste volzin).</w:t>
      </w:r>
    </w:p>
  </w:footnote>
  <w:footnote w:id="9">
    <w:p w14:paraId="217E36CC" w14:textId="77777777" w:rsidR="00987F04" w:rsidRPr="004010D9" w:rsidRDefault="00987F04" w:rsidP="00987F04">
      <w:pPr>
        <w:pStyle w:val="Voetnoottekst"/>
        <w:rPr>
          <w:sz w:val="18"/>
          <w:szCs w:val="18"/>
        </w:rPr>
      </w:pPr>
      <w:r w:rsidRPr="004010D9">
        <w:rPr>
          <w:rStyle w:val="Voetnootmarkering"/>
          <w:sz w:val="18"/>
          <w:szCs w:val="18"/>
        </w:rPr>
        <w:footnoteRef/>
      </w:r>
      <w:r w:rsidRPr="004010D9">
        <w:rPr>
          <w:sz w:val="18"/>
          <w:szCs w:val="18"/>
        </w:rPr>
        <w:t xml:space="preserve"> Zie bijvoorbeeld binnenlandsbestuur.nl, ‘Bonus voor gemeenten die asielzoekers opnemen’ (9 februari 2022). Deze bedragen blijken niet uit de toelichting.</w:t>
      </w:r>
    </w:p>
  </w:footnote>
  <w:footnote w:id="10">
    <w:p w14:paraId="5EA6CB78" w14:textId="16728880" w:rsidR="00245FF5" w:rsidRPr="004010D9" w:rsidRDefault="00245FF5">
      <w:pPr>
        <w:pStyle w:val="Voetnoottekst"/>
        <w:rPr>
          <w:sz w:val="18"/>
          <w:szCs w:val="18"/>
        </w:rPr>
      </w:pPr>
      <w:r w:rsidRPr="004010D9">
        <w:rPr>
          <w:rStyle w:val="Voetnootmarkering"/>
          <w:sz w:val="18"/>
          <w:szCs w:val="18"/>
        </w:rPr>
        <w:footnoteRef/>
      </w:r>
      <w:r w:rsidRPr="004010D9">
        <w:rPr>
          <w:sz w:val="18"/>
          <w:szCs w:val="18"/>
        </w:rPr>
        <w:t xml:space="preserve"> Toelichting op voorgesteld artikel 3. </w:t>
      </w:r>
    </w:p>
  </w:footnote>
  <w:footnote w:id="11">
    <w:p w14:paraId="0208E22A"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Toelichting op voorgesteld artikel 7.</w:t>
      </w:r>
    </w:p>
  </w:footnote>
  <w:footnote w:id="12">
    <w:p w14:paraId="29D9259F"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Toelichting op voorgesteld artikel 13.</w:t>
      </w:r>
    </w:p>
  </w:footnote>
  <w:footnote w:id="13">
    <w:p w14:paraId="0A851FBB" w14:textId="20431299"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Deze samengevatte weergave van </w:t>
      </w:r>
      <w:r w:rsidR="001E0CC0" w:rsidRPr="004010D9">
        <w:rPr>
          <w:sz w:val="18"/>
          <w:szCs w:val="18"/>
        </w:rPr>
        <w:t>de consultatiereacties</w:t>
      </w:r>
      <w:r w:rsidRPr="004010D9">
        <w:rPr>
          <w:sz w:val="18"/>
          <w:szCs w:val="18"/>
        </w:rPr>
        <w:t xml:space="preserve"> is gebaseerd op alle bij de Afdeling advisering bekende consultatiereacties en uitvoeringsscans. Daarnaast is de Afdeling aangeschreven door de VNG en Vluchtelingenwerk Nederland.</w:t>
      </w:r>
    </w:p>
  </w:footnote>
  <w:footnote w:id="14">
    <w:p w14:paraId="301F00AE"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Memorie van toelichting, paragraaf 3 (Actuele ontwikkelingen; Bestuurlijke afspraken). </w:t>
      </w:r>
    </w:p>
  </w:footnote>
  <w:footnote w:id="15">
    <w:p w14:paraId="3069F272" w14:textId="07AD8A7C"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De VNG wijst in </w:t>
      </w:r>
      <w:r w:rsidR="001E0CC0" w:rsidRPr="004010D9">
        <w:rPr>
          <w:sz w:val="18"/>
          <w:szCs w:val="18"/>
        </w:rPr>
        <w:t xml:space="preserve">de consultatiereactie in </w:t>
      </w:r>
      <w:r w:rsidRPr="004010D9">
        <w:rPr>
          <w:sz w:val="18"/>
          <w:szCs w:val="18"/>
        </w:rPr>
        <w:t>dat verband op een minder complex’ en ‘wezenlijk ander’ voorstel dat in september in concept aan hen is voorgelegd.</w:t>
      </w:r>
    </w:p>
  </w:footnote>
  <w:footnote w:id="16">
    <w:p w14:paraId="6B86D415"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Memorie van toelichting, paragraaf 10.2 (Beloningssystematiek). </w:t>
      </w:r>
    </w:p>
  </w:footnote>
  <w:footnote w:id="17">
    <w:p w14:paraId="2E830D36" w14:textId="49BEBCF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De toelichting spreekt in paragraaf 4.2 (Werkwijze totstandkoming gemeentelijke taak) over een totaal benodigd aantal van 55.000, meldt dat de duurzame voorraad 15.000 is en dat daarom 40.000 extra opvangplaatsen gerealiseerd moeten worden. Daarmee wijken deze cijfers af van het aantal dat het COA en gemeenten noemen. In de hiervoor genoemde brief van 4 november 2022 worden wel de door de VNG en het COA genoemde cijfers aangehaald.</w:t>
      </w:r>
    </w:p>
  </w:footnote>
  <w:footnote w:id="18">
    <w:p w14:paraId="749E9386" w14:textId="77777777"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Memorie van toelichting, paragraaf 4.3 (Taak gemeenten).</w:t>
      </w:r>
    </w:p>
  </w:footnote>
  <w:footnote w:id="19">
    <w:p w14:paraId="028E83C1" w14:textId="4273CF0A" w:rsidR="00D1572F" w:rsidRPr="004010D9" w:rsidRDefault="00D1572F">
      <w:pPr>
        <w:pStyle w:val="Voetnoottekst"/>
        <w:rPr>
          <w:sz w:val="18"/>
          <w:szCs w:val="18"/>
        </w:rPr>
      </w:pPr>
      <w:r w:rsidRPr="004010D9">
        <w:rPr>
          <w:rStyle w:val="Voetnootmarkering"/>
          <w:sz w:val="18"/>
          <w:szCs w:val="18"/>
        </w:rPr>
        <w:footnoteRef/>
      </w:r>
      <w:r w:rsidR="002F46AE" w:rsidRPr="004010D9">
        <w:rPr>
          <w:sz w:val="18"/>
          <w:szCs w:val="18"/>
        </w:rPr>
        <w:t xml:space="preserve"> In die bepaling gaat het over te realiseren opvangvoorzieningen dat in het verdeelbesluit (voorgesteld artikel 5) is opgenomen. Het verdeelbesluit behelst het minimale aantal opvangplaatsen gegeven de provinciale opgave (voorgesteld artikel 3). De vroegtijdige, vrijwillige nationale inbreng is geregeld in het voorgestelde artikel 2, derde lid, en valt hier dus buiten. </w:t>
      </w:r>
      <w:r w:rsidR="00161968" w:rsidRPr="004010D9">
        <w:rPr>
          <w:sz w:val="18"/>
          <w:szCs w:val="18"/>
        </w:rPr>
        <w:t>Voor deze opvangplaatsen wordt een termijn van twaalf maanden genoemd</w:t>
      </w:r>
      <w:r w:rsidR="00517CDE" w:rsidRPr="004010D9">
        <w:rPr>
          <w:sz w:val="18"/>
          <w:szCs w:val="18"/>
        </w:rPr>
        <w:t xml:space="preserve"> (zie memorie van toelichting, paragraaf 8.4 (Realisatie opvangvoorzieningen)</w:t>
      </w:r>
      <w:r w:rsidR="00161968" w:rsidRPr="004010D9">
        <w:rPr>
          <w:sz w:val="18"/>
          <w:szCs w:val="18"/>
        </w:rPr>
        <w:t xml:space="preserve">. Of die termijn verband houdt met de in artikel 5, derde lid, bedoelde twaalf maanden wordt niet </w:t>
      </w:r>
      <w:r w:rsidR="001E0CC0" w:rsidRPr="004010D9">
        <w:rPr>
          <w:sz w:val="18"/>
          <w:szCs w:val="18"/>
        </w:rPr>
        <w:t>toegelicht</w:t>
      </w:r>
      <w:r w:rsidR="00161968" w:rsidRPr="004010D9">
        <w:rPr>
          <w:sz w:val="18"/>
          <w:szCs w:val="18"/>
        </w:rPr>
        <w:t>.</w:t>
      </w:r>
    </w:p>
  </w:footnote>
  <w:footnote w:id="20">
    <w:p w14:paraId="1BA919D8" w14:textId="77777777" w:rsidR="007F42AC" w:rsidRPr="004010D9" w:rsidRDefault="007F42AC" w:rsidP="007F42AC">
      <w:pPr>
        <w:rPr>
          <w:sz w:val="18"/>
          <w:szCs w:val="18"/>
        </w:rPr>
      </w:pPr>
      <w:r w:rsidRPr="004010D9">
        <w:rPr>
          <w:rStyle w:val="Voetnootmarkering"/>
          <w:sz w:val="18"/>
          <w:szCs w:val="18"/>
        </w:rPr>
        <w:footnoteRef/>
      </w:r>
      <w:r w:rsidRPr="004010D9">
        <w:rPr>
          <w:sz w:val="18"/>
          <w:szCs w:val="18"/>
        </w:rPr>
        <w:t xml:space="preserve"> Omdat artikel 7 wordt beschouwd als precisering van artikel 6, zouden die termijnen nog in onderling verband te brengen zijn indien een onderscheid zou zijn gemaakt tussen de taak van het college (bijvoorbeeld zes maanden) en die van de raad (bijvoorbeeld achttien maanden). Echter, zowel artikel 6, eerste lid, als artikel 7, eerste lid, zich richten tot het college. </w:t>
      </w:r>
    </w:p>
  </w:footnote>
  <w:footnote w:id="21">
    <w:p w14:paraId="4151334F"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Voorgesteld artikel 5 (Verdeelbesluit per provincie), derde lid.</w:t>
      </w:r>
    </w:p>
  </w:footnote>
  <w:footnote w:id="22">
    <w:p w14:paraId="632A2E3F"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Memorie van toelichting, paragraaf 4.7 (Verhouding monitoring, meldplicht en interbestuurlijk toezicht).</w:t>
      </w:r>
    </w:p>
  </w:footnote>
  <w:footnote w:id="23">
    <w:p w14:paraId="643D0AD7" w14:textId="77777777" w:rsidR="00DB31DB" w:rsidRPr="004010D9" w:rsidRDefault="00DB31DB">
      <w:pPr>
        <w:pStyle w:val="Voetnoottekst"/>
        <w:rPr>
          <w:sz w:val="18"/>
          <w:szCs w:val="18"/>
        </w:rPr>
      </w:pPr>
      <w:r w:rsidRPr="004010D9">
        <w:rPr>
          <w:rStyle w:val="Voetnootmarkering"/>
          <w:sz w:val="18"/>
          <w:szCs w:val="18"/>
        </w:rPr>
        <w:footnoteRef/>
      </w:r>
      <w:r w:rsidRPr="004010D9">
        <w:rPr>
          <w:sz w:val="18"/>
          <w:szCs w:val="18"/>
        </w:rPr>
        <w:t xml:space="preserve"> Artikel 9 (Specifieke uitkering), tweede en derde lid. Memorie van toelichting, paragraaf 4.8 (Financiële uitkering bij realiseren taak)</w:t>
      </w:r>
      <w:r w:rsidR="0019130F" w:rsidRPr="004010D9">
        <w:rPr>
          <w:sz w:val="18"/>
          <w:szCs w:val="18"/>
        </w:rPr>
        <w:t>.</w:t>
      </w:r>
    </w:p>
  </w:footnote>
  <w:footnote w:id="24">
    <w:p w14:paraId="14D5BFC9" w14:textId="77777777" w:rsidR="00DB31DB" w:rsidRPr="004010D9" w:rsidRDefault="00DB31DB" w:rsidP="00DB31DB">
      <w:pPr>
        <w:pStyle w:val="Voetnoottekst"/>
        <w:rPr>
          <w:sz w:val="18"/>
          <w:szCs w:val="18"/>
        </w:rPr>
      </w:pPr>
      <w:r w:rsidRPr="004010D9">
        <w:rPr>
          <w:rStyle w:val="Voetnootmarkering"/>
          <w:sz w:val="18"/>
          <w:szCs w:val="18"/>
        </w:rPr>
        <w:footnoteRef/>
      </w:r>
      <w:r w:rsidRPr="004010D9">
        <w:rPr>
          <w:sz w:val="18"/>
          <w:szCs w:val="18"/>
        </w:rPr>
        <w:t xml:space="preserve"> Artikel 15a van de Financiële-verhoudingswet.</w:t>
      </w:r>
    </w:p>
  </w:footnote>
  <w:footnote w:id="25">
    <w:p w14:paraId="672B4826" w14:textId="0E49FC48"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w:t>
      </w:r>
      <w:r w:rsidR="00EC23E9" w:rsidRPr="004010D9">
        <w:rPr>
          <w:sz w:val="18"/>
          <w:szCs w:val="18"/>
        </w:rPr>
        <w:t xml:space="preserve">Zie ook artikel </w:t>
      </w:r>
      <w:r w:rsidR="0078754B" w:rsidRPr="004010D9">
        <w:rPr>
          <w:sz w:val="18"/>
          <w:szCs w:val="18"/>
        </w:rPr>
        <w:t xml:space="preserve">1 van de Code </w:t>
      </w:r>
      <w:r w:rsidR="00B40154" w:rsidRPr="004010D9">
        <w:rPr>
          <w:sz w:val="18"/>
          <w:szCs w:val="18"/>
        </w:rPr>
        <w:t>interbestuurlijke</w:t>
      </w:r>
      <w:r w:rsidR="0078754B" w:rsidRPr="004010D9">
        <w:rPr>
          <w:sz w:val="18"/>
          <w:szCs w:val="18"/>
        </w:rPr>
        <w:t xml:space="preserve"> verhoudingen van januari 2023 waarin wordt gesproken over </w:t>
      </w:r>
      <w:r w:rsidR="00F10911" w:rsidRPr="004010D9">
        <w:rPr>
          <w:sz w:val="18"/>
          <w:szCs w:val="18"/>
        </w:rPr>
        <w:t>een toereikende bekostiging van het takenpakket in medebewind</w:t>
      </w:r>
      <w:r w:rsidR="00B40154" w:rsidRPr="004010D9">
        <w:rPr>
          <w:sz w:val="18"/>
          <w:szCs w:val="18"/>
        </w:rPr>
        <w:t xml:space="preserve"> ‘via een passende uitkeringsvorm’.</w:t>
      </w:r>
      <w:r w:rsidRPr="004010D9">
        <w:rPr>
          <w:sz w:val="18"/>
          <w:szCs w:val="18"/>
        </w:rPr>
        <w:t xml:space="preserve"> </w:t>
      </w:r>
      <w:r w:rsidRPr="004010D9">
        <w:rPr>
          <w:rFonts w:eastAsiaTheme="minorHAnsi" w:cs="Calibri"/>
          <w:sz w:val="18"/>
          <w:szCs w:val="18"/>
          <w:lang w:eastAsia="en-US"/>
        </w:rPr>
        <w:t xml:space="preserve">In het verlengde daarvan zij </w:t>
      </w:r>
      <w:r w:rsidR="004D6C32" w:rsidRPr="004010D9">
        <w:rPr>
          <w:rFonts w:eastAsiaTheme="minorHAnsi" w:cs="Calibri"/>
          <w:sz w:val="18"/>
          <w:szCs w:val="18"/>
          <w:lang w:eastAsia="en-US"/>
        </w:rPr>
        <w:t>gewezen op de</w:t>
      </w:r>
      <w:r w:rsidRPr="004010D9">
        <w:rPr>
          <w:rFonts w:eastAsiaTheme="minorHAnsi" w:cs="Calibri"/>
          <w:sz w:val="18"/>
          <w:szCs w:val="18"/>
          <w:lang w:eastAsia="en-US"/>
        </w:rPr>
        <w:t xml:space="preserve"> controle- en verantwoordingsverplichtingen die op grond van artikel 17a van de Financiële-verhoudingswet gelden bij specifieke uitkeringen. De keuze voor dit instrument valt moeilijk te rijmen met het gelijktijdige streven van de regering om de ‘administratieve en controlekosten’</w:t>
      </w:r>
      <w:r w:rsidR="00062BC6" w:rsidRPr="004010D9">
        <w:rPr>
          <w:rFonts w:eastAsiaTheme="minorHAnsi" w:cs="Calibri"/>
          <w:sz w:val="18"/>
          <w:szCs w:val="18"/>
          <w:lang w:eastAsia="en-US"/>
        </w:rPr>
        <w:t xml:space="preserve"> </w:t>
      </w:r>
      <w:r w:rsidR="00145660" w:rsidRPr="004010D9">
        <w:rPr>
          <w:rFonts w:eastAsiaTheme="minorHAnsi" w:cs="Calibri"/>
          <w:sz w:val="18"/>
          <w:szCs w:val="18"/>
          <w:lang w:eastAsia="en-US"/>
        </w:rPr>
        <w:t>zo</w:t>
      </w:r>
      <w:r w:rsidR="004D6C32" w:rsidRPr="004010D9">
        <w:rPr>
          <w:rFonts w:eastAsiaTheme="minorHAnsi" w:cs="Calibri"/>
          <w:sz w:val="18"/>
          <w:szCs w:val="18"/>
          <w:lang w:eastAsia="en-US"/>
        </w:rPr>
        <w:t xml:space="preserve"> laag mogelijk te houden</w:t>
      </w:r>
      <w:r w:rsidRPr="004010D9">
        <w:rPr>
          <w:rFonts w:eastAsiaTheme="minorHAnsi" w:cs="Calibri"/>
          <w:sz w:val="18"/>
          <w:szCs w:val="18"/>
          <w:lang w:eastAsia="en-US"/>
        </w:rPr>
        <w:t xml:space="preserve">. Zie </w:t>
      </w:r>
      <w:r w:rsidRPr="004010D9">
        <w:rPr>
          <w:sz w:val="18"/>
          <w:szCs w:val="18"/>
        </w:rPr>
        <w:t>Memorie van toelichting, paragraaf 4.8 (Financiële uitkering bij realiseren taak).</w:t>
      </w:r>
    </w:p>
  </w:footnote>
  <w:footnote w:id="26">
    <w:p w14:paraId="36E2382D" w14:textId="1EE4CB73" w:rsidR="00364830" w:rsidRPr="004010D9" w:rsidRDefault="00364830">
      <w:pPr>
        <w:pStyle w:val="Voetnoottekst"/>
        <w:rPr>
          <w:sz w:val="18"/>
          <w:szCs w:val="18"/>
        </w:rPr>
      </w:pPr>
      <w:r w:rsidRPr="004010D9">
        <w:rPr>
          <w:rStyle w:val="Voetnootmarkering"/>
          <w:sz w:val="18"/>
          <w:szCs w:val="18"/>
        </w:rPr>
        <w:footnoteRef/>
      </w:r>
      <w:r w:rsidRPr="004010D9">
        <w:rPr>
          <w:sz w:val="18"/>
          <w:szCs w:val="18"/>
        </w:rPr>
        <w:t xml:space="preserve"> </w:t>
      </w:r>
      <w:r w:rsidR="00F16BB5" w:rsidRPr="004010D9">
        <w:rPr>
          <w:sz w:val="18"/>
          <w:szCs w:val="18"/>
        </w:rPr>
        <w:t>Memorie van toelichting, paragraaf 4.2 (Werkwijze totstandkoming gemeentelijke taak).</w:t>
      </w:r>
    </w:p>
  </w:footnote>
  <w:footnote w:id="27">
    <w:p w14:paraId="027BDA9C" w14:textId="093BD9A6" w:rsidR="00392CD4" w:rsidRPr="004010D9" w:rsidRDefault="00392CD4">
      <w:pPr>
        <w:pStyle w:val="Voetnoottekst"/>
        <w:rPr>
          <w:sz w:val="18"/>
          <w:szCs w:val="18"/>
        </w:rPr>
      </w:pPr>
      <w:r w:rsidRPr="004010D9">
        <w:rPr>
          <w:rStyle w:val="Voetnootmarkering"/>
          <w:sz w:val="18"/>
          <w:szCs w:val="18"/>
        </w:rPr>
        <w:footnoteRef/>
      </w:r>
      <w:r w:rsidRPr="004010D9">
        <w:rPr>
          <w:sz w:val="18"/>
          <w:szCs w:val="18"/>
        </w:rPr>
        <w:t xml:space="preserve"> </w:t>
      </w:r>
      <w:r w:rsidR="0019130F" w:rsidRPr="004010D9">
        <w:rPr>
          <w:sz w:val="18"/>
          <w:szCs w:val="18"/>
        </w:rPr>
        <w:t xml:space="preserve">Memorie van toelichting, paragraaf 9 </w:t>
      </w:r>
      <w:r w:rsidR="00217786" w:rsidRPr="004010D9">
        <w:rPr>
          <w:sz w:val="18"/>
          <w:szCs w:val="18"/>
        </w:rPr>
        <w:t>(Financiële gevolgen).</w:t>
      </w:r>
      <w:r w:rsidRPr="004010D9">
        <w:rPr>
          <w:sz w:val="18"/>
          <w:szCs w:val="18"/>
        </w:rPr>
        <w:t xml:space="preserve"> </w:t>
      </w:r>
      <w:r w:rsidR="00217786" w:rsidRPr="004010D9">
        <w:rPr>
          <w:sz w:val="18"/>
          <w:szCs w:val="18"/>
        </w:rPr>
        <w:t xml:space="preserve">De opsomming is als volgt: </w:t>
      </w:r>
      <w:r w:rsidR="00B40154" w:rsidRPr="004010D9">
        <w:rPr>
          <w:sz w:val="18"/>
          <w:szCs w:val="18"/>
        </w:rPr>
        <w:t>‘</w:t>
      </w:r>
      <w:r w:rsidRPr="004010D9">
        <w:rPr>
          <w:sz w:val="18"/>
          <w:szCs w:val="18"/>
        </w:rPr>
        <w:t>Door gemeenten, provincies (CdK)</w:t>
      </w:r>
      <w:r w:rsidR="00A93F45" w:rsidRPr="004010D9">
        <w:rPr>
          <w:sz w:val="18"/>
          <w:szCs w:val="18"/>
        </w:rPr>
        <w:t>, het Rijk</w:t>
      </w:r>
      <w:r w:rsidR="002F46AE" w:rsidRPr="004010D9">
        <w:rPr>
          <w:sz w:val="18"/>
          <w:szCs w:val="18"/>
        </w:rPr>
        <w:t>…</w:t>
      </w:r>
      <w:r w:rsidR="00B40154" w:rsidRPr="004010D9">
        <w:rPr>
          <w:sz w:val="18"/>
          <w:szCs w:val="18"/>
        </w:rPr>
        <w:t>’</w:t>
      </w:r>
    </w:p>
  </w:footnote>
  <w:footnote w:id="28">
    <w:p w14:paraId="647E4F5D" w14:textId="77777777" w:rsidR="000B315B" w:rsidRPr="004010D9" w:rsidRDefault="000B315B" w:rsidP="000B315B">
      <w:pPr>
        <w:pStyle w:val="Voetnoottekst"/>
        <w:rPr>
          <w:sz w:val="18"/>
          <w:szCs w:val="18"/>
        </w:rPr>
      </w:pPr>
      <w:r w:rsidRPr="004010D9">
        <w:rPr>
          <w:rStyle w:val="Voetnootmarkering"/>
          <w:sz w:val="18"/>
          <w:szCs w:val="18"/>
        </w:rPr>
        <w:footnoteRef/>
      </w:r>
      <w:r w:rsidRPr="004010D9">
        <w:rPr>
          <w:sz w:val="18"/>
          <w:szCs w:val="18"/>
        </w:rPr>
        <w:t xml:space="preserve"> Voorgesteld artikel 3c van de Wet COA. </w:t>
      </w:r>
    </w:p>
  </w:footnote>
  <w:footnote w:id="29">
    <w:p w14:paraId="5CB78192" w14:textId="77777777" w:rsidR="00826509" w:rsidRPr="004010D9" w:rsidRDefault="00826509">
      <w:pPr>
        <w:pStyle w:val="Voetnoottekst"/>
        <w:rPr>
          <w:sz w:val="18"/>
          <w:szCs w:val="18"/>
        </w:rPr>
      </w:pPr>
      <w:r w:rsidRPr="004010D9">
        <w:rPr>
          <w:rStyle w:val="Voetnootmarkering"/>
          <w:sz w:val="18"/>
          <w:szCs w:val="18"/>
        </w:rPr>
        <w:footnoteRef/>
      </w:r>
      <w:r w:rsidRPr="004010D9">
        <w:rPr>
          <w:sz w:val="18"/>
          <w:szCs w:val="18"/>
        </w:rPr>
        <w:t xml:space="preserve"> Dat betreft artikel 11 van de Regeling verstrekkingen asielzoekers en andere categorieën vreemdelingen 2005.</w:t>
      </w:r>
    </w:p>
  </w:footnote>
  <w:footnote w:id="30">
    <w:p w14:paraId="1DE287F0" w14:textId="79AD7FC0" w:rsidR="009E73EC" w:rsidRPr="004010D9" w:rsidRDefault="009E73EC">
      <w:pPr>
        <w:pStyle w:val="Voetnoottekst"/>
        <w:rPr>
          <w:sz w:val="18"/>
          <w:szCs w:val="18"/>
        </w:rPr>
      </w:pPr>
      <w:r w:rsidRPr="004010D9">
        <w:rPr>
          <w:rStyle w:val="Voetnootmarkering"/>
          <w:sz w:val="18"/>
          <w:szCs w:val="18"/>
        </w:rPr>
        <w:footnoteRef/>
      </w:r>
      <w:r w:rsidRPr="004010D9">
        <w:rPr>
          <w:sz w:val="18"/>
          <w:szCs w:val="18"/>
        </w:rPr>
        <w:t xml:space="preserve"> Memorie van toelichting, paragraaf 8.4 (Realisatie opvangvoorzieni</w:t>
      </w:r>
      <w:r w:rsidR="00A64F3E" w:rsidRPr="004010D9">
        <w:rPr>
          <w:sz w:val="18"/>
          <w:szCs w:val="18"/>
        </w:rPr>
        <w:t>n</w:t>
      </w:r>
      <w:r w:rsidRPr="004010D9">
        <w:rPr>
          <w:sz w:val="18"/>
          <w:szCs w:val="18"/>
        </w:rPr>
        <w:t>gen).</w:t>
      </w:r>
    </w:p>
  </w:footnote>
  <w:footnote w:id="31">
    <w:p w14:paraId="06F2A645" w14:textId="77777777" w:rsidR="000B315B" w:rsidRPr="004010D9" w:rsidRDefault="000B315B" w:rsidP="000B315B">
      <w:pPr>
        <w:pStyle w:val="Voetnoottekst"/>
        <w:rPr>
          <w:sz w:val="18"/>
          <w:szCs w:val="18"/>
        </w:rPr>
      </w:pPr>
      <w:r w:rsidRPr="004010D9">
        <w:rPr>
          <w:rStyle w:val="Voetnootmarkering"/>
          <w:sz w:val="18"/>
          <w:szCs w:val="18"/>
        </w:rPr>
        <w:footnoteRef/>
      </w:r>
      <w:r w:rsidRPr="004010D9">
        <w:rPr>
          <w:sz w:val="18"/>
          <w:szCs w:val="18"/>
        </w:rPr>
        <w:t xml:space="preserve"> </w:t>
      </w:r>
      <w:r w:rsidR="00217786" w:rsidRPr="004010D9">
        <w:rPr>
          <w:sz w:val="18"/>
          <w:szCs w:val="18"/>
        </w:rPr>
        <w:t xml:space="preserve">Memorie van toelichting, paragraaf </w:t>
      </w:r>
      <w:r w:rsidRPr="004010D9">
        <w:rPr>
          <w:sz w:val="18"/>
          <w:szCs w:val="18"/>
        </w:rPr>
        <w:t>8.4 (Realisatie opvangvoorzieningen)</w:t>
      </w:r>
      <w:r w:rsidR="00217786" w:rsidRPr="004010D9">
        <w:rPr>
          <w:sz w:val="18"/>
          <w:szCs w:val="18"/>
        </w:rPr>
        <w:t>.</w:t>
      </w:r>
    </w:p>
  </w:footnote>
  <w:footnote w:id="32">
    <w:p w14:paraId="25E14B95" w14:textId="77777777" w:rsidR="000B315B" w:rsidRPr="004010D9" w:rsidRDefault="000B315B" w:rsidP="000B315B">
      <w:pPr>
        <w:pStyle w:val="Voetnoottekst"/>
        <w:rPr>
          <w:sz w:val="18"/>
          <w:szCs w:val="18"/>
        </w:rPr>
      </w:pPr>
      <w:r w:rsidRPr="004010D9">
        <w:rPr>
          <w:rStyle w:val="Voetnootmarkering"/>
          <w:sz w:val="18"/>
          <w:szCs w:val="18"/>
        </w:rPr>
        <w:footnoteRef/>
      </w:r>
      <w:r w:rsidRPr="004010D9">
        <w:rPr>
          <w:sz w:val="18"/>
          <w:szCs w:val="18"/>
        </w:rPr>
        <w:t xml:space="preserve"> Toelichting op artikel 11 (Wijziging Gemeentewet).</w:t>
      </w:r>
    </w:p>
  </w:footnote>
  <w:footnote w:id="33">
    <w:p w14:paraId="4F1D548A" w14:textId="1A08CA41"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Voorgesteld artikel 11 (Wijziging Gemeentewet).</w:t>
      </w:r>
    </w:p>
  </w:footnote>
  <w:footnote w:id="34">
    <w:p w14:paraId="334121ED" w14:textId="6FAED55B" w:rsidR="00815F8F" w:rsidRPr="004010D9" w:rsidRDefault="00815F8F" w:rsidP="00815F8F">
      <w:pPr>
        <w:pStyle w:val="Voetnoottekst"/>
        <w:rPr>
          <w:sz w:val="18"/>
          <w:szCs w:val="18"/>
        </w:rPr>
      </w:pPr>
      <w:r w:rsidRPr="004010D9">
        <w:rPr>
          <w:rStyle w:val="Voetnootmarkering"/>
          <w:sz w:val="18"/>
          <w:szCs w:val="18"/>
        </w:rPr>
        <w:footnoteRef/>
      </w:r>
      <w:r w:rsidRPr="004010D9">
        <w:rPr>
          <w:sz w:val="18"/>
          <w:szCs w:val="18"/>
        </w:rPr>
        <w:t xml:space="preserve"> Voorgesteld artikel 12 (Invoeringstoets, evaluatie en herijking toezichtsystematiek), derde lid. </w:t>
      </w:r>
      <w:r w:rsidR="00446C0C" w:rsidRPr="004010D9">
        <w:rPr>
          <w:sz w:val="18"/>
          <w:szCs w:val="18"/>
        </w:rPr>
        <w:t>Memorie van toelichting, paragraaf</w:t>
      </w:r>
      <w:r w:rsidRPr="004010D9">
        <w:rPr>
          <w:sz w:val="18"/>
          <w:szCs w:val="18"/>
        </w:rPr>
        <w:t xml:space="preserve"> 4.6 (Interbestuurlijk toezicht op de taak van de gemeente) en par. 8.6 (Interbestuurlijk toezicht). </w:t>
      </w:r>
    </w:p>
  </w:footnote>
  <w:footnote w:id="35">
    <w:p w14:paraId="64BF5B3C" w14:textId="77777777" w:rsidR="00815F8F" w:rsidRPr="004010D9" w:rsidRDefault="00815F8F" w:rsidP="00815F8F">
      <w:pPr>
        <w:pStyle w:val="Voetnoottekst"/>
        <w:rPr>
          <w:sz w:val="18"/>
          <w:szCs w:val="18"/>
        </w:rPr>
      </w:pPr>
      <w:r w:rsidRPr="004010D9">
        <w:rPr>
          <w:rStyle w:val="Voetnootmarkering"/>
          <w:sz w:val="18"/>
          <w:szCs w:val="18"/>
        </w:rPr>
        <w:footnoteRef/>
      </w:r>
      <w:r w:rsidRPr="004010D9">
        <w:rPr>
          <w:sz w:val="18"/>
          <w:szCs w:val="18"/>
        </w:rPr>
        <w:t xml:space="preserve"> Voorgesteld artikel 12 (Invoeringstoets, evaluatie en herijking toezichtsystematiek), eerste en tweede lid.</w:t>
      </w:r>
    </w:p>
  </w:footnote>
  <w:footnote w:id="36">
    <w:p w14:paraId="1C1BFA58"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Aldaar worden gedeputeerde staten genoemd als zijnde de toezichthouder. Dat strookt niet met het wetsvoorstel waaruit blijkt dat het toezicht (in ieder geval de eerste jaren) bij de minister zal worden belegd.</w:t>
      </w:r>
    </w:p>
  </w:footnote>
  <w:footnote w:id="37">
    <w:p w14:paraId="785FCADF" w14:textId="77777777" w:rsidR="00195E01" w:rsidRPr="004010D9" w:rsidRDefault="00195E01" w:rsidP="00195E01">
      <w:pPr>
        <w:pStyle w:val="Voetnoottekst"/>
        <w:rPr>
          <w:sz w:val="18"/>
          <w:szCs w:val="18"/>
        </w:rPr>
      </w:pPr>
      <w:r w:rsidRPr="004010D9">
        <w:rPr>
          <w:rStyle w:val="Voetnootmarkering"/>
          <w:sz w:val="18"/>
          <w:szCs w:val="18"/>
        </w:rPr>
        <w:footnoteRef/>
      </w:r>
      <w:r w:rsidRPr="004010D9">
        <w:rPr>
          <w:sz w:val="18"/>
          <w:szCs w:val="18"/>
        </w:rPr>
        <w:t xml:space="preserve"> Memorie van toelichting, inleiding op paragraaf 8 (Uitvoeringsgevolgen) en inleiding op paragraaf 10 (Advies en internetconsultatie). </w:t>
      </w:r>
    </w:p>
  </w:footnote>
  <w:footnote w:id="38">
    <w:p w14:paraId="0DF6C31A" w14:textId="77777777" w:rsidR="00195E01" w:rsidRPr="004010D9" w:rsidRDefault="00195E01" w:rsidP="00195E01">
      <w:pPr>
        <w:pStyle w:val="Voetnoottekst"/>
        <w:rPr>
          <w:sz w:val="18"/>
          <w:szCs w:val="18"/>
        </w:rPr>
      </w:pPr>
      <w:r w:rsidRPr="004010D9">
        <w:rPr>
          <w:rStyle w:val="Voetnootmarkering"/>
          <w:sz w:val="18"/>
          <w:szCs w:val="18"/>
        </w:rPr>
        <w:footnoteRef/>
      </w:r>
      <w:r w:rsidRPr="004010D9">
        <w:rPr>
          <w:sz w:val="18"/>
          <w:szCs w:val="18"/>
        </w:rPr>
        <w:t xml:space="preserve"> Voorgesteld artikel 2 (Capaciteitsraming), derde lid. </w:t>
      </w:r>
    </w:p>
  </w:footnote>
  <w:footnote w:id="39">
    <w:p w14:paraId="4EA77A1C" w14:textId="77777777" w:rsidR="00195E01" w:rsidRPr="004010D9" w:rsidRDefault="00195E01" w:rsidP="00195E01">
      <w:pPr>
        <w:pStyle w:val="Voetnoottekst"/>
        <w:rPr>
          <w:sz w:val="18"/>
          <w:szCs w:val="18"/>
        </w:rPr>
      </w:pPr>
      <w:r w:rsidRPr="004010D9">
        <w:rPr>
          <w:rStyle w:val="Voetnootmarkering"/>
          <w:sz w:val="18"/>
          <w:szCs w:val="18"/>
        </w:rPr>
        <w:footnoteRef/>
      </w:r>
      <w:r w:rsidRPr="004010D9">
        <w:rPr>
          <w:sz w:val="18"/>
          <w:szCs w:val="18"/>
        </w:rPr>
        <w:t xml:space="preserve"> Voorgesteld artikel 3 (Provinciale opvangopgave en indicatieve verdeling per gemeente), eerste lid. </w:t>
      </w:r>
    </w:p>
  </w:footnote>
  <w:footnote w:id="40">
    <w:p w14:paraId="0A0470D2" w14:textId="77777777" w:rsidR="00195E01" w:rsidRPr="004010D9" w:rsidRDefault="00195E01" w:rsidP="00195E01">
      <w:pPr>
        <w:pStyle w:val="Voetnoottekst"/>
        <w:rPr>
          <w:sz w:val="18"/>
          <w:szCs w:val="18"/>
        </w:rPr>
      </w:pPr>
      <w:r w:rsidRPr="004010D9">
        <w:rPr>
          <w:rStyle w:val="Voetnootmarkering"/>
          <w:sz w:val="18"/>
          <w:szCs w:val="18"/>
        </w:rPr>
        <w:footnoteRef/>
      </w:r>
      <w:r w:rsidRPr="004010D9">
        <w:rPr>
          <w:sz w:val="18"/>
          <w:szCs w:val="18"/>
        </w:rPr>
        <w:t xml:space="preserve"> Voorgesteld artikel 4 (Overleg en verslag).</w:t>
      </w:r>
    </w:p>
  </w:footnote>
  <w:footnote w:id="41">
    <w:p w14:paraId="6768EA4C" w14:textId="77777777" w:rsidR="00195E01" w:rsidRPr="004010D9" w:rsidRDefault="00195E01" w:rsidP="00195E01">
      <w:pPr>
        <w:pStyle w:val="Voetnoottekst"/>
        <w:rPr>
          <w:sz w:val="18"/>
          <w:szCs w:val="18"/>
        </w:rPr>
      </w:pPr>
      <w:r w:rsidRPr="004010D9">
        <w:rPr>
          <w:rStyle w:val="Voetnootmarkering"/>
          <w:sz w:val="18"/>
          <w:szCs w:val="18"/>
        </w:rPr>
        <w:footnoteRef/>
      </w:r>
      <w:r w:rsidRPr="004010D9">
        <w:rPr>
          <w:sz w:val="18"/>
          <w:szCs w:val="18"/>
        </w:rPr>
        <w:t xml:space="preserve"> Voorgesteld artikel 9 (Specifieke uitkering), vierde lid. Zie ook memorie van toelichting paragraaf 10.1 (Verdeelsystematiek) en paragraaf 10.2 (Beloningssystematiek). </w:t>
      </w:r>
    </w:p>
  </w:footnote>
  <w:footnote w:id="42">
    <w:p w14:paraId="3EF166C9" w14:textId="77777777" w:rsidR="00195E01" w:rsidRPr="004010D9" w:rsidRDefault="00195E01" w:rsidP="00195E01">
      <w:pPr>
        <w:pStyle w:val="Voetnoottekst"/>
        <w:rPr>
          <w:sz w:val="18"/>
          <w:szCs w:val="18"/>
        </w:rPr>
      </w:pPr>
      <w:r w:rsidRPr="004010D9">
        <w:rPr>
          <w:rStyle w:val="Voetnootmarkering"/>
          <w:sz w:val="18"/>
          <w:szCs w:val="18"/>
        </w:rPr>
        <w:footnoteRef/>
      </w:r>
      <w:r w:rsidRPr="004010D9">
        <w:rPr>
          <w:sz w:val="18"/>
          <w:szCs w:val="18"/>
        </w:rPr>
        <w:t xml:space="preserve"> Voorgesteld artikel 13, vierde lid (Overgangsvoorziening).</w:t>
      </w:r>
    </w:p>
  </w:footnote>
  <w:footnote w:id="43">
    <w:p w14:paraId="4E010C8D" w14:textId="77777777" w:rsidR="00195E01" w:rsidRPr="004010D9" w:rsidRDefault="00195E01" w:rsidP="00195E01">
      <w:pPr>
        <w:pStyle w:val="Voetnoottekst"/>
        <w:rPr>
          <w:sz w:val="18"/>
          <w:szCs w:val="18"/>
        </w:rPr>
      </w:pPr>
      <w:r w:rsidRPr="004010D9">
        <w:rPr>
          <w:rStyle w:val="Voetnootmarkering"/>
          <w:sz w:val="18"/>
          <w:szCs w:val="18"/>
        </w:rPr>
        <w:footnoteRef/>
      </w:r>
      <w:r w:rsidRPr="004010D9">
        <w:rPr>
          <w:sz w:val="18"/>
          <w:szCs w:val="18"/>
        </w:rPr>
        <w:t xml:space="preserve"> Voorgesteld artikel 9 (Specifieke uitkering), tweede lid. </w:t>
      </w:r>
    </w:p>
  </w:footnote>
  <w:footnote w:id="44">
    <w:p w14:paraId="194B6DC5" w14:textId="2E010DDA" w:rsidR="00195E01" w:rsidRPr="004010D9" w:rsidRDefault="00195E01" w:rsidP="00195E01">
      <w:pPr>
        <w:pStyle w:val="Voetnoottekst"/>
        <w:rPr>
          <w:sz w:val="18"/>
          <w:szCs w:val="18"/>
        </w:rPr>
      </w:pPr>
      <w:r w:rsidRPr="004010D9">
        <w:rPr>
          <w:rStyle w:val="Voetnootmarkering"/>
          <w:sz w:val="18"/>
          <w:szCs w:val="18"/>
        </w:rPr>
        <w:footnoteRef/>
      </w:r>
      <w:r w:rsidRPr="004010D9">
        <w:rPr>
          <w:sz w:val="18"/>
          <w:szCs w:val="18"/>
        </w:rPr>
        <w:t xml:space="preserve"> Voorgesteld nieuw art. 3b, tweede lid, Wet COA. Zie over de onduidelijkheden rondom deze exploitatie ook </w:t>
      </w:r>
      <w:r w:rsidR="00446C0C" w:rsidRPr="004010D9">
        <w:rPr>
          <w:sz w:val="18"/>
          <w:szCs w:val="18"/>
        </w:rPr>
        <w:t xml:space="preserve">de </w:t>
      </w:r>
      <w:r w:rsidRPr="004010D9">
        <w:rPr>
          <w:sz w:val="18"/>
          <w:szCs w:val="18"/>
        </w:rPr>
        <w:t xml:space="preserve">memorie van toelichting, paragraaf 8.4 (Realisatie opvangvoorzieningen) en </w:t>
      </w:r>
      <w:r w:rsidR="002F46AE" w:rsidRPr="004010D9">
        <w:rPr>
          <w:sz w:val="18"/>
          <w:szCs w:val="18"/>
        </w:rPr>
        <w:t>par</w:t>
      </w:r>
      <w:r w:rsidR="00446C0C" w:rsidRPr="004010D9">
        <w:rPr>
          <w:sz w:val="18"/>
          <w:szCs w:val="18"/>
        </w:rPr>
        <w:t>agraaf</w:t>
      </w:r>
      <w:r w:rsidRPr="004010D9">
        <w:rPr>
          <w:sz w:val="18"/>
          <w:szCs w:val="18"/>
        </w:rPr>
        <w:t xml:space="preserve"> 10.6 (Exploitatie van een opvangvoorziening door een gemeente).</w:t>
      </w:r>
    </w:p>
  </w:footnote>
  <w:footnote w:id="45">
    <w:p w14:paraId="7DBECB4C" w14:textId="77777777" w:rsidR="00195E01" w:rsidRPr="004010D9" w:rsidRDefault="00195E01" w:rsidP="00195E01">
      <w:pPr>
        <w:pStyle w:val="Voetnoottekst"/>
        <w:rPr>
          <w:sz w:val="18"/>
          <w:szCs w:val="18"/>
        </w:rPr>
      </w:pPr>
      <w:r w:rsidRPr="004010D9">
        <w:rPr>
          <w:rStyle w:val="Voetnootmarkering"/>
          <w:sz w:val="18"/>
          <w:szCs w:val="18"/>
        </w:rPr>
        <w:footnoteRef/>
      </w:r>
      <w:r w:rsidRPr="004010D9">
        <w:rPr>
          <w:sz w:val="18"/>
          <w:szCs w:val="18"/>
        </w:rPr>
        <w:t xml:space="preserve"> Voorgesteld nieuw art. 3c Wet COA. Zie ook memorie van toelichting, paragraaf 8.6 (Interbestuurlijk toezicht).</w:t>
      </w:r>
    </w:p>
  </w:footnote>
  <w:footnote w:id="46">
    <w:p w14:paraId="1B8A0D4F" w14:textId="77777777" w:rsidR="00040FCD" w:rsidRPr="004010D9" w:rsidRDefault="00040FCD" w:rsidP="00040FCD">
      <w:pPr>
        <w:pStyle w:val="Voetnoottekst"/>
        <w:rPr>
          <w:sz w:val="18"/>
          <w:szCs w:val="18"/>
        </w:rPr>
      </w:pPr>
      <w:r w:rsidRPr="004010D9">
        <w:rPr>
          <w:rStyle w:val="Voetnootmarkering"/>
          <w:sz w:val="18"/>
          <w:szCs w:val="18"/>
        </w:rPr>
        <w:footnoteRef/>
      </w:r>
      <w:r w:rsidR="00154832" w:rsidRPr="004010D9">
        <w:rPr>
          <w:sz w:val="18"/>
          <w:szCs w:val="18"/>
        </w:rPr>
        <w:t xml:space="preserve"> Denk aan het Europees Verdrag ter bescherming van de Rechten van de Mens en de Fundamentele vrijheden, het EU Handvest en het Internationaal Verdrag voor de Rechten van het Kind. Zie ook: Rechtbank Den Haag, 6 oktober 2022, ECLI:NL:RBDHA:2022:10210 en Gerechtshof Den Haag, 20 december 2022, ECLI:NL:GHDHA:2022:2429. </w:t>
      </w:r>
    </w:p>
  </w:footnote>
  <w:footnote w:id="47">
    <w:p w14:paraId="1A2D5C5A" w14:textId="672E3434" w:rsidR="001B6DD1" w:rsidRPr="004010D9" w:rsidRDefault="001B6DD1">
      <w:pPr>
        <w:pStyle w:val="Voetnoottekst"/>
        <w:rPr>
          <w:sz w:val="18"/>
          <w:szCs w:val="18"/>
        </w:rPr>
      </w:pPr>
      <w:r w:rsidRPr="004010D9">
        <w:rPr>
          <w:rStyle w:val="Voetnootmarkering"/>
          <w:sz w:val="18"/>
          <w:szCs w:val="18"/>
        </w:rPr>
        <w:footnoteRef/>
      </w:r>
      <w:r w:rsidRPr="004010D9">
        <w:rPr>
          <w:sz w:val="18"/>
          <w:szCs w:val="18"/>
        </w:rPr>
        <w:t xml:space="preserve"> Het voorgestelde artikel 6</w:t>
      </w:r>
      <w:r w:rsidR="00446C0C" w:rsidRPr="004010D9">
        <w:rPr>
          <w:sz w:val="18"/>
          <w:szCs w:val="18"/>
        </w:rPr>
        <w:t xml:space="preserve"> </w:t>
      </w:r>
      <w:r w:rsidR="0083405B" w:rsidRPr="004010D9">
        <w:rPr>
          <w:sz w:val="18"/>
          <w:szCs w:val="18"/>
        </w:rPr>
        <w:t>(Taak)</w:t>
      </w:r>
      <w:r w:rsidR="002F46AE" w:rsidRPr="004010D9">
        <w:rPr>
          <w:sz w:val="18"/>
          <w:szCs w:val="18"/>
        </w:rPr>
        <w:t>,</w:t>
      </w:r>
      <w:r w:rsidRPr="004010D9">
        <w:rPr>
          <w:sz w:val="18"/>
          <w:szCs w:val="18"/>
        </w:rPr>
        <w:t xml:space="preserve"> tweede lid, geeft hier uitdrukking aan</w:t>
      </w:r>
      <w:r w:rsidR="00A030DA" w:rsidRPr="004010D9">
        <w:rPr>
          <w:sz w:val="18"/>
          <w:szCs w:val="18"/>
        </w:rPr>
        <w:t xml:space="preserve"> evenals het voorgestelde artikel 3c van de Wet COA</w:t>
      </w:r>
      <w:r w:rsidRPr="004010D9">
        <w:rPr>
          <w:sz w:val="18"/>
          <w:szCs w:val="18"/>
        </w:rPr>
        <w:t xml:space="preserve">. </w:t>
      </w:r>
    </w:p>
  </w:footnote>
  <w:footnote w:id="48">
    <w:p w14:paraId="2707B98A" w14:textId="77777777" w:rsidR="00AB6B75" w:rsidRPr="004010D9" w:rsidRDefault="00AB6B75" w:rsidP="00AB6B75">
      <w:pPr>
        <w:pStyle w:val="Voetnoottekst"/>
        <w:rPr>
          <w:sz w:val="18"/>
          <w:szCs w:val="18"/>
        </w:rPr>
      </w:pPr>
      <w:r w:rsidRPr="004010D9">
        <w:rPr>
          <w:rStyle w:val="Voetnootmarkering"/>
          <w:sz w:val="18"/>
          <w:szCs w:val="18"/>
        </w:rPr>
        <w:footnoteRef/>
      </w:r>
      <w:r w:rsidRPr="004010D9">
        <w:rPr>
          <w:sz w:val="18"/>
          <w:szCs w:val="18"/>
        </w:rPr>
        <w:t xml:space="preserve"> Gewezen zij ook op aanwijzing 2.19 van de Aanwijzingen voor de regelgeving. </w:t>
      </w:r>
    </w:p>
  </w:footnote>
  <w:footnote w:id="49">
    <w:p w14:paraId="7C1D9F13" w14:textId="748D6119" w:rsidR="00EA3366" w:rsidRPr="004010D9" w:rsidRDefault="00EA3366">
      <w:pPr>
        <w:pStyle w:val="Voetnoottekst"/>
        <w:rPr>
          <w:sz w:val="18"/>
          <w:szCs w:val="18"/>
        </w:rPr>
      </w:pPr>
      <w:r w:rsidRPr="004010D9">
        <w:rPr>
          <w:rStyle w:val="Voetnootmarkering"/>
          <w:sz w:val="18"/>
          <w:szCs w:val="18"/>
        </w:rPr>
        <w:footnoteRef/>
      </w:r>
      <w:r w:rsidRPr="004010D9">
        <w:rPr>
          <w:sz w:val="18"/>
          <w:szCs w:val="18"/>
        </w:rPr>
        <w:t xml:space="preserve"> Vergelijk artikel 29, eerste lid, van de Huisvestingswet.</w:t>
      </w:r>
    </w:p>
  </w:footnote>
  <w:footnote w:id="50">
    <w:p w14:paraId="09F47F79"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Memorie van toelichting, paragraaf 9 (Financiële gevolgen).</w:t>
      </w:r>
    </w:p>
  </w:footnote>
  <w:footnote w:id="51">
    <w:p w14:paraId="03CAF79D" w14:textId="0381479F"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Artikel </w:t>
      </w:r>
      <w:r w:rsidR="00690E75" w:rsidRPr="004010D9">
        <w:rPr>
          <w:sz w:val="18"/>
          <w:szCs w:val="18"/>
        </w:rPr>
        <w:t xml:space="preserve">4 </w:t>
      </w:r>
      <w:r w:rsidRPr="004010D9">
        <w:rPr>
          <w:sz w:val="18"/>
          <w:szCs w:val="18"/>
        </w:rPr>
        <w:t>van de Code interbestuurlijke verhoudingen</w:t>
      </w:r>
      <w:r w:rsidR="00E93F01" w:rsidRPr="004010D9">
        <w:rPr>
          <w:sz w:val="18"/>
          <w:szCs w:val="18"/>
        </w:rPr>
        <w:t xml:space="preserve"> van januari 2023</w:t>
      </w:r>
      <w:r w:rsidRPr="004010D9">
        <w:rPr>
          <w:sz w:val="18"/>
          <w:szCs w:val="18"/>
        </w:rPr>
        <w:t xml:space="preserve">. </w:t>
      </w:r>
    </w:p>
  </w:footnote>
  <w:footnote w:id="52">
    <w:p w14:paraId="1C89ED6C" w14:textId="77777777" w:rsidR="00DB2147" w:rsidRPr="004010D9" w:rsidRDefault="00DB2147" w:rsidP="00DB2147">
      <w:pPr>
        <w:pStyle w:val="Voetnoottekst"/>
        <w:rPr>
          <w:sz w:val="18"/>
          <w:szCs w:val="18"/>
        </w:rPr>
      </w:pPr>
      <w:r w:rsidRPr="004010D9">
        <w:rPr>
          <w:rStyle w:val="Voetnootmarkering"/>
          <w:sz w:val="18"/>
          <w:szCs w:val="18"/>
        </w:rPr>
        <w:footnoteRef/>
      </w:r>
      <w:r w:rsidRPr="004010D9">
        <w:rPr>
          <w:sz w:val="18"/>
          <w:szCs w:val="18"/>
        </w:rPr>
        <w:t xml:space="preserve"> Memorie van toelichting, paragraaf 8.3 (Verdeelbesluit). </w:t>
      </w:r>
    </w:p>
  </w:footnote>
  <w:footnote w:id="53">
    <w:p w14:paraId="7266023A" w14:textId="77777777"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Memorie van toelichting, inleiding op paragraaf 8 (Uitvoeringsgevolgen), paragraaf 9 (Financiële gevolgen) en inleiding op paragraaf 10 (Advies en internetconsultatie).</w:t>
      </w:r>
    </w:p>
  </w:footnote>
  <w:footnote w:id="54">
    <w:p w14:paraId="4E705B8A" w14:textId="77777777"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Toelichting op voorgesteld artikel 13.</w:t>
      </w:r>
    </w:p>
  </w:footnote>
  <w:footnote w:id="55">
    <w:p w14:paraId="47748956" w14:textId="77777777"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Memorie van toelichting, paragraaf 10.3 (Termijnen)</w:t>
      </w:r>
    </w:p>
  </w:footnote>
  <w:footnote w:id="56">
    <w:p w14:paraId="5CC577AA" w14:textId="77777777"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Memorie van toelichting, paragraaf 8.4 (Realisatie voorzieningen). </w:t>
      </w:r>
    </w:p>
  </w:footnote>
  <w:footnote w:id="57">
    <w:p w14:paraId="1E8CA348" w14:textId="77777777"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Gewezen zij op de reacties van de IND en de VNG.</w:t>
      </w:r>
    </w:p>
  </w:footnote>
  <w:footnote w:id="58">
    <w:p w14:paraId="1460B190" w14:textId="0719F098"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Concrete reactie van de VNG: </w:t>
      </w:r>
      <w:r w:rsidR="00B40154" w:rsidRPr="004010D9">
        <w:rPr>
          <w:sz w:val="18"/>
          <w:szCs w:val="18"/>
        </w:rPr>
        <w:t>‘</w:t>
      </w:r>
      <w:r w:rsidRPr="004010D9">
        <w:rPr>
          <w:sz w:val="18"/>
          <w:szCs w:val="18"/>
        </w:rPr>
        <w:t>De VNG vraagt een financieringssystematiek dat wordt uitgewerkt en die recht doe aan de volle breedte van de asielopgave, dat verschillende regelingen elkaar niet tegenwerken en dat administratie lasten worden beperkt</w:t>
      </w:r>
      <w:r w:rsidR="002F46AE" w:rsidRPr="004010D9">
        <w:rPr>
          <w:sz w:val="18"/>
          <w:szCs w:val="18"/>
        </w:rPr>
        <w:t>.</w:t>
      </w:r>
      <w:r w:rsidR="00B40154" w:rsidRPr="004010D9">
        <w:rPr>
          <w:sz w:val="18"/>
          <w:szCs w:val="18"/>
        </w:rPr>
        <w:t>’</w:t>
      </w:r>
    </w:p>
  </w:footnote>
  <w:footnote w:id="59">
    <w:p w14:paraId="5C88A1D3" w14:textId="6D4FC9EE"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Artikel 108, derde lid, van de Gemeentewet, artikel 2 van de Financiële</w:t>
      </w:r>
      <w:r w:rsidR="002D76D9" w:rsidRPr="004010D9">
        <w:rPr>
          <w:sz w:val="18"/>
          <w:szCs w:val="18"/>
        </w:rPr>
        <w:t>-</w:t>
      </w:r>
      <w:r w:rsidRPr="004010D9">
        <w:rPr>
          <w:sz w:val="18"/>
          <w:szCs w:val="18"/>
        </w:rPr>
        <w:t>verhoudingswet en artikel 3.1 van de Comptabiliteitswet</w:t>
      </w:r>
      <w:r w:rsidR="001E0CC0" w:rsidRPr="004010D9">
        <w:rPr>
          <w:sz w:val="18"/>
          <w:szCs w:val="18"/>
        </w:rPr>
        <w:t xml:space="preserve"> 2016</w:t>
      </w:r>
      <w:r w:rsidRPr="004010D9">
        <w:rPr>
          <w:sz w:val="18"/>
          <w:szCs w:val="18"/>
        </w:rPr>
        <w:t>.</w:t>
      </w:r>
    </w:p>
  </w:footnote>
  <w:footnote w:id="60">
    <w:p w14:paraId="00B5048E" w14:textId="77777777" w:rsidR="00787C2B" w:rsidRPr="004010D9" w:rsidRDefault="00787C2B">
      <w:pPr>
        <w:pStyle w:val="Voetnoottekst"/>
        <w:rPr>
          <w:sz w:val="18"/>
          <w:szCs w:val="18"/>
        </w:rPr>
      </w:pPr>
      <w:r w:rsidRPr="004010D9">
        <w:rPr>
          <w:rStyle w:val="Voetnootmarkering"/>
          <w:sz w:val="18"/>
          <w:szCs w:val="18"/>
        </w:rPr>
        <w:footnoteRef/>
      </w:r>
      <w:r w:rsidRPr="004010D9">
        <w:rPr>
          <w:sz w:val="18"/>
          <w:szCs w:val="18"/>
        </w:rPr>
        <w:t xml:space="preserve"> </w:t>
      </w:r>
      <w:r w:rsidR="00826509" w:rsidRPr="004010D9">
        <w:rPr>
          <w:sz w:val="18"/>
          <w:szCs w:val="18"/>
        </w:rPr>
        <w:t>Gewezen zij ook op de uitvoeringscan van de</w:t>
      </w:r>
      <w:r w:rsidR="00877D38" w:rsidRPr="004010D9">
        <w:rPr>
          <w:sz w:val="18"/>
          <w:szCs w:val="18"/>
        </w:rPr>
        <w:t xml:space="preserve"> VNG </w:t>
      </w:r>
      <w:r w:rsidR="00826509" w:rsidRPr="004010D9">
        <w:rPr>
          <w:sz w:val="18"/>
          <w:szCs w:val="18"/>
        </w:rPr>
        <w:t>R</w:t>
      </w:r>
      <w:r w:rsidR="00877D38" w:rsidRPr="004010D9">
        <w:rPr>
          <w:sz w:val="18"/>
          <w:szCs w:val="18"/>
        </w:rPr>
        <w:t xml:space="preserve">ealisatie en </w:t>
      </w:r>
      <w:r w:rsidR="00826509" w:rsidRPr="004010D9">
        <w:rPr>
          <w:sz w:val="18"/>
          <w:szCs w:val="18"/>
        </w:rPr>
        <w:t xml:space="preserve">het rapport van </w:t>
      </w:r>
      <w:r w:rsidR="00877D38" w:rsidRPr="004010D9">
        <w:rPr>
          <w:sz w:val="18"/>
          <w:szCs w:val="18"/>
        </w:rPr>
        <w:t>Anderssson</w:t>
      </w:r>
      <w:r w:rsidR="00826509" w:rsidRPr="004010D9">
        <w:rPr>
          <w:sz w:val="18"/>
          <w:szCs w:val="18"/>
        </w:rPr>
        <w:t xml:space="preserve"> Elffers Felix dat in opdracht van het IPO is opgesteld.</w:t>
      </w:r>
    </w:p>
  </w:footnote>
  <w:footnote w:id="61">
    <w:p w14:paraId="3B7C7A74" w14:textId="77777777"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Algemene Rekenkamer, ‘Focus op opvangcapaciteit asielzoekers’, vastgesteld 16 januari 2023.</w:t>
      </w:r>
    </w:p>
  </w:footnote>
  <w:footnote w:id="62">
    <w:p w14:paraId="317276D4" w14:textId="18C719FE"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Het kan één gezamenlijk verdeelbesluit betreffen maar ook voor iedere provincie een afzonderlijk deelbesluit. Zie de toelichting op voorgesteld artikel 5</w:t>
      </w:r>
      <w:r w:rsidR="0037302C" w:rsidRPr="004010D9">
        <w:rPr>
          <w:sz w:val="18"/>
          <w:szCs w:val="18"/>
        </w:rPr>
        <w:t xml:space="preserve"> (</w:t>
      </w:r>
      <w:r w:rsidR="002D76D9" w:rsidRPr="004010D9">
        <w:rPr>
          <w:sz w:val="18"/>
          <w:szCs w:val="18"/>
        </w:rPr>
        <w:t>Verdeelbesluit per provincie)</w:t>
      </w:r>
      <w:r w:rsidR="002F46AE" w:rsidRPr="004010D9">
        <w:rPr>
          <w:sz w:val="18"/>
          <w:szCs w:val="18"/>
        </w:rPr>
        <w:t>.</w:t>
      </w:r>
    </w:p>
  </w:footnote>
  <w:footnote w:id="63">
    <w:p w14:paraId="0F457B49" w14:textId="77777777" w:rsidR="00E2714E" w:rsidRPr="004010D9" w:rsidRDefault="00E2714E" w:rsidP="00E2714E">
      <w:pPr>
        <w:pStyle w:val="Voetnoottekst"/>
        <w:rPr>
          <w:sz w:val="18"/>
          <w:szCs w:val="18"/>
        </w:rPr>
      </w:pPr>
      <w:r w:rsidRPr="004010D9">
        <w:rPr>
          <w:rStyle w:val="Voetnootmarkering"/>
          <w:sz w:val="18"/>
          <w:szCs w:val="18"/>
        </w:rPr>
        <w:footnoteRef/>
      </w:r>
      <w:r w:rsidRPr="004010D9">
        <w:rPr>
          <w:sz w:val="18"/>
          <w:szCs w:val="18"/>
        </w:rPr>
        <w:t xml:space="preserve"> Vergelijk de consultatiereactie van de Nederlandse Vereniging voor </w:t>
      </w:r>
      <w:r w:rsidR="0009088C" w:rsidRPr="004010D9">
        <w:rPr>
          <w:sz w:val="18"/>
          <w:szCs w:val="18"/>
        </w:rPr>
        <w:t>R</w:t>
      </w:r>
      <w:r w:rsidRPr="004010D9">
        <w:rPr>
          <w:sz w:val="18"/>
          <w:szCs w:val="18"/>
        </w:rPr>
        <w:t xml:space="preserve">echtspraak. </w:t>
      </w:r>
    </w:p>
  </w:footnote>
  <w:footnote w:id="64">
    <w:p w14:paraId="779751F1" w14:textId="77777777"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Voorgesteld artikel 7 (Invulling taak), eerste lid, en memorie van toelichting, paragraaf 8.4 (Realisatie opvangvoorzieningen). Voor de vrijwillig ingebrachte opvanglocaties geldt een termijn van twaalf maanden. </w:t>
      </w:r>
    </w:p>
  </w:footnote>
  <w:footnote w:id="65">
    <w:p w14:paraId="032F9420" w14:textId="77777777"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Voorgesteld artikel 7 (Invulling taak), tweede lid.</w:t>
      </w:r>
    </w:p>
  </w:footnote>
  <w:footnote w:id="66">
    <w:p w14:paraId="53522F9E" w14:textId="12DA53DB"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Zie ook </w:t>
      </w:r>
      <w:r w:rsidR="0037302C" w:rsidRPr="004010D9">
        <w:rPr>
          <w:sz w:val="18"/>
          <w:szCs w:val="18"/>
        </w:rPr>
        <w:t xml:space="preserve">de </w:t>
      </w:r>
      <w:r w:rsidRPr="004010D9">
        <w:rPr>
          <w:sz w:val="18"/>
          <w:szCs w:val="18"/>
        </w:rPr>
        <w:t>memorie van toelichting, paragraaf 4.3 (Gemeentelijke taak).</w:t>
      </w:r>
    </w:p>
  </w:footnote>
  <w:footnote w:id="67">
    <w:p w14:paraId="12F9AFBF" w14:textId="77777777" w:rsidR="0024675D" w:rsidRPr="004010D9" w:rsidRDefault="0024675D" w:rsidP="0024675D">
      <w:pPr>
        <w:pStyle w:val="Voetnoottekst"/>
        <w:rPr>
          <w:sz w:val="18"/>
          <w:szCs w:val="18"/>
        </w:rPr>
      </w:pPr>
      <w:r w:rsidRPr="004010D9">
        <w:rPr>
          <w:rStyle w:val="Voetnootmarkering"/>
          <w:sz w:val="18"/>
          <w:szCs w:val="18"/>
        </w:rPr>
        <w:footnoteRef/>
      </w:r>
      <w:r w:rsidRPr="004010D9">
        <w:rPr>
          <w:sz w:val="18"/>
          <w:szCs w:val="18"/>
        </w:rPr>
        <w:t xml:space="preserve"> Memorie van toelichting, paragraaf 10.3 (Termijnen).</w:t>
      </w:r>
    </w:p>
  </w:footnote>
  <w:footnote w:id="68">
    <w:p w14:paraId="0FD7F9B9" w14:textId="77777777" w:rsidR="00137510" w:rsidRPr="004010D9" w:rsidRDefault="00137510" w:rsidP="00137510">
      <w:pPr>
        <w:pStyle w:val="Voetnoottekst"/>
        <w:rPr>
          <w:sz w:val="18"/>
          <w:szCs w:val="18"/>
        </w:rPr>
      </w:pPr>
      <w:r w:rsidRPr="004010D9">
        <w:rPr>
          <w:rStyle w:val="Voetnootmarkering"/>
          <w:sz w:val="18"/>
          <w:szCs w:val="18"/>
        </w:rPr>
        <w:footnoteRef/>
      </w:r>
      <w:r w:rsidRPr="004010D9">
        <w:rPr>
          <w:sz w:val="18"/>
          <w:szCs w:val="18"/>
        </w:rPr>
        <w:t xml:space="preserve"> Toelichting op voorgesteld artikel 7 (Invulling taak).</w:t>
      </w:r>
    </w:p>
  </w:footnote>
  <w:footnote w:id="69">
    <w:p w14:paraId="6B93DEAF"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Memorie van toelichting, paragraaf 8.3 (Verdeelbesluit) en toelichting op voorgesteld artikel 7 (Invulling taak).</w:t>
      </w:r>
    </w:p>
  </w:footnote>
  <w:footnote w:id="70">
    <w:p w14:paraId="22D2CD6C" w14:textId="77777777"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Vluchtelingenwerk Nederland adviseert een percentage van 10 procent (zie consultatiereactie, pagina 3). </w:t>
      </w:r>
    </w:p>
  </w:footnote>
  <w:footnote w:id="71">
    <w:p w14:paraId="0C1F66CE" w14:textId="77777777" w:rsidR="007F42AC" w:rsidRPr="004010D9" w:rsidRDefault="007F42AC" w:rsidP="007F42AC">
      <w:pPr>
        <w:pStyle w:val="Voetnoottekst"/>
        <w:rPr>
          <w:sz w:val="18"/>
          <w:szCs w:val="18"/>
        </w:rPr>
      </w:pPr>
      <w:r w:rsidRPr="004010D9">
        <w:rPr>
          <w:rStyle w:val="Voetnootmarkering"/>
          <w:sz w:val="18"/>
          <w:szCs w:val="18"/>
        </w:rPr>
        <w:footnoteRef/>
      </w:r>
      <w:r w:rsidRPr="004010D9">
        <w:rPr>
          <w:sz w:val="18"/>
          <w:szCs w:val="18"/>
        </w:rPr>
        <w:t xml:space="preserve"> Het gaat hier om een verschil tussen de vaststelling van de (minimaal) verachte instroom als bedoel in het voorgestelde artikel 2 (Capaciteitsraming) en de opdracht aan provincie op grond van het voorgestelde artikel 5 (Verdeelbesluit per provincie).</w:t>
      </w:r>
    </w:p>
  </w:footnote>
  <w:footnote w:id="72">
    <w:p w14:paraId="2BB793A6" w14:textId="77777777" w:rsidR="002F46AE" w:rsidRPr="004010D9"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De beschreven procedure is opgenomen in de artikelen 28 en 29 van de Huisvestingwet. Zie ook het voorstel van de VNG daartoe. </w:t>
      </w:r>
    </w:p>
  </w:footnote>
  <w:footnote w:id="73">
    <w:p w14:paraId="3CA82497" w14:textId="77777777" w:rsidR="002F46AE" w:rsidRPr="0025538A" w:rsidRDefault="002F46AE" w:rsidP="002F46AE">
      <w:pPr>
        <w:pStyle w:val="Voetnoottekst"/>
        <w:rPr>
          <w:sz w:val="18"/>
          <w:szCs w:val="18"/>
        </w:rPr>
      </w:pPr>
      <w:r w:rsidRPr="004010D9">
        <w:rPr>
          <w:rStyle w:val="Voetnootmarkering"/>
          <w:sz w:val="18"/>
          <w:szCs w:val="18"/>
        </w:rPr>
        <w:footnoteRef/>
      </w:r>
      <w:r w:rsidRPr="004010D9">
        <w:rPr>
          <w:sz w:val="18"/>
          <w:szCs w:val="18"/>
        </w:rPr>
        <w:t xml:space="preserve"> Ter illustratie: op grond van een tussen de provincie Friesland en de gemeente Leeuwarden overeengekomen herverdelingsregeling wordt de huisvestingstaakstelling van de gemeenten Ameland, Schiermonnikoog, Terschelling en Vlieland door de gemeente Leeuwarden uitgevoerd.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5449D" w14:textId="77777777" w:rsidR="005E1F3B" w:rsidRDefault="005E1F3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47A14" w14:textId="63AF7406" w:rsidR="00B47CA6" w:rsidRDefault="00AB1226" w:rsidP="00B47CA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27DFB">
      <w:rPr>
        <w:rStyle w:val="Paginanummer"/>
        <w:noProof/>
      </w:rPr>
      <w:t>21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47A1A" w14:textId="77777777" w:rsidR="00B47CA6" w:rsidRDefault="00AB1226" w:rsidP="00B47CA6">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3B47A1B" w14:textId="77777777" w:rsidR="00B47CA6" w:rsidRDefault="00AB1226">
    <w:pPr>
      <w:pStyle w:val="Koptekst"/>
    </w:pPr>
    <w:r>
      <w:rPr>
        <w:noProof/>
      </w:rPr>
      <w:drawing>
        <wp:anchor distT="0" distB="0" distL="114300" distR="114300" simplePos="0" relativeHeight="251658240" behindDoc="1" locked="0" layoutInCell="1" allowOverlap="1" wp14:anchorId="53B47A26" wp14:editId="53B47A2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677F"/>
    <w:multiLevelType w:val="hybridMultilevel"/>
    <w:tmpl w:val="9F38C3A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C56F71"/>
    <w:multiLevelType w:val="hybridMultilevel"/>
    <w:tmpl w:val="DFAEC9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0C0A70"/>
    <w:multiLevelType w:val="hybridMultilevel"/>
    <w:tmpl w:val="11D80C4E"/>
    <w:lvl w:ilvl="0" w:tplc="9BE2DD3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B8485D"/>
    <w:multiLevelType w:val="hybridMultilevel"/>
    <w:tmpl w:val="434E5B5E"/>
    <w:lvl w:ilvl="0" w:tplc="8872E6A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9D2C5B"/>
    <w:multiLevelType w:val="hybridMultilevel"/>
    <w:tmpl w:val="0A142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D8E09BC"/>
    <w:multiLevelType w:val="hybridMultilevel"/>
    <w:tmpl w:val="832E208E"/>
    <w:lvl w:ilvl="0" w:tplc="9BD6D95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4460FD1"/>
    <w:multiLevelType w:val="hybridMultilevel"/>
    <w:tmpl w:val="3C2CC760"/>
    <w:lvl w:ilvl="0" w:tplc="569C18F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8E7340D"/>
    <w:multiLevelType w:val="hybridMultilevel"/>
    <w:tmpl w:val="8D047E3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1E7F2F"/>
    <w:multiLevelType w:val="hybridMultilevel"/>
    <w:tmpl w:val="B58C3B8C"/>
    <w:lvl w:ilvl="0" w:tplc="B9F0AA5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CC0F32"/>
    <w:multiLevelType w:val="hybridMultilevel"/>
    <w:tmpl w:val="299CD092"/>
    <w:lvl w:ilvl="0" w:tplc="569C18F8">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3"/>
  </w:num>
  <w:num w:numId="6">
    <w:abstractNumId w:val="5"/>
  </w:num>
  <w:num w:numId="7">
    <w:abstractNumId w:val="2"/>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A9C"/>
    <w:rsid w:val="000000EE"/>
    <w:rsid w:val="0000086B"/>
    <w:rsid w:val="00001AB2"/>
    <w:rsid w:val="0000247A"/>
    <w:rsid w:val="0000257C"/>
    <w:rsid w:val="000025ED"/>
    <w:rsid w:val="000027E3"/>
    <w:rsid w:val="00002AA6"/>
    <w:rsid w:val="00002D2E"/>
    <w:rsid w:val="00004A80"/>
    <w:rsid w:val="00004FE4"/>
    <w:rsid w:val="0000547B"/>
    <w:rsid w:val="000056C0"/>
    <w:rsid w:val="00005709"/>
    <w:rsid w:val="00005EA9"/>
    <w:rsid w:val="00006596"/>
    <w:rsid w:val="00006C96"/>
    <w:rsid w:val="00006E80"/>
    <w:rsid w:val="0000724A"/>
    <w:rsid w:val="000072A0"/>
    <w:rsid w:val="00007D98"/>
    <w:rsid w:val="00010D34"/>
    <w:rsid w:val="00010D58"/>
    <w:rsid w:val="00010DF5"/>
    <w:rsid w:val="000112F6"/>
    <w:rsid w:val="00011954"/>
    <w:rsid w:val="000127E1"/>
    <w:rsid w:val="0001306B"/>
    <w:rsid w:val="00013193"/>
    <w:rsid w:val="000135D0"/>
    <w:rsid w:val="00013C31"/>
    <w:rsid w:val="00013C7B"/>
    <w:rsid w:val="00013D4A"/>
    <w:rsid w:val="000141D1"/>
    <w:rsid w:val="00015557"/>
    <w:rsid w:val="00015766"/>
    <w:rsid w:val="0001618D"/>
    <w:rsid w:val="00016A4F"/>
    <w:rsid w:val="00016CCA"/>
    <w:rsid w:val="0001709C"/>
    <w:rsid w:val="00017132"/>
    <w:rsid w:val="00017D01"/>
    <w:rsid w:val="00020361"/>
    <w:rsid w:val="00020503"/>
    <w:rsid w:val="000208A9"/>
    <w:rsid w:val="0002093C"/>
    <w:rsid w:val="000209B5"/>
    <w:rsid w:val="00020FE6"/>
    <w:rsid w:val="0002132F"/>
    <w:rsid w:val="000213D0"/>
    <w:rsid w:val="00021451"/>
    <w:rsid w:val="00021B12"/>
    <w:rsid w:val="000226E4"/>
    <w:rsid w:val="0002272E"/>
    <w:rsid w:val="00022C6E"/>
    <w:rsid w:val="00023033"/>
    <w:rsid w:val="000234DF"/>
    <w:rsid w:val="00023670"/>
    <w:rsid w:val="000239CB"/>
    <w:rsid w:val="00023A1F"/>
    <w:rsid w:val="00023E59"/>
    <w:rsid w:val="000245A1"/>
    <w:rsid w:val="000250A8"/>
    <w:rsid w:val="0002511C"/>
    <w:rsid w:val="00025176"/>
    <w:rsid w:val="00025185"/>
    <w:rsid w:val="00025A23"/>
    <w:rsid w:val="00025BAD"/>
    <w:rsid w:val="00025D5E"/>
    <w:rsid w:val="00025F79"/>
    <w:rsid w:val="0002619B"/>
    <w:rsid w:val="000268A5"/>
    <w:rsid w:val="00026AF5"/>
    <w:rsid w:val="00026CAE"/>
    <w:rsid w:val="00027069"/>
    <w:rsid w:val="00027183"/>
    <w:rsid w:val="000272BF"/>
    <w:rsid w:val="00027DD1"/>
    <w:rsid w:val="0003020E"/>
    <w:rsid w:val="000305B2"/>
    <w:rsid w:val="00030AFC"/>
    <w:rsid w:val="000314F8"/>
    <w:rsid w:val="0003167F"/>
    <w:rsid w:val="000316BF"/>
    <w:rsid w:val="00031A33"/>
    <w:rsid w:val="00031ADF"/>
    <w:rsid w:val="00031DA9"/>
    <w:rsid w:val="00032221"/>
    <w:rsid w:val="00032AB1"/>
    <w:rsid w:val="00032EF3"/>
    <w:rsid w:val="000332FC"/>
    <w:rsid w:val="000337DB"/>
    <w:rsid w:val="0003384B"/>
    <w:rsid w:val="00033962"/>
    <w:rsid w:val="00033BFF"/>
    <w:rsid w:val="000349E4"/>
    <w:rsid w:val="00034CE5"/>
    <w:rsid w:val="000354A0"/>
    <w:rsid w:val="000359E6"/>
    <w:rsid w:val="00035B76"/>
    <w:rsid w:val="00035B7B"/>
    <w:rsid w:val="00036077"/>
    <w:rsid w:val="0003654D"/>
    <w:rsid w:val="00036EC2"/>
    <w:rsid w:val="0003714B"/>
    <w:rsid w:val="000373B9"/>
    <w:rsid w:val="0004076D"/>
    <w:rsid w:val="00040AAC"/>
    <w:rsid w:val="00040CE4"/>
    <w:rsid w:val="00040FCD"/>
    <w:rsid w:val="00041048"/>
    <w:rsid w:val="0004111C"/>
    <w:rsid w:val="00041889"/>
    <w:rsid w:val="00041D85"/>
    <w:rsid w:val="00041DEB"/>
    <w:rsid w:val="00041F70"/>
    <w:rsid w:val="00042103"/>
    <w:rsid w:val="00042349"/>
    <w:rsid w:val="000430FE"/>
    <w:rsid w:val="00043543"/>
    <w:rsid w:val="00043669"/>
    <w:rsid w:val="00043DEA"/>
    <w:rsid w:val="00044AF7"/>
    <w:rsid w:val="00044B4F"/>
    <w:rsid w:val="00044F01"/>
    <w:rsid w:val="0004530D"/>
    <w:rsid w:val="000455A1"/>
    <w:rsid w:val="00045754"/>
    <w:rsid w:val="00045895"/>
    <w:rsid w:val="00046681"/>
    <w:rsid w:val="00046795"/>
    <w:rsid w:val="00050C8D"/>
    <w:rsid w:val="000511A2"/>
    <w:rsid w:val="00051BB1"/>
    <w:rsid w:val="00052120"/>
    <w:rsid w:val="00052734"/>
    <w:rsid w:val="00052A2A"/>
    <w:rsid w:val="00052D0C"/>
    <w:rsid w:val="00052F7C"/>
    <w:rsid w:val="00053712"/>
    <w:rsid w:val="00053AF6"/>
    <w:rsid w:val="0005510C"/>
    <w:rsid w:val="00055525"/>
    <w:rsid w:val="00055621"/>
    <w:rsid w:val="000557B8"/>
    <w:rsid w:val="00055C86"/>
    <w:rsid w:val="00056134"/>
    <w:rsid w:val="00056604"/>
    <w:rsid w:val="00056A4F"/>
    <w:rsid w:val="00056D02"/>
    <w:rsid w:val="00057000"/>
    <w:rsid w:val="00057967"/>
    <w:rsid w:val="00057CD8"/>
    <w:rsid w:val="00060197"/>
    <w:rsid w:val="00060B99"/>
    <w:rsid w:val="00061193"/>
    <w:rsid w:val="000612E3"/>
    <w:rsid w:val="0006176B"/>
    <w:rsid w:val="00061E37"/>
    <w:rsid w:val="0006214F"/>
    <w:rsid w:val="000622FC"/>
    <w:rsid w:val="0006242C"/>
    <w:rsid w:val="00062561"/>
    <w:rsid w:val="000626A0"/>
    <w:rsid w:val="00062BC6"/>
    <w:rsid w:val="00063081"/>
    <w:rsid w:val="00063419"/>
    <w:rsid w:val="00063478"/>
    <w:rsid w:val="00063BD8"/>
    <w:rsid w:val="00063D4A"/>
    <w:rsid w:val="00063E19"/>
    <w:rsid w:val="00064179"/>
    <w:rsid w:val="000643FF"/>
    <w:rsid w:val="000648AD"/>
    <w:rsid w:val="00064BFF"/>
    <w:rsid w:val="00064CBA"/>
    <w:rsid w:val="00064D1B"/>
    <w:rsid w:val="00064F93"/>
    <w:rsid w:val="0006548B"/>
    <w:rsid w:val="000654CD"/>
    <w:rsid w:val="000655D5"/>
    <w:rsid w:val="00065960"/>
    <w:rsid w:val="00065C5E"/>
    <w:rsid w:val="00066871"/>
    <w:rsid w:val="00066B2A"/>
    <w:rsid w:val="0006725B"/>
    <w:rsid w:val="000675F0"/>
    <w:rsid w:val="000678C9"/>
    <w:rsid w:val="00067D05"/>
    <w:rsid w:val="00070456"/>
    <w:rsid w:val="00070463"/>
    <w:rsid w:val="000705E1"/>
    <w:rsid w:val="00070D48"/>
    <w:rsid w:val="00070E99"/>
    <w:rsid w:val="00070FE0"/>
    <w:rsid w:val="000710C2"/>
    <w:rsid w:val="0007171B"/>
    <w:rsid w:val="00071731"/>
    <w:rsid w:val="00071A65"/>
    <w:rsid w:val="00071A8D"/>
    <w:rsid w:val="00071D33"/>
    <w:rsid w:val="000720E5"/>
    <w:rsid w:val="00072299"/>
    <w:rsid w:val="000725BC"/>
    <w:rsid w:val="00073291"/>
    <w:rsid w:val="000733C6"/>
    <w:rsid w:val="0007372F"/>
    <w:rsid w:val="00073A17"/>
    <w:rsid w:val="00073E0B"/>
    <w:rsid w:val="00074C14"/>
    <w:rsid w:val="00074F63"/>
    <w:rsid w:val="000761E3"/>
    <w:rsid w:val="00076933"/>
    <w:rsid w:val="00077176"/>
    <w:rsid w:val="0007717B"/>
    <w:rsid w:val="00077212"/>
    <w:rsid w:val="000774C1"/>
    <w:rsid w:val="0007759A"/>
    <w:rsid w:val="00077722"/>
    <w:rsid w:val="00077930"/>
    <w:rsid w:val="00077E59"/>
    <w:rsid w:val="0008042D"/>
    <w:rsid w:val="0008182F"/>
    <w:rsid w:val="000818B3"/>
    <w:rsid w:val="00081AF3"/>
    <w:rsid w:val="00081C15"/>
    <w:rsid w:val="00082369"/>
    <w:rsid w:val="0008241F"/>
    <w:rsid w:val="00082D4B"/>
    <w:rsid w:val="00082D50"/>
    <w:rsid w:val="000846E0"/>
    <w:rsid w:val="00084722"/>
    <w:rsid w:val="00085385"/>
    <w:rsid w:val="000854A5"/>
    <w:rsid w:val="00085599"/>
    <w:rsid w:val="00085CE9"/>
    <w:rsid w:val="00086249"/>
    <w:rsid w:val="000865D1"/>
    <w:rsid w:val="0008665D"/>
    <w:rsid w:val="00086913"/>
    <w:rsid w:val="00086E15"/>
    <w:rsid w:val="00087523"/>
    <w:rsid w:val="00087B04"/>
    <w:rsid w:val="00087E12"/>
    <w:rsid w:val="0009014A"/>
    <w:rsid w:val="0009016D"/>
    <w:rsid w:val="00090285"/>
    <w:rsid w:val="0009088C"/>
    <w:rsid w:val="000914A5"/>
    <w:rsid w:val="000914EB"/>
    <w:rsid w:val="000917F1"/>
    <w:rsid w:val="00091937"/>
    <w:rsid w:val="00091A24"/>
    <w:rsid w:val="00091A99"/>
    <w:rsid w:val="00091F9C"/>
    <w:rsid w:val="00092B66"/>
    <w:rsid w:val="00092E1E"/>
    <w:rsid w:val="00093229"/>
    <w:rsid w:val="0009330D"/>
    <w:rsid w:val="0009432D"/>
    <w:rsid w:val="00094795"/>
    <w:rsid w:val="00094E27"/>
    <w:rsid w:val="000955D8"/>
    <w:rsid w:val="00097176"/>
    <w:rsid w:val="00097219"/>
    <w:rsid w:val="00097349"/>
    <w:rsid w:val="000A0A9A"/>
    <w:rsid w:val="000A0ACE"/>
    <w:rsid w:val="000A0AEC"/>
    <w:rsid w:val="000A10CF"/>
    <w:rsid w:val="000A1800"/>
    <w:rsid w:val="000A1939"/>
    <w:rsid w:val="000A1FFD"/>
    <w:rsid w:val="000A20EA"/>
    <w:rsid w:val="000A2E91"/>
    <w:rsid w:val="000A335A"/>
    <w:rsid w:val="000A3666"/>
    <w:rsid w:val="000A408F"/>
    <w:rsid w:val="000A45F4"/>
    <w:rsid w:val="000A5373"/>
    <w:rsid w:val="000A57C9"/>
    <w:rsid w:val="000A5C3A"/>
    <w:rsid w:val="000A5D2B"/>
    <w:rsid w:val="000A5FA5"/>
    <w:rsid w:val="000A60CA"/>
    <w:rsid w:val="000A62F9"/>
    <w:rsid w:val="000A6343"/>
    <w:rsid w:val="000A6BE3"/>
    <w:rsid w:val="000A757D"/>
    <w:rsid w:val="000A7822"/>
    <w:rsid w:val="000A7995"/>
    <w:rsid w:val="000A7E79"/>
    <w:rsid w:val="000B0881"/>
    <w:rsid w:val="000B08FF"/>
    <w:rsid w:val="000B25E5"/>
    <w:rsid w:val="000B2649"/>
    <w:rsid w:val="000B2C44"/>
    <w:rsid w:val="000B315B"/>
    <w:rsid w:val="000B34CA"/>
    <w:rsid w:val="000B35AD"/>
    <w:rsid w:val="000B3D58"/>
    <w:rsid w:val="000B3E16"/>
    <w:rsid w:val="000B4091"/>
    <w:rsid w:val="000B50DC"/>
    <w:rsid w:val="000B53F4"/>
    <w:rsid w:val="000B57D0"/>
    <w:rsid w:val="000B5A3E"/>
    <w:rsid w:val="000B5E09"/>
    <w:rsid w:val="000B603B"/>
    <w:rsid w:val="000B74B6"/>
    <w:rsid w:val="000B7561"/>
    <w:rsid w:val="000B7CE3"/>
    <w:rsid w:val="000B7E8F"/>
    <w:rsid w:val="000B7EC2"/>
    <w:rsid w:val="000B7EC7"/>
    <w:rsid w:val="000C032F"/>
    <w:rsid w:val="000C050B"/>
    <w:rsid w:val="000C0703"/>
    <w:rsid w:val="000C0719"/>
    <w:rsid w:val="000C0CE3"/>
    <w:rsid w:val="000C0CF2"/>
    <w:rsid w:val="000C20D9"/>
    <w:rsid w:val="000C2472"/>
    <w:rsid w:val="000C2C67"/>
    <w:rsid w:val="000C3363"/>
    <w:rsid w:val="000C3BD9"/>
    <w:rsid w:val="000C3D82"/>
    <w:rsid w:val="000C4194"/>
    <w:rsid w:val="000C434E"/>
    <w:rsid w:val="000C44D0"/>
    <w:rsid w:val="000C4D4C"/>
    <w:rsid w:val="000C56D0"/>
    <w:rsid w:val="000C58ED"/>
    <w:rsid w:val="000C5916"/>
    <w:rsid w:val="000C5BB4"/>
    <w:rsid w:val="000C5D53"/>
    <w:rsid w:val="000C6334"/>
    <w:rsid w:val="000C64BE"/>
    <w:rsid w:val="000C64D8"/>
    <w:rsid w:val="000C6CB3"/>
    <w:rsid w:val="000C7533"/>
    <w:rsid w:val="000C7656"/>
    <w:rsid w:val="000C7B43"/>
    <w:rsid w:val="000C7BAB"/>
    <w:rsid w:val="000C7F37"/>
    <w:rsid w:val="000C7FDC"/>
    <w:rsid w:val="000D0149"/>
    <w:rsid w:val="000D01E7"/>
    <w:rsid w:val="000D04D1"/>
    <w:rsid w:val="000D250F"/>
    <w:rsid w:val="000D26DA"/>
    <w:rsid w:val="000D2EE8"/>
    <w:rsid w:val="000D30AB"/>
    <w:rsid w:val="000D326F"/>
    <w:rsid w:val="000D3DDA"/>
    <w:rsid w:val="000D447D"/>
    <w:rsid w:val="000D56A2"/>
    <w:rsid w:val="000D5E8A"/>
    <w:rsid w:val="000D62C9"/>
    <w:rsid w:val="000D66EF"/>
    <w:rsid w:val="000D6912"/>
    <w:rsid w:val="000D6BB8"/>
    <w:rsid w:val="000D6C7E"/>
    <w:rsid w:val="000D6F21"/>
    <w:rsid w:val="000D7059"/>
    <w:rsid w:val="000D7418"/>
    <w:rsid w:val="000D7763"/>
    <w:rsid w:val="000D79F4"/>
    <w:rsid w:val="000D7A14"/>
    <w:rsid w:val="000D7A2B"/>
    <w:rsid w:val="000D7A30"/>
    <w:rsid w:val="000D7CC2"/>
    <w:rsid w:val="000D7F4D"/>
    <w:rsid w:val="000E07BB"/>
    <w:rsid w:val="000E0970"/>
    <w:rsid w:val="000E0E94"/>
    <w:rsid w:val="000E0F70"/>
    <w:rsid w:val="000E1194"/>
    <w:rsid w:val="000E1285"/>
    <w:rsid w:val="000E1452"/>
    <w:rsid w:val="000E167B"/>
    <w:rsid w:val="000E178D"/>
    <w:rsid w:val="000E1DC1"/>
    <w:rsid w:val="000E203C"/>
    <w:rsid w:val="000E27AE"/>
    <w:rsid w:val="000E2C9E"/>
    <w:rsid w:val="000E2D29"/>
    <w:rsid w:val="000E31A8"/>
    <w:rsid w:val="000E362D"/>
    <w:rsid w:val="000E39F2"/>
    <w:rsid w:val="000E3AB6"/>
    <w:rsid w:val="000E406B"/>
    <w:rsid w:val="000E4125"/>
    <w:rsid w:val="000E4A5D"/>
    <w:rsid w:val="000E4BCC"/>
    <w:rsid w:val="000E5013"/>
    <w:rsid w:val="000E5495"/>
    <w:rsid w:val="000E56D9"/>
    <w:rsid w:val="000E6132"/>
    <w:rsid w:val="000E6187"/>
    <w:rsid w:val="000E6456"/>
    <w:rsid w:val="000E65EE"/>
    <w:rsid w:val="000E6E2A"/>
    <w:rsid w:val="000E71ED"/>
    <w:rsid w:val="000E7273"/>
    <w:rsid w:val="000E79E6"/>
    <w:rsid w:val="000E7CE4"/>
    <w:rsid w:val="000E7E42"/>
    <w:rsid w:val="000E7EA8"/>
    <w:rsid w:val="000F013A"/>
    <w:rsid w:val="000F01E7"/>
    <w:rsid w:val="000F0278"/>
    <w:rsid w:val="000F061C"/>
    <w:rsid w:val="000F0933"/>
    <w:rsid w:val="000F0A8F"/>
    <w:rsid w:val="000F0BDB"/>
    <w:rsid w:val="000F0F19"/>
    <w:rsid w:val="000F13BB"/>
    <w:rsid w:val="000F14F9"/>
    <w:rsid w:val="000F1503"/>
    <w:rsid w:val="000F1589"/>
    <w:rsid w:val="000F15B2"/>
    <w:rsid w:val="000F2465"/>
    <w:rsid w:val="000F2747"/>
    <w:rsid w:val="000F2AC1"/>
    <w:rsid w:val="000F2C63"/>
    <w:rsid w:val="000F2E1E"/>
    <w:rsid w:val="000F3111"/>
    <w:rsid w:val="000F328D"/>
    <w:rsid w:val="000F3369"/>
    <w:rsid w:val="000F3736"/>
    <w:rsid w:val="000F39CA"/>
    <w:rsid w:val="000F3E49"/>
    <w:rsid w:val="000F3F54"/>
    <w:rsid w:val="000F3F67"/>
    <w:rsid w:val="000F3FB7"/>
    <w:rsid w:val="000F4652"/>
    <w:rsid w:val="000F4672"/>
    <w:rsid w:val="000F4853"/>
    <w:rsid w:val="000F48AF"/>
    <w:rsid w:val="000F4D1A"/>
    <w:rsid w:val="000F5C89"/>
    <w:rsid w:val="000F618A"/>
    <w:rsid w:val="000F7BF3"/>
    <w:rsid w:val="001000C8"/>
    <w:rsid w:val="0010082E"/>
    <w:rsid w:val="00100B04"/>
    <w:rsid w:val="0010101B"/>
    <w:rsid w:val="00102141"/>
    <w:rsid w:val="00102275"/>
    <w:rsid w:val="00102AD4"/>
    <w:rsid w:val="001030EE"/>
    <w:rsid w:val="00103153"/>
    <w:rsid w:val="00103DA4"/>
    <w:rsid w:val="00103DF5"/>
    <w:rsid w:val="00104401"/>
    <w:rsid w:val="0010484A"/>
    <w:rsid w:val="00104C26"/>
    <w:rsid w:val="0010594A"/>
    <w:rsid w:val="0010644A"/>
    <w:rsid w:val="001064A9"/>
    <w:rsid w:val="00106756"/>
    <w:rsid w:val="00106991"/>
    <w:rsid w:val="00107004"/>
    <w:rsid w:val="001071EF"/>
    <w:rsid w:val="00107225"/>
    <w:rsid w:val="00107F12"/>
    <w:rsid w:val="00110159"/>
    <w:rsid w:val="0011084D"/>
    <w:rsid w:val="00110C0B"/>
    <w:rsid w:val="00110E2B"/>
    <w:rsid w:val="001110B6"/>
    <w:rsid w:val="00111FDC"/>
    <w:rsid w:val="0011225E"/>
    <w:rsid w:val="00112F42"/>
    <w:rsid w:val="00113865"/>
    <w:rsid w:val="0011393F"/>
    <w:rsid w:val="00113F4C"/>
    <w:rsid w:val="00113F6B"/>
    <w:rsid w:val="00114C63"/>
    <w:rsid w:val="00114D6A"/>
    <w:rsid w:val="00115A44"/>
    <w:rsid w:val="00115EC1"/>
    <w:rsid w:val="00115F4D"/>
    <w:rsid w:val="0011619B"/>
    <w:rsid w:val="001161A2"/>
    <w:rsid w:val="00116264"/>
    <w:rsid w:val="00117B7D"/>
    <w:rsid w:val="00117F0A"/>
    <w:rsid w:val="00120052"/>
    <w:rsid w:val="00120517"/>
    <w:rsid w:val="00120584"/>
    <w:rsid w:val="00120659"/>
    <w:rsid w:val="00120FAA"/>
    <w:rsid w:val="00121280"/>
    <w:rsid w:val="0012136E"/>
    <w:rsid w:val="001218CC"/>
    <w:rsid w:val="00121A53"/>
    <w:rsid w:val="00122616"/>
    <w:rsid w:val="0012270D"/>
    <w:rsid w:val="001227F3"/>
    <w:rsid w:val="00122BC5"/>
    <w:rsid w:val="001234B8"/>
    <w:rsid w:val="0012359B"/>
    <w:rsid w:val="0012424A"/>
    <w:rsid w:val="00124502"/>
    <w:rsid w:val="001252EC"/>
    <w:rsid w:val="001254E4"/>
    <w:rsid w:val="00125B4E"/>
    <w:rsid w:val="0012652F"/>
    <w:rsid w:val="00126962"/>
    <w:rsid w:val="0012735D"/>
    <w:rsid w:val="0012752D"/>
    <w:rsid w:val="0012766B"/>
    <w:rsid w:val="00127F62"/>
    <w:rsid w:val="0013020E"/>
    <w:rsid w:val="001304ED"/>
    <w:rsid w:val="0013079E"/>
    <w:rsid w:val="00130B13"/>
    <w:rsid w:val="00130FC3"/>
    <w:rsid w:val="001312A7"/>
    <w:rsid w:val="00131444"/>
    <w:rsid w:val="001316FF"/>
    <w:rsid w:val="00131B27"/>
    <w:rsid w:val="00131BF8"/>
    <w:rsid w:val="001322D0"/>
    <w:rsid w:val="001324DE"/>
    <w:rsid w:val="00132BA9"/>
    <w:rsid w:val="00132E3C"/>
    <w:rsid w:val="00133A26"/>
    <w:rsid w:val="00133C6A"/>
    <w:rsid w:val="00133D4D"/>
    <w:rsid w:val="00133DF1"/>
    <w:rsid w:val="00134401"/>
    <w:rsid w:val="00134663"/>
    <w:rsid w:val="0013515D"/>
    <w:rsid w:val="001356C6"/>
    <w:rsid w:val="00135849"/>
    <w:rsid w:val="001362EA"/>
    <w:rsid w:val="001364BB"/>
    <w:rsid w:val="00136527"/>
    <w:rsid w:val="0013687B"/>
    <w:rsid w:val="00137158"/>
    <w:rsid w:val="00137510"/>
    <w:rsid w:val="001375E7"/>
    <w:rsid w:val="001376EF"/>
    <w:rsid w:val="00137728"/>
    <w:rsid w:val="0013792D"/>
    <w:rsid w:val="0014019B"/>
    <w:rsid w:val="00140493"/>
    <w:rsid w:val="001405B3"/>
    <w:rsid w:val="00140AC2"/>
    <w:rsid w:val="00140B2C"/>
    <w:rsid w:val="0014128C"/>
    <w:rsid w:val="0014164F"/>
    <w:rsid w:val="00141A85"/>
    <w:rsid w:val="00141B63"/>
    <w:rsid w:val="00141BD5"/>
    <w:rsid w:val="00142101"/>
    <w:rsid w:val="00142B16"/>
    <w:rsid w:val="001431F5"/>
    <w:rsid w:val="0014461A"/>
    <w:rsid w:val="00144EE0"/>
    <w:rsid w:val="00144F73"/>
    <w:rsid w:val="00145660"/>
    <w:rsid w:val="00145805"/>
    <w:rsid w:val="00145834"/>
    <w:rsid w:val="00146063"/>
    <w:rsid w:val="0014658D"/>
    <w:rsid w:val="0014680B"/>
    <w:rsid w:val="00146831"/>
    <w:rsid w:val="00146DA0"/>
    <w:rsid w:val="00146E73"/>
    <w:rsid w:val="001470AB"/>
    <w:rsid w:val="0014792B"/>
    <w:rsid w:val="00147F9E"/>
    <w:rsid w:val="001503E4"/>
    <w:rsid w:val="00150439"/>
    <w:rsid w:val="0015078C"/>
    <w:rsid w:val="0015087A"/>
    <w:rsid w:val="00150AA9"/>
    <w:rsid w:val="00150D09"/>
    <w:rsid w:val="00150E4A"/>
    <w:rsid w:val="00150E7B"/>
    <w:rsid w:val="001512B6"/>
    <w:rsid w:val="00152263"/>
    <w:rsid w:val="001523B9"/>
    <w:rsid w:val="00152AE3"/>
    <w:rsid w:val="00153772"/>
    <w:rsid w:val="00153C1D"/>
    <w:rsid w:val="00153D7C"/>
    <w:rsid w:val="001540AE"/>
    <w:rsid w:val="00154192"/>
    <w:rsid w:val="00154832"/>
    <w:rsid w:val="00154991"/>
    <w:rsid w:val="00155315"/>
    <w:rsid w:val="0015537D"/>
    <w:rsid w:val="001553B8"/>
    <w:rsid w:val="00155CE3"/>
    <w:rsid w:val="00156196"/>
    <w:rsid w:val="001562F0"/>
    <w:rsid w:val="00156669"/>
    <w:rsid w:val="00156BE5"/>
    <w:rsid w:val="00156C4E"/>
    <w:rsid w:val="00156DCA"/>
    <w:rsid w:val="0015798B"/>
    <w:rsid w:val="00157A6D"/>
    <w:rsid w:val="00157BE9"/>
    <w:rsid w:val="00160175"/>
    <w:rsid w:val="00160577"/>
    <w:rsid w:val="00161059"/>
    <w:rsid w:val="00161968"/>
    <w:rsid w:val="001621A6"/>
    <w:rsid w:val="00162D03"/>
    <w:rsid w:val="0016300E"/>
    <w:rsid w:val="00163539"/>
    <w:rsid w:val="00163612"/>
    <w:rsid w:val="00163762"/>
    <w:rsid w:val="001637EA"/>
    <w:rsid w:val="00163A4F"/>
    <w:rsid w:val="00163A9B"/>
    <w:rsid w:val="001642FD"/>
    <w:rsid w:val="0016440D"/>
    <w:rsid w:val="0016446E"/>
    <w:rsid w:val="001648D4"/>
    <w:rsid w:val="00164A1B"/>
    <w:rsid w:val="00164DE1"/>
    <w:rsid w:val="0016510B"/>
    <w:rsid w:val="0016552A"/>
    <w:rsid w:val="00165F83"/>
    <w:rsid w:val="001660F7"/>
    <w:rsid w:val="0016714F"/>
    <w:rsid w:val="001675D3"/>
    <w:rsid w:val="001675E4"/>
    <w:rsid w:val="001700B7"/>
    <w:rsid w:val="00170496"/>
    <w:rsid w:val="0017060D"/>
    <w:rsid w:val="0017068F"/>
    <w:rsid w:val="00170C19"/>
    <w:rsid w:val="00170F2B"/>
    <w:rsid w:val="00171657"/>
    <w:rsid w:val="00171A9A"/>
    <w:rsid w:val="00172162"/>
    <w:rsid w:val="00172B93"/>
    <w:rsid w:val="00172F4E"/>
    <w:rsid w:val="00172FFE"/>
    <w:rsid w:val="00173AD8"/>
    <w:rsid w:val="00173DFB"/>
    <w:rsid w:val="00173E30"/>
    <w:rsid w:val="00174027"/>
    <w:rsid w:val="0017448C"/>
    <w:rsid w:val="00174D2E"/>
    <w:rsid w:val="0017541F"/>
    <w:rsid w:val="001754C6"/>
    <w:rsid w:val="0017550F"/>
    <w:rsid w:val="00175973"/>
    <w:rsid w:val="00176123"/>
    <w:rsid w:val="001767F8"/>
    <w:rsid w:val="00177324"/>
    <w:rsid w:val="0017762A"/>
    <w:rsid w:val="0017767A"/>
    <w:rsid w:val="00177D5D"/>
    <w:rsid w:val="00180647"/>
    <w:rsid w:val="00180790"/>
    <w:rsid w:val="00180BB7"/>
    <w:rsid w:val="00180C41"/>
    <w:rsid w:val="001812B2"/>
    <w:rsid w:val="001821D9"/>
    <w:rsid w:val="00182360"/>
    <w:rsid w:val="001826C1"/>
    <w:rsid w:val="00182D14"/>
    <w:rsid w:val="00182DEE"/>
    <w:rsid w:val="0018325E"/>
    <w:rsid w:val="001836DD"/>
    <w:rsid w:val="0018380D"/>
    <w:rsid w:val="00183DD1"/>
    <w:rsid w:val="00183E25"/>
    <w:rsid w:val="0018429D"/>
    <w:rsid w:val="001843C5"/>
    <w:rsid w:val="001845F0"/>
    <w:rsid w:val="001846FF"/>
    <w:rsid w:val="00184784"/>
    <w:rsid w:val="00184874"/>
    <w:rsid w:val="00184BF6"/>
    <w:rsid w:val="00184DA5"/>
    <w:rsid w:val="00184ECC"/>
    <w:rsid w:val="0018508D"/>
    <w:rsid w:val="00186AEE"/>
    <w:rsid w:val="00186BF9"/>
    <w:rsid w:val="00187986"/>
    <w:rsid w:val="00190B61"/>
    <w:rsid w:val="00190DAA"/>
    <w:rsid w:val="00191092"/>
    <w:rsid w:val="001912B8"/>
    <w:rsid w:val="0019130F"/>
    <w:rsid w:val="00191723"/>
    <w:rsid w:val="00191755"/>
    <w:rsid w:val="001919B4"/>
    <w:rsid w:val="00192E59"/>
    <w:rsid w:val="00192F39"/>
    <w:rsid w:val="0019367D"/>
    <w:rsid w:val="0019407B"/>
    <w:rsid w:val="0019431F"/>
    <w:rsid w:val="001951CF"/>
    <w:rsid w:val="00195236"/>
    <w:rsid w:val="00195AB1"/>
    <w:rsid w:val="00195D42"/>
    <w:rsid w:val="00195E01"/>
    <w:rsid w:val="00196014"/>
    <w:rsid w:val="0019619A"/>
    <w:rsid w:val="0019623B"/>
    <w:rsid w:val="00196436"/>
    <w:rsid w:val="0019671D"/>
    <w:rsid w:val="001976A9"/>
    <w:rsid w:val="001A012F"/>
    <w:rsid w:val="001A0698"/>
    <w:rsid w:val="001A11A4"/>
    <w:rsid w:val="001A167A"/>
    <w:rsid w:val="001A177A"/>
    <w:rsid w:val="001A19A9"/>
    <w:rsid w:val="001A19AC"/>
    <w:rsid w:val="001A1C98"/>
    <w:rsid w:val="001A2BD4"/>
    <w:rsid w:val="001A3659"/>
    <w:rsid w:val="001A40E5"/>
    <w:rsid w:val="001A48A9"/>
    <w:rsid w:val="001A4D37"/>
    <w:rsid w:val="001A4D5A"/>
    <w:rsid w:val="001A5280"/>
    <w:rsid w:val="001A5537"/>
    <w:rsid w:val="001A6388"/>
    <w:rsid w:val="001A6A2C"/>
    <w:rsid w:val="001A6C7E"/>
    <w:rsid w:val="001A6D80"/>
    <w:rsid w:val="001A6DA2"/>
    <w:rsid w:val="001A738C"/>
    <w:rsid w:val="001A7524"/>
    <w:rsid w:val="001A7642"/>
    <w:rsid w:val="001A76D1"/>
    <w:rsid w:val="001A786A"/>
    <w:rsid w:val="001B01CF"/>
    <w:rsid w:val="001B13C6"/>
    <w:rsid w:val="001B143F"/>
    <w:rsid w:val="001B1ADA"/>
    <w:rsid w:val="001B219F"/>
    <w:rsid w:val="001B30DF"/>
    <w:rsid w:val="001B382B"/>
    <w:rsid w:val="001B42C5"/>
    <w:rsid w:val="001B4522"/>
    <w:rsid w:val="001B4B8F"/>
    <w:rsid w:val="001B5483"/>
    <w:rsid w:val="001B561D"/>
    <w:rsid w:val="001B6564"/>
    <w:rsid w:val="001B6567"/>
    <w:rsid w:val="001B6DD1"/>
    <w:rsid w:val="001B718E"/>
    <w:rsid w:val="001B79DD"/>
    <w:rsid w:val="001B7B06"/>
    <w:rsid w:val="001B7D08"/>
    <w:rsid w:val="001C0116"/>
    <w:rsid w:val="001C0254"/>
    <w:rsid w:val="001C05BB"/>
    <w:rsid w:val="001C0700"/>
    <w:rsid w:val="001C0749"/>
    <w:rsid w:val="001C1056"/>
    <w:rsid w:val="001C134E"/>
    <w:rsid w:val="001C14B7"/>
    <w:rsid w:val="001C18EE"/>
    <w:rsid w:val="001C1AAF"/>
    <w:rsid w:val="001C1F09"/>
    <w:rsid w:val="001C210A"/>
    <w:rsid w:val="001C2C6C"/>
    <w:rsid w:val="001C38D6"/>
    <w:rsid w:val="001C3CF8"/>
    <w:rsid w:val="001C3E3B"/>
    <w:rsid w:val="001C40D9"/>
    <w:rsid w:val="001C4A75"/>
    <w:rsid w:val="001C4C03"/>
    <w:rsid w:val="001C5F15"/>
    <w:rsid w:val="001C66B1"/>
    <w:rsid w:val="001C6998"/>
    <w:rsid w:val="001C6A91"/>
    <w:rsid w:val="001C6CE7"/>
    <w:rsid w:val="001C7510"/>
    <w:rsid w:val="001D0064"/>
    <w:rsid w:val="001D05B5"/>
    <w:rsid w:val="001D0A50"/>
    <w:rsid w:val="001D0C71"/>
    <w:rsid w:val="001D0CAE"/>
    <w:rsid w:val="001D0F7B"/>
    <w:rsid w:val="001D1179"/>
    <w:rsid w:val="001D159D"/>
    <w:rsid w:val="001D210F"/>
    <w:rsid w:val="001D269C"/>
    <w:rsid w:val="001D320E"/>
    <w:rsid w:val="001D326D"/>
    <w:rsid w:val="001D34F0"/>
    <w:rsid w:val="001D3509"/>
    <w:rsid w:val="001D3E28"/>
    <w:rsid w:val="001D4C1E"/>
    <w:rsid w:val="001D4D93"/>
    <w:rsid w:val="001D4F21"/>
    <w:rsid w:val="001D5752"/>
    <w:rsid w:val="001D61D4"/>
    <w:rsid w:val="001D61EF"/>
    <w:rsid w:val="001D7299"/>
    <w:rsid w:val="001E0A4E"/>
    <w:rsid w:val="001E0CC0"/>
    <w:rsid w:val="001E0DF0"/>
    <w:rsid w:val="001E0E7C"/>
    <w:rsid w:val="001E11BD"/>
    <w:rsid w:val="001E1957"/>
    <w:rsid w:val="001E1B5B"/>
    <w:rsid w:val="001E1BA5"/>
    <w:rsid w:val="001E259A"/>
    <w:rsid w:val="001E2ADC"/>
    <w:rsid w:val="001E3177"/>
    <w:rsid w:val="001E33A9"/>
    <w:rsid w:val="001E3669"/>
    <w:rsid w:val="001E3FD0"/>
    <w:rsid w:val="001E42AC"/>
    <w:rsid w:val="001E5083"/>
    <w:rsid w:val="001E5F37"/>
    <w:rsid w:val="001E677C"/>
    <w:rsid w:val="001E6FD4"/>
    <w:rsid w:val="001E7213"/>
    <w:rsid w:val="001E727C"/>
    <w:rsid w:val="001E7327"/>
    <w:rsid w:val="001E7BC9"/>
    <w:rsid w:val="001F0092"/>
    <w:rsid w:val="001F0698"/>
    <w:rsid w:val="001F09F9"/>
    <w:rsid w:val="001F0A63"/>
    <w:rsid w:val="001F11CB"/>
    <w:rsid w:val="001F1715"/>
    <w:rsid w:val="001F1829"/>
    <w:rsid w:val="001F1AD0"/>
    <w:rsid w:val="001F1E62"/>
    <w:rsid w:val="001F20B7"/>
    <w:rsid w:val="001F2174"/>
    <w:rsid w:val="001F25A9"/>
    <w:rsid w:val="001F3B29"/>
    <w:rsid w:val="001F3ED5"/>
    <w:rsid w:val="001F4705"/>
    <w:rsid w:val="001F496E"/>
    <w:rsid w:val="001F4F74"/>
    <w:rsid w:val="001F514D"/>
    <w:rsid w:val="001F526D"/>
    <w:rsid w:val="001F612A"/>
    <w:rsid w:val="001F6E7E"/>
    <w:rsid w:val="001F79AB"/>
    <w:rsid w:val="001F7C2E"/>
    <w:rsid w:val="001F7C83"/>
    <w:rsid w:val="001F7D35"/>
    <w:rsid w:val="001F7D62"/>
    <w:rsid w:val="00200D47"/>
    <w:rsid w:val="00200DBB"/>
    <w:rsid w:val="002016FA"/>
    <w:rsid w:val="002020EE"/>
    <w:rsid w:val="002024A9"/>
    <w:rsid w:val="00202547"/>
    <w:rsid w:val="0020260E"/>
    <w:rsid w:val="002027A3"/>
    <w:rsid w:val="00202CC7"/>
    <w:rsid w:val="00204189"/>
    <w:rsid w:val="002049AE"/>
    <w:rsid w:val="0020514D"/>
    <w:rsid w:val="00205432"/>
    <w:rsid w:val="002054F2"/>
    <w:rsid w:val="00205A8C"/>
    <w:rsid w:val="00205E0E"/>
    <w:rsid w:val="002060C7"/>
    <w:rsid w:val="002065EE"/>
    <w:rsid w:val="002073E3"/>
    <w:rsid w:val="00207A2B"/>
    <w:rsid w:val="00207AE0"/>
    <w:rsid w:val="00207EE9"/>
    <w:rsid w:val="00210A67"/>
    <w:rsid w:val="00210BDA"/>
    <w:rsid w:val="00210F29"/>
    <w:rsid w:val="002112DD"/>
    <w:rsid w:val="002114C8"/>
    <w:rsid w:val="00211941"/>
    <w:rsid w:val="00211979"/>
    <w:rsid w:val="00211A30"/>
    <w:rsid w:val="00211A9D"/>
    <w:rsid w:val="00212109"/>
    <w:rsid w:val="00212235"/>
    <w:rsid w:val="00213271"/>
    <w:rsid w:val="00214055"/>
    <w:rsid w:val="00214361"/>
    <w:rsid w:val="00214A2A"/>
    <w:rsid w:val="00214B62"/>
    <w:rsid w:val="0021511D"/>
    <w:rsid w:val="0021532B"/>
    <w:rsid w:val="00215C23"/>
    <w:rsid w:val="00216561"/>
    <w:rsid w:val="0021696D"/>
    <w:rsid w:val="00216B73"/>
    <w:rsid w:val="00216D58"/>
    <w:rsid w:val="00216DF8"/>
    <w:rsid w:val="00216F25"/>
    <w:rsid w:val="0021734C"/>
    <w:rsid w:val="00217786"/>
    <w:rsid w:val="00220510"/>
    <w:rsid w:val="00220FE4"/>
    <w:rsid w:val="0022123D"/>
    <w:rsid w:val="00221499"/>
    <w:rsid w:val="002219F8"/>
    <w:rsid w:val="00222872"/>
    <w:rsid w:val="0022289D"/>
    <w:rsid w:val="002228F6"/>
    <w:rsid w:val="00222DD1"/>
    <w:rsid w:val="00223404"/>
    <w:rsid w:val="00223CBC"/>
    <w:rsid w:val="00223D2E"/>
    <w:rsid w:val="00223D90"/>
    <w:rsid w:val="00224283"/>
    <w:rsid w:val="0022476D"/>
    <w:rsid w:val="00224946"/>
    <w:rsid w:val="00224B74"/>
    <w:rsid w:val="00224CAF"/>
    <w:rsid w:val="002252E7"/>
    <w:rsid w:val="002256C5"/>
    <w:rsid w:val="00225B17"/>
    <w:rsid w:val="00225D4F"/>
    <w:rsid w:val="00226222"/>
    <w:rsid w:val="0022641A"/>
    <w:rsid w:val="00226BC5"/>
    <w:rsid w:val="00226FA9"/>
    <w:rsid w:val="0022740C"/>
    <w:rsid w:val="00227679"/>
    <w:rsid w:val="00227CC7"/>
    <w:rsid w:val="00231454"/>
    <w:rsid w:val="0023187B"/>
    <w:rsid w:val="002318DF"/>
    <w:rsid w:val="00232141"/>
    <w:rsid w:val="00232581"/>
    <w:rsid w:val="002330E2"/>
    <w:rsid w:val="00233979"/>
    <w:rsid w:val="0023477B"/>
    <w:rsid w:val="002357EA"/>
    <w:rsid w:val="002369D1"/>
    <w:rsid w:val="00236E93"/>
    <w:rsid w:val="002370AF"/>
    <w:rsid w:val="002372DC"/>
    <w:rsid w:val="00237F83"/>
    <w:rsid w:val="002400F2"/>
    <w:rsid w:val="0024020E"/>
    <w:rsid w:val="002406F6"/>
    <w:rsid w:val="00240B2D"/>
    <w:rsid w:val="00240F38"/>
    <w:rsid w:val="00241A6E"/>
    <w:rsid w:val="00242E19"/>
    <w:rsid w:val="0024301B"/>
    <w:rsid w:val="002436C5"/>
    <w:rsid w:val="002437F1"/>
    <w:rsid w:val="00243DC7"/>
    <w:rsid w:val="00243F12"/>
    <w:rsid w:val="00243FCC"/>
    <w:rsid w:val="002440A7"/>
    <w:rsid w:val="00244201"/>
    <w:rsid w:val="00244441"/>
    <w:rsid w:val="00244E3C"/>
    <w:rsid w:val="00245854"/>
    <w:rsid w:val="00245973"/>
    <w:rsid w:val="00245CBB"/>
    <w:rsid w:val="00245FF5"/>
    <w:rsid w:val="0024675D"/>
    <w:rsid w:val="00246873"/>
    <w:rsid w:val="00247A3F"/>
    <w:rsid w:val="00247AA9"/>
    <w:rsid w:val="00247C00"/>
    <w:rsid w:val="00247D7B"/>
    <w:rsid w:val="00250513"/>
    <w:rsid w:val="00250626"/>
    <w:rsid w:val="002509B4"/>
    <w:rsid w:val="00251288"/>
    <w:rsid w:val="0025193E"/>
    <w:rsid w:val="00251980"/>
    <w:rsid w:val="00251C19"/>
    <w:rsid w:val="00251EE3"/>
    <w:rsid w:val="00251F44"/>
    <w:rsid w:val="002529C9"/>
    <w:rsid w:val="00253BB4"/>
    <w:rsid w:val="00254565"/>
    <w:rsid w:val="00254A53"/>
    <w:rsid w:val="00254CB4"/>
    <w:rsid w:val="0025538A"/>
    <w:rsid w:val="002553C7"/>
    <w:rsid w:val="002560E5"/>
    <w:rsid w:val="002563D2"/>
    <w:rsid w:val="002574A6"/>
    <w:rsid w:val="00257537"/>
    <w:rsid w:val="00257DC2"/>
    <w:rsid w:val="0026076C"/>
    <w:rsid w:val="00260881"/>
    <w:rsid w:val="00260C3E"/>
    <w:rsid w:val="00261929"/>
    <w:rsid w:val="002619D5"/>
    <w:rsid w:val="002622A0"/>
    <w:rsid w:val="00262450"/>
    <w:rsid w:val="002627C1"/>
    <w:rsid w:val="00262D04"/>
    <w:rsid w:val="00262DCD"/>
    <w:rsid w:val="00262F22"/>
    <w:rsid w:val="00263227"/>
    <w:rsid w:val="002634DD"/>
    <w:rsid w:val="002635ED"/>
    <w:rsid w:val="00263B69"/>
    <w:rsid w:val="0026443B"/>
    <w:rsid w:val="0026459E"/>
    <w:rsid w:val="00264EEC"/>
    <w:rsid w:val="002654D8"/>
    <w:rsid w:val="00265749"/>
    <w:rsid w:val="00266062"/>
    <w:rsid w:val="002663F2"/>
    <w:rsid w:val="00266426"/>
    <w:rsid w:val="00266F93"/>
    <w:rsid w:val="00267138"/>
    <w:rsid w:val="00267702"/>
    <w:rsid w:val="002716EA"/>
    <w:rsid w:val="0027255B"/>
    <w:rsid w:val="00272B3C"/>
    <w:rsid w:val="00272E1C"/>
    <w:rsid w:val="00273D40"/>
    <w:rsid w:val="00273D8E"/>
    <w:rsid w:val="00273E65"/>
    <w:rsid w:val="00274322"/>
    <w:rsid w:val="00274367"/>
    <w:rsid w:val="002743D6"/>
    <w:rsid w:val="00274E29"/>
    <w:rsid w:val="00275134"/>
    <w:rsid w:val="00275418"/>
    <w:rsid w:val="00275636"/>
    <w:rsid w:val="00275655"/>
    <w:rsid w:val="0027576B"/>
    <w:rsid w:val="00275E4F"/>
    <w:rsid w:val="00275F00"/>
    <w:rsid w:val="0027647A"/>
    <w:rsid w:val="00276520"/>
    <w:rsid w:val="0027719A"/>
    <w:rsid w:val="002774AE"/>
    <w:rsid w:val="0027755C"/>
    <w:rsid w:val="002776D5"/>
    <w:rsid w:val="00277935"/>
    <w:rsid w:val="002800A4"/>
    <w:rsid w:val="0028093C"/>
    <w:rsid w:val="002811EB"/>
    <w:rsid w:val="00281286"/>
    <w:rsid w:val="00281DC1"/>
    <w:rsid w:val="00282752"/>
    <w:rsid w:val="00282C5F"/>
    <w:rsid w:val="00282CD1"/>
    <w:rsid w:val="00282FA7"/>
    <w:rsid w:val="002834CD"/>
    <w:rsid w:val="0028352A"/>
    <w:rsid w:val="00283696"/>
    <w:rsid w:val="002839C3"/>
    <w:rsid w:val="00284187"/>
    <w:rsid w:val="002844D5"/>
    <w:rsid w:val="002853E9"/>
    <w:rsid w:val="0028599D"/>
    <w:rsid w:val="00285AC7"/>
    <w:rsid w:val="00286995"/>
    <w:rsid w:val="00286DEF"/>
    <w:rsid w:val="002871CC"/>
    <w:rsid w:val="00290072"/>
    <w:rsid w:val="00290642"/>
    <w:rsid w:val="00290922"/>
    <w:rsid w:val="00290979"/>
    <w:rsid w:val="00290AAF"/>
    <w:rsid w:val="00290AF8"/>
    <w:rsid w:val="00290B9D"/>
    <w:rsid w:val="00290C60"/>
    <w:rsid w:val="00291326"/>
    <w:rsid w:val="00291B9E"/>
    <w:rsid w:val="00291BE2"/>
    <w:rsid w:val="002922FB"/>
    <w:rsid w:val="00292413"/>
    <w:rsid w:val="00292998"/>
    <w:rsid w:val="002939F0"/>
    <w:rsid w:val="00294049"/>
    <w:rsid w:val="00294542"/>
    <w:rsid w:val="002954E4"/>
    <w:rsid w:val="002955F6"/>
    <w:rsid w:val="00295699"/>
    <w:rsid w:val="00295B65"/>
    <w:rsid w:val="00295E38"/>
    <w:rsid w:val="00295EC2"/>
    <w:rsid w:val="002962CD"/>
    <w:rsid w:val="002963B7"/>
    <w:rsid w:val="00296431"/>
    <w:rsid w:val="00296550"/>
    <w:rsid w:val="00296B2A"/>
    <w:rsid w:val="00297145"/>
    <w:rsid w:val="00297730"/>
    <w:rsid w:val="00297F15"/>
    <w:rsid w:val="002A022D"/>
    <w:rsid w:val="002A0EC8"/>
    <w:rsid w:val="002A1902"/>
    <w:rsid w:val="002A26CF"/>
    <w:rsid w:val="002A282D"/>
    <w:rsid w:val="002A360C"/>
    <w:rsid w:val="002A3A50"/>
    <w:rsid w:val="002A4AB9"/>
    <w:rsid w:val="002A4EED"/>
    <w:rsid w:val="002A5582"/>
    <w:rsid w:val="002A5621"/>
    <w:rsid w:val="002A5EF7"/>
    <w:rsid w:val="002A609F"/>
    <w:rsid w:val="002A6BA4"/>
    <w:rsid w:val="002A6E55"/>
    <w:rsid w:val="002A7055"/>
    <w:rsid w:val="002A71CE"/>
    <w:rsid w:val="002A7ABA"/>
    <w:rsid w:val="002A7CA6"/>
    <w:rsid w:val="002A7D45"/>
    <w:rsid w:val="002B04BC"/>
    <w:rsid w:val="002B0770"/>
    <w:rsid w:val="002B1374"/>
    <w:rsid w:val="002B1606"/>
    <w:rsid w:val="002B1734"/>
    <w:rsid w:val="002B1944"/>
    <w:rsid w:val="002B1C60"/>
    <w:rsid w:val="002B1F78"/>
    <w:rsid w:val="002B22D4"/>
    <w:rsid w:val="002B2C4B"/>
    <w:rsid w:val="002B2DEE"/>
    <w:rsid w:val="002B32E2"/>
    <w:rsid w:val="002B382D"/>
    <w:rsid w:val="002B3860"/>
    <w:rsid w:val="002B38C8"/>
    <w:rsid w:val="002B3ACF"/>
    <w:rsid w:val="002B3B7A"/>
    <w:rsid w:val="002B4A2B"/>
    <w:rsid w:val="002B503F"/>
    <w:rsid w:val="002B5338"/>
    <w:rsid w:val="002B5381"/>
    <w:rsid w:val="002B54A9"/>
    <w:rsid w:val="002B54D2"/>
    <w:rsid w:val="002B5FA4"/>
    <w:rsid w:val="002B6AB6"/>
    <w:rsid w:val="002B73E7"/>
    <w:rsid w:val="002B7734"/>
    <w:rsid w:val="002B7796"/>
    <w:rsid w:val="002B7DC2"/>
    <w:rsid w:val="002B7E0D"/>
    <w:rsid w:val="002B7E8B"/>
    <w:rsid w:val="002C00C8"/>
    <w:rsid w:val="002C01A4"/>
    <w:rsid w:val="002C0447"/>
    <w:rsid w:val="002C0842"/>
    <w:rsid w:val="002C08CB"/>
    <w:rsid w:val="002C0BEA"/>
    <w:rsid w:val="002C13FB"/>
    <w:rsid w:val="002C25C2"/>
    <w:rsid w:val="002C2667"/>
    <w:rsid w:val="002C37A2"/>
    <w:rsid w:val="002C3A33"/>
    <w:rsid w:val="002C4476"/>
    <w:rsid w:val="002C4B8E"/>
    <w:rsid w:val="002C55B7"/>
    <w:rsid w:val="002C57C4"/>
    <w:rsid w:val="002C57E5"/>
    <w:rsid w:val="002C5BC8"/>
    <w:rsid w:val="002C6692"/>
    <w:rsid w:val="002C66C7"/>
    <w:rsid w:val="002C6AB5"/>
    <w:rsid w:val="002C7002"/>
    <w:rsid w:val="002C791B"/>
    <w:rsid w:val="002C7AC4"/>
    <w:rsid w:val="002D081D"/>
    <w:rsid w:val="002D0BFD"/>
    <w:rsid w:val="002D0CCC"/>
    <w:rsid w:val="002D0FD9"/>
    <w:rsid w:val="002D22C4"/>
    <w:rsid w:val="002D2983"/>
    <w:rsid w:val="002D2D4A"/>
    <w:rsid w:val="002D380D"/>
    <w:rsid w:val="002D603F"/>
    <w:rsid w:val="002D63C4"/>
    <w:rsid w:val="002D6660"/>
    <w:rsid w:val="002D69BE"/>
    <w:rsid w:val="002D7121"/>
    <w:rsid w:val="002D74D1"/>
    <w:rsid w:val="002D76D9"/>
    <w:rsid w:val="002D7785"/>
    <w:rsid w:val="002D7E24"/>
    <w:rsid w:val="002E0279"/>
    <w:rsid w:val="002E093C"/>
    <w:rsid w:val="002E15EF"/>
    <w:rsid w:val="002E1A0C"/>
    <w:rsid w:val="002E2E0F"/>
    <w:rsid w:val="002E2EE5"/>
    <w:rsid w:val="002E2F01"/>
    <w:rsid w:val="002E392F"/>
    <w:rsid w:val="002E399D"/>
    <w:rsid w:val="002E4135"/>
    <w:rsid w:val="002E442E"/>
    <w:rsid w:val="002E444F"/>
    <w:rsid w:val="002E4A1D"/>
    <w:rsid w:val="002E4E18"/>
    <w:rsid w:val="002E5664"/>
    <w:rsid w:val="002E5D2B"/>
    <w:rsid w:val="002E63BF"/>
    <w:rsid w:val="002E65A6"/>
    <w:rsid w:val="002E6AAC"/>
    <w:rsid w:val="002E6B11"/>
    <w:rsid w:val="002E6D1B"/>
    <w:rsid w:val="002E71D4"/>
    <w:rsid w:val="002E7234"/>
    <w:rsid w:val="002E7500"/>
    <w:rsid w:val="002E7511"/>
    <w:rsid w:val="002E7924"/>
    <w:rsid w:val="002E7B63"/>
    <w:rsid w:val="002F0048"/>
    <w:rsid w:val="002F0ABE"/>
    <w:rsid w:val="002F1B7A"/>
    <w:rsid w:val="002F1DA5"/>
    <w:rsid w:val="002F20FA"/>
    <w:rsid w:val="002F2159"/>
    <w:rsid w:val="002F251E"/>
    <w:rsid w:val="002F26E4"/>
    <w:rsid w:val="002F2D1A"/>
    <w:rsid w:val="002F3742"/>
    <w:rsid w:val="002F3941"/>
    <w:rsid w:val="002F39D5"/>
    <w:rsid w:val="002F4275"/>
    <w:rsid w:val="002F42F8"/>
    <w:rsid w:val="002F4365"/>
    <w:rsid w:val="002F46AE"/>
    <w:rsid w:val="002F4797"/>
    <w:rsid w:val="002F4903"/>
    <w:rsid w:val="002F4965"/>
    <w:rsid w:val="002F49CB"/>
    <w:rsid w:val="002F4B3B"/>
    <w:rsid w:val="002F511D"/>
    <w:rsid w:val="002F5281"/>
    <w:rsid w:val="002F56B1"/>
    <w:rsid w:val="002F5933"/>
    <w:rsid w:val="002F5979"/>
    <w:rsid w:val="002F5A73"/>
    <w:rsid w:val="002F6026"/>
    <w:rsid w:val="002F76F6"/>
    <w:rsid w:val="003010A0"/>
    <w:rsid w:val="003010B3"/>
    <w:rsid w:val="003017CA"/>
    <w:rsid w:val="003018AB"/>
    <w:rsid w:val="0030239D"/>
    <w:rsid w:val="00302BC7"/>
    <w:rsid w:val="00302CCB"/>
    <w:rsid w:val="00302EFF"/>
    <w:rsid w:val="003030A8"/>
    <w:rsid w:val="00303A63"/>
    <w:rsid w:val="00303FF1"/>
    <w:rsid w:val="00304B62"/>
    <w:rsid w:val="00305086"/>
    <w:rsid w:val="00305A4E"/>
    <w:rsid w:val="00305F18"/>
    <w:rsid w:val="00306475"/>
    <w:rsid w:val="003067F6"/>
    <w:rsid w:val="00306BF4"/>
    <w:rsid w:val="00307748"/>
    <w:rsid w:val="00307A28"/>
    <w:rsid w:val="00310B2A"/>
    <w:rsid w:val="00310B5B"/>
    <w:rsid w:val="00310DEF"/>
    <w:rsid w:val="00311090"/>
    <w:rsid w:val="00311540"/>
    <w:rsid w:val="003115A4"/>
    <w:rsid w:val="00311C8E"/>
    <w:rsid w:val="003125BF"/>
    <w:rsid w:val="00312738"/>
    <w:rsid w:val="003129EE"/>
    <w:rsid w:val="00312A2F"/>
    <w:rsid w:val="00313A3B"/>
    <w:rsid w:val="00313C58"/>
    <w:rsid w:val="00313C6C"/>
    <w:rsid w:val="00313E5D"/>
    <w:rsid w:val="003141F7"/>
    <w:rsid w:val="00314321"/>
    <w:rsid w:val="00314481"/>
    <w:rsid w:val="003145A3"/>
    <w:rsid w:val="00314699"/>
    <w:rsid w:val="003146B6"/>
    <w:rsid w:val="0031561F"/>
    <w:rsid w:val="00315967"/>
    <w:rsid w:val="003161E7"/>
    <w:rsid w:val="00316DF5"/>
    <w:rsid w:val="00317494"/>
    <w:rsid w:val="0031794E"/>
    <w:rsid w:val="00320034"/>
    <w:rsid w:val="0032068A"/>
    <w:rsid w:val="003207E1"/>
    <w:rsid w:val="00321686"/>
    <w:rsid w:val="0032170F"/>
    <w:rsid w:val="00322265"/>
    <w:rsid w:val="0032312F"/>
    <w:rsid w:val="0032341A"/>
    <w:rsid w:val="0032392B"/>
    <w:rsid w:val="00323B65"/>
    <w:rsid w:val="00323C4D"/>
    <w:rsid w:val="00323DD3"/>
    <w:rsid w:val="003241D6"/>
    <w:rsid w:val="0032436B"/>
    <w:rsid w:val="00324795"/>
    <w:rsid w:val="003252B8"/>
    <w:rsid w:val="0032559F"/>
    <w:rsid w:val="0032570F"/>
    <w:rsid w:val="00325793"/>
    <w:rsid w:val="003263C3"/>
    <w:rsid w:val="003266BD"/>
    <w:rsid w:val="00326887"/>
    <w:rsid w:val="003268AF"/>
    <w:rsid w:val="00326A9B"/>
    <w:rsid w:val="003274BE"/>
    <w:rsid w:val="0032771F"/>
    <w:rsid w:val="0032794F"/>
    <w:rsid w:val="00330338"/>
    <w:rsid w:val="003306EF"/>
    <w:rsid w:val="003310E1"/>
    <w:rsid w:val="00331670"/>
    <w:rsid w:val="0033175E"/>
    <w:rsid w:val="0033189B"/>
    <w:rsid w:val="00331D4C"/>
    <w:rsid w:val="00332154"/>
    <w:rsid w:val="00332214"/>
    <w:rsid w:val="0033318B"/>
    <w:rsid w:val="00333350"/>
    <w:rsid w:val="003339F2"/>
    <w:rsid w:val="00333C5F"/>
    <w:rsid w:val="00333D49"/>
    <w:rsid w:val="00334446"/>
    <w:rsid w:val="00334E4E"/>
    <w:rsid w:val="003351B6"/>
    <w:rsid w:val="00335870"/>
    <w:rsid w:val="00335878"/>
    <w:rsid w:val="00336889"/>
    <w:rsid w:val="00336F7D"/>
    <w:rsid w:val="003378E9"/>
    <w:rsid w:val="0034002B"/>
    <w:rsid w:val="00340064"/>
    <w:rsid w:val="00340208"/>
    <w:rsid w:val="003402C2"/>
    <w:rsid w:val="00340881"/>
    <w:rsid w:val="0034127F"/>
    <w:rsid w:val="0034174A"/>
    <w:rsid w:val="0034290D"/>
    <w:rsid w:val="00343843"/>
    <w:rsid w:val="00343A62"/>
    <w:rsid w:val="00344137"/>
    <w:rsid w:val="00344B46"/>
    <w:rsid w:val="003453CE"/>
    <w:rsid w:val="003454A0"/>
    <w:rsid w:val="0034575A"/>
    <w:rsid w:val="00346ADE"/>
    <w:rsid w:val="00346BB2"/>
    <w:rsid w:val="00346BE2"/>
    <w:rsid w:val="00346D70"/>
    <w:rsid w:val="003474D4"/>
    <w:rsid w:val="0034761B"/>
    <w:rsid w:val="00347623"/>
    <w:rsid w:val="003479F0"/>
    <w:rsid w:val="00347CB0"/>
    <w:rsid w:val="0035032E"/>
    <w:rsid w:val="00350430"/>
    <w:rsid w:val="00350674"/>
    <w:rsid w:val="003513DE"/>
    <w:rsid w:val="00351859"/>
    <w:rsid w:val="00351972"/>
    <w:rsid w:val="00351E15"/>
    <w:rsid w:val="003521C3"/>
    <w:rsid w:val="0035252F"/>
    <w:rsid w:val="00352DEC"/>
    <w:rsid w:val="00352E0B"/>
    <w:rsid w:val="0035383A"/>
    <w:rsid w:val="00353CB8"/>
    <w:rsid w:val="00354B41"/>
    <w:rsid w:val="00355629"/>
    <w:rsid w:val="00355AAB"/>
    <w:rsid w:val="00355D8E"/>
    <w:rsid w:val="003562EE"/>
    <w:rsid w:val="003568EE"/>
    <w:rsid w:val="00356A93"/>
    <w:rsid w:val="00356B8A"/>
    <w:rsid w:val="0035778C"/>
    <w:rsid w:val="003577A0"/>
    <w:rsid w:val="00357F04"/>
    <w:rsid w:val="00360273"/>
    <w:rsid w:val="00360461"/>
    <w:rsid w:val="00360E57"/>
    <w:rsid w:val="00360F80"/>
    <w:rsid w:val="003615E4"/>
    <w:rsid w:val="003627D6"/>
    <w:rsid w:val="003633BF"/>
    <w:rsid w:val="0036375F"/>
    <w:rsid w:val="00363A2A"/>
    <w:rsid w:val="00363E11"/>
    <w:rsid w:val="003642DA"/>
    <w:rsid w:val="00364830"/>
    <w:rsid w:val="0036484D"/>
    <w:rsid w:val="003648B2"/>
    <w:rsid w:val="003651AC"/>
    <w:rsid w:val="00365671"/>
    <w:rsid w:val="003658B0"/>
    <w:rsid w:val="003658B2"/>
    <w:rsid w:val="00365D68"/>
    <w:rsid w:val="00365DF6"/>
    <w:rsid w:val="003660E1"/>
    <w:rsid w:val="0036636E"/>
    <w:rsid w:val="00366896"/>
    <w:rsid w:val="00366940"/>
    <w:rsid w:val="00366ABE"/>
    <w:rsid w:val="00366CB5"/>
    <w:rsid w:val="00366F91"/>
    <w:rsid w:val="00366FB0"/>
    <w:rsid w:val="00367868"/>
    <w:rsid w:val="00367DF7"/>
    <w:rsid w:val="00370325"/>
    <w:rsid w:val="0037055C"/>
    <w:rsid w:val="003707CF"/>
    <w:rsid w:val="00370821"/>
    <w:rsid w:val="0037085A"/>
    <w:rsid w:val="00371140"/>
    <w:rsid w:val="0037279C"/>
    <w:rsid w:val="00372B67"/>
    <w:rsid w:val="00372BD2"/>
    <w:rsid w:val="0037302C"/>
    <w:rsid w:val="0037381D"/>
    <w:rsid w:val="003754DF"/>
    <w:rsid w:val="00375ABE"/>
    <w:rsid w:val="00375BCD"/>
    <w:rsid w:val="00375D27"/>
    <w:rsid w:val="00376353"/>
    <w:rsid w:val="003764EA"/>
    <w:rsid w:val="00377026"/>
    <w:rsid w:val="00377AE0"/>
    <w:rsid w:val="00377EDD"/>
    <w:rsid w:val="00377EEE"/>
    <w:rsid w:val="00380036"/>
    <w:rsid w:val="003809AE"/>
    <w:rsid w:val="00380D3B"/>
    <w:rsid w:val="00380D5A"/>
    <w:rsid w:val="00380EC1"/>
    <w:rsid w:val="00380EF1"/>
    <w:rsid w:val="0038114B"/>
    <w:rsid w:val="003811D1"/>
    <w:rsid w:val="0038126B"/>
    <w:rsid w:val="003813B2"/>
    <w:rsid w:val="00381A37"/>
    <w:rsid w:val="00381C96"/>
    <w:rsid w:val="00382BD1"/>
    <w:rsid w:val="00382D2F"/>
    <w:rsid w:val="00383C37"/>
    <w:rsid w:val="00383EC0"/>
    <w:rsid w:val="0038478A"/>
    <w:rsid w:val="0038484C"/>
    <w:rsid w:val="00384CC1"/>
    <w:rsid w:val="00384EC3"/>
    <w:rsid w:val="00385407"/>
    <w:rsid w:val="00385AC1"/>
    <w:rsid w:val="00385D01"/>
    <w:rsid w:val="00386336"/>
    <w:rsid w:val="0038669D"/>
    <w:rsid w:val="003866AB"/>
    <w:rsid w:val="00386A26"/>
    <w:rsid w:val="00386C1A"/>
    <w:rsid w:val="00386D93"/>
    <w:rsid w:val="00386FBA"/>
    <w:rsid w:val="00386FFB"/>
    <w:rsid w:val="00387524"/>
    <w:rsid w:val="00387BF4"/>
    <w:rsid w:val="00387E00"/>
    <w:rsid w:val="003902D3"/>
    <w:rsid w:val="0039077F"/>
    <w:rsid w:val="00390B85"/>
    <w:rsid w:val="00390DA1"/>
    <w:rsid w:val="00390F1E"/>
    <w:rsid w:val="00390F9B"/>
    <w:rsid w:val="00390F9E"/>
    <w:rsid w:val="0039125A"/>
    <w:rsid w:val="003912EF"/>
    <w:rsid w:val="00391D81"/>
    <w:rsid w:val="00391DAB"/>
    <w:rsid w:val="003922FD"/>
    <w:rsid w:val="00392310"/>
    <w:rsid w:val="003927C3"/>
    <w:rsid w:val="0039281B"/>
    <w:rsid w:val="00392A46"/>
    <w:rsid w:val="00392C70"/>
    <w:rsid w:val="00392CD4"/>
    <w:rsid w:val="0039405E"/>
    <w:rsid w:val="00394AE4"/>
    <w:rsid w:val="00394C5E"/>
    <w:rsid w:val="00394DB7"/>
    <w:rsid w:val="0039594F"/>
    <w:rsid w:val="003962EC"/>
    <w:rsid w:val="0039668B"/>
    <w:rsid w:val="003A0324"/>
    <w:rsid w:val="003A0695"/>
    <w:rsid w:val="003A06D4"/>
    <w:rsid w:val="003A07D6"/>
    <w:rsid w:val="003A0B18"/>
    <w:rsid w:val="003A0B85"/>
    <w:rsid w:val="003A0CC8"/>
    <w:rsid w:val="003A0ED3"/>
    <w:rsid w:val="003A102A"/>
    <w:rsid w:val="003A15FD"/>
    <w:rsid w:val="003A26D2"/>
    <w:rsid w:val="003A287D"/>
    <w:rsid w:val="003A30CC"/>
    <w:rsid w:val="003A338C"/>
    <w:rsid w:val="003A3622"/>
    <w:rsid w:val="003A3737"/>
    <w:rsid w:val="003A44C8"/>
    <w:rsid w:val="003A44E7"/>
    <w:rsid w:val="003A47B1"/>
    <w:rsid w:val="003A4DA2"/>
    <w:rsid w:val="003A4E39"/>
    <w:rsid w:val="003A65C6"/>
    <w:rsid w:val="003A6617"/>
    <w:rsid w:val="003A6817"/>
    <w:rsid w:val="003A716B"/>
    <w:rsid w:val="003B0158"/>
    <w:rsid w:val="003B0874"/>
    <w:rsid w:val="003B09CA"/>
    <w:rsid w:val="003B0DC3"/>
    <w:rsid w:val="003B12AC"/>
    <w:rsid w:val="003B1699"/>
    <w:rsid w:val="003B1FBA"/>
    <w:rsid w:val="003B22BA"/>
    <w:rsid w:val="003B23B2"/>
    <w:rsid w:val="003B2BE0"/>
    <w:rsid w:val="003B30C7"/>
    <w:rsid w:val="003B3161"/>
    <w:rsid w:val="003B32B3"/>
    <w:rsid w:val="003B3343"/>
    <w:rsid w:val="003B35EB"/>
    <w:rsid w:val="003B3926"/>
    <w:rsid w:val="003B45B4"/>
    <w:rsid w:val="003B48D3"/>
    <w:rsid w:val="003B4E0D"/>
    <w:rsid w:val="003B5086"/>
    <w:rsid w:val="003B5118"/>
    <w:rsid w:val="003B553B"/>
    <w:rsid w:val="003B59C7"/>
    <w:rsid w:val="003B6333"/>
    <w:rsid w:val="003B63ED"/>
    <w:rsid w:val="003B654F"/>
    <w:rsid w:val="003B66A8"/>
    <w:rsid w:val="003B6B5B"/>
    <w:rsid w:val="003B6BB9"/>
    <w:rsid w:val="003B6F27"/>
    <w:rsid w:val="003B6FA8"/>
    <w:rsid w:val="003B734E"/>
    <w:rsid w:val="003C0A4A"/>
    <w:rsid w:val="003C1854"/>
    <w:rsid w:val="003C1CC5"/>
    <w:rsid w:val="003C1EDD"/>
    <w:rsid w:val="003C1F3E"/>
    <w:rsid w:val="003C2431"/>
    <w:rsid w:val="003C3557"/>
    <w:rsid w:val="003C3A37"/>
    <w:rsid w:val="003C3D41"/>
    <w:rsid w:val="003C3FF3"/>
    <w:rsid w:val="003C425A"/>
    <w:rsid w:val="003C427F"/>
    <w:rsid w:val="003C4287"/>
    <w:rsid w:val="003C4429"/>
    <w:rsid w:val="003C44EA"/>
    <w:rsid w:val="003C48F9"/>
    <w:rsid w:val="003C4C2E"/>
    <w:rsid w:val="003C4E5C"/>
    <w:rsid w:val="003C5244"/>
    <w:rsid w:val="003C59A7"/>
    <w:rsid w:val="003C59EB"/>
    <w:rsid w:val="003C5BC5"/>
    <w:rsid w:val="003C5F5A"/>
    <w:rsid w:val="003C69CA"/>
    <w:rsid w:val="003C6CDC"/>
    <w:rsid w:val="003C74C6"/>
    <w:rsid w:val="003C7704"/>
    <w:rsid w:val="003C7849"/>
    <w:rsid w:val="003C789B"/>
    <w:rsid w:val="003C791F"/>
    <w:rsid w:val="003D0870"/>
    <w:rsid w:val="003D0A2F"/>
    <w:rsid w:val="003D1226"/>
    <w:rsid w:val="003D17F6"/>
    <w:rsid w:val="003D18C1"/>
    <w:rsid w:val="003D1966"/>
    <w:rsid w:val="003D23E9"/>
    <w:rsid w:val="003D28C5"/>
    <w:rsid w:val="003D310D"/>
    <w:rsid w:val="003D3475"/>
    <w:rsid w:val="003D348C"/>
    <w:rsid w:val="003D36BF"/>
    <w:rsid w:val="003D3C77"/>
    <w:rsid w:val="003D3EC6"/>
    <w:rsid w:val="003D4070"/>
    <w:rsid w:val="003D440E"/>
    <w:rsid w:val="003D4425"/>
    <w:rsid w:val="003D53E4"/>
    <w:rsid w:val="003D55D6"/>
    <w:rsid w:val="003D58EB"/>
    <w:rsid w:val="003D6144"/>
    <w:rsid w:val="003D6938"/>
    <w:rsid w:val="003D6B9B"/>
    <w:rsid w:val="003D70D4"/>
    <w:rsid w:val="003D77B1"/>
    <w:rsid w:val="003D77EB"/>
    <w:rsid w:val="003D7C78"/>
    <w:rsid w:val="003E059C"/>
    <w:rsid w:val="003E05AC"/>
    <w:rsid w:val="003E0CAE"/>
    <w:rsid w:val="003E0F06"/>
    <w:rsid w:val="003E229E"/>
    <w:rsid w:val="003E2652"/>
    <w:rsid w:val="003E26FD"/>
    <w:rsid w:val="003E2DB1"/>
    <w:rsid w:val="003E2F28"/>
    <w:rsid w:val="003E32D1"/>
    <w:rsid w:val="003E3B75"/>
    <w:rsid w:val="003E405E"/>
    <w:rsid w:val="003E49CE"/>
    <w:rsid w:val="003E4DDE"/>
    <w:rsid w:val="003E51BC"/>
    <w:rsid w:val="003E573E"/>
    <w:rsid w:val="003E599C"/>
    <w:rsid w:val="003E5F39"/>
    <w:rsid w:val="003E60CC"/>
    <w:rsid w:val="003E674A"/>
    <w:rsid w:val="003E7333"/>
    <w:rsid w:val="003E74BF"/>
    <w:rsid w:val="003E77D4"/>
    <w:rsid w:val="003E77EC"/>
    <w:rsid w:val="003E787C"/>
    <w:rsid w:val="003E7CE0"/>
    <w:rsid w:val="003E7DAC"/>
    <w:rsid w:val="003F0B26"/>
    <w:rsid w:val="003F13D0"/>
    <w:rsid w:val="003F1BA6"/>
    <w:rsid w:val="003F1EE6"/>
    <w:rsid w:val="003F210C"/>
    <w:rsid w:val="003F2939"/>
    <w:rsid w:val="003F2B62"/>
    <w:rsid w:val="003F2DF3"/>
    <w:rsid w:val="003F31AD"/>
    <w:rsid w:val="003F3272"/>
    <w:rsid w:val="003F37B1"/>
    <w:rsid w:val="003F3D54"/>
    <w:rsid w:val="003F3D9A"/>
    <w:rsid w:val="003F415A"/>
    <w:rsid w:val="003F43EA"/>
    <w:rsid w:val="003F4413"/>
    <w:rsid w:val="003F4BEF"/>
    <w:rsid w:val="003F520D"/>
    <w:rsid w:val="003F5693"/>
    <w:rsid w:val="003F5A00"/>
    <w:rsid w:val="003F5D72"/>
    <w:rsid w:val="003F63E7"/>
    <w:rsid w:val="003F6643"/>
    <w:rsid w:val="003F680F"/>
    <w:rsid w:val="003F6C8C"/>
    <w:rsid w:val="003F7923"/>
    <w:rsid w:val="003F7A3F"/>
    <w:rsid w:val="003F7F39"/>
    <w:rsid w:val="00400DB5"/>
    <w:rsid w:val="00400FE8"/>
    <w:rsid w:val="004010D9"/>
    <w:rsid w:val="00402476"/>
    <w:rsid w:val="00402567"/>
    <w:rsid w:val="004027A9"/>
    <w:rsid w:val="0040350E"/>
    <w:rsid w:val="004037A9"/>
    <w:rsid w:val="004039A0"/>
    <w:rsid w:val="00403C58"/>
    <w:rsid w:val="00403E01"/>
    <w:rsid w:val="004040E3"/>
    <w:rsid w:val="004041AE"/>
    <w:rsid w:val="004048FF"/>
    <w:rsid w:val="004049B4"/>
    <w:rsid w:val="00404D38"/>
    <w:rsid w:val="00405146"/>
    <w:rsid w:val="004057AA"/>
    <w:rsid w:val="0040585B"/>
    <w:rsid w:val="00410697"/>
    <w:rsid w:val="00410763"/>
    <w:rsid w:val="004109FC"/>
    <w:rsid w:val="004115C0"/>
    <w:rsid w:val="004122F7"/>
    <w:rsid w:val="00413019"/>
    <w:rsid w:val="0041333C"/>
    <w:rsid w:val="00413760"/>
    <w:rsid w:val="004137CA"/>
    <w:rsid w:val="004138F3"/>
    <w:rsid w:val="00413B9E"/>
    <w:rsid w:val="00413BAD"/>
    <w:rsid w:val="004144E3"/>
    <w:rsid w:val="004149BA"/>
    <w:rsid w:val="00414E7E"/>
    <w:rsid w:val="00415088"/>
    <w:rsid w:val="0041597B"/>
    <w:rsid w:val="00415B6C"/>
    <w:rsid w:val="0041649D"/>
    <w:rsid w:val="00416B2F"/>
    <w:rsid w:val="00416C6A"/>
    <w:rsid w:val="00416D70"/>
    <w:rsid w:val="0041739B"/>
    <w:rsid w:val="00417541"/>
    <w:rsid w:val="00420215"/>
    <w:rsid w:val="00421503"/>
    <w:rsid w:val="00421812"/>
    <w:rsid w:val="004218B2"/>
    <w:rsid w:val="00421F3D"/>
    <w:rsid w:val="004222B0"/>
    <w:rsid w:val="004223CF"/>
    <w:rsid w:val="00422477"/>
    <w:rsid w:val="00422E9C"/>
    <w:rsid w:val="00423248"/>
    <w:rsid w:val="00423B86"/>
    <w:rsid w:val="00423C3E"/>
    <w:rsid w:val="00423CC3"/>
    <w:rsid w:val="004241B5"/>
    <w:rsid w:val="00424BAC"/>
    <w:rsid w:val="00424E62"/>
    <w:rsid w:val="00424EB0"/>
    <w:rsid w:val="004254A9"/>
    <w:rsid w:val="00425682"/>
    <w:rsid w:val="0042568C"/>
    <w:rsid w:val="0042573B"/>
    <w:rsid w:val="00425AFC"/>
    <w:rsid w:val="0042632A"/>
    <w:rsid w:val="0042675C"/>
    <w:rsid w:val="00426DD2"/>
    <w:rsid w:val="004270F2"/>
    <w:rsid w:val="00427289"/>
    <w:rsid w:val="00427A67"/>
    <w:rsid w:val="00431DB3"/>
    <w:rsid w:val="00431E09"/>
    <w:rsid w:val="00431E3A"/>
    <w:rsid w:val="00432613"/>
    <w:rsid w:val="004331EC"/>
    <w:rsid w:val="00433BAE"/>
    <w:rsid w:val="00433C7E"/>
    <w:rsid w:val="004346FD"/>
    <w:rsid w:val="0043498B"/>
    <w:rsid w:val="00434BC7"/>
    <w:rsid w:val="00434C5A"/>
    <w:rsid w:val="004352E4"/>
    <w:rsid w:val="0043580C"/>
    <w:rsid w:val="004367FB"/>
    <w:rsid w:val="00436B7B"/>
    <w:rsid w:val="00436D15"/>
    <w:rsid w:val="00436E4A"/>
    <w:rsid w:val="00436EFE"/>
    <w:rsid w:val="00436F2B"/>
    <w:rsid w:val="00437054"/>
    <w:rsid w:val="004370D8"/>
    <w:rsid w:val="004371D6"/>
    <w:rsid w:val="00437893"/>
    <w:rsid w:val="00440048"/>
    <w:rsid w:val="004400BE"/>
    <w:rsid w:val="0044093A"/>
    <w:rsid w:val="00440A1A"/>
    <w:rsid w:val="00440ACE"/>
    <w:rsid w:val="004411F2"/>
    <w:rsid w:val="004414A7"/>
    <w:rsid w:val="00441A99"/>
    <w:rsid w:val="00441CDB"/>
    <w:rsid w:val="00441CE9"/>
    <w:rsid w:val="00442045"/>
    <w:rsid w:val="00442B2B"/>
    <w:rsid w:val="0044375D"/>
    <w:rsid w:val="00445059"/>
    <w:rsid w:val="004457A9"/>
    <w:rsid w:val="004458E1"/>
    <w:rsid w:val="004464C9"/>
    <w:rsid w:val="00446C0C"/>
    <w:rsid w:val="00446D3B"/>
    <w:rsid w:val="00446E2F"/>
    <w:rsid w:val="00446F8C"/>
    <w:rsid w:val="00447258"/>
    <w:rsid w:val="00447336"/>
    <w:rsid w:val="00447574"/>
    <w:rsid w:val="004479BF"/>
    <w:rsid w:val="00447CDA"/>
    <w:rsid w:val="0045036A"/>
    <w:rsid w:val="00451196"/>
    <w:rsid w:val="004511A7"/>
    <w:rsid w:val="00451370"/>
    <w:rsid w:val="0045170C"/>
    <w:rsid w:val="004518C7"/>
    <w:rsid w:val="00452129"/>
    <w:rsid w:val="00452785"/>
    <w:rsid w:val="00452DB6"/>
    <w:rsid w:val="004533EF"/>
    <w:rsid w:val="00453CC5"/>
    <w:rsid w:val="00454421"/>
    <w:rsid w:val="00454E86"/>
    <w:rsid w:val="00454F7B"/>
    <w:rsid w:val="00455E42"/>
    <w:rsid w:val="00456D98"/>
    <w:rsid w:val="00457A95"/>
    <w:rsid w:val="00457AA1"/>
    <w:rsid w:val="00460368"/>
    <w:rsid w:val="004608FF"/>
    <w:rsid w:val="00460D39"/>
    <w:rsid w:val="00462383"/>
    <w:rsid w:val="004624FC"/>
    <w:rsid w:val="00462610"/>
    <w:rsid w:val="00462B44"/>
    <w:rsid w:val="00462C35"/>
    <w:rsid w:val="004634A7"/>
    <w:rsid w:val="00464DE6"/>
    <w:rsid w:val="004661F7"/>
    <w:rsid w:val="00466A91"/>
    <w:rsid w:val="00466BDD"/>
    <w:rsid w:val="00466E1C"/>
    <w:rsid w:val="00466E2A"/>
    <w:rsid w:val="00467194"/>
    <w:rsid w:val="00467418"/>
    <w:rsid w:val="00467DB3"/>
    <w:rsid w:val="00467E3B"/>
    <w:rsid w:val="0047052A"/>
    <w:rsid w:val="00470ECF"/>
    <w:rsid w:val="004712DE"/>
    <w:rsid w:val="00471742"/>
    <w:rsid w:val="00472A1B"/>
    <w:rsid w:val="004735AC"/>
    <w:rsid w:val="0047394E"/>
    <w:rsid w:val="00473C35"/>
    <w:rsid w:val="00473F37"/>
    <w:rsid w:val="0047485D"/>
    <w:rsid w:val="00474CF7"/>
    <w:rsid w:val="00474F92"/>
    <w:rsid w:val="00475259"/>
    <w:rsid w:val="004755A2"/>
    <w:rsid w:val="0047570E"/>
    <w:rsid w:val="004758F8"/>
    <w:rsid w:val="00475913"/>
    <w:rsid w:val="00475CEE"/>
    <w:rsid w:val="00475EA7"/>
    <w:rsid w:val="00475F7A"/>
    <w:rsid w:val="00475FD0"/>
    <w:rsid w:val="00476018"/>
    <w:rsid w:val="0047623E"/>
    <w:rsid w:val="00476687"/>
    <w:rsid w:val="00476E23"/>
    <w:rsid w:val="00476E33"/>
    <w:rsid w:val="00477A24"/>
    <w:rsid w:val="0048009C"/>
    <w:rsid w:val="0048026C"/>
    <w:rsid w:val="00480D1C"/>
    <w:rsid w:val="00480DC2"/>
    <w:rsid w:val="00481D9E"/>
    <w:rsid w:val="00482036"/>
    <w:rsid w:val="004821A0"/>
    <w:rsid w:val="00482DB6"/>
    <w:rsid w:val="00483212"/>
    <w:rsid w:val="004834CF"/>
    <w:rsid w:val="00483772"/>
    <w:rsid w:val="00484028"/>
    <w:rsid w:val="004845A2"/>
    <w:rsid w:val="004848DF"/>
    <w:rsid w:val="00484FCD"/>
    <w:rsid w:val="0048537B"/>
    <w:rsid w:val="00485BB3"/>
    <w:rsid w:val="00486071"/>
    <w:rsid w:val="0048641F"/>
    <w:rsid w:val="004871B8"/>
    <w:rsid w:val="0048792A"/>
    <w:rsid w:val="00487CA8"/>
    <w:rsid w:val="00490092"/>
    <w:rsid w:val="00490363"/>
    <w:rsid w:val="00490773"/>
    <w:rsid w:val="004919A3"/>
    <w:rsid w:val="00491A8E"/>
    <w:rsid w:val="004928D7"/>
    <w:rsid w:val="00492A45"/>
    <w:rsid w:val="00492DD5"/>
    <w:rsid w:val="00493042"/>
    <w:rsid w:val="004939E4"/>
    <w:rsid w:val="00493A8C"/>
    <w:rsid w:val="00493BA8"/>
    <w:rsid w:val="00493E07"/>
    <w:rsid w:val="00493F6D"/>
    <w:rsid w:val="00494058"/>
    <w:rsid w:val="004942BD"/>
    <w:rsid w:val="00494968"/>
    <w:rsid w:val="00495859"/>
    <w:rsid w:val="00495D1C"/>
    <w:rsid w:val="00495E45"/>
    <w:rsid w:val="00496B5A"/>
    <w:rsid w:val="00496D2F"/>
    <w:rsid w:val="00496DE9"/>
    <w:rsid w:val="00496F8B"/>
    <w:rsid w:val="00497261"/>
    <w:rsid w:val="0049737E"/>
    <w:rsid w:val="00497F8C"/>
    <w:rsid w:val="004A025F"/>
    <w:rsid w:val="004A156A"/>
    <w:rsid w:val="004A1FBE"/>
    <w:rsid w:val="004A1FDE"/>
    <w:rsid w:val="004A20AA"/>
    <w:rsid w:val="004A24B2"/>
    <w:rsid w:val="004A24C6"/>
    <w:rsid w:val="004A26EB"/>
    <w:rsid w:val="004A335A"/>
    <w:rsid w:val="004A3389"/>
    <w:rsid w:val="004A33B7"/>
    <w:rsid w:val="004A3C95"/>
    <w:rsid w:val="004A3C9C"/>
    <w:rsid w:val="004A3EC8"/>
    <w:rsid w:val="004A4020"/>
    <w:rsid w:val="004A4283"/>
    <w:rsid w:val="004A46E0"/>
    <w:rsid w:val="004A4FB0"/>
    <w:rsid w:val="004A56BB"/>
    <w:rsid w:val="004A5E7B"/>
    <w:rsid w:val="004A6291"/>
    <w:rsid w:val="004A6A7D"/>
    <w:rsid w:val="004A6F28"/>
    <w:rsid w:val="004A7028"/>
    <w:rsid w:val="004A7538"/>
    <w:rsid w:val="004B0316"/>
    <w:rsid w:val="004B05D9"/>
    <w:rsid w:val="004B0A38"/>
    <w:rsid w:val="004B11B7"/>
    <w:rsid w:val="004B1306"/>
    <w:rsid w:val="004B1410"/>
    <w:rsid w:val="004B1807"/>
    <w:rsid w:val="004B1C17"/>
    <w:rsid w:val="004B2392"/>
    <w:rsid w:val="004B26CC"/>
    <w:rsid w:val="004B2AFA"/>
    <w:rsid w:val="004B2F98"/>
    <w:rsid w:val="004B3095"/>
    <w:rsid w:val="004B32EA"/>
    <w:rsid w:val="004B38A6"/>
    <w:rsid w:val="004B51EE"/>
    <w:rsid w:val="004B572B"/>
    <w:rsid w:val="004B59E3"/>
    <w:rsid w:val="004B60EE"/>
    <w:rsid w:val="004B65A0"/>
    <w:rsid w:val="004B6BA4"/>
    <w:rsid w:val="004B7A4C"/>
    <w:rsid w:val="004B7B55"/>
    <w:rsid w:val="004C013B"/>
    <w:rsid w:val="004C01DE"/>
    <w:rsid w:val="004C077F"/>
    <w:rsid w:val="004C0C37"/>
    <w:rsid w:val="004C0F3E"/>
    <w:rsid w:val="004C121D"/>
    <w:rsid w:val="004C3585"/>
    <w:rsid w:val="004C3C9F"/>
    <w:rsid w:val="004C3D8E"/>
    <w:rsid w:val="004C4446"/>
    <w:rsid w:val="004C4981"/>
    <w:rsid w:val="004C4C20"/>
    <w:rsid w:val="004C4E2D"/>
    <w:rsid w:val="004C526A"/>
    <w:rsid w:val="004C5A3A"/>
    <w:rsid w:val="004C5F23"/>
    <w:rsid w:val="004C60A9"/>
    <w:rsid w:val="004C65AC"/>
    <w:rsid w:val="004C66D6"/>
    <w:rsid w:val="004C6CB2"/>
    <w:rsid w:val="004C6D56"/>
    <w:rsid w:val="004C70EA"/>
    <w:rsid w:val="004C71A8"/>
    <w:rsid w:val="004C745E"/>
    <w:rsid w:val="004C782A"/>
    <w:rsid w:val="004C7A27"/>
    <w:rsid w:val="004C7CD6"/>
    <w:rsid w:val="004C7D7C"/>
    <w:rsid w:val="004D0190"/>
    <w:rsid w:val="004D1533"/>
    <w:rsid w:val="004D2479"/>
    <w:rsid w:val="004D2529"/>
    <w:rsid w:val="004D2FD7"/>
    <w:rsid w:val="004D3C3F"/>
    <w:rsid w:val="004D3CD3"/>
    <w:rsid w:val="004D4823"/>
    <w:rsid w:val="004D4CE4"/>
    <w:rsid w:val="004D4FDC"/>
    <w:rsid w:val="004D50A9"/>
    <w:rsid w:val="004D5A8C"/>
    <w:rsid w:val="004D5C89"/>
    <w:rsid w:val="004D635D"/>
    <w:rsid w:val="004D63F9"/>
    <w:rsid w:val="004D6459"/>
    <w:rsid w:val="004D65DA"/>
    <w:rsid w:val="004D673C"/>
    <w:rsid w:val="004D688E"/>
    <w:rsid w:val="004D6B07"/>
    <w:rsid w:val="004D6C32"/>
    <w:rsid w:val="004D70C6"/>
    <w:rsid w:val="004D729D"/>
    <w:rsid w:val="004D72A6"/>
    <w:rsid w:val="004D7424"/>
    <w:rsid w:val="004D788C"/>
    <w:rsid w:val="004E01D3"/>
    <w:rsid w:val="004E08DC"/>
    <w:rsid w:val="004E0C2E"/>
    <w:rsid w:val="004E0EEA"/>
    <w:rsid w:val="004E10F0"/>
    <w:rsid w:val="004E1318"/>
    <w:rsid w:val="004E18C8"/>
    <w:rsid w:val="004E2004"/>
    <w:rsid w:val="004E2A31"/>
    <w:rsid w:val="004E2B08"/>
    <w:rsid w:val="004E2BA3"/>
    <w:rsid w:val="004E30BB"/>
    <w:rsid w:val="004E31F1"/>
    <w:rsid w:val="004E3285"/>
    <w:rsid w:val="004E364F"/>
    <w:rsid w:val="004E3B44"/>
    <w:rsid w:val="004E3E2C"/>
    <w:rsid w:val="004E40AC"/>
    <w:rsid w:val="004E4346"/>
    <w:rsid w:val="004E4DE2"/>
    <w:rsid w:val="004E556C"/>
    <w:rsid w:val="004E6446"/>
    <w:rsid w:val="004E668F"/>
    <w:rsid w:val="004E6985"/>
    <w:rsid w:val="004E698A"/>
    <w:rsid w:val="004E74DB"/>
    <w:rsid w:val="004E7B87"/>
    <w:rsid w:val="004E7EBD"/>
    <w:rsid w:val="004F084F"/>
    <w:rsid w:val="004F0C1F"/>
    <w:rsid w:val="004F0E08"/>
    <w:rsid w:val="004F1015"/>
    <w:rsid w:val="004F10D8"/>
    <w:rsid w:val="004F1223"/>
    <w:rsid w:val="004F1609"/>
    <w:rsid w:val="004F1792"/>
    <w:rsid w:val="004F1914"/>
    <w:rsid w:val="004F1D49"/>
    <w:rsid w:val="004F2404"/>
    <w:rsid w:val="004F2534"/>
    <w:rsid w:val="004F2894"/>
    <w:rsid w:val="004F2989"/>
    <w:rsid w:val="004F2C3A"/>
    <w:rsid w:val="004F2D78"/>
    <w:rsid w:val="004F3B2F"/>
    <w:rsid w:val="004F3E56"/>
    <w:rsid w:val="004F4E0E"/>
    <w:rsid w:val="004F50BC"/>
    <w:rsid w:val="004F5124"/>
    <w:rsid w:val="004F54F9"/>
    <w:rsid w:val="004F55EA"/>
    <w:rsid w:val="004F6F8F"/>
    <w:rsid w:val="004F7E49"/>
    <w:rsid w:val="0050023F"/>
    <w:rsid w:val="005002BF"/>
    <w:rsid w:val="00500422"/>
    <w:rsid w:val="0050066D"/>
    <w:rsid w:val="00501DF4"/>
    <w:rsid w:val="00502614"/>
    <w:rsid w:val="00502693"/>
    <w:rsid w:val="00503673"/>
    <w:rsid w:val="0050391D"/>
    <w:rsid w:val="00503927"/>
    <w:rsid w:val="005041D3"/>
    <w:rsid w:val="00504824"/>
    <w:rsid w:val="00504863"/>
    <w:rsid w:val="00504C38"/>
    <w:rsid w:val="00504FF6"/>
    <w:rsid w:val="0050553C"/>
    <w:rsid w:val="005057CD"/>
    <w:rsid w:val="00505D34"/>
    <w:rsid w:val="00505DBE"/>
    <w:rsid w:val="0050637E"/>
    <w:rsid w:val="00506789"/>
    <w:rsid w:val="00507487"/>
    <w:rsid w:val="005078B9"/>
    <w:rsid w:val="00507E68"/>
    <w:rsid w:val="00507F11"/>
    <w:rsid w:val="0051010F"/>
    <w:rsid w:val="0051023C"/>
    <w:rsid w:val="005107D5"/>
    <w:rsid w:val="00510E2D"/>
    <w:rsid w:val="00511329"/>
    <w:rsid w:val="00511447"/>
    <w:rsid w:val="00511D4C"/>
    <w:rsid w:val="00511DCB"/>
    <w:rsid w:val="00511E0C"/>
    <w:rsid w:val="00511E78"/>
    <w:rsid w:val="00511EAD"/>
    <w:rsid w:val="00512CB8"/>
    <w:rsid w:val="00513887"/>
    <w:rsid w:val="0051428E"/>
    <w:rsid w:val="005145BF"/>
    <w:rsid w:val="00514A58"/>
    <w:rsid w:val="00515FFC"/>
    <w:rsid w:val="0051606E"/>
    <w:rsid w:val="005173ED"/>
    <w:rsid w:val="00517CDE"/>
    <w:rsid w:val="00517EEC"/>
    <w:rsid w:val="00517F08"/>
    <w:rsid w:val="00520121"/>
    <w:rsid w:val="005201C7"/>
    <w:rsid w:val="00520E83"/>
    <w:rsid w:val="0052136A"/>
    <w:rsid w:val="005214B7"/>
    <w:rsid w:val="00521563"/>
    <w:rsid w:val="005215D1"/>
    <w:rsid w:val="0052198D"/>
    <w:rsid w:val="00521A8C"/>
    <w:rsid w:val="005220F6"/>
    <w:rsid w:val="00522132"/>
    <w:rsid w:val="00522448"/>
    <w:rsid w:val="0052293E"/>
    <w:rsid w:val="00522A88"/>
    <w:rsid w:val="00522AFD"/>
    <w:rsid w:val="00522BBF"/>
    <w:rsid w:val="00523B0D"/>
    <w:rsid w:val="00523E39"/>
    <w:rsid w:val="00523FF6"/>
    <w:rsid w:val="005248CF"/>
    <w:rsid w:val="00524A88"/>
    <w:rsid w:val="00525134"/>
    <w:rsid w:val="00525267"/>
    <w:rsid w:val="00525B3D"/>
    <w:rsid w:val="00525C4E"/>
    <w:rsid w:val="00526CBD"/>
    <w:rsid w:val="00526F97"/>
    <w:rsid w:val="0052729B"/>
    <w:rsid w:val="005274CD"/>
    <w:rsid w:val="005278B2"/>
    <w:rsid w:val="005301FE"/>
    <w:rsid w:val="005304E4"/>
    <w:rsid w:val="0053074C"/>
    <w:rsid w:val="00530A35"/>
    <w:rsid w:val="00530B47"/>
    <w:rsid w:val="00530E07"/>
    <w:rsid w:val="00530F2C"/>
    <w:rsid w:val="0053158D"/>
    <w:rsid w:val="00531742"/>
    <w:rsid w:val="00531B2F"/>
    <w:rsid w:val="005321E6"/>
    <w:rsid w:val="005322C2"/>
    <w:rsid w:val="00532AFD"/>
    <w:rsid w:val="0053381A"/>
    <w:rsid w:val="00533D47"/>
    <w:rsid w:val="0053426D"/>
    <w:rsid w:val="0053438D"/>
    <w:rsid w:val="00534F25"/>
    <w:rsid w:val="00535278"/>
    <w:rsid w:val="00535490"/>
    <w:rsid w:val="005356C8"/>
    <w:rsid w:val="00535A4E"/>
    <w:rsid w:val="00535A77"/>
    <w:rsid w:val="00535AA0"/>
    <w:rsid w:val="00535C08"/>
    <w:rsid w:val="00535F09"/>
    <w:rsid w:val="00536039"/>
    <w:rsid w:val="005360A1"/>
    <w:rsid w:val="0053615C"/>
    <w:rsid w:val="00536894"/>
    <w:rsid w:val="00536A8C"/>
    <w:rsid w:val="00536C06"/>
    <w:rsid w:val="0053766C"/>
    <w:rsid w:val="00537C12"/>
    <w:rsid w:val="00540669"/>
    <w:rsid w:val="00540E4E"/>
    <w:rsid w:val="0054376A"/>
    <w:rsid w:val="00543C2A"/>
    <w:rsid w:val="00543D73"/>
    <w:rsid w:val="00543E2E"/>
    <w:rsid w:val="0054415D"/>
    <w:rsid w:val="00544245"/>
    <w:rsid w:val="00544D2F"/>
    <w:rsid w:val="00545862"/>
    <w:rsid w:val="00545BF4"/>
    <w:rsid w:val="005464B8"/>
    <w:rsid w:val="005468FC"/>
    <w:rsid w:val="005469B3"/>
    <w:rsid w:val="005502BA"/>
    <w:rsid w:val="005509CD"/>
    <w:rsid w:val="00550DA8"/>
    <w:rsid w:val="00550DFD"/>
    <w:rsid w:val="0055108E"/>
    <w:rsid w:val="0055118A"/>
    <w:rsid w:val="005519EB"/>
    <w:rsid w:val="00552124"/>
    <w:rsid w:val="00552402"/>
    <w:rsid w:val="00552B10"/>
    <w:rsid w:val="00553297"/>
    <w:rsid w:val="0055344F"/>
    <w:rsid w:val="00553619"/>
    <w:rsid w:val="00553740"/>
    <w:rsid w:val="0055411D"/>
    <w:rsid w:val="0055417E"/>
    <w:rsid w:val="005544A3"/>
    <w:rsid w:val="00555380"/>
    <w:rsid w:val="005553FB"/>
    <w:rsid w:val="00555582"/>
    <w:rsid w:val="00555864"/>
    <w:rsid w:val="00555870"/>
    <w:rsid w:val="00555C18"/>
    <w:rsid w:val="005561A3"/>
    <w:rsid w:val="0055658D"/>
    <w:rsid w:val="0055671F"/>
    <w:rsid w:val="0055764B"/>
    <w:rsid w:val="0056017E"/>
    <w:rsid w:val="00560F15"/>
    <w:rsid w:val="00560FCE"/>
    <w:rsid w:val="00562254"/>
    <w:rsid w:val="0056243C"/>
    <w:rsid w:val="005630A5"/>
    <w:rsid w:val="00563394"/>
    <w:rsid w:val="005634B7"/>
    <w:rsid w:val="005648AA"/>
    <w:rsid w:val="00564B2E"/>
    <w:rsid w:val="00564E0C"/>
    <w:rsid w:val="00565632"/>
    <w:rsid w:val="005666AE"/>
    <w:rsid w:val="00566CE0"/>
    <w:rsid w:val="0056721A"/>
    <w:rsid w:val="005677EA"/>
    <w:rsid w:val="00567CCC"/>
    <w:rsid w:val="00567D93"/>
    <w:rsid w:val="00567E80"/>
    <w:rsid w:val="005701BF"/>
    <w:rsid w:val="005703C7"/>
    <w:rsid w:val="005705BA"/>
    <w:rsid w:val="00570FA8"/>
    <w:rsid w:val="005711C8"/>
    <w:rsid w:val="0057169D"/>
    <w:rsid w:val="005725F4"/>
    <w:rsid w:val="00572A0B"/>
    <w:rsid w:val="00572A85"/>
    <w:rsid w:val="00572E62"/>
    <w:rsid w:val="00573762"/>
    <w:rsid w:val="00573806"/>
    <w:rsid w:val="0057383F"/>
    <w:rsid w:val="005742D8"/>
    <w:rsid w:val="00576756"/>
    <w:rsid w:val="0057694F"/>
    <w:rsid w:val="00577B89"/>
    <w:rsid w:val="005809FC"/>
    <w:rsid w:val="00580DFD"/>
    <w:rsid w:val="005812C8"/>
    <w:rsid w:val="00581376"/>
    <w:rsid w:val="00581416"/>
    <w:rsid w:val="0058179B"/>
    <w:rsid w:val="00581BFC"/>
    <w:rsid w:val="00583393"/>
    <w:rsid w:val="00583519"/>
    <w:rsid w:val="0058360D"/>
    <w:rsid w:val="00583799"/>
    <w:rsid w:val="00583D20"/>
    <w:rsid w:val="00583E75"/>
    <w:rsid w:val="00583F41"/>
    <w:rsid w:val="005841B4"/>
    <w:rsid w:val="005844E0"/>
    <w:rsid w:val="00585493"/>
    <w:rsid w:val="00585689"/>
    <w:rsid w:val="00585B9E"/>
    <w:rsid w:val="00585C8E"/>
    <w:rsid w:val="005861F8"/>
    <w:rsid w:val="0058701A"/>
    <w:rsid w:val="0058742D"/>
    <w:rsid w:val="00587845"/>
    <w:rsid w:val="00587C21"/>
    <w:rsid w:val="00587DD4"/>
    <w:rsid w:val="00587F54"/>
    <w:rsid w:val="005902D0"/>
    <w:rsid w:val="005906BA"/>
    <w:rsid w:val="005907A5"/>
    <w:rsid w:val="00590A1E"/>
    <w:rsid w:val="00590CD3"/>
    <w:rsid w:val="00590D5E"/>
    <w:rsid w:val="00591249"/>
    <w:rsid w:val="005914C5"/>
    <w:rsid w:val="00591AB7"/>
    <w:rsid w:val="005924BB"/>
    <w:rsid w:val="00592831"/>
    <w:rsid w:val="00592928"/>
    <w:rsid w:val="00592B2B"/>
    <w:rsid w:val="005934A5"/>
    <w:rsid w:val="00593681"/>
    <w:rsid w:val="00593F1B"/>
    <w:rsid w:val="005945C0"/>
    <w:rsid w:val="00594B17"/>
    <w:rsid w:val="00594B91"/>
    <w:rsid w:val="00594FD1"/>
    <w:rsid w:val="00594FD6"/>
    <w:rsid w:val="0059548C"/>
    <w:rsid w:val="005954A6"/>
    <w:rsid w:val="00595D0D"/>
    <w:rsid w:val="00595E22"/>
    <w:rsid w:val="00596F66"/>
    <w:rsid w:val="0059716C"/>
    <w:rsid w:val="005973DD"/>
    <w:rsid w:val="0059776A"/>
    <w:rsid w:val="0059787D"/>
    <w:rsid w:val="005A006D"/>
    <w:rsid w:val="005A0402"/>
    <w:rsid w:val="005A0876"/>
    <w:rsid w:val="005A1903"/>
    <w:rsid w:val="005A1B55"/>
    <w:rsid w:val="005A1C88"/>
    <w:rsid w:val="005A262F"/>
    <w:rsid w:val="005A2B8F"/>
    <w:rsid w:val="005A318D"/>
    <w:rsid w:val="005A323A"/>
    <w:rsid w:val="005A3339"/>
    <w:rsid w:val="005A34EE"/>
    <w:rsid w:val="005A3CFE"/>
    <w:rsid w:val="005A433A"/>
    <w:rsid w:val="005A43DA"/>
    <w:rsid w:val="005A45D1"/>
    <w:rsid w:val="005A4A7E"/>
    <w:rsid w:val="005A4EBC"/>
    <w:rsid w:val="005A53B6"/>
    <w:rsid w:val="005A54DB"/>
    <w:rsid w:val="005A55E4"/>
    <w:rsid w:val="005A5E8C"/>
    <w:rsid w:val="005A60D6"/>
    <w:rsid w:val="005A64BB"/>
    <w:rsid w:val="005A65BD"/>
    <w:rsid w:val="005A7253"/>
    <w:rsid w:val="005A74CF"/>
    <w:rsid w:val="005A7505"/>
    <w:rsid w:val="005B00F4"/>
    <w:rsid w:val="005B0242"/>
    <w:rsid w:val="005B0B2B"/>
    <w:rsid w:val="005B0F6F"/>
    <w:rsid w:val="005B11D2"/>
    <w:rsid w:val="005B161F"/>
    <w:rsid w:val="005B197A"/>
    <w:rsid w:val="005B1B02"/>
    <w:rsid w:val="005B1B93"/>
    <w:rsid w:val="005B225C"/>
    <w:rsid w:val="005B2448"/>
    <w:rsid w:val="005B25E2"/>
    <w:rsid w:val="005B2624"/>
    <w:rsid w:val="005B3090"/>
    <w:rsid w:val="005B32A8"/>
    <w:rsid w:val="005B3723"/>
    <w:rsid w:val="005B3D86"/>
    <w:rsid w:val="005B3E05"/>
    <w:rsid w:val="005B3ECD"/>
    <w:rsid w:val="005B405E"/>
    <w:rsid w:val="005B4C15"/>
    <w:rsid w:val="005B4DB3"/>
    <w:rsid w:val="005B52DA"/>
    <w:rsid w:val="005B57C4"/>
    <w:rsid w:val="005B583E"/>
    <w:rsid w:val="005B5B81"/>
    <w:rsid w:val="005B5BED"/>
    <w:rsid w:val="005B6545"/>
    <w:rsid w:val="005B7157"/>
    <w:rsid w:val="005B7159"/>
    <w:rsid w:val="005B7C7E"/>
    <w:rsid w:val="005B7DD2"/>
    <w:rsid w:val="005C01F0"/>
    <w:rsid w:val="005C0974"/>
    <w:rsid w:val="005C0AD8"/>
    <w:rsid w:val="005C0CA2"/>
    <w:rsid w:val="005C1110"/>
    <w:rsid w:val="005C1156"/>
    <w:rsid w:val="005C1251"/>
    <w:rsid w:val="005C14EF"/>
    <w:rsid w:val="005C1A22"/>
    <w:rsid w:val="005C2F50"/>
    <w:rsid w:val="005C3017"/>
    <w:rsid w:val="005C37BA"/>
    <w:rsid w:val="005C37F5"/>
    <w:rsid w:val="005C4A63"/>
    <w:rsid w:val="005C4C79"/>
    <w:rsid w:val="005C4DD3"/>
    <w:rsid w:val="005C55C5"/>
    <w:rsid w:val="005C68EF"/>
    <w:rsid w:val="005C6C6E"/>
    <w:rsid w:val="005C761A"/>
    <w:rsid w:val="005C7735"/>
    <w:rsid w:val="005C7736"/>
    <w:rsid w:val="005C79DC"/>
    <w:rsid w:val="005D036D"/>
    <w:rsid w:val="005D04A2"/>
    <w:rsid w:val="005D076E"/>
    <w:rsid w:val="005D0BA9"/>
    <w:rsid w:val="005D1971"/>
    <w:rsid w:val="005D1EC5"/>
    <w:rsid w:val="005D298E"/>
    <w:rsid w:val="005D2AE8"/>
    <w:rsid w:val="005D2C2B"/>
    <w:rsid w:val="005D2C5A"/>
    <w:rsid w:val="005D2D9E"/>
    <w:rsid w:val="005D2EE7"/>
    <w:rsid w:val="005D2F81"/>
    <w:rsid w:val="005D32A8"/>
    <w:rsid w:val="005D36E0"/>
    <w:rsid w:val="005D3714"/>
    <w:rsid w:val="005D390E"/>
    <w:rsid w:val="005D3EAE"/>
    <w:rsid w:val="005D465D"/>
    <w:rsid w:val="005D4B44"/>
    <w:rsid w:val="005D5199"/>
    <w:rsid w:val="005D52D8"/>
    <w:rsid w:val="005D5B01"/>
    <w:rsid w:val="005D5EAC"/>
    <w:rsid w:val="005D6242"/>
    <w:rsid w:val="005D67D3"/>
    <w:rsid w:val="005D6890"/>
    <w:rsid w:val="005D6B93"/>
    <w:rsid w:val="005D70F0"/>
    <w:rsid w:val="005D75FF"/>
    <w:rsid w:val="005D772A"/>
    <w:rsid w:val="005E008A"/>
    <w:rsid w:val="005E0127"/>
    <w:rsid w:val="005E131E"/>
    <w:rsid w:val="005E1F3B"/>
    <w:rsid w:val="005E263E"/>
    <w:rsid w:val="005E2690"/>
    <w:rsid w:val="005E29AA"/>
    <w:rsid w:val="005E2DE9"/>
    <w:rsid w:val="005E317D"/>
    <w:rsid w:val="005E4035"/>
    <w:rsid w:val="005E40C2"/>
    <w:rsid w:val="005E486B"/>
    <w:rsid w:val="005E4CD2"/>
    <w:rsid w:val="005E510E"/>
    <w:rsid w:val="005E5344"/>
    <w:rsid w:val="005E5B32"/>
    <w:rsid w:val="005E6375"/>
    <w:rsid w:val="005E696A"/>
    <w:rsid w:val="005E69B4"/>
    <w:rsid w:val="005E6D8B"/>
    <w:rsid w:val="005E6DB8"/>
    <w:rsid w:val="005E6FC6"/>
    <w:rsid w:val="005E7D5D"/>
    <w:rsid w:val="005E7E6B"/>
    <w:rsid w:val="005F0C60"/>
    <w:rsid w:val="005F0DA6"/>
    <w:rsid w:val="005F16B0"/>
    <w:rsid w:val="005F2341"/>
    <w:rsid w:val="005F2923"/>
    <w:rsid w:val="005F2A33"/>
    <w:rsid w:val="005F2C33"/>
    <w:rsid w:val="005F3261"/>
    <w:rsid w:val="005F407D"/>
    <w:rsid w:val="005F45F7"/>
    <w:rsid w:val="005F5199"/>
    <w:rsid w:val="005F53B7"/>
    <w:rsid w:val="005F5B5A"/>
    <w:rsid w:val="005F5F13"/>
    <w:rsid w:val="005F60F7"/>
    <w:rsid w:val="005F66E6"/>
    <w:rsid w:val="005F6778"/>
    <w:rsid w:val="005F6944"/>
    <w:rsid w:val="005F6B74"/>
    <w:rsid w:val="005F6FF5"/>
    <w:rsid w:val="005F7210"/>
    <w:rsid w:val="005F7465"/>
    <w:rsid w:val="005F77A6"/>
    <w:rsid w:val="005F77D3"/>
    <w:rsid w:val="005F77EF"/>
    <w:rsid w:val="0060051F"/>
    <w:rsid w:val="00600B9D"/>
    <w:rsid w:val="006013AA"/>
    <w:rsid w:val="00601A2C"/>
    <w:rsid w:val="00601DB0"/>
    <w:rsid w:val="00601E2C"/>
    <w:rsid w:val="00601ED0"/>
    <w:rsid w:val="00602A19"/>
    <w:rsid w:val="00602F87"/>
    <w:rsid w:val="006032D5"/>
    <w:rsid w:val="0060376A"/>
    <w:rsid w:val="00603DB8"/>
    <w:rsid w:val="0060413E"/>
    <w:rsid w:val="006042D8"/>
    <w:rsid w:val="006044C1"/>
    <w:rsid w:val="00604E1E"/>
    <w:rsid w:val="0060507E"/>
    <w:rsid w:val="0060536C"/>
    <w:rsid w:val="006054A6"/>
    <w:rsid w:val="006057CE"/>
    <w:rsid w:val="0060582A"/>
    <w:rsid w:val="00605852"/>
    <w:rsid w:val="006058CD"/>
    <w:rsid w:val="00605E63"/>
    <w:rsid w:val="00606182"/>
    <w:rsid w:val="00606285"/>
    <w:rsid w:val="006068A5"/>
    <w:rsid w:val="006074DC"/>
    <w:rsid w:val="00607599"/>
    <w:rsid w:val="00607BCC"/>
    <w:rsid w:val="00607D88"/>
    <w:rsid w:val="00607DDF"/>
    <w:rsid w:val="00610214"/>
    <w:rsid w:val="00610A1B"/>
    <w:rsid w:val="00610B80"/>
    <w:rsid w:val="00610D23"/>
    <w:rsid w:val="0061101B"/>
    <w:rsid w:val="006111A1"/>
    <w:rsid w:val="00611398"/>
    <w:rsid w:val="006116A5"/>
    <w:rsid w:val="00611876"/>
    <w:rsid w:val="00611AB9"/>
    <w:rsid w:val="00611FCF"/>
    <w:rsid w:val="006129BD"/>
    <w:rsid w:val="00612A14"/>
    <w:rsid w:val="00612E67"/>
    <w:rsid w:val="006130C9"/>
    <w:rsid w:val="00613491"/>
    <w:rsid w:val="006135F0"/>
    <w:rsid w:val="006136BA"/>
    <w:rsid w:val="00613ED6"/>
    <w:rsid w:val="0061473A"/>
    <w:rsid w:val="006148EC"/>
    <w:rsid w:val="00614BCF"/>
    <w:rsid w:val="00615275"/>
    <w:rsid w:val="00615331"/>
    <w:rsid w:val="006155E6"/>
    <w:rsid w:val="00615918"/>
    <w:rsid w:val="00615F1C"/>
    <w:rsid w:val="00616069"/>
    <w:rsid w:val="00616195"/>
    <w:rsid w:val="00617272"/>
    <w:rsid w:val="0061789F"/>
    <w:rsid w:val="00617AF6"/>
    <w:rsid w:val="00620013"/>
    <w:rsid w:val="006205AB"/>
    <w:rsid w:val="0062069A"/>
    <w:rsid w:val="00620944"/>
    <w:rsid w:val="00621551"/>
    <w:rsid w:val="006217AD"/>
    <w:rsid w:val="00621919"/>
    <w:rsid w:val="00622260"/>
    <w:rsid w:val="00622360"/>
    <w:rsid w:val="00622508"/>
    <w:rsid w:val="00622750"/>
    <w:rsid w:val="00622AAD"/>
    <w:rsid w:val="00622F21"/>
    <w:rsid w:val="0062301C"/>
    <w:rsid w:val="006232BF"/>
    <w:rsid w:val="006234D5"/>
    <w:rsid w:val="0062366D"/>
    <w:rsid w:val="0062389B"/>
    <w:rsid w:val="00623B4F"/>
    <w:rsid w:val="00624014"/>
    <w:rsid w:val="006244D9"/>
    <w:rsid w:val="006245C1"/>
    <w:rsid w:val="00624A7B"/>
    <w:rsid w:val="00625C20"/>
    <w:rsid w:val="00626468"/>
    <w:rsid w:val="006265CD"/>
    <w:rsid w:val="0062684E"/>
    <w:rsid w:val="00626C47"/>
    <w:rsid w:val="006270A1"/>
    <w:rsid w:val="0062718F"/>
    <w:rsid w:val="006274DC"/>
    <w:rsid w:val="0062757E"/>
    <w:rsid w:val="006275E8"/>
    <w:rsid w:val="006275E9"/>
    <w:rsid w:val="00627CCD"/>
    <w:rsid w:val="006302E0"/>
    <w:rsid w:val="00630555"/>
    <w:rsid w:val="00630D6F"/>
    <w:rsid w:val="00630DEC"/>
    <w:rsid w:val="006320F2"/>
    <w:rsid w:val="006323B6"/>
    <w:rsid w:val="00632FB4"/>
    <w:rsid w:val="0063426D"/>
    <w:rsid w:val="00634854"/>
    <w:rsid w:val="00634A4C"/>
    <w:rsid w:val="00634A8E"/>
    <w:rsid w:val="00634E10"/>
    <w:rsid w:val="00635503"/>
    <w:rsid w:val="0063606C"/>
    <w:rsid w:val="0063636E"/>
    <w:rsid w:val="006363BC"/>
    <w:rsid w:val="0063689D"/>
    <w:rsid w:val="00636BDD"/>
    <w:rsid w:val="00637872"/>
    <w:rsid w:val="00640059"/>
    <w:rsid w:val="00640144"/>
    <w:rsid w:val="00641233"/>
    <w:rsid w:val="0064123B"/>
    <w:rsid w:val="006412C6"/>
    <w:rsid w:val="00641620"/>
    <w:rsid w:val="00641681"/>
    <w:rsid w:val="006418F3"/>
    <w:rsid w:val="00641CCC"/>
    <w:rsid w:val="00641CD7"/>
    <w:rsid w:val="00641DC4"/>
    <w:rsid w:val="006422F8"/>
    <w:rsid w:val="00642448"/>
    <w:rsid w:val="00642602"/>
    <w:rsid w:val="00642DD0"/>
    <w:rsid w:val="00642E95"/>
    <w:rsid w:val="0064368D"/>
    <w:rsid w:val="00643A74"/>
    <w:rsid w:val="00643A7D"/>
    <w:rsid w:val="00643AE4"/>
    <w:rsid w:val="00643DED"/>
    <w:rsid w:val="00643F0C"/>
    <w:rsid w:val="00644683"/>
    <w:rsid w:val="006451C6"/>
    <w:rsid w:val="006456BF"/>
    <w:rsid w:val="00645D1C"/>
    <w:rsid w:val="00645F4C"/>
    <w:rsid w:val="0064674F"/>
    <w:rsid w:val="00646A57"/>
    <w:rsid w:val="00646C8D"/>
    <w:rsid w:val="00646E2C"/>
    <w:rsid w:val="00646E56"/>
    <w:rsid w:val="00646EF0"/>
    <w:rsid w:val="006474BD"/>
    <w:rsid w:val="006501CB"/>
    <w:rsid w:val="006506CB"/>
    <w:rsid w:val="00650BC2"/>
    <w:rsid w:val="00650E7E"/>
    <w:rsid w:val="00650EA3"/>
    <w:rsid w:val="006510CD"/>
    <w:rsid w:val="00651538"/>
    <w:rsid w:val="00651745"/>
    <w:rsid w:val="00651BE9"/>
    <w:rsid w:val="00651CE6"/>
    <w:rsid w:val="00651EA3"/>
    <w:rsid w:val="00652036"/>
    <w:rsid w:val="00652B91"/>
    <w:rsid w:val="00652DEA"/>
    <w:rsid w:val="006539F1"/>
    <w:rsid w:val="00653D4B"/>
    <w:rsid w:val="00654153"/>
    <w:rsid w:val="00655D27"/>
    <w:rsid w:val="00655DC9"/>
    <w:rsid w:val="0065622A"/>
    <w:rsid w:val="006569B3"/>
    <w:rsid w:val="00656A86"/>
    <w:rsid w:val="00657268"/>
    <w:rsid w:val="006579E0"/>
    <w:rsid w:val="006601C6"/>
    <w:rsid w:val="006608F4"/>
    <w:rsid w:val="006610D2"/>
    <w:rsid w:val="00661249"/>
    <w:rsid w:val="00661878"/>
    <w:rsid w:val="00662943"/>
    <w:rsid w:val="00663E67"/>
    <w:rsid w:val="00663FA4"/>
    <w:rsid w:val="00664735"/>
    <w:rsid w:val="00665480"/>
    <w:rsid w:val="00665F07"/>
    <w:rsid w:val="00665F99"/>
    <w:rsid w:val="006661F7"/>
    <w:rsid w:val="006662B3"/>
    <w:rsid w:val="006665FD"/>
    <w:rsid w:val="00666ACA"/>
    <w:rsid w:val="00666DF1"/>
    <w:rsid w:val="00667223"/>
    <w:rsid w:val="00667297"/>
    <w:rsid w:val="0066733F"/>
    <w:rsid w:val="00667588"/>
    <w:rsid w:val="00667B4D"/>
    <w:rsid w:val="006717B5"/>
    <w:rsid w:val="0067285E"/>
    <w:rsid w:val="00672DD0"/>
    <w:rsid w:val="00673834"/>
    <w:rsid w:val="00673D26"/>
    <w:rsid w:val="006746A5"/>
    <w:rsid w:val="0067478A"/>
    <w:rsid w:val="006749AD"/>
    <w:rsid w:val="0067509C"/>
    <w:rsid w:val="00675939"/>
    <w:rsid w:val="006763CA"/>
    <w:rsid w:val="006768F9"/>
    <w:rsid w:val="00676B34"/>
    <w:rsid w:val="0067724A"/>
    <w:rsid w:val="006774B2"/>
    <w:rsid w:val="00677731"/>
    <w:rsid w:val="00680BE3"/>
    <w:rsid w:val="00680EFC"/>
    <w:rsid w:val="00681589"/>
    <w:rsid w:val="0068199C"/>
    <w:rsid w:val="006828C4"/>
    <w:rsid w:val="006829F0"/>
    <w:rsid w:val="00682D3E"/>
    <w:rsid w:val="00682DF4"/>
    <w:rsid w:val="00683BF5"/>
    <w:rsid w:val="00683C33"/>
    <w:rsid w:val="00683DFB"/>
    <w:rsid w:val="00684470"/>
    <w:rsid w:val="0068460D"/>
    <w:rsid w:val="00684919"/>
    <w:rsid w:val="00684C64"/>
    <w:rsid w:val="00684FBC"/>
    <w:rsid w:val="006859DE"/>
    <w:rsid w:val="00685DEA"/>
    <w:rsid w:val="00686163"/>
    <w:rsid w:val="00686B8B"/>
    <w:rsid w:val="00686E39"/>
    <w:rsid w:val="0068714F"/>
    <w:rsid w:val="006876BC"/>
    <w:rsid w:val="00687E1D"/>
    <w:rsid w:val="00690189"/>
    <w:rsid w:val="0069050B"/>
    <w:rsid w:val="00690B63"/>
    <w:rsid w:val="00690E75"/>
    <w:rsid w:val="0069150F"/>
    <w:rsid w:val="00691A30"/>
    <w:rsid w:val="00691A9C"/>
    <w:rsid w:val="00691D11"/>
    <w:rsid w:val="00691F27"/>
    <w:rsid w:val="00693CF4"/>
    <w:rsid w:val="00693DAD"/>
    <w:rsid w:val="006940B9"/>
    <w:rsid w:val="0069425D"/>
    <w:rsid w:val="006942E1"/>
    <w:rsid w:val="00694505"/>
    <w:rsid w:val="006945ED"/>
    <w:rsid w:val="00694993"/>
    <w:rsid w:val="00694B1B"/>
    <w:rsid w:val="0069508C"/>
    <w:rsid w:val="00696316"/>
    <w:rsid w:val="006963E4"/>
    <w:rsid w:val="006964B6"/>
    <w:rsid w:val="00696892"/>
    <w:rsid w:val="00696FA1"/>
    <w:rsid w:val="006971C0"/>
    <w:rsid w:val="00697207"/>
    <w:rsid w:val="00697D41"/>
    <w:rsid w:val="00697DE5"/>
    <w:rsid w:val="006A035F"/>
    <w:rsid w:val="006A0579"/>
    <w:rsid w:val="006A08CA"/>
    <w:rsid w:val="006A11FC"/>
    <w:rsid w:val="006A127D"/>
    <w:rsid w:val="006A2529"/>
    <w:rsid w:val="006A316B"/>
    <w:rsid w:val="006A385F"/>
    <w:rsid w:val="006A387F"/>
    <w:rsid w:val="006A3BAF"/>
    <w:rsid w:val="006A3D2A"/>
    <w:rsid w:val="006A43CC"/>
    <w:rsid w:val="006A50CE"/>
    <w:rsid w:val="006A5C2A"/>
    <w:rsid w:val="006A5E53"/>
    <w:rsid w:val="006A5FB6"/>
    <w:rsid w:val="006A5FC0"/>
    <w:rsid w:val="006A68F2"/>
    <w:rsid w:val="006A69B4"/>
    <w:rsid w:val="006A6F87"/>
    <w:rsid w:val="006A702A"/>
    <w:rsid w:val="006A7A05"/>
    <w:rsid w:val="006B0151"/>
    <w:rsid w:val="006B029C"/>
    <w:rsid w:val="006B06A7"/>
    <w:rsid w:val="006B06B4"/>
    <w:rsid w:val="006B0C9E"/>
    <w:rsid w:val="006B2B32"/>
    <w:rsid w:val="006B2BEE"/>
    <w:rsid w:val="006B2C89"/>
    <w:rsid w:val="006B2E96"/>
    <w:rsid w:val="006B359D"/>
    <w:rsid w:val="006B3E16"/>
    <w:rsid w:val="006B3F70"/>
    <w:rsid w:val="006B3FCD"/>
    <w:rsid w:val="006B4465"/>
    <w:rsid w:val="006B44A8"/>
    <w:rsid w:val="006B4C5F"/>
    <w:rsid w:val="006B4F1A"/>
    <w:rsid w:val="006B4F43"/>
    <w:rsid w:val="006B4FF4"/>
    <w:rsid w:val="006B55BA"/>
    <w:rsid w:val="006B57DF"/>
    <w:rsid w:val="006B589F"/>
    <w:rsid w:val="006B64BC"/>
    <w:rsid w:val="006B673B"/>
    <w:rsid w:val="006B6E38"/>
    <w:rsid w:val="006B75C8"/>
    <w:rsid w:val="006B776F"/>
    <w:rsid w:val="006C0137"/>
    <w:rsid w:val="006C0BEA"/>
    <w:rsid w:val="006C0C9D"/>
    <w:rsid w:val="006C0E45"/>
    <w:rsid w:val="006C0F73"/>
    <w:rsid w:val="006C17D1"/>
    <w:rsid w:val="006C1DAD"/>
    <w:rsid w:val="006C20A4"/>
    <w:rsid w:val="006C2284"/>
    <w:rsid w:val="006C2C07"/>
    <w:rsid w:val="006C2DA4"/>
    <w:rsid w:val="006C35D7"/>
    <w:rsid w:val="006C362E"/>
    <w:rsid w:val="006C421C"/>
    <w:rsid w:val="006C4344"/>
    <w:rsid w:val="006C4363"/>
    <w:rsid w:val="006C4579"/>
    <w:rsid w:val="006C47EA"/>
    <w:rsid w:val="006C4C24"/>
    <w:rsid w:val="006C55E1"/>
    <w:rsid w:val="006C59F2"/>
    <w:rsid w:val="006C6531"/>
    <w:rsid w:val="006C72EC"/>
    <w:rsid w:val="006C731D"/>
    <w:rsid w:val="006C77FA"/>
    <w:rsid w:val="006C7FBE"/>
    <w:rsid w:val="006D079F"/>
    <w:rsid w:val="006D095F"/>
    <w:rsid w:val="006D1158"/>
    <w:rsid w:val="006D14C0"/>
    <w:rsid w:val="006D203D"/>
    <w:rsid w:val="006D2569"/>
    <w:rsid w:val="006D3768"/>
    <w:rsid w:val="006D3C2D"/>
    <w:rsid w:val="006D4A39"/>
    <w:rsid w:val="006D4C50"/>
    <w:rsid w:val="006D527A"/>
    <w:rsid w:val="006D5829"/>
    <w:rsid w:val="006D5DCF"/>
    <w:rsid w:val="006D664D"/>
    <w:rsid w:val="006D69C6"/>
    <w:rsid w:val="006D6A54"/>
    <w:rsid w:val="006D6C6C"/>
    <w:rsid w:val="006D72A5"/>
    <w:rsid w:val="006D74C6"/>
    <w:rsid w:val="006D7722"/>
    <w:rsid w:val="006D77D5"/>
    <w:rsid w:val="006D7F6F"/>
    <w:rsid w:val="006E003A"/>
    <w:rsid w:val="006E0B8C"/>
    <w:rsid w:val="006E0BBB"/>
    <w:rsid w:val="006E0E1C"/>
    <w:rsid w:val="006E120A"/>
    <w:rsid w:val="006E13E5"/>
    <w:rsid w:val="006E25D7"/>
    <w:rsid w:val="006E2930"/>
    <w:rsid w:val="006E299B"/>
    <w:rsid w:val="006E3BC7"/>
    <w:rsid w:val="006E3EEF"/>
    <w:rsid w:val="006E4067"/>
    <w:rsid w:val="006E4190"/>
    <w:rsid w:val="006E4297"/>
    <w:rsid w:val="006E549B"/>
    <w:rsid w:val="006E5FF6"/>
    <w:rsid w:val="006E62D7"/>
    <w:rsid w:val="006E6520"/>
    <w:rsid w:val="006E7199"/>
    <w:rsid w:val="006E7249"/>
    <w:rsid w:val="006F05F7"/>
    <w:rsid w:val="006F0771"/>
    <w:rsid w:val="006F08CF"/>
    <w:rsid w:val="006F240F"/>
    <w:rsid w:val="006F276E"/>
    <w:rsid w:val="006F2DE4"/>
    <w:rsid w:val="006F34BA"/>
    <w:rsid w:val="006F402F"/>
    <w:rsid w:val="006F421C"/>
    <w:rsid w:val="006F489A"/>
    <w:rsid w:val="006F4ABE"/>
    <w:rsid w:val="006F4B4E"/>
    <w:rsid w:val="006F4B52"/>
    <w:rsid w:val="006F6859"/>
    <w:rsid w:val="006F691B"/>
    <w:rsid w:val="006F6943"/>
    <w:rsid w:val="006F6CD7"/>
    <w:rsid w:val="006F6E73"/>
    <w:rsid w:val="006F7590"/>
    <w:rsid w:val="006F7942"/>
    <w:rsid w:val="006F7A76"/>
    <w:rsid w:val="006F7BF8"/>
    <w:rsid w:val="00700972"/>
    <w:rsid w:val="007009D9"/>
    <w:rsid w:val="00701270"/>
    <w:rsid w:val="00701612"/>
    <w:rsid w:val="007016C2"/>
    <w:rsid w:val="00701979"/>
    <w:rsid w:val="00701E1E"/>
    <w:rsid w:val="0070222A"/>
    <w:rsid w:val="00702F58"/>
    <w:rsid w:val="00703059"/>
    <w:rsid w:val="00703A7A"/>
    <w:rsid w:val="0070409D"/>
    <w:rsid w:val="0070467F"/>
    <w:rsid w:val="00704756"/>
    <w:rsid w:val="007047E5"/>
    <w:rsid w:val="007047FB"/>
    <w:rsid w:val="007049CE"/>
    <w:rsid w:val="00704EA7"/>
    <w:rsid w:val="00705775"/>
    <w:rsid w:val="00705DDD"/>
    <w:rsid w:val="00706607"/>
    <w:rsid w:val="007072EA"/>
    <w:rsid w:val="0070751C"/>
    <w:rsid w:val="0070757F"/>
    <w:rsid w:val="00707A90"/>
    <w:rsid w:val="007101DC"/>
    <w:rsid w:val="0071041F"/>
    <w:rsid w:val="00710EB0"/>
    <w:rsid w:val="00711023"/>
    <w:rsid w:val="007111A8"/>
    <w:rsid w:val="0071153C"/>
    <w:rsid w:val="00711AB6"/>
    <w:rsid w:val="00711F82"/>
    <w:rsid w:val="00712312"/>
    <w:rsid w:val="0071245B"/>
    <w:rsid w:val="007124BF"/>
    <w:rsid w:val="007144AF"/>
    <w:rsid w:val="00714693"/>
    <w:rsid w:val="00715012"/>
    <w:rsid w:val="007150D5"/>
    <w:rsid w:val="00715298"/>
    <w:rsid w:val="00715497"/>
    <w:rsid w:val="00715ACA"/>
    <w:rsid w:val="00715F23"/>
    <w:rsid w:val="007161C2"/>
    <w:rsid w:val="007162AD"/>
    <w:rsid w:val="00716906"/>
    <w:rsid w:val="00716B65"/>
    <w:rsid w:val="00716CDC"/>
    <w:rsid w:val="00716EB4"/>
    <w:rsid w:val="00717F4D"/>
    <w:rsid w:val="00720EE9"/>
    <w:rsid w:val="00720EF6"/>
    <w:rsid w:val="007219BC"/>
    <w:rsid w:val="00721AE2"/>
    <w:rsid w:val="00722DD7"/>
    <w:rsid w:val="00722E84"/>
    <w:rsid w:val="0072358A"/>
    <w:rsid w:val="00723C56"/>
    <w:rsid w:val="00723FC9"/>
    <w:rsid w:val="00724499"/>
    <w:rsid w:val="007245FB"/>
    <w:rsid w:val="00724B99"/>
    <w:rsid w:val="00724CC6"/>
    <w:rsid w:val="00724E70"/>
    <w:rsid w:val="00725680"/>
    <w:rsid w:val="0072597A"/>
    <w:rsid w:val="007259EE"/>
    <w:rsid w:val="00725FB3"/>
    <w:rsid w:val="00726655"/>
    <w:rsid w:val="00726B8F"/>
    <w:rsid w:val="00727178"/>
    <w:rsid w:val="0072770E"/>
    <w:rsid w:val="00730351"/>
    <w:rsid w:val="007303DA"/>
    <w:rsid w:val="007304CF"/>
    <w:rsid w:val="007311D8"/>
    <w:rsid w:val="0073135F"/>
    <w:rsid w:val="00731411"/>
    <w:rsid w:val="00731BC9"/>
    <w:rsid w:val="00732082"/>
    <w:rsid w:val="007329D1"/>
    <w:rsid w:val="00732D73"/>
    <w:rsid w:val="00732E72"/>
    <w:rsid w:val="00732ED7"/>
    <w:rsid w:val="00733168"/>
    <w:rsid w:val="0073316F"/>
    <w:rsid w:val="0073377E"/>
    <w:rsid w:val="007339F5"/>
    <w:rsid w:val="00733F0F"/>
    <w:rsid w:val="007343D4"/>
    <w:rsid w:val="00735C8F"/>
    <w:rsid w:val="00736369"/>
    <w:rsid w:val="007364EE"/>
    <w:rsid w:val="0073655B"/>
    <w:rsid w:val="007369B0"/>
    <w:rsid w:val="00736EB3"/>
    <w:rsid w:val="00736ECB"/>
    <w:rsid w:val="007371AC"/>
    <w:rsid w:val="0073772F"/>
    <w:rsid w:val="00740880"/>
    <w:rsid w:val="00740BCE"/>
    <w:rsid w:val="00740D18"/>
    <w:rsid w:val="00740FC7"/>
    <w:rsid w:val="007411D8"/>
    <w:rsid w:val="0074139A"/>
    <w:rsid w:val="0074172F"/>
    <w:rsid w:val="00741762"/>
    <w:rsid w:val="0074182D"/>
    <w:rsid w:val="0074223E"/>
    <w:rsid w:val="007424F7"/>
    <w:rsid w:val="007425BB"/>
    <w:rsid w:val="007427CD"/>
    <w:rsid w:val="007430E0"/>
    <w:rsid w:val="007431F1"/>
    <w:rsid w:val="0074395C"/>
    <w:rsid w:val="00744975"/>
    <w:rsid w:val="0074504A"/>
    <w:rsid w:val="007455DC"/>
    <w:rsid w:val="00745A5E"/>
    <w:rsid w:val="00745C2B"/>
    <w:rsid w:val="00745D76"/>
    <w:rsid w:val="007463A0"/>
    <w:rsid w:val="00746478"/>
    <w:rsid w:val="00746BE1"/>
    <w:rsid w:val="0074724B"/>
    <w:rsid w:val="00747353"/>
    <w:rsid w:val="0074789B"/>
    <w:rsid w:val="00747999"/>
    <w:rsid w:val="007504A8"/>
    <w:rsid w:val="007504BE"/>
    <w:rsid w:val="0075057D"/>
    <w:rsid w:val="0075077B"/>
    <w:rsid w:val="00750E51"/>
    <w:rsid w:val="00750F0E"/>
    <w:rsid w:val="0075155E"/>
    <w:rsid w:val="00751C11"/>
    <w:rsid w:val="00752305"/>
    <w:rsid w:val="00752682"/>
    <w:rsid w:val="0075309C"/>
    <w:rsid w:val="0075313B"/>
    <w:rsid w:val="00753201"/>
    <w:rsid w:val="00753378"/>
    <w:rsid w:val="00753654"/>
    <w:rsid w:val="007537A7"/>
    <w:rsid w:val="007539B5"/>
    <w:rsid w:val="00753F22"/>
    <w:rsid w:val="00754211"/>
    <w:rsid w:val="00754525"/>
    <w:rsid w:val="0075465D"/>
    <w:rsid w:val="00754890"/>
    <w:rsid w:val="007548FB"/>
    <w:rsid w:val="0075531F"/>
    <w:rsid w:val="0075581F"/>
    <w:rsid w:val="007569A0"/>
    <w:rsid w:val="00756B6F"/>
    <w:rsid w:val="00756D8C"/>
    <w:rsid w:val="0075774F"/>
    <w:rsid w:val="00757C00"/>
    <w:rsid w:val="00760EBB"/>
    <w:rsid w:val="0076127D"/>
    <w:rsid w:val="00761403"/>
    <w:rsid w:val="0076151A"/>
    <w:rsid w:val="00761A04"/>
    <w:rsid w:val="00761C6D"/>
    <w:rsid w:val="00762E3C"/>
    <w:rsid w:val="00762F64"/>
    <w:rsid w:val="007630A4"/>
    <w:rsid w:val="007637ED"/>
    <w:rsid w:val="007639AD"/>
    <w:rsid w:val="0076408A"/>
    <w:rsid w:val="007643A0"/>
    <w:rsid w:val="0076444F"/>
    <w:rsid w:val="007644A2"/>
    <w:rsid w:val="0076452F"/>
    <w:rsid w:val="00765029"/>
    <w:rsid w:val="00765B65"/>
    <w:rsid w:val="00765CFC"/>
    <w:rsid w:val="00766106"/>
    <w:rsid w:val="00766966"/>
    <w:rsid w:val="00767FAD"/>
    <w:rsid w:val="00770142"/>
    <w:rsid w:val="00770704"/>
    <w:rsid w:val="00770795"/>
    <w:rsid w:val="00770EF4"/>
    <w:rsid w:val="0077151A"/>
    <w:rsid w:val="00771859"/>
    <w:rsid w:val="00771E56"/>
    <w:rsid w:val="00772E40"/>
    <w:rsid w:val="00773761"/>
    <w:rsid w:val="00773778"/>
    <w:rsid w:val="00773F65"/>
    <w:rsid w:val="00774338"/>
    <w:rsid w:val="00774622"/>
    <w:rsid w:val="00774966"/>
    <w:rsid w:val="00774F10"/>
    <w:rsid w:val="007759F5"/>
    <w:rsid w:val="00775FCB"/>
    <w:rsid w:val="00776135"/>
    <w:rsid w:val="007769D3"/>
    <w:rsid w:val="00776EDB"/>
    <w:rsid w:val="00776EEB"/>
    <w:rsid w:val="00777095"/>
    <w:rsid w:val="007770F3"/>
    <w:rsid w:val="007772C9"/>
    <w:rsid w:val="00777450"/>
    <w:rsid w:val="007778A5"/>
    <w:rsid w:val="00777AF6"/>
    <w:rsid w:val="00777D6E"/>
    <w:rsid w:val="00777E4C"/>
    <w:rsid w:val="00777EDA"/>
    <w:rsid w:val="00777F9F"/>
    <w:rsid w:val="00780DFB"/>
    <w:rsid w:val="00781261"/>
    <w:rsid w:val="00781D04"/>
    <w:rsid w:val="0078223B"/>
    <w:rsid w:val="00782778"/>
    <w:rsid w:val="00782997"/>
    <w:rsid w:val="00782A83"/>
    <w:rsid w:val="00783208"/>
    <w:rsid w:val="007834EF"/>
    <w:rsid w:val="00783739"/>
    <w:rsid w:val="007838C2"/>
    <w:rsid w:val="00784003"/>
    <w:rsid w:val="007853A0"/>
    <w:rsid w:val="00785818"/>
    <w:rsid w:val="00785A9E"/>
    <w:rsid w:val="00786035"/>
    <w:rsid w:val="00786361"/>
    <w:rsid w:val="007868FA"/>
    <w:rsid w:val="00786A4D"/>
    <w:rsid w:val="0078754B"/>
    <w:rsid w:val="00787A94"/>
    <w:rsid w:val="00787C2B"/>
    <w:rsid w:val="00790A69"/>
    <w:rsid w:val="00790BF3"/>
    <w:rsid w:val="00790CF7"/>
    <w:rsid w:val="0079178A"/>
    <w:rsid w:val="007918E6"/>
    <w:rsid w:val="00791BAC"/>
    <w:rsid w:val="00791E0C"/>
    <w:rsid w:val="00791F3C"/>
    <w:rsid w:val="00792297"/>
    <w:rsid w:val="007922D2"/>
    <w:rsid w:val="0079290E"/>
    <w:rsid w:val="007929E2"/>
    <w:rsid w:val="00792C3E"/>
    <w:rsid w:val="00792DC7"/>
    <w:rsid w:val="00793764"/>
    <w:rsid w:val="007937D3"/>
    <w:rsid w:val="00793DAC"/>
    <w:rsid w:val="00793EDA"/>
    <w:rsid w:val="007947DB"/>
    <w:rsid w:val="00794AC4"/>
    <w:rsid w:val="00795390"/>
    <w:rsid w:val="00795ED6"/>
    <w:rsid w:val="007963BE"/>
    <w:rsid w:val="007965B5"/>
    <w:rsid w:val="007966C4"/>
    <w:rsid w:val="00796713"/>
    <w:rsid w:val="0079685E"/>
    <w:rsid w:val="00796FF5"/>
    <w:rsid w:val="007974CB"/>
    <w:rsid w:val="00797659"/>
    <w:rsid w:val="007976DE"/>
    <w:rsid w:val="00797A2F"/>
    <w:rsid w:val="007A0509"/>
    <w:rsid w:val="007A1198"/>
    <w:rsid w:val="007A1E67"/>
    <w:rsid w:val="007A2017"/>
    <w:rsid w:val="007A2215"/>
    <w:rsid w:val="007A2871"/>
    <w:rsid w:val="007A387E"/>
    <w:rsid w:val="007A39FB"/>
    <w:rsid w:val="007A43BC"/>
    <w:rsid w:val="007A460F"/>
    <w:rsid w:val="007A4CAD"/>
    <w:rsid w:val="007A5E2A"/>
    <w:rsid w:val="007A6211"/>
    <w:rsid w:val="007A64A8"/>
    <w:rsid w:val="007A6563"/>
    <w:rsid w:val="007A6840"/>
    <w:rsid w:val="007A6A2E"/>
    <w:rsid w:val="007A6D92"/>
    <w:rsid w:val="007A74C6"/>
    <w:rsid w:val="007A7620"/>
    <w:rsid w:val="007A7894"/>
    <w:rsid w:val="007A7949"/>
    <w:rsid w:val="007A7E68"/>
    <w:rsid w:val="007A7EB6"/>
    <w:rsid w:val="007B0926"/>
    <w:rsid w:val="007B0ACC"/>
    <w:rsid w:val="007B1382"/>
    <w:rsid w:val="007B1498"/>
    <w:rsid w:val="007B190C"/>
    <w:rsid w:val="007B1AC5"/>
    <w:rsid w:val="007B206D"/>
    <w:rsid w:val="007B250B"/>
    <w:rsid w:val="007B2582"/>
    <w:rsid w:val="007B2785"/>
    <w:rsid w:val="007B280F"/>
    <w:rsid w:val="007B2D4E"/>
    <w:rsid w:val="007B2E72"/>
    <w:rsid w:val="007B334D"/>
    <w:rsid w:val="007B350A"/>
    <w:rsid w:val="007B3D36"/>
    <w:rsid w:val="007B3D74"/>
    <w:rsid w:val="007B4AF6"/>
    <w:rsid w:val="007B4B91"/>
    <w:rsid w:val="007B4EAC"/>
    <w:rsid w:val="007B50F1"/>
    <w:rsid w:val="007B52FC"/>
    <w:rsid w:val="007B59B3"/>
    <w:rsid w:val="007B5C94"/>
    <w:rsid w:val="007B5F2A"/>
    <w:rsid w:val="007B5FD6"/>
    <w:rsid w:val="007B64F4"/>
    <w:rsid w:val="007B7903"/>
    <w:rsid w:val="007B7EE8"/>
    <w:rsid w:val="007C00C3"/>
    <w:rsid w:val="007C0DC2"/>
    <w:rsid w:val="007C0F7B"/>
    <w:rsid w:val="007C10EA"/>
    <w:rsid w:val="007C1373"/>
    <w:rsid w:val="007C1759"/>
    <w:rsid w:val="007C1CB1"/>
    <w:rsid w:val="007C219F"/>
    <w:rsid w:val="007C2485"/>
    <w:rsid w:val="007C32E2"/>
    <w:rsid w:val="007C41F1"/>
    <w:rsid w:val="007C44F6"/>
    <w:rsid w:val="007C4908"/>
    <w:rsid w:val="007C4AAD"/>
    <w:rsid w:val="007C4D7B"/>
    <w:rsid w:val="007C503F"/>
    <w:rsid w:val="007C5F9A"/>
    <w:rsid w:val="007C6067"/>
    <w:rsid w:val="007C63D6"/>
    <w:rsid w:val="007C7581"/>
    <w:rsid w:val="007C7B82"/>
    <w:rsid w:val="007C7D05"/>
    <w:rsid w:val="007C7D1C"/>
    <w:rsid w:val="007C7E23"/>
    <w:rsid w:val="007D0775"/>
    <w:rsid w:val="007D0833"/>
    <w:rsid w:val="007D0B97"/>
    <w:rsid w:val="007D0C9F"/>
    <w:rsid w:val="007D12E2"/>
    <w:rsid w:val="007D15C8"/>
    <w:rsid w:val="007D1691"/>
    <w:rsid w:val="007D19F1"/>
    <w:rsid w:val="007D19F7"/>
    <w:rsid w:val="007D1AEB"/>
    <w:rsid w:val="007D1F45"/>
    <w:rsid w:val="007D1FB0"/>
    <w:rsid w:val="007D206C"/>
    <w:rsid w:val="007D217A"/>
    <w:rsid w:val="007D2BC0"/>
    <w:rsid w:val="007D2C47"/>
    <w:rsid w:val="007D2F24"/>
    <w:rsid w:val="007D36F6"/>
    <w:rsid w:val="007D388E"/>
    <w:rsid w:val="007D3C81"/>
    <w:rsid w:val="007D3EA2"/>
    <w:rsid w:val="007D42E1"/>
    <w:rsid w:val="007D4383"/>
    <w:rsid w:val="007D47FF"/>
    <w:rsid w:val="007D48F0"/>
    <w:rsid w:val="007D51E7"/>
    <w:rsid w:val="007D5267"/>
    <w:rsid w:val="007D6257"/>
    <w:rsid w:val="007D68F7"/>
    <w:rsid w:val="007D6A2E"/>
    <w:rsid w:val="007D6E61"/>
    <w:rsid w:val="007D72FD"/>
    <w:rsid w:val="007D79CB"/>
    <w:rsid w:val="007E012B"/>
    <w:rsid w:val="007E0165"/>
    <w:rsid w:val="007E0793"/>
    <w:rsid w:val="007E0DE5"/>
    <w:rsid w:val="007E0EDF"/>
    <w:rsid w:val="007E1381"/>
    <w:rsid w:val="007E1B7C"/>
    <w:rsid w:val="007E2512"/>
    <w:rsid w:val="007E2AFA"/>
    <w:rsid w:val="007E3376"/>
    <w:rsid w:val="007E3961"/>
    <w:rsid w:val="007E3AD9"/>
    <w:rsid w:val="007E3D97"/>
    <w:rsid w:val="007E422A"/>
    <w:rsid w:val="007E4680"/>
    <w:rsid w:val="007E476A"/>
    <w:rsid w:val="007E4A48"/>
    <w:rsid w:val="007E5119"/>
    <w:rsid w:val="007E52BB"/>
    <w:rsid w:val="007E5611"/>
    <w:rsid w:val="007E567B"/>
    <w:rsid w:val="007E5F94"/>
    <w:rsid w:val="007E6082"/>
    <w:rsid w:val="007E61C5"/>
    <w:rsid w:val="007E683E"/>
    <w:rsid w:val="007E68E9"/>
    <w:rsid w:val="007E6ADE"/>
    <w:rsid w:val="007E7460"/>
    <w:rsid w:val="007E78DC"/>
    <w:rsid w:val="007E7912"/>
    <w:rsid w:val="007E7CEB"/>
    <w:rsid w:val="007E7ED9"/>
    <w:rsid w:val="007F017C"/>
    <w:rsid w:val="007F0DD7"/>
    <w:rsid w:val="007F0E34"/>
    <w:rsid w:val="007F104C"/>
    <w:rsid w:val="007F1051"/>
    <w:rsid w:val="007F129C"/>
    <w:rsid w:val="007F15C0"/>
    <w:rsid w:val="007F1D4B"/>
    <w:rsid w:val="007F32C6"/>
    <w:rsid w:val="007F3628"/>
    <w:rsid w:val="007F3914"/>
    <w:rsid w:val="007F3A6A"/>
    <w:rsid w:val="007F3D34"/>
    <w:rsid w:val="007F42AC"/>
    <w:rsid w:val="007F4A61"/>
    <w:rsid w:val="007F53D8"/>
    <w:rsid w:val="007F540F"/>
    <w:rsid w:val="007F59BF"/>
    <w:rsid w:val="007F5A4F"/>
    <w:rsid w:val="007F5BE8"/>
    <w:rsid w:val="007F5F41"/>
    <w:rsid w:val="007F64C8"/>
    <w:rsid w:val="007F660A"/>
    <w:rsid w:val="007F68F6"/>
    <w:rsid w:val="007F6EF9"/>
    <w:rsid w:val="007F77F7"/>
    <w:rsid w:val="007F7BFE"/>
    <w:rsid w:val="007F7D93"/>
    <w:rsid w:val="007F7DBC"/>
    <w:rsid w:val="00800218"/>
    <w:rsid w:val="008003DA"/>
    <w:rsid w:val="00800CBB"/>
    <w:rsid w:val="00800E74"/>
    <w:rsid w:val="008010BD"/>
    <w:rsid w:val="008011E1"/>
    <w:rsid w:val="0080123D"/>
    <w:rsid w:val="0080167F"/>
    <w:rsid w:val="00801B85"/>
    <w:rsid w:val="0080306C"/>
    <w:rsid w:val="008032B0"/>
    <w:rsid w:val="00803485"/>
    <w:rsid w:val="00803C6E"/>
    <w:rsid w:val="00803FC7"/>
    <w:rsid w:val="008040FE"/>
    <w:rsid w:val="00804116"/>
    <w:rsid w:val="00804280"/>
    <w:rsid w:val="008048B5"/>
    <w:rsid w:val="008057FB"/>
    <w:rsid w:val="00805A60"/>
    <w:rsid w:val="00805BDD"/>
    <w:rsid w:val="00806165"/>
    <w:rsid w:val="00806866"/>
    <w:rsid w:val="00807BA1"/>
    <w:rsid w:val="008105C5"/>
    <w:rsid w:val="00810D99"/>
    <w:rsid w:val="00811492"/>
    <w:rsid w:val="00811940"/>
    <w:rsid w:val="00811B57"/>
    <w:rsid w:val="008128D1"/>
    <w:rsid w:val="00812F37"/>
    <w:rsid w:val="0081389A"/>
    <w:rsid w:val="00813A46"/>
    <w:rsid w:val="00813A5B"/>
    <w:rsid w:val="00813A7E"/>
    <w:rsid w:val="00813FF9"/>
    <w:rsid w:val="00814E49"/>
    <w:rsid w:val="00814E90"/>
    <w:rsid w:val="00814F6A"/>
    <w:rsid w:val="0081533C"/>
    <w:rsid w:val="00815B99"/>
    <w:rsid w:val="00815F8F"/>
    <w:rsid w:val="0081626D"/>
    <w:rsid w:val="0082016F"/>
    <w:rsid w:val="00820216"/>
    <w:rsid w:val="00820786"/>
    <w:rsid w:val="00820DC5"/>
    <w:rsid w:val="00820DFA"/>
    <w:rsid w:val="0082193E"/>
    <w:rsid w:val="00821B15"/>
    <w:rsid w:val="00822A81"/>
    <w:rsid w:val="00822D51"/>
    <w:rsid w:val="00822D82"/>
    <w:rsid w:val="00822DF3"/>
    <w:rsid w:val="008235D8"/>
    <w:rsid w:val="00823AC6"/>
    <w:rsid w:val="00823EE5"/>
    <w:rsid w:val="00824460"/>
    <w:rsid w:val="0082473F"/>
    <w:rsid w:val="0082479B"/>
    <w:rsid w:val="008249F2"/>
    <w:rsid w:val="00824BE2"/>
    <w:rsid w:val="00824C77"/>
    <w:rsid w:val="00824E70"/>
    <w:rsid w:val="008251D0"/>
    <w:rsid w:val="008259AB"/>
    <w:rsid w:val="00825D85"/>
    <w:rsid w:val="00826074"/>
    <w:rsid w:val="00826509"/>
    <w:rsid w:val="00826B68"/>
    <w:rsid w:val="00826D46"/>
    <w:rsid w:val="00827048"/>
    <w:rsid w:val="008272D2"/>
    <w:rsid w:val="00827F20"/>
    <w:rsid w:val="00830E98"/>
    <w:rsid w:val="008314A8"/>
    <w:rsid w:val="008318F3"/>
    <w:rsid w:val="00831D06"/>
    <w:rsid w:val="00831DC1"/>
    <w:rsid w:val="00832095"/>
    <w:rsid w:val="00832589"/>
    <w:rsid w:val="008326D8"/>
    <w:rsid w:val="008331CC"/>
    <w:rsid w:val="00833557"/>
    <w:rsid w:val="008336BB"/>
    <w:rsid w:val="008339CC"/>
    <w:rsid w:val="0083405B"/>
    <w:rsid w:val="0083408F"/>
    <w:rsid w:val="0083504D"/>
    <w:rsid w:val="00835475"/>
    <w:rsid w:val="00835C4F"/>
    <w:rsid w:val="00836412"/>
    <w:rsid w:val="00836F91"/>
    <w:rsid w:val="008373BF"/>
    <w:rsid w:val="00837A75"/>
    <w:rsid w:val="00837CDB"/>
    <w:rsid w:val="008400FA"/>
    <w:rsid w:val="008405C2"/>
    <w:rsid w:val="00840C7E"/>
    <w:rsid w:val="008414E6"/>
    <w:rsid w:val="008421F9"/>
    <w:rsid w:val="008422CA"/>
    <w:rsid w:val="00842EE9"/>
    <w:rsid w:val="0084355F"/>
    <w:rsid w:val="008439B5"/>
    <w:rsid w:val="008439F8"/>
    <w:rsid w:val="0084408D"/>
    <w:rsid w:val="008441B5"/>
    <w:rsid w:val="00844354"/>
    <w:rsid w:val="0084441A"/>
    <w:rsid w:val="0084450B"/>
    <w:rsid w:val="00844D09"/>
    <w:rsid w:val="00844DB4"/>
    <w:rsid w:val="00844F99"/>
    <w:rsid w:val="008450EB"/>
    <w:rsid w:val="00845592"/>
    <w:rsid w:val="00845BC7"/>
    <w:rsid w:val="00845C1C"/>
    <w:rsid w:val="00845C4C"/>
    <w:rsid w:val="00846201"/>
    <w:rsid w:val="008462C5"/>
    <w:rsid w:val="008462F2"/>
    <w:rsid w:val="008464E7"/>
    <w:rsid w:val="00846BAC"/>
    <w:rsid w:val="00846FA3"/>
    <w:rsid w:val="00847349"/>
    <w:rsid w:val="008475E3"/>
    <w:rsid w:val="00847733"/>
    <w:rsid w:val="00847B68"/>
    <w:rsid w:val="00847CE0"/>
    <w:rsid w:val="00850107"/>
    <w:rsid w:val="008506B9"/>
    <w:rsid w:val="00850A19"/>
    <w:rsid w:val="00850FD8"/>
    <w:rsid w:val="008514EC"/>
    <w:rsid w:val="008515B8"/>
    <w:rsid w:val="008515F0"/>
    <w:rsid w:val="00851D74"/>
    <w:rsid w:val="00851FAF"/>
    <w:rsid w:val="00852154"/>
    <w:rsid w:val="00852582"/>
    <w:rsid w:val="008526B2"/>
    <w:rsid w:val="00852A97"/>
    <w:rsid w:val="00852AF3"/>
    <w:rsid w:val="00852C0F"/>
    <w:rsid w:val="0085322A"/>
    <w:rsid w:val="008532D8"/>
    <w:rsid w:val="00853D41"/>
    <w:rsid w:val="00853E8D"/>
    <w:rsid w:val="008543D2"/>
    <w:rsid w:val="008556E7"/>
    <w:rsid w:val="00855D82"/>
    <w:rsid w:val="00855F8F"/>
    <w:rsid w:val="008561D6"/>
    <w:rsid w:val="00856723"/>
    <w:rsid w:val="008568DF"/>
    <w:rsid w:val="00856941"/>
    <w:rsid w:val="00856A83"/>
    <w:rsid w:val="00856AEA"/>
    <w:rsid w:val="00856B08"/>
    <w:rsid w:val="00857169"/>
    <w:rsid w:val="008571B8"/>
    <w:rsid w:val="008577E0"/>
    <w:rsid w:val="00857B48"/>
    <w:rsid w:val="00857CEF"/>
    <w:rsid w:val="00857D6F"/>
    <w:rsid w:val="00860290"/>
    <w:rsid w:val="00860A2E"/>
    <w:rsid w:val="00860E6E"/>
    <w:rsid w:val="00861213"/>
    <w:rsid w:val="008612BD"/>
    <w:rsid w:val="00862593"/>
    <w:rsid w:val="008628CD"/>
    <w:rsid w:val="008629AD"/>
    <w:rsid w:val="00862C7D"/>
    <w:rsid w:val="00863079"/>
    <w:rsid w:val="0086332C"/>
    <w:rsid w:val="0086364B"/>
    <w:rsid w:val="008637DE"/>
    <w:rsid w:val="00863D7D"/>
    <w:rsid w:val="00864186"/>
    <w:rsid w:val="0086422A"/>
    <w:rsid w:val="0086463C"/>
    <w:rsid w:val="00864727"/>
    <w:rsid w:val="00864C55"/>
    <w:rsid w:val="00865055"/>
    <w:rsid w:val="00865813"/>
    <w:rsid w:val="00866442"/>
    <w:rsid w:val="00866A3B"/>
    <w:rsid w:val="00866F42"/>
    <w:rsid w:val="0086716E"/>
    <w:rsid w:val="008708A8"/>
    <w:rsid w:val="008714B8"/>
    <w:rsid w:val="008716F3"/>
    <w:rsid w:val="0087185C"/>
    <w:rsid w:val="00871D0D"/>
    <w:rsid w:val="008723D9"/>
    <w:rsid w:val="00872C25"/>
    <w:rsid w:val="00872DD2"/>
    <w:rsid w:val="00872F7A"/>
    <w:rsid w:val="008733AA"/>
    <w:rsid w:val="008739D1"/>
    <w:rsid w:val="00873B9E"/>
    <w:rsid w:val="00873DBA"/>
    <w:rsid w:val="00874C45"/>
    <w:rsid w:val="008752B4"/>
    <w:rsid w:val="00875887"/>
    <w:rsid w:val="00875BA7"/>
    <w:rsid w:val="00876047"/>
    <w:rsid w:val="00876A9E"/>
    <w:rsid w:val="00876FE5"/>
    <w:rsid w:val="008771CB"/>
    <w:rsid w:val="00877518"/>
    <w:rsid w:val="00877AAA"/>
    <w:rsid w:val="00877B59"/>
    <w:rsid w:val="00877D38"/>
    <w:rsid w:val="00877D7A"/>
    <w:rsid w:val="00877E89"/>
    <w:rsid w:val="00880090"/>
    <w:rsid w:val="0088059A"/>
    <w:rsid w:val="008805CF"/>
    <w:rsid w:val="008805EA"/>
    <w:rsid w:val="00880FE5"/>
    <w:rsid w:val="0088100B"/>
    <w:rsid w:val="008828B0"/>
    <w:rsid w:val="00882E4B"/>
    <w:rsid w:val="0088337A"/>
    <w:rsid w:val="008834D4"/>
    <w:rsid w:val="0088366C"/>
    <w:rsid w:val="00883B78"/>
    <w:rsid w:val="00883D0A"/>
    <w:rsid w:val="00883D44"/>
    <w:rsid w:val="00883D79"/>
    <w:rsid w:val="00883DAC"/>
    <w:rsid w:val="0088408F"/>
    <w:rsid w:val="00885005"/>
    <w:rsid w:val="00885391"/>
    <w:rsid w:val="008856D6"/>
    <w:rsid w:val="008858A3"/>
    <w:rsid w:val="00885D11"/>
    <w:rsid w:val="00886B6F"/>
    <w:rsid w:val="00886D5A"/>
    <w:rsid w:val="00887230"/>
    <w:rsid w:val="00887292"/>
    <w:rsid w:val="00887A58"/>
    <w:rsid w:val="00887E6C"/>
    <w:rsid w:val="00887EDC"/>
    <w:rsid w:val="0089015E"/>
    <w:rsid w:val="008902D3"/>
    <w:rsid w:val="00890B2C"/>
    <w:rsid w:val="00890E39"/>
    <w:rsid w:val="00891738"/>
    <w:rsid w:val="0089194A"/>
    <w:rsid w:val="00891A4C"/>
    <w:rsid w:val="008920A1"/>
    <w:rsid w:val="008920DB"/>
    <w:rsid w:val="00892165"/>
    <w:rsid w:val="008921FF"/>
    <w:rsid w:val="00892452"/>
    <w:rsid w:val="00892AA1"/>
    <w:rsid w:val="00892C41"/>
    <w:rsid w:val="00892F03"/>
    <w:rsid w:val="00892F60"/>
    <w:rsid w:val="0089308E"/>
    <w:rsid w:val="00893096"/>
    <w:rsid w:val="00893129"/>
    <w:rsid w:val="008933C5"/>
    <w:rsid w:val="00893595"/>
    <w:rsid w:val="008935F8"/>
    <w:rsid w:val="00893A62"/>
    <w:rsid w:val="00893F1A"/>
    <w:rsid w:val="00894307"/>
    <w:rsid w:val="00894390"/>
    <w:rsid w:val="00894445"/>
    <w:rsid w:val="0089469B"/>
    <w:rsid w:val="008953A3"/>
    <w:rsid w:val="00895740"/>
    <w:rsid w:val="00895A11"/>
    <w:rsid w:val="00895B9E"/>
    <w:rsid w:val="00896209"/>
    <w:rsid w:val="0089739B"/>
    <w:rsid w:val="008973BD"/>
    <w:rsid w:val="008A0B7B"/>
    <w:rsid w:val="008A0B81"/>
    <w:rsid w:val="008A1434"/>
    <w:rsid w:val="008A15C1"/>
    <w:rsid w:val="008A15EE"/>
    <w:rsid w:val="008A19FD"/>
    <w:rsid w:val="008A1FA8"/>
    <w:rsid w:val="008A26C3"/>
    <w:rsid w:val="008A3246"/>
    <w:rsid w:val="008A3409"/>
    <w:rsid w:val="008A39E9"/>
    <w:rsid w:val="008A40D8"/>
    <w:rsid w:val="008A41B6"/>
    <w:rsid w:val="008A4365"/>
    <w:rsid w:val="008A4FEE"/>
    <w:rsid w:val="008A5715"/>
    <w:rsid w:val="008A5747"/>
    <w:rsid w:val="008A5818"/>
    <w:rsid w:val="008A5B0E"/>
    <w:rsid w:val="008A6723"/>
    <w:rsid w:val="008A681F"/>
    <w:rsid w:val="008A6BCF"/>
    <w:rsid w:val="008A7434"/>
    <w:rsid w:val="008A7B99"/>
    <w:rsid w:val="008B00DB"/>
    <w:rsid w:val="008B08D0"/>
    <w:rsid w:val="008B11F7"/>
    <w:rsid w:val="008B1876"/>
    <w:rsid w:val="008B1AA0"/>
    <w:rsid w:val="008B29C5"/>
    <w:rsid w:val="008B2C74"/>
    <w:rsid w:val="008B2D8C"/>
    <w:rsid w:val="008B309C"/>
    <w:rsid w:val="008B30F3"/>
    <w:rsid w:val="008B31A9"/>
    <w:rsid w:val="008B3521"/>
    <w:rsid w:val="008B3665"/>
    <w:rsid w:val="008B36DE"/>
    <w:rsid w:val="008B37AD"/>
    <w:rsid w:val="008B37DB"/>
    <w:rsid w:val="008B3835"/>
    <w:rsid w:val="008B3CB4"/>
    <w:rsid w:val="008B3F4C"/>
    <w:rsid w:val="008B42B8"/>
    <w:rsid w:val="008B43C1"/>
    <w:rsid w:val="008B4A8B"/>
    <w:rsid w:val="008B4BE7"/>
    <w:rsid w:val="008B4F0B"/>
    <w:rsid w:val="008B4F81"/>
    <w:rsid w:val="008B5713"/>
    <w:rsid w:val="008B5A46"/>
    <w:rsid w:val="008B5E91"/>
    <w:rsid w:val="008B6B35"/>
    <w:rsid w:val="008B6F34"/>
    <w:rsid w:val="008B72D6"/>
    <w:rsid w:val="008B7532"/>
    <w:rsid w:val="008C1568"/>
    <w:rsid w:val="008C1E08"/>
    <w:rsid w:val="008C2FA0"/>
    <w:rsid w:val="008C357B"/>
    <w:rsid w:val="008C37E3"/>
    <w:rsid w:val="008C49F4"/>
    <w:rsid w:val="008C4C96"/>
    <w:rsid w:val="008C4CCE"/>
    <w:rsid w:val="008C4E12"/>
    <w:rsid w:val="008C50E2"/>
    <w:rsid w:val="008C6292"/>
    <w:rsid w:val="008C6305"/>
    <w:rsid w:val="008C6CAF"/>
    <w:rsid w:val="008C703C"/>
    <w:rsid w:val="008C716B"/>
    <w:rsid w:val="008C72A1"/>
    <w:rsid w:val="008C745B"/>
    <w:rsid w:val="008C76AC"/>
    <w:rsid w:val="008C7D17"/>
    <w:rsid w:val="008D032E"/>
    <w:rsid w:val="008D05CF"/>
    <w:rsid w:val="008D080C"/>
    <w:rsid w:val="008D0958"/>
    <w:rsid w:val="008D0A1C"/>
    <w:rsid w:val="008D0ECE"/>
    <w:rsid w:val="008D12E2"/>
    <w:rsid w:val="008D14CD"/>
    <w:rsid w:val="008D1773"/>
    <w:rsid w:val="008D17F2"/>
    <w:rsid w:val="008D22C8"/>
    <w:rsid w:val="008D2AE1"/>
    <w:rsid w:val="008D2BB6"/>
    <w:rsid w:val="008D2F89"/>
    <w:rsid w:val="008D3583"/>
    <w:rsid w:val="008D3631"/>
    <w:rsid w:val="008D383A"/>
    <w:rsid w:val="008D3B33"/>
    <w:rsid w:val="008D3D04"/>
    <w:rsid w:val="008D3D29"/>
    <w:rsid w:val="008D4364"/>
    <w:rsid w:val="008D43EB"/>
    <w:rsid w:val="008D4A36"/>
    <w:rsid w:val="008D4B23"/>
    <w:rsid w:val="008D4E73"/>
    <w:rsid w:val="008D5193"/>
    <w:rsid w:val="008D5913"/>
    <w:rsid w:val="008D5BC4"/>
    <w:rsid w:val="008D5D8F"/>
    <w:rsid w:val="008D5FFE"/>
    <w:rsid w:val="008D6016"/>
    <w:rsid w:val="008D6271"/>
    <w:rsid w:val="008D62D8"/>
    <w:rsid w:val="008D6487"/>
    <w:rsid w:val="008D7008"/>
    <w:rsid w:val="008D72E7"/>
    <w:rsid w:val="008D7D13"/>
    <w:rsid w:val="008E077D"/>
    <w:rsid w:val="008E0906"/>
    <w:rsid w:val="008E0B07"/>
    <w:rsid w:val="008E1C66"/>
    <w:rsid w:val="008E1ECB"/>
    <w:rsid w:val="008E29B1"/>
    <w:rsid w:val="008E2A56"/>
    <w:rsid w:val="008E3156"/>
    <w:rsid w:val="008E31B1"/>
    <w:rsid w:val="008E355F"/>
    <w:rsid w:val="008E379E"/>
    <w:rsid w:val="008E4967"/>
    <w:rsid w:val="008E529B"/>
    <w:rsid w:val="008E54CA"/>
    <w:rsid w:val="008E5868"/>
    <w:rsid w:val="008E5F85"/>
    <w:rsid w:val="008E617B"/>
    <w:rsid w:val="008E6209"/>
    <w:rsid w:val="008E64EB"/>
    <w:rsid w:val="008E713B"/>
    <w:rsid w:val="008E77A4"/>
    <w:rsid w:val="008E7D42"/>
    <w:rsid w:val="008F09B9"/>
    <w:rsid w:val="008F0B5C"/>
    <w:rsid w:val="008F1053"/>
    <w:rsid w:val="008F17F9"/>
    <w:rsid w:val="008F18FB"/>
    <w:rsid w:val="008F1A1E"/>
    <w:rsid w:val="008F1AFF"/>
    <w:rsid w:val="008F1CFC"/>
    <w:rsid w:val="008F21BC"/>
    <w:rsid w:val="008F22E2"/>
    <w:rsid w:val="008F23C9"/>
    <w:rsid w:val="008F2413"/>
    <w:rsid w:val="008F27EB"/>
    <w:rsid w:val="008F293B"/>
    <w:rsid w:val="008F2D3E"/>
    <w:rsid w:val="008F3103"/>
    <w:rsid w:val="008F315F"/>
    <w:rsid w:val="008F4A2F"/>
    <w:rsid w:val="008F5A15"/>
    <w:rsid w:val="008F61E7"/>
    <w:rsid w:val="008F6A1A"/>
    <w:rsid w:val="008F7095"/>
    <w:rsid w:val="008F7342"/>
    <w:rsid w:val="008F73F2"/>
    <w:rsid w:val="008F79C5"/>
    <w:rsid w:val="008F7A67"/>
    <w:rsid w:val="008F7B75"/>
    <w:rsid w:val="008F7F8D"/>
    <w:rsid w:val="0090093A"/>
    <w:rsid w:val="00900A4C"/>
    <w:rsid w:val="00901169"/>
    <w:rsid w:val="00901500"/>
    <w:rsid w:val="00901559"/>
    <w:rsid w:val="009016C0"/>
    <w:rsid w:val="00901BAD"/>
    <w:rsid w:val="009022C7"/>
    <w:rsid w:val="009027F2"/>
    <w:rsid w:val="00902CB0"/>
    <w:rsid w:val="00902DC1"/>
    <w:rsid w:val="00903210"/>
    <w:rsid w:val="009038EF"/>
    <w:rsid w:val="0090402A"/>
    <w:rsid w:val="0090420C"/>
    <w:rsid w:val="00904BEC"/>
    <w:rsid w:val="00904C11"/>
    <w:rsid w:val="00905301"/>
    <w:rsid w:val="00905363"/>
    <w:rsid w:val="00905BF1"/>
    <w:rsid w:val="009060AD"/>
    <w:rsid w:val="009064BF"/>
    <w:rsid w:val="00906B97"/>
    <w:rsid w:val="00907076"/>
    <w:rsid w:val="009072A0"/>
    <w:rsid w:val="0090764D"/>
    <w:rsid w:val="00907B71"/>
    <w:rsid w:val="0091035C"/>
    <w:rsid w:val="0091075C"/>
    <w:rsid w:val="0091093E"/>
    <w:rsid w:val="00910A9A"/>
    <w:rsid w:val="00910AE7"/>
    <w:rsid w:val="00910B58"/>
    <w:rsid w:val="00910EE5"/>
    <w:rsid w:val="00910F63"/>
    <w:rsid w:val="00911394"/>
    <w:rsid w:val="00911780"/>
    <w:rsid w:val="009117C6"/>
    <w:rsid w:val="00911B39"/>
    <w:rsid w:val="009122A0"/>
    <w:rsid w:val="00912347"/>
    <w:rsid w:val="00912B5B"/>
    <w:rsid w:val="00912CA5"/>
    <w:rsid w:val="0091327D"/>
    <w:rsid w:val="00913328"/>
    <w:rsid w:val="0091351C"/>
    <w:rsid w:val="00913675"/>
    <w:rsid w:val="00914068"/>
    <w:rsid w:val="00914EE5"/>
    <w:rsid w:val="009159EA"/>
    <w:rsid w:val="00915E06"/>
    <w:rsid w:val="009162BA"/>
    <w:rsid w:val="00917898"/>
    <w:rsid w:val="0092021F"/>
    <w:rsid w:val="009205DB"/>
    <w:rsid w:val="0092091A"/>
    <w:rsid w:val="00921395"/>
    <w:rsid w:val="00921400"/>
    <w:rsid w:val="00921764"/>
    <w:rsid w:val="00921A38"/>
    <w:rsid w:val="00922C5E"/>
    <w:rsid w:val="00923210"/>
    <w:rsid w:val="00923CCB"/>
    <w:rsid w:val="0092402B"/>
    <w:rsid w:val="00924101"/>
    <w:rsid w:val="009241D2"/>
    <w:rsid w:val="00924DAE"/>
    <w:rsid w:val="009259EF"/>
    <w:rsid w:val="00926F57"/>
    <w:rsid w:val="00927A41"/>
    <w:rsid w:val="009300DD"/>
    <w:rsid w:val="0093059E"/>
    <w:rsid w:val="00930989"/>
    <w:rsid w:val="00931383"/>
    <w:rsid w:val="00931E7B"/>
    <w:rsid w:val="0093235C"/>
    <w:rsid w:val="00932F9D"/>
    <w:rsid w:val="00933212"/>
    <w:rsid w:val="0093330E"/>
    <w:rsid w:val="0093349C"/>
    <w:rsid w:val="00933A67"/>
    <w:rsid w:val="00933F99"/>
    <w:rsid w:val="00934092"/>
    <w:rsid w:val="00934B70"/>
    <w:rsid w:val="00935C29"/>
    <w:rsid w:val="00935FEE"/>
    <w:rsid w:val="0093621C"/>
    <w:rsid w:val="009370E6"/>
    <w:rsid w:val="00937664"/>
    <w:rsid w:val="0093781F"/>
    <w:rsid w:val="00937BE2"/>
    <w:rsid w:val="009401A0"/>
    <w:rsid w:val="009405A1"/>
    <w:rsid w:val="00940950"/>
    <w:rsid w:val="009413EA"/>
    <w:rsid w:val="00941450"/>
    <w:rsid w:val="0094188D"/>
    <w:rsid w:val="00941DDD"/>
    <w:rsid w:val="0094201D"/>
    <w:rsid w:val="009420A8"/>
    <w:rsid w:val="0094262A"/>
    <w:rsid w:val="00942A2C"/>
    <w:rsid w:val="009430AF"/>
    <w:rsid w:val="009432C3"/>
    <w:rsid w:val="009434F5"/>
    <w:rsid w:val="009435D1"/>
    <w:rsid w:val="00943A82"/>
    <w:rsid w:val="00943D8B"/>
    <w:rsid w:val="009447A2"/>
    <w:rsid w:val="009454E7"/>
    <w:rsid w:val="0094592E"/>
    <w:rsid w:val="009459F1"/>
    <w:rsid w:val="00945BCB"/>
    <w:rsid w:val="00945F85"/>
    <w:rsid w:val="0094602C"/>
    <w:rsid w:val="00946307"/>
    <w:rsid w:val="0094645F"/>
    <w:rsid w:val="0094652A"/>
    <w:rsid w:val="00946955"/>
    <w:rsid w:val="00946C38"/>
    <w:rsid w:val="0094721A"/>
    <w:rsid w:val="00947DC3"/>
    <w:rsid w:val="0095060E"/>
    <w:rsid w:val="00950F00"/>
    <w:rsid w:val="009512C4"/>
    <w:rsid w:val="009519C2"/>
    <w:rsid w:val="00951C34"/>
    <w:rsid w:val="00951E3A"/>
    <w:rsid w:val="009522F5"/>
    <w:rsid w:val="00952AAA"/>
    <w:rsid w:val="00953378"/>
    <w:rsid w:val="009536E1"/>
    <w:rsid w:val="00954AED"/>
    <w:rsid w:val="00955243"/>
    <w:rsid w:val="009556D5"/>
    <w:rsid w:val="00955EC8"/>
    <w:rsid w:val="00955FF0"/>
    <w:rsid w:val="00956347"/>
    <w:rsid w:val="00956762"/>
    <w:rsid w:val="0095686F"/>
    <w:rsid w:val="00956DDE"/>
    <w:rsid w:val="009574D8"/>
    <w:rsid w:val="00960705"/>
    <w:rsid w:val="0096079E"/>
    <w:rsid w:val="00960869"/>
    <w:rsid w:val="0096089E"/>
    <w:rsid w:val="00960C4F"/>
    <w:rsid w:val="00960E38"/>
    <w:rsid w:val="00960E64"/>
    <w:rsid w:val="00960E71"/>
    <w:rsid w:val="00961473"/>
    <w:rsid w:val="009614CD"/>
    <w:rsid w:val="0096158E"/>
    <w:rsid w:val="00961949"/>
    <w:rsid w:val="00961CBD"/>
    <w:rsid w:val="00961E28"/>
    <w:rsid w:val="00962FA3"/>
    <w:rsid w:val="00963385"/>
    <w:rsid w:val="009633F9"/>
    <w:rsid w:val="00963590"/>
    <w:rsid w:val="009635AB"/>
    <w:rsid w:val="0096407A"/>
    <w:rsid w:val="009645C3"/>
    <w:rsid w:val="0096517B"/>
    <w:rsid w:val="0096546D"/>
    <w:rsid w:val="009654E0"/>
    <w:rsid w:val="00965799"/>
    <w:rsid w:val="009658CB"/>
    <w:rsid w:val="00965B81"/>
    <w:rsid w:val="00965BAC"/>
    <w:rsid w:val="009667D8"/>
    <w:rsid w:val="00967054"/>
    <w:rsid w:val="009670F8"/>
    <w:rsid w:val="009671DB"/>
    <w:rsid w:val="0097016B"/>
    <w:rsid w:val="0097035C"/>
    <w:rsid w:val="009704E3"/>
    <w:rsid w:val="0097091F"/>
    <w:rsid w:val="00970A64"/>
    <w:rsid w:val="00970E1B"/>
    <w:rsid w:val="009710B1"/>
    <w:rsid w:val="00971668"/>
    <w:rsid w:val="00971C70"/>
    <w:rsid w:val="00971D5E"/>
    <w:rsid w:val="00971DC6"/>
    <w:rsid w:val="00972657"/>
    <w:rsid w:val="0097275E"/>
    <w:rsid w:val="00972E5D"/>
    <w:rsid w:val="0097354D"/>
    <w:rsid w:val="00975118"/>
    <w:rsid w:val="00975194"/>
    <w:rsid w:val="009752CA"/>
    <w:rsid w:val="0097535B"/>
    <w:rsid w:val="00975385"/>
    <w:rsid w:val="00975CC7"/>
    <w:rsid w:val="00975E55"/>
    <w:rsid w:val="00976109"/>
    <w:rsid w:val="0097637C"/>
    <w:rsid w:val="009769A4"/>
    <w:rsid w:val="00977969"/>
    <w:rsid w:val="00977DC9"/>
    <w:rsid w:val="0098039B"/>
    <w:rsid w:val="0098053C"/>
    <w:rsid w:val="009805F4"/>
    <w:rsid w:val="0098073F"/>
    <w:rsid w:val="009808DF"/>
    <w:rsid w:val="00981591"/>
    <w:rsid w:val="0098172D"/>
    <w:rsid w:val="009819F7"/>
    <w:rsid w:val="00981F9D"/>
    <w:rsid w:val="00982C94"/>
    <w:rsid w:val="00983152"/>
    <w:rsid w:val="0098337D"/>
    <w:rsid w:val="009837CA"/>
    <w:rsid w:val="00983DA5"/>
    <w:rsid w:val="0098523E"/>
    <w:rsid w:val="0098590E"/>
    <w:rsid w:val="0098608A"/>
    <w:rsid w:val="009865A6"/>
    <w:rsid w:val="00986A7C"/>
    <w:rsid w:val="00986DE2"/>
    <w:rsid w:val="00986F87"/>
    <w:rsid w:val="009872FC"/>
    <w:rsid w:val="00987DD6"/>
    <w:rsid w:val="00987F04"/>
    <w:rsid w:val="00987FA3"/>
    <w:rsid w:val="00990590"/>
    <w:rsid w:val="00990CF4"/>
    <w:rsid w:val="00990F9A"/>
    <w:rsid w:val="00991113"/>
    <w:rsid w:val="00991323"/>
    <w:rsid w:val="00991747"/>
    <w:rsid w:val="0099260A"/>
    <w:rsid w:val="00992D0B"/>
    <w:rsid w:val="00992DB2"/>
    <w:rsid w:val="00993A3B"/>
    <w:rsid w:val="00993B1D"/>
    <w:rsid w:val="00993C0B"/>
    <w:rsid w:val="00993CA4"/>
    <w:rsid w:val="00993CC4"/>
    <w:rsid w:val="0099409E"/>
    <w:rsid w:val="009949A3"/>
    <w:rsid w:val="00994A45"/>
    <w:rsid w:val="00994FDD"/>
    <w:rsid w:val="00995709"/>
    <w:rsid w:val="00995717"/>
    <w:rsid w:val="00996398"/>
    <w:rsid w:val="00996E70"/>
    <w:rsid w:val="009971B7"/>
    <w:rsid w:val="00997311"/>
    <w:rsid w:val="009975CE"/>
    <w:rsid w:val="00997BFA"/>
    <w:rsid w:val="009A1C68"/>
    <w:rsid w:val="009A1F6A"/>
    <w:rsid w:val="009A2119"/>
    <w:rsid w:val="009A2781"/>
    <w:rsid w:val="009A27B1"/>
    <w:rsid w:val="009A2D80"/>
    <w:rsid w:val="009A302B"/>
    <w:rsid w:val="009A346D"/>
    <w:rsid w:val="009A3895"/>
    <w:rsid w:val="009A38CB"/>
    <w:rsid w:val="009A4918"/>
    <w:rsid w:val="009A5795"/>
    <w:rsid w:val="009A60AC"/>
    <w:rsid w:val="009A60CA"/>
    <w:rsid w:val="009A6585"/>
    <w:rsid w:val="009A6AFA"/>
    <w:rsid w:val="009A6C8F"/>
    <w:rsid w:val="009A750F"/>
    <w:rsid w:val="009B032B"/>
    <w:rsid w:val="009B078E"/>
    <w:rsid w:val="009B1327"/>
    <w:rsid w:val="009B16D5"/>
    <w:rsid w:val="009B19FE"/>
    <w:rsid w:val="009B1EEF"/>
    <w:rsid w:val="009B1F0C"/>
    <w:rsid w:val="009B20E1"/>
    <w:rsid w:val="009B2148"/>
    <w:rsid w:val="009B244D"/>
    <w:rsid w:val="009B254D"/>
    <w:rsid w:val="009B25CA"/>
    <w:rsid w:val="009B334A"/>
    <w:rsid w:val="009B370C"/>
    <w:rsid w:val="009B3883"/>
    <w:rsid w:val="009B3E86"/>
    <w:rsid w:val="009B3FA3"/>
    <w:rsid w:val="009B4B02"/>
    <w:rsid w:val="009B550B"/>
    <w:rsid w:val="009B6AD9"/>
    <w:rsid w:val="009B6B7D"/>
    <w:rsid w:val="009B792C"/>
    <w:rsid w:val="009B79A1"/>
    <w:rsid w:val="009C01E9"/>
    <w:rsid w:val="009C06ED"/>
    <w:rsid w:val="009C0C54"/>
    <w:rsid w:val="009C0D9F"/>
    <w:rsid w:val="009C18AB"/>
    <w:rsid w:val="009C1C40"/>
    <w:rsid w:val="009C1E5C"/>
    <w:rsid w:val="009C1E6C"/>
    <w:rsid w:val="009C2325"/>
    <w:rsid w:val="009C3577"/>
    <w:rsid w:val="009C3942"/>
    <w:rsid w:val="009C413A"/>
    <w:rsid w:val="009C4C06"/>
    <w:rsid w:val="009C53D5"/>
    <w:rsid w:val="009C5551"/>
    <w:rsid w:val="009C5DE4"/>
    <w:rsid w:val="009C6521"/>
    <w:rsid w:val="009C65FC"/>
    <w:rsid w:val="009C6E87"/>
    <w:rsid w:val="009C7058"/>
    <w:rsid w:val="009C748A"/>
    <w:rsid w:val="009C7ACB"/>
    <w:rsid w:val="009C7E72"/>
    <w:rsid w:val="009D0B7A"/>
    <w:rsid w:val="009D163C"/>
    <w:rsid w:val="009D16EF"/>
    <w:rsid w:val="009D180D"/>
    <w:rsid w:val="009D1B32"/>
    <w:rsid w:val="009D1B37"/>
    <w:rsid w:val="009D1B55"/>
    <w:rsid w:val="009D1DD4"/>
    <w:rsid w:val="009D22D2"/>
    <w:rsid w:val="009D257C"/>
    <w:rsid w:val="009D2952"/>
    <w:rsid w:val="009D2C6D"/>
    <w:rsid w:val="009D2CB6"/>
    <w:rsid w:val="009D2EFB"/>
    <w:rsid w:val="009D39EB"/>
    <w:rsid w:val="009D3B3D"/>
    <w:rsid w:val="009D3D82"/>
    <w:rsid w:val="009D40E6"/>
    <w:rsid w:val="009D41A7"/>
    <w:rsid w:val="009D56A4"/>
    <w:rsid w:val="009D56D6"/>
    <w:rsid w:val="009D578E"/>
    <w:rsid w:val="009D586B"/>
    <w:rsid w:val="009D5B63"/>
    <w:rsid w:val="009D6433"/>
    <w:rsid w:val="009D6AF2"/>
    <w:rsid w:val="009D7CB4"/>
    <w:rsid w:val="009D7DD4"/>
    <w:rsid w:val="009E01FA"/>
    <w:rsid w:val="009E026B"/>
    <w:rsid w:val="009E0A50"/>
    <w:rsid w:val="009E1166"/>
    <w:rsid w:val="009E1523"/>
    <w:rsid w:val="009E18D7"/>
    <w:rsid w:val="009E1D2F"/>
    <w:rsid w:val="009E2440"/>
    <w:rsid w:val="009E24FB"/>
    <w:rsid w:val="009E28C7"/>
    <w:rsid w:val="009E3AF6"/>
    <w:rsid w:val="009E3D09"/>
    <w:rsid w:val="009E3F46"/>
    <w:rsid w:val="009E43A6"/>
    <w:rsid w:val="009E4592"/>
    <w:rsid w:val="009E4BC8"/>
    <w:rsid w:val="009E4C24"/>
    <w:rsid w:val="009E5585"/>
    <w:rsid w:val="009E5813"/>
    <w:rsid w:val="009E5D4E"/>
    <w:rsid w:val="009E6138"/>
    <w:rsid w:val="009E655F"/>
    <w:rsid w:val="009E6955"/>
    <w:rsid w:val="009E6FDD"/>
    <w:rsid w:val="009E73EC"/>
    <w:rsid w:val="009E74BB"/>
    <w:rsid w:val="009E75FF"/>
    <w:rsid w:val="009E7EF7"/>
    <w:rsid w:val="009F0D25"/>
    <w:rsid w:val="009F1B32"/>
    <w:rsid w:val="009F24A6"/>
    <w:rsid w:val="009F2CD7"/>
    <w:rsid w:val="009F2E8C"/>
    <w:rsid w:val="009F3082"/>
    <w:rsid w:val="009F30B5"/>
    <w:rsid w:val="009F3A10"/>
    <w:rsid w:val="009F3E2C"/>
    <w:rsid w:val="009F44E2"/>
    <w:rsid w:val="009F5426"/>
    <w:rsid w:val="009F57E2"/>
    <w:rsid w:val="009F607A"/>
    <w:rsid w:val="009F60AF"/>
    <w:rsid w:val="009F6374"/>
    <w:rsid w:val="009F6488"/>
    <w:rsid w:val="009F66CE"/>
    <w:rsid w:val="009F7066"/>
    <w:rsid w:val="009F7091"/>
    <w:rsid w:val="009F71BF"/>
    <w:rsid w:val="009F7C7D"/>
    <w:rsid w:val="00A001C0"/>
    <w:rsid w:val="00A004CF"/>
    <w:rsid w:val="00A00749"/>
    <w:rsid w:val="00A013CA"/>
    <w:rsid w:val="00A01684"/>
    <w:rsid w:val="00A01E89"/>
    <w:rsid w:val="00A02169"/>
    <w:rsid w:val="00A025F1"/>
    <w:rsid w:val="00A02B51"/>
    <w:rsid w:val="00A030DA"/>
    <w:rsid w:val="00A03A47"/>
    <w:rsid w:val="00A03E61"/>
    <w:rsid w:val="00A0457D"/>
    <w:rsid w:val="00A04A01"/>
    <w:rsid w:val="00A04B62"/>
    <w:rsid w:val="00A04F31"/>
    <w:rsid w:val="00A050DB"/>
    <w:rsid w:val="00A05CEC"/>
    <w:rsid w:val="00A05E11"/>
    <w:rsid w:val="00A06101"/>
    <w:rsid w:val="00A0673F"/>
    <w:rsid w:val="00A06F0D"/>
    <w:rsid w:val="00A070DB"/>
    <w:rsid w:val="00A07364"/>
    <w:rsid w:val="00A07CF3"/>
    <w:rsid w:val="00A100B3"/>
    <w:rsid w:val="00A11365"/>
    <w:rsid w:val="00A114AE"/>
    <w:rsid w:val="00A11E83"/>
    <w:rsid w:val="00A11EAF"/>
    <w:rsid w:val="00A12315"/>
    <w:rsid w:val="00A12C1E"/>
    <w:rsid w:val="00A130BA"/>
    <w:rsid w:val="00A1342C"/>
    <w:rsid w:val="00A1380E"/>
    <w:rsid w:val="00A13994"/>
    <w:rsid w:val="00A13A05"/>
    <w:rsid w:val="00A13B7F"/>
    <w:rsid w:val="00A14397"/>
    <w:rsid w:val="00A145BC"/>
    <w:rsid w:val="00A146B8"/>
    <w:rsid w:val="00A14C7F"/>
    <w:rsid w:val="00A1538E"/>
    <w:rsid w:val="00A15570"/>
    <w:rsid w:val="00A1607C"/>
    <w:rsid w:val="00A1688E"/>
    <w:rsid w:val="00A169E5"/>
    <w:rsid w:val="00A1794A"/>
    <w:rsid w:val="00A2062A"/>
    <w:rsid w:val="00A213E7"/>
    <w:rsid w:val="00A2151F"/>
    <w:rsid w:val="00A21988"/>
    <w:rsid w:val="00A219F4"/>
    <w:rsid w:val="00A21EA6"/>
    <w:rsid w:val="00A227B4"/>
    <w:rsid w:val="00A2287F"/>
    <w:rsid w:val="00A22A64"/>
    <w:rsid w:val="00A22CEA"/>
    <w:rsid w:val="00A232CE"/>
    <w:rsid w:val="00A24435"/>
    <w:rsid w:val="00A25A5A"/>
    <w:rsid w:val="00A25DA4"/>
    <w:rsid w:val="00A263BE"/>
    <w:rsid w:val="00A266A5"/>
    <w:rsid w:val="00A27B6D"/>
    <w:rsid w:val="00A27C14"/>
    <w:rsid w:val="00A30063"/>
    <w:rsid w:val="00A300C7"/>
    <w:rsid w:val="00A3086E"/>
    <w:rsid w:val="00A3135F"/>
    <w:rsid w:val="00A32297"/>
    <w:rsid w:val="00A32386"/>
    <w:rsid w:val="00A33743"/>
    <w:rsid w:val="00A33767"/>
    <w:rsid w:val="00A33E61"/>
    <w:rsid w:val="00A33FC9"/>
    <w:rsid w:val="00A34101"/>
    <w:rsid w:val="00A34573"/>
    <w:rsid w:val="00A34E86"/>
    <w:rsid w:val="00A35165"/>
    <w:rsid w:val="00A354DA"/>
    <w:rsid w:val="00A36382"/>
    <w:rsid w:val="00A3783E"/>
    <w:rsid w:val="00A37CEE"/>
    <w:rsid w:val="00A400B0"/>
    <w:rsid w:val="00A405F0"/>
    <w:rsid w:val="00A40825"/>
    <w:rsid w:val="00A408EB"/>
    <w:rsid w:val="00A41FE9"/>
    <w:rsid w:val="00A42749"/>
    <w:rsid w:val="00A43F06"/>
    <w:rsid w:val="00A44059"/>
    <w:rsid w:val="00A4406F"/>
    <w:rsid w:val="00A44567"/>
    <w:rsid w:val="00A445EA"/>
    <w:rsid w:val="00A445F5"/>
    <w:rsid w:val="00A44971"/>
    <w:rsid w:val="00A44A5D"/>
    <w:rsid w:val="00A44D6B"/>
    <w:rsid w:val="00A457DC"/>
    <w:rsid w:val="00A46916"/>
    <w:rsid w:val="00A473A2"/>
    <w:rsid w:val="00A4788A"/>
    <w:rsid w:val="00A47AC3"/>
    <w:rsid w:val="00A47FA6"/>
    <w:rsid w:val="00A504F7"/>
    <w:rsid w:val="00A50698"/>
    <w:rsid w:val="00A507A3"/>
    <w:rsid w:val="00A50A87"/>
    <w:rsid w:val="00A50F26"/>
    <w:rsid w:val="00A51010"/>
    <w:rsid w:val="00A51111"/>
    <w:rsid w:val="00A511A8"/>
    <w:rsid w:val="00A511BA"/>
    <w:rsid w:val="00A51F19"/>
    <w:rsid w:val="00A51FAF"/>
    <w:rsid w:val="00A523C6"/>
    <w:rsid w:val="00A5263C"/>
    <w:rsid w:val="00A52E2B"/>
    <w:rsid w:val="00A52F35"/>
    <w:rsid w:val="00A53017"/>
    <w:rsid w:val="00A53338"/>
    <w:rsid w:val="00A536C3"/>
    <w:rsid w:val="00A551B4"/>
    <w:rsid w:val="00A55479"/>
    <w:rsid w:val="00A556A3"/>
    <w:rsid w:val="00A556C3"/>
    <w:rsid w:val="00A5596F"/>
    <w:rsid w:val="00A55B42"/>
    <w:rsid w:val="00A5651A"/>
    <w:rsid w:val="00A56ADE"/>
    <w:rsid w:val="00A56B8D"/>
    <w:rsid w:val="00A56CA8"/>
    <w:rsid w:val="00A56DC9"/>
    <w:rsid w:val="00A571C5"/>
    <w:rsid w:val="00A57451"/>
    <w:rsid w:val="00A57B32"/>
    <w:rsid w:val="00A57C18"/>
    <w:rsid w:val="00A57F5A"/>
    <w:rsid w:val="00A601B2"/>
    <w:rsid w:val="00A6062E"/>
    <w:rsid w:val="00A6144D"/>
    <w:rsid w:val="00A618EC"/>
    <w:rsid w:val="00A61E7F"/>
    <w:rsid w:val="00A623BE"/>
    <w:rsid w:val="00A62592"/>
    <w:rsid w:val="00A62701"/>
    <w:rsid w:val="00A633FB"/>
    <w:rsid w:val="00A63B18"/>
    <w:rsid w:val="00A63D93"/>
    <w:rsid w:val="00A641E7"/>
    <w:rsid w:val="00A64235"/>
    <w:rsid w:val="00A6499A"/>
    <w:rsid w:val="00A649DC"/>
    <w:rsid w:val="00A64F3E"/>
    <w:rsid w:val="00A64F43"/>
    <w:rsid w:val="00A652BE"/>
    <w:rsid w:val="00A65786"/>
    <w:rsid w:val="00A65CD5"/>
    <w:rsid w:val="00A66000"/>
    <w:rsid w:val="00A672F5"/>
    <w:rsid w:val="00A67A8A"/>
    <w:rsid w:val="00A67DC7"/>
    <w:rsid w:val="00A701D3"/>
    <w:rsid w:val="00A7031A"/>
    <w:rsid w:val="00A70AE9"/>
    <w:rsid w:val="00A70F2B"/>
    <w:rsid w:val="00A71164"/>
    <w:rsid w:val="00A711BA"/>
    <w:rsid w:val="00A71558"/>
    <w:rsid w:val="00A71C50"/>
    <w:rsid w:val="00A71CC8"/>
    <w:rsid w:val="00A727D8"/>
    <w:rsid w:val="00A7281F"/>
    <w:rsid w:val="00A72BF7"/>
    <w:rsid w:val="00A72FDF"/>
    <w:rsid w:val="00A731E5"/>
    <w:rsid w:val="00A73464"/>
    <w:rsid w:val="00A7371E"/>
    <w:rsid w:val="00A746C3"/>
    <w:rsid w:val="00A74DDE"/>
    <w:rsid w:val="00A759C0"/>
    <w:rsid w:val="00A75C0F"/>
    <w:rsid w:val="00A76877"/>
    <w:rsid w:val="00A76977"/>
    <w:rsid w:val="00A7734D"/>
    <w:rsid w:val="00A8020A"/>
    <w:rsid w:val="00A81559"/>
    <w:rsid w:val="00A81730"/>
    <w:rsid w:val="00A819BC"/>
    <w:rsid w:val="00A81E98"/>
    <w:rsid w:val="00A82D99"/>
    <w:rsid w:val="00A83280"/>
    <w:rsid w:val="00A83682"/>
    <w:rsid w:val="00A83808"/>
    <w:rsid w:val="00A839F8"/>
    <w:rsid w:val="00A83EDB"/>
    <w:rsid w:val="00A846D1"/>
    <w:rsid w:val="00A84AAF"/>
    <w:rsid w:val="00A8545D"/>
    <w:rsid w:val="00A855C6"/>
    <w:rsid w:val="00A85B85"/>
    <w:rsid w:val="00A85FB2"/>
    <w:rsid w:val="00A866DD"/>
    <w:rsid w:val="00A86A7D"/>
    <w:rsid w:val="00A86DAC"/>
    <w:rsid w:val="00A86F38"/>
    <w:rsid w:val="00A872D7"/>
    <w:rsid w:val="00A8753B"/>
    <w:rsid w:val="00A9014A"/>
    <w:rsid w:val="00A90319"/>
    <w:rsid w:val="00A90831"/>
    <w:rsid w:val="00A90C54"/>
    <w:rsid w:val="00A90F38"/>
    <w:rsid w:val="00A91039"/>
    <w:rsid w:val="00A9125D"/>
    <w:rsid w:val="00A918AA"/>
    <w:rsid w:val="00A91E31"/>
    <w:rsid w:val="00A92020"/>
    <w:rsid w:val="00A92213"/>
    <w:rsid w:val="00A923EA"/>
    <w:rsid w:val="00A92556"/>
    <w:rsid w:val="00A9280A"/>
    <w:rsid w:val="00A9285E"/>
    <w:rsid w:val="00A93485"/>
    <w:rsid w:val="00A93563"/>
    <w:rsid w:val="00A93872"/>
    <w:rsid w:val="00A93F45"/>
    <w:rsid w:val="00A9446D"/>
    <w:rsid w:val="00A948F2"/>
    <w:rsid w:val="00A9498D"/>
    <w:rsid w:val="00A95613"/>
    <w:rsid w:val="00A9589A"/>
    <w:rsid w:val="00A9673F"/>
    <w:rsid w:val="00A96933"/>
    <w:rsid w:val="00A96A81"/>
    <w:rsid w:val="00A97597"/>
    <w:rsid w:val="00A97616"/>
    <w:rsid w:val="00A9764B"/>
    <w:rsid w:val="00A97B1F"/>
    <w:rsid w:val="00A97C2A"/>
    <w:rsid w:val="00A97DC2"/>
    <w:rsid w:val="00AA0AC9"/>
    <w:rsid w:val="00AA1181"/>
    <w:rsid w:val="00AA1221"/>
    <w:rsid w:val="00AA199D"/>
    <w:rsid w:val="00AA2276"/>
    <w:rsid w:val="00AA2947"/>
    <w:rsid w:val="00AA2A49"/>
    <w:rsid w:val="00AA2DCF"/>
    <w:rsid w:val="00AA3408"/>
    <w:rsid w:val="00AA3C51"/>
    <w:rsid w:val="00AA3CB7"/>
    <w:rsid w:val="00AA418C"/>
    <w:rsid w:val="00AA453C"/>
    <w:rsid w:val="00AA4933"/>
    <w:rsid w:val="00AA4F66"/>
    <w:rsid w:val="00AA529B"/>
    <w:rsid w:val="00AA621B"/>
    <w:rsid w:val="00AA66DD"/>
    <w:rsid w:val="00AA69EB"/>
    <w:rsid w:val="00AA6CD7"/>
    <w:rsid w:val="00AA7172"/>
    <w:rsid w:val="00AA73C2"/>
    <w:rsid w:val="00AA762F"/>
    <w:rsid w:val="00AB04FB"/>
    <w:rsid w:val="00AB064B"/>
    <w:rsid w:val="00AB1177"/>
    <w:rsid w:val="00AB1226"/>
    <w:rsid w:val="00AB17AF"/>
    <w:rsid w:val="00AB1F4C"/>
    <w:rsid w:val="00AB1FB6"/>
    <w:rsid w:val="00AB22A3"/>
    <w:rsid w:val="00AB22C7"/>
    <w:rsid w:val="00AB251A"/>
    <w:rsid w:val="00AB2763"/>
    <w:rsid w:val="00AB298B"/>
    <w:rsid w:val="00AB29C4"/>
    <w:rsid w:val="00AB2F10"/>
    <w:rsid w:val="00AB36E4"/>
    <w:rsid w:val="00AB37E7"/>
    <w:rsid w:val="00AB46CC"/>
    <w:rsid w:val="00AB470F"/>
    <w:rsid w:val="00AB4761"/>
    <w:rsid w:val="00AB4F70"/>
    <w:rsid w:val="00AB5043"/>
    <w:rsid w:val="00AB53D0"/>
    <w:rsid w:val="00AB5766"/>
    <w:rsid w:val="00AB5D68"/>
    <w:rsid w:val="00AB65A6"/>
    <w:rsid w:val="00AB6B75"/>
    <w:rsid w:val="00AB6EDF"/>
    <w:rsid w:val="00AB6EF8"/>
    <w:rsid w:val="00AB6F1B"/>
    <w:rsid w:val="00AB7392"/>
    <w:rsid w:val="00AB78CD"/>
    <w:rsid w:val="00AB7A2B"/>
    <w:rsid w:val="00AB7F79"/>
    <w:rsid w:val="00AC0FE0"/>
    <w:rsid w:val="00AC116B"/>
    <w:rsid w:val="00AC12E3"/>
    <w:rsid w:val="00AC16CF"/>
    <w:rsid w:val="00AC1BA9"/>
    <w:rsid w:val="00AC2575"/>
    <w:rsid w:val="00AC27A7"/>
    <w:rsid w:val="00AC2977"/>
    <w:rsid w:val="00AC2A0E"/>
    <w:rsid w:val="00AC2D7D"/>
    <w:rsid w:val="00AC2FE2"/>
    <w:rsid w:val="00AC35E3"/>
    <w:rsid w:val="00AC3B6F"/>
    <w:rsid w:val="00AC3E22"/>
    <w:rsid w:val="00AC40DA"/>
    <w:rsid w:val="00AC42BA"/>
    <w:rsid w:val="00AC448E"/>
    <w:rsid w:val="00AC5583"/>
    <w:rsid w:val="00AC630B"/>
    <w:rsid w:val="00AC64D3"/>
    <w:rsid w:val="00AC64EA"/>
    <w:rsid w:val="00AC67EF"/>
    <w:rsid w:val="00AC6B94"/>
    <w:rsid w:val="00AD002E"/>
    <w:rsid w:val="00AD02FF"/>
    <w:rsid w:val="00AD09CC"/>
    <w:rsid w:val="00AD0AB7"/>
    <w:rsid w:val="00AD0C66"/>
    <w:rsid w:val="00AD0C86"/>
    <w:rsid w:val="00AD0D0A"/>
    <w:rsid w:val="00AD0DF6"/>
    <w:rsid w:val="00AD10AD"/>
    <w:rsid w:val="00AD12EF"/>
    <w:rsid w:val="00AD15E0"/>
    <w:rsid w:val="00AD228E"/>
    <w:rsid w:val="00AD2553"/>
    <w:rsid w:val="00AD2904"/>
    <w:rsid w:val="00AD2916"/>
    <w:rsid w:val="00AD2A10"/>
    <w:rsid w:val="00AD2C4D"/>
    <w:rsid w:val="00AD3013"/>
    <w:rsid w:val="00AD3248"/>
    <w:rsid w:val="00AD36DC"/>
    <w:rsid w:val="00AD3972"/>
    <w:rsid w:val="00AD3AAF"/>
    <w:rsid w:val="00AD3B9B"/>
    <w:rsid w:val="00AD3E59"/>
    <w:rsid w:val="00AD42BD"/>
    <w:rsid w:val="00AD4313"/>
    <w:rsid w:val="00AD4452"/>
    <w:rsid w:val="00AD4760"/>
    <w:rsid w:val="00AD4847"/>
    <w:rsid w:val="00AD49C9"/>
    <w:rsid w:val="00AD4D2F"/>
    <w:rsid w:val="00AD5264"/>
    <w:rsid w:val="00AD52E0"/>
    <w:rsid w:val="00AD59E6"/>
    <w:rsid w:val="00AD5C6B"/>
    <w:rsid w:val="00AD5DBC"/>
    <w:rsid w:val="00AD5EED"/>
    <w:rsid w:val="00AD5F04"/>
    <w:rsid w:val="00AD603A"/>
    <w:rsid w:val="00AD603D"/>
    <w:rsid w:val="00AD63C0"/>
    <w:rsid w:val="00AD65CD"/>
    <w:rsid w:val="00AD7338"/>
    <w:rsid w:val="00AD79C3"/>
    <w:rsid w:val="00AE06B0"/>
    <w:rsid w:val="00AE0BD5"/>
    <w:rsid w:val="00AE117E"/>
    <w:rsid w:val="00AE1587"/>
    <w:rsid w:val="00AE24F2"/>
    <w:rsid w:val="00AE26DE"/>
    <w:rsid w:val="00AE26E9"/>
    <w:rsid w:val="00AE3324"/>
    <w:rsid w:val="00AE3B79"/>
    <w:rsid w:val="00AE3D82"/>
    <w:rsid w:val="00AE44A5"/>
    <w:rsid w:val="00AE5397"/>
    <w:rsid w:val="00AE5C98"/>
    <w:rsid w:val="00AE5E8F"/>
    <w:rsid w:val="00AE6003"/>
    <w:rsid w:val="00AE7137"/>
    <w:rsid w:val="00AE72DF"/>
    <w:rsid w:val="00AE74B0"/>
    <w:rsid w:val="00AE7879"/>
    <w:rsid w:val="00AE7ECA"/>
    <w:rsid w:val="00AF013A"/>
    <w:rsid w:val="00AF0166"/>
    <w:rsid w:val="00AF038E"/>
    <w:rsid w:val="00AF06D2"/>
    <w:rsid w:val="00AF0895"/>
    <w:rsid w:val="00AF0DD2"/>
    <w:rsid w:val="00AF19C0"/>
    <w:rsid w:val="00AF2065"/>
    <w:rsid w:val="00AF2573"/>
    <w:rsid w:val="00AF270F"/>
    <w:rsid w:val="00AF2A44"/>
    <w:rsid w:val="00AF2DC3"/>
    <w:rsid w:val="00AF2E77"/>
    <w:rsid w:val="00AF2FEF"/>
    <w:rsid w:val="00AF3014"/>
    <w:rsid w:val="00AF323A"/>
    <w:rsid w:val="00AF332D"/>
    <w:rsid w:val="00AF37EE"/>
    <w:rsid w:val="00AF38BC"/>
    <w:rsid w:val="00AF3902"/>
    <w:rsid w:val="00AF3D70"/>
    <w:rsid w:val="00AF40C1"/>
    <w:rsid w:val="00AF41D4"/>
    <w:rsid w:val="00AF44B1"/>
    <w:rsid w:val="00AF5395"/>
    <w:rsid w:val="00AF57BC"/>
    <w:rsid w:val="00AF583E"/>
    <w:rsid w:val="00AF5DDE"/>
    <w:rsid w:val="00AF60E7"/>
    <w:rsid w:val="00AF6791"/>
    <w:rsid w:val="00AF6E3C"/>
    <w:rsid w:val="00AF7647"/>
    <w:rsid w:val="00AF79F4"/>
    <w:rsid w:val="00AF7BF5"/>
    <w:rsid w:val="00B0047B"/>
    <w:rsid w:val="00B00773"/>
    <w:rsid w:val="00B0091C"/>
    <w:rsid w:val="00B0099E"/>
    <w:rsid w:val="00B00CB6"/>
    <w:rsid w:val="00B0183B"/>
    <w:rsid w:val="00B024D5"/>
    <w:rsid w:val="00B02E1E"/>
    <w:rsid w:val="00B02F12"/>
    <w:rsid w:val="00B0373A"/>
    <w:rsid w:val="00B040DE"/>
    <w:rsid w:val="00B04126"/>
    <w:rsid w:val="00B04402"/>
    <w:rsid w:val="00B045B8"/>
    <w:rsid w:val="00B04795"/>
    <w:rsid w:val="00B04972"/>
    <w:rsid w:val="00B0498A"/>
    <w:rsid w:val="00B049B8"/>
    <w:rsid w:val="00B05026"/>
    <w:rsid w:val="00B055CC"/>
    <w:rsid w:val="00B05670"/>
    <w:rsid w:val="00B0577C"/>
    <w:rsid w:val="00B05FB9"/>
    <w:rsid w:val="00B062D5"/>
    <w:rsid w:val="00B063CA"/>
    <w:rsid w:val="00B10144"/>
    <w:rsid w:val="00B107D3"/>
    <w:rsid w:val="00B11378"/>
    <w:rsid w:val="00B11F54"/>
    <w:rsid w:val="00B122B5"/>
    <w:rsid w:val="00B12F13"/>
    <w:rsid w:val="00B1309E"/>
    <w:rsid w:val="00B1384D"/>
    <w:rsid w:val="00B13999"/>
    <w:rsid w:val="00B13F06"/>
    <w:rsid w:val="00B148FF"/>
    <w:rsid w:val="00B14D21"/>
    <w:rsid w:val="00B14EE7"/>
    <w:rsid w:val="00B15D0C"/>
    <w:rsid w:val="00B15EF9"/>
    <w:rsid w:val="00B1607E"/>
    <w:rsid w:val="00B162B3"/>
    <w:rsid w:val="00B1641F"/>
    <w:rsid w:val="00B16830"/>
    <w:rsid w:val="00B16EBF"/>
    <w:rsid w:val="00B170D4"/>
    <w:rsid w:val="00B1739B"/>
    <w:rsid w:val="00B177A3"/>
    <w:rsid w:val="00B17A26"/>
    <w:rsid w:val="00B20432"/>
    <w:rsid w:val="00B207B1"/>
    <w:rsid w:val="00B20EE7"/>
    <w:rsid w:val="00B21A48"/>
    <w:rsid w:val="00B21D0F"/>
    <w:rsid w:val="00B21EEC"/>
    <w:rsid w:val="00B21F04"/>
    <w:rsid w:val="00B223C3"/>
    <w:rsid w:val="00B2246D"/>
    <w:rsid w:val="00B2266D"/>
    <w:rsid w:val="00B22729"/>
    <w:rsid w:val="00B22A33"/>
    <w:rsid w:val="00B22F3B"/>
    <w:rsid w:val="00B2320C"/>
    <w:rsid w:val="00B237C1"/>
    <w:rsid w:val="00B239C5"/>
    <w:rsid w:val="00B2428A"/>
    <w:rsid w:val="00B246F8"/>
    <w:rsid w:val="00B24C8D"/>
    <w:rsid w:val="00B24D2E"/>
    <w:rsid w:val="00B251E7"/>
    <w:rsid w:val="00B256C4"/>
    <w:rsid w:val="00B25CF3"/>
    <w:rsid w:val="00B2734D"/>
    <w:rsid w:val="00B27A3A"/>
    <w:rsid w:val="00B3070A"/>
    <w:rsid w:val="00B30B62"/>
    <w:rsid w:val="00B30C8B"/>
    <w:rsid w:val="00B31203"/>
    <w:rsid w:val="00B31782"/>
    <w:rsid w:val="00B317F9"/>
    <w:rsid w:val="00B31CC0"/>
    <w:rsid w:val="00B31DED"/>
    <w:rsid w:val="00B31EA3"/>
    <w:rsid w:val="00B31EEB"/>
    <w:rsid w:val="00B32487"/>
    <w:rsid w:val="00B326BD"/>
    <w:rsid w:val="00B327D9"/>
    <w:rsid w:val="00B32AEF"/>
    <w:rsid w:val="00B32B88"/>
    <w:rsid w:val="00B32C6A"/>
    <w:rsid w:val="00B32EC2"/>
    <w:rsid w:val="00B3322A"/>
    <w:rsid w:val="00B33579"/>
    <w:rsid w:val="00B33DF9"/>
    <w:rsid w:val="00B340E8"/>
    <w:rsid w:val="00B343DD"/>
    <w:rsid w:val="00B345BF"/>
    <w:rsid w:val="00B35339"/>
    <w:rsid w:val="00B35765"/>
    <w:rsid w:val="00B358C1"/>
    <w:rsid w:val="00B361B1"/>
    <w:rsid w:val="00B36200"/>
    <w:rsid w:val="00B365C9"/>
    <w:rsid w:val="00B367E3"/>
    <w:rsid w:val="00B36805"/>
    <w:rsid w:val="00B37238"/>
    <w:rsid w:val="00B375E9"/>
    <w:rsid w:val="00B40154"/>
    <w:rsid w:val="00B41110"/>
    <w:rsid w:val="00B41424"/>
    <w:rsid w:val="00B41933"/>
    <w:rsid w:val="00B42D8B"/>
    <w:rsid w:val="00B42ED6"/>
    <w:rsid w:val="00B42FE8"/>
    <w:rsid w:val="00B43262"/>
    <w:rsid w:val="00B4363C"/>
    <w:rsid w:val="00B43ADB"/>
    <w:rsid w:val="00B43EF3"/>
    <w:rsid w:val="00B4494B"/>
    <w:rsid w:val="00B44B19"/>
    <w:rsid w:val="00B44E0A"/>
    <w:rsid w:val="00B4539E"/>
    <w:rsid w:val="00B456F4"/>
    <w:rsid w:val="00B459EF"/>
    <w:rsid w:val="00B46824"/>
    <w:rsid w:val="00B46C4E"/>
    <w:rsid w:val="00B46D79"/>
    <w:rsid w:val="00B46EEB"/>
    <w:rsid w:val="00B47B5B"/>
    <w:rsid w:val="00B47CA6"/>
    <w:rsid w:val="00B508BE"/>
    <w:rsid w:val="00B51221"/>
    <w:rsid w:val="00B5133F"/>
    <w:rsid w:val="00B517AE"/>
    <w:rsid w:val="00B517DA"/>
    <w:rsid w:val="00B51F04"/>
    <w:rsid w:val="00B524CA"/>
    <w:rsid w:val="00B531D8"/>
    <w:rsid w:val="00B53C33"/>
    <w:rsid w:val="00B540EB"/>
    <w:rsid w:val="00B55320"/>
    <w:rsid w:val="00B55A34"/>
    <w:rsid w:val="00B5622F"/>
    <w:rsid w:val="00B56231"/>
    <w:rsid w:val="00B56822"/>
    <w:rsid w:val="00B57172"/>
    <w:rsid w:val="00B571C2"/>
    <w:rsid w:val="00B57564"/>
    <w:rsid w:val="00B5762E"/>
    <w:rsid w:val="00B57D2F"/>
    <w:rsid w:val="00B60728"/>
    <w:rsid w:val="00B610A1"/>
    <w:rsid w:val="00B61233"/>
    <w:rsid w:val="00B61259"/>
    <w:rsid w:val="00B617C3"/>
    <w:rsid w:val="00B6186A"/>
    <w:rsid w:val="00B61931"/>
    <w:rsid w:val="00B61E17"/>
    <w:rsid w:val="00B61EB2"/>
    <w:rsid w:val="00B6248A"/>
    <w:rsid w:val="00B625B1"/>
    <w:rsid w:val="00B62D2E"/>
    <w:rsid w:val="00B62E46"/>
    <w:rsid w:val="00B632ED"/>
    <w:rsid w:val="00B6369D"/>
    <w:rsid w:val="00B643F6"/>
    <w:rsid w:val="00B64887"/>
    <w:rsid w:val="00B648B7"/>
    <w:rsid w:val="00B64C3F"/>
    <w:rsid w:val="00B64CA3"/>
    <w:rsid w:val="00B64E39"/>
    <w:rsid w:val="00B65855"/>
    <w:rsid w:val="00B66C20"/>
    <w:rsid w:val="00B66C8D"/>
    <w:rsid w:val="00B66DDA"/>
    <w:rsid w:val="00B66F70"/>
    <w:rsid w:val="00B67269"/>
    <w:rsid w:val="00B67888"/>
    <w:rsid w:val="00B67CED"/>
    <w:rsid w:val="00B67DA2"/>
    <w:rsid w:val="00B70436"/>
    <w:rsid w:val="00B70898"/>
    <w:rsid w:val="00B70ACB"/>
    <w:rsid w:val="00B70B52"/>
    <w:rsid w:val="00B71400"/>
    <w:rsid w:val="00B71486"/>
    <w:rsid w:val="00B71B5A"/>
    <w:rsid w:val="00B71C3D"/>
    <w:rsid w:val="00B71DB8"/>
    <w:rsid w:val="00B71F47"/>
    <w:rsid w:val="00B72892"/>
    <w:rsid w:val="00B72EF5"/>
    <w:rsid w:val="00B7368E"/>
    <w:rsid w:val="00B737BE"/>
    <w:rsid w:val="00B73C0E"/>
    <w:rsid w:val="00B741E1"/>
    <w:rsid w:val="00B744E7"/>
    <w:rsid w:val="00B7467D"/>
    <w:rsid w:val="00B74A9C"/>
    <w:rsid w:val="00B74E83"/>
    <w:rsid w:val="00B7544B"/>
    <w:rsid w:val="00B75795"/>
    <w:rsid w:val="00B75924"/>
    <w:rsid w:val="00B75C43"/>
    <w:rsid w:val="00B75C71"/>
    <w:rsid w:val="00B75E48"/>
    <w:rsid w:val="00B76189"/>
    <w:rsid w:val="00B76A1F"/>
    <w:rsid w:val="00B76BB1"/>
    <w:rsid w:val="00B76BD0"/>
    <w:rsid w:val="00B7737A"/>
    <w:rsid w:val="00B77508"/>
    <w:rsid w:val="00B776DA"/>
    <w:rsid w:val="00B77975"/>
    <w:rsid w:val="00B77AAE"/>
    <w:rsid w:val="00B77AD5"/>
    <w:rsid w:val="00B77E0B"/>
    <w:rsid w:val="00B801D2"/>
    <w:rsid w:val="00B80614"/>
    <w:rsid w:val="00B808AA"/>
    <w:rsid w:val="00B80CAA"/>
    <w:rsid w:val="00B820C5"/>
    <w:rsid w:val="00B82397"/>
    <w:rsid w:val="00B826FD"/>
    <w:rsid w:val="00B82899"/>
    <w:rsid w:val="00B829FB"/>
    <w:rsid w:val="00B82AEC"/>
    <w:rsid w:val="00B82D39"/>
    <w:rsid w:val="00B82D86"/>
    <w:rsid w:val="00B83149"/>
    <w:rsid w:val="00B847A7"/>
    <w:rsid w:val="00B8482D"/>
    <w:rsid w:val="00B848A6"/>
    <w:rsid w:val="00B8550B"/>
    <w:rsid w:val="00B855DD"/>
    <w:rsid w:val="00B85D06"/>
    <w:rsid w:val="00B86C16"/>
    <w:rsid w:val="00B87322"/>
    <w:rsid w:val="00B873BF"/>
    <w:rsid w:val="00B8743B"/>
    <w:rsid w:val="00B874F0"/>
    <w:rsid w:val="00B87907"/>
    <w:rsid w:val="00B87D7D"/>
    <w:rsid w:val="00B9013F"/>
    <w:rsid w:val="00B9020F"/>
    <w:rsid w:val="00B902C2"/>
    <w:rsid w:val="00B9086A"/>
    <w:rsid w:val="00B90D52"/>
    <w:rsid w:val="00B9156B"/>
    <w:rsid w:val="00B915DF"/>
    <w:rsid w:val="00B91A49"/>
    <w:rsid w:val="00B9243B"/>
    <w:rsid w:val="00B92794"/>
    <w:rsid w:val="00B929FA"/>
    <w:rsid w:val="00B93472"/>
    <w:rsid w:val="00B93D8A"/>
    <w:rsid w:val="00B93EE8"/>
    <w:rsid w:val="00B9458D"/>
    <w:rsid w:val="00B94A91"/>
    <w:rsid w:val="00B94D99"/>
    <w:rsid w:val="00B95464"/>
    <w:rsid w:val="00B96C0B"/>
    <w:rsid w:val="00B96EF5"/>
    <w:rsid w:val="00B96F1A"/>
    <w:rsid w:val="00B96F7E"/>
    <w:rsid w:val="00B9732F"/>
    <w:rsid w:val="00B976E2"/>
    <w:rsid w:val="00B97B1B"/>
    <w:rsid w:val="00BA138D"/>
    <w:rsid w:val="00BA1B04"/>
    <w:rsid w:val="00BA1CB9"/>
    <w:rsid w:val="00BA26BF"/>
    <w:rsid w:val="00BA26E0"/>
    <w:rsid w:val="00BA2902"/>
    <w:rsid w:val="00BA29AC"/>
    <w:rsid w:val="00BA30FC"/>
    <w:rsid w:val="00BA33A3"/>
    <w:rsid w:val="00BA389A"/>
    <w:rsid w:val="00BA3DF6"/>
    <w:rsid w:val="00BA3FEC"/>
    <w:rsid w:val="00BA4336"/>
    <w:rsid w:val="00BA4868"/>
    <w:rsid w:val="00BA4989"/>
    <w:rsid w:val="00BA4A09"/>
    <w:rsid w:val="00BA4E4B"/>
    <w:rsid w:val="00BA4E9E"/>
    <w:rsid w:val="00BA5282"/>
    <w:rsid w:val="00BA593B"/>
    <w:rsid w:val="00BA5AE4"/>
    <w:rsid w:val="00BA5D2D"/>
    <w:rsid w:val="00BA5E5A"/>
    <w:rsid w:val="00BA5EE5"/>
    <w:rsid w:val="00BA6D72"/>
    <w:rsid w:val="00BA711C"/>
    <w:rsid w:val="00BA734A"/>
    <w:rsid w:val="00BA73C3"/>
    <w:rsid w:val="00BA79C9"/>
    <w:rsid w:val="00BA7DF2"/>
    <w:rsid w:val="00BB06B0"/>
    <w:rsid w:val="00BB0708"/>
    <w:rsid w:val="00BB0751"/>
    <w:rsid w:val="00BB0956"/>
    <w:rsid w:val="00BB09C0"/>
    <w:rsid w:val="00BB0F1E"/>
    <w:rsid w:val="00BB0F8B"/>
    <w:rsid w:val="00BB1983"/>
    <w:rsid w:val="00BB1CCB"/>
    <w:rsid w:val="00BB282D"/>
    <w:rsid w:val="00BB2B2A"/>
    <w:rsid w:val="00BB34A8"/>
    <w:rsid w:val="00BB4357"/>
    <w:rsid w:val="00BB59B3"/>
    <w:rsid w:val="00BB6525"/>
    <w:rsid w:val="00BB6AA2"/>
    <w:rsid w:val="00BB6E19"/>
    <w:rsid w:val="00BB7200"/>
    <w:rsid w:val="00BB781D"/>
    <w:rsid w:val="00BB7F98"/>
    <w:rsid w:val="00BC0302"/>
    <w:rsid w:val="00BC0D00"/>
    <w:rsid w:val="00BC0D08"/>
    <w:rsid w:val="00BC0F36"/>
    <w:rsid w:val="00BC111A"/>
    <w:rsid w:val="00BC25BE"/>
    <w:rsid w:val="00BC2A49"/>
    <w:rsid w:val="00BC2D6A"/>
    <w:rsid w:val="00BC2DC9"/>
    <w:rsid w:val="00BC2E42"/>
    <w:rsid w:val="00BC34C1"/>
    <w:rsid w:val="00BC3CBD"/>
    <w:rsid w:val="00BC3E2D"/>
    <w:rsid w:val="00BC43C9"/>
    <w:rsid w:val="00BC44ED"/>
    <w:rsid w:val="00BC4564"/>
    <w:rsid w:val="00BC45A1"/>
    <w:rsid w:val="00BC4AA2"/>
    <w:rsid w:val="00BC522F"/>
    <w:rsid w:val="00BC6504"/>
    <w:rsid w:val="00BC6B48"/>
    <w:rsid w:val="00BC6BD8"/>
    <w:rsid w:val="00BC7163"/>
    <w:rsid w:val="00BC767C"/>
    <w:rsid w:val="00BC7FD3"/>
    <w:rsid w:val="00BD0FD6"/>
    <w:rsid w:val="00BD1439"/>
    <w:rsid w:val="00BD19C0"/>
    <w:rsid w:val="00BD1F39"/>
    <w:rsid w:val="00BD2351"/>
    <w:rsid w:val="00BD2430"/>
    <w:rsid w:val="00BD2482"/>
    <w:rsid w:val="00BD24D9"/>
    <w:rsid w:val="00BD2869"/>
    <w:rsid w:val="00BD2A4F"/>
    <w:rsid w:val="00BD3051"/>
    <w:rsid w:val="00BD3512"/>
    <w:rsid w:val="00BD37A1"/>
    <w:rsid w:val="00BD395C"/>
    <w:rsid w:val="00BD3AF2"/>
    <w:rsid w:val="00BD3C16"/>
    <w:rsid w:val="00BD3D5E"/>
    <w:rsid w:val="00BD3F2A"/>
    <w:rsid w:val="00BD47E3"/>
    <w:rsid w:val="00BD4A6D"/>
    <w:rsid w:val="00BD5A75"/>
    <w:rsid w:val="00BD60FA"/>
    <w:rsid w:val="00BD651E"/>
    <w:rsid w:val="00BD67D1"/>
    <w:rsid w:val="00BD6B32"/>
    <w:rsid w:val="00BD6EC4"/>
    <w:rsid w:val="00BD73EF"/>
    <w:rsid w:val="00BD7ACB"/>
    <w:rsid w:val="00BE09B0"/>
    <w:rsid w:val="00BE0A06"/>
    <w:rsid w:val="00BE16C5"/>
    <w:rsid w:val="00BE1F4C"/>
    <w:rsid w:val="00BE231D"/>
    <w:rsid w:val="00BE240E"/>
    <w:rsid w:val="00BE253A"/>
    <w:rsid w:val="00BE3044"/>
    <w:rsid w:val="00BE3078"/>
    <w:rsid w:val="00BE3086"/>
    <w:rsid w:val="00BE38F7"/>
    <w:rsid w:val="00BE43ED"/>
    <w:rsid w:val="00BE44A5"/>
    <w:rsid w:val="00BE47AD"/>
    <w:rsid w:val="00BE5BDC"/>
    <w:rsid w:val="00BE5EE1"/>
    <w:rsid w:val="00BE6304"/>
    <w:rsid w:val="00BE63C0"/>
    <w:rsid w:val="00BE6925"/>
    <w:rsid w:val="00BE717F"/>
    <w:rsid w:val="00BE7230"/>
    <w:rsid w:val="00BE7524"/>
    <w:rsid w:val="00BE771B"/>
    <w:rsid w:val="00BE7820"/>
    <w:rsid w:val="00BE7A87"/>
    <w:rsid w:val="00BE7A9B"/>
    <w:rsid w:val="00BE7BC9"/>
    <w:rsid w:val="00BF049A"/>
    <w:rsid w:val="00BF12BA"/>
    <w:rsid w:val="00BF197D"/>
    <w:rsid w:val="00BF1C7A"/>
    <w:rsid w:val="00BF1E5D"/>
    <w:rsid w:val="00BF2590"/>
    <w:rsid w:val="00BF301E"/>
    <w:rsid w:val="00BF3209"/>
    <w:rsid w:val="00BF33D3"/>
    <w:rsid w:val="00BF48F9"/>
    <w:rsid w:val="00BF4BD9"/>
    <w:rsid w:val="00BF4DE5"/>
    <w:rsid w:val="00BF514E"/>
    <w:rsid w:val="00BF5656"/>
    <w:rsid w:val="00BF5F16"/>
    <w:rsid w:val="00BF6255"/>
    <w:rsid w:val="00BF63D0"/>
    <w:rsid w:val="00BF671D"/>
    <w:rsid w:val="00BF6DC0"/>
    <w:rsid w:val="00BF6E34"/>
    <w:rsid w:val="00BF7854"/>
    <w:rsid w:val="00C0003C"/>
    <w:rsid w:val="00C001C1"/>
    <w:rsid w:val="00C0054E"/>
    <w:rsid w:val="00C00BE6"/>
    <w:rsid w:val="00C010B5"/>
    <w:rsid w:val="00C01297"/>
    <w:rsid w:val="00C01AF6"/>
    <w:rsid w:val="00C024EE"/>
    <w:rsid w:val="00C036C4"/>
    <w:rsid w:val="00C03D49"/>
    <w:rsid w:val="00C044FC"/>
    <w:rsid w:val="00C049D6"/>
    <w:rsid w:val="00C04C43"/>
    <w:rsid w:val="00C04EBE"/>
    <w:rsid w:val="00C0583F"/>
    <w:rsid w:val="00C05D56"/>
    <w:rsid w:val="00C0635F"/>
    <w:rsid w:val="00C06A85"/>
    <w:rsid w:val="00C07027"/>
    <w:rsid w:val="00C07250"/>
    <w:rsid w:val="00C10217"/>
    <w:rsid w:val="00C103AB"/>
    <w:rsid w:val="00C105DE"/>
    <w:rsid w:val="00C10719"/>
    <w:rsid w:val="00C10876"/>
    <w:rsid w:val="00C10D02"/>
    <w:rsid w:val="00C1124C"/>
    <w:rsid w:val="00C1146E"/>
    <w:rsid w:val="00C12438"/>
    <w:rsid w:val="00C127B5"/>
    <w:rsid w:val="00C12E82"/>
    <w:rsid w:val="00C131A9"/>
    <w:rsid w:val="00C136FA"/>
    <w:rsid w:val="00C1394F"/>
    <w:rsid w:val="00C13E87"/>
    <w:rsid w:val="00C145A4"/>
    <w:rsid w:val="00C1482D"/>
    <w:rsid w:val="00C148C1"/>
    <w:rsid w:val="00C165CB"/>
    <w:rsid w:val="00C16B7A"/>
    <w:rsid w:val="00C16D67"/>
    <w:rsid w:val="00C16E9E"/>
    <w:rsid w:val="00C16EB1"/>
    <w:rsid w:val="00C16F2C"/>
    <w:rsid w:val="00C1745E"/>
    <w:rsid w:val="00C17928"/>
    <w:rsid w:val="00C2017C"/>
    <w:rsid w:val="00C20B2A"/>
    <w:rsid w:val="00C20FFF"/>
    <w:rsid w:val="00C21367"/>
    <w:rsid w:val="00C2193D"/>
    <w:rsid w:val="00C21A53"/>
    <w:rsid w:val="00C21AD6"/>
    <w:rsid w:val="00C21D20"/>
    <w:rsid w:val="00C21E19"/>
    <w:rsid w:val="00C21E77"/>
    <w:rsid w:val="00C21EF2"/>
    <w:rsid w:val="00C21FEF"/>
    <w:rsid w:val="00C2293C"/>
    <w:rsid w:val="00C23157"/>
    <w:rsid w:val="00C23799"/>
    <w:rsid w:val="00C23F17"/>
    <w:rsid w:val="00C243E0"/>
    <w:rsid w:val="00C2469B"/>
    <w:rsid w:val="00C24AA7"/>
    <w:rsid w:val="00C25908"/>
    <w:rsid w:val="00C25AB7"/>
    <w:rsid w:val="00C26472"/>
    <w:rsid w:val="00C2659A"/>
    <w:rsid w:val="00C2734B"/>
    <w:rsid w:val="00C276D1"/>
    <w:rsid w:val="00C27C26"/>
    <w:rsid w:val="00C27C34"/>
    <w:rsid w:val="00C27C6A"/>
    <w:rsid w:val="00C27D33"/>
    <w:rsid w:val="00C300AE"/>
    <w:rsid w:val="00C30537"/>
    <w:rsid w:val="00C30842"/>
    <w:rsid w:val="00C30A02"/>
    <w:rsid w:val="00C30BDC"/>
    <w:rsid w:val="00C3108B"/>
    <w:rsid w:val="00C31351"/>
    <w:rsid w:val="00C3143D"/>
    <w:rsid w:val="00C31622"/>
    <w:rsid w:val="00C31A08"/>
    <w:rsid w:val="00C31B50"/>
    <w:rsid w:val="00C31EF9"/>
    <w:rsid w:val="00C3298D"/>
    <w:rsid w:val="00C32F39"/>
    <w:rsid w:val="00C330F9"/>
    <w:rsid w:val="00C33151"/>
    <w:rsid w:val="00C33620"/>
    <w:rsid w:val="00C33945"/>
    <w:rsid w:val="00C33B20"/>
    <w:rsid w:val="00C3481F"/>
    <w:rsid w:val="00C34EBF"/>
    <w:rsid w:val="00C3514F"/>
    <w:rsid w:val="00C352D5"/>
    <w:rsid w:val="00C354F4"/>
    <w:rsid w:val="00C35A4C"/>
    <w:rsid w:val="00C35C2A"/>
    <w:rsid w:val="00C35CB2"/>
    <w:rsid w:val="00C363FF"/>
    <w:rsid w:val="00C367C5"/>
    <w:rsid w:val="00C3683D"/>
    <w:rsid w:val="00C36B19"/>
    <w:rsid w:val="00C372AE"/>
    <w:rsid w:val="00C37814"/>
    <w:rsid w:val="00C37B8E"/>
    <w:rsid w:val="00C40045"/>
    <w:rsid w:val="00C401B1"/>
    <w:rsid w:val="00C40BD3"/>
    <w:rsid w:val="00C41105"/>
    <w:rsid w:val="00C418B9"/>
    <w:rsid w:val="00C41B3F"/>
    <w:rsid w:val="00C41FD6"/>
    <w:rsid w:val="00C42752"/>
    <w:rsid w:val="00C437E9"/>
    <w:rsid w:val="00C43AF1"/>
    <w:rsid w:val="00C43E69"/>
    <w:rsid w:val="00C443F3"/>
    <w:rsid w:val="00C453D7"/>
    <w:rsid w:val="00C45A1C"/>
    <w:rsid w:val="00C45BC0"/>
    <w:rsid w:val="00C45E3E"/>
    <w:rsid w:val="00C460B0"/>
    <w:rsid w:val="00C461C4"/>
    <w:rsid w:val="00C465C2"/>
    <w:rsid w:val="00C46B42"/>
    <w:rsid w:val="00C473E1"/>
    <w:rsid w:val="00C477CC"/>
    <w:rsid w:val="00C47AB6"/>
    <w:rsid w:val="00C47B74"/>
    <w:rsid w:val="00C502C9"/>
    <w:rsid w:val="00C50598"/>
    <w:rsid w:val="00C50B02"/>
    <w:rsid w:val="00C50C5E"/>
    <w:rsid w:val="00C50EE5"/>
    <w:rsid w:val="00C51028"/>
    <w:rsid w:val="00C5111F"/>
    <w:rsid w:val="00C5125D"/>
    <w:rsid w:val="00C51533"/>
    <w:rsid w:val="00C51D14"/>
    <w:rsid w:val="00C51FC5"/>
    <w:rsid w:val="00C52472"/>
    <w:rsid w:val="00C531C4"/>
    <w:rsid w:val="00C536B0"/>
    <w:rsid w:val="00C53736"/>
    <w:rsid w:val="00C537DC"/>
    <w:rsid w:val="00C53894"/>
    <w:rsid w:val="00C54619"/>
    <w:rsid w:val="00C54CB8"/>
    <w:rsid w:val="00C54E74"/>
    <w:rsid w:val="00C551F4"/>
    <w:rsid w:val="00C5520D"/>
    <w:rsid w:val="00C5527A"/>
    <w:rsid w:val="00C55C96"/>
    <w:rsid w:val="00C55EF8"/>
    <w:rsid w:val="00C56836"/>
    <w:rsid w:val="00C568DF"/>
    <w:rsid w:val="00C56E37"/>
    <w:rsid w:val="00C57C90"/>
    <w:rsid w:val="00C57EC4"/>
    <w:rsid w:val="00C57F1A"/>
    <w:rsid w:val="00C61957"/>
    <w:rsid w:val="00C6212B"/>
    <w:rsid w:val="00C62190"/>
    <w:rsid w:val="00C62D9E"/>
    <w:rsid w:val="00C634F5"/>
    <w:rsid w:val="00C6358D"/>
    <w:rsid w:val="00C638E7"/>
    <w:rsid w:val="00C63A52"/>
    <w:rsid w:val="00C63C82"/>
    <w:rsid w:val="00C64BA2"/>
    <w:rsid w:val="00C64BF3"/>
    <w:rsid w:val="00C64D8A"/>
    <w:rsid w:val="00C64EA5"/>
    <w:rsid w:val="00C6554F"/>
    <w:rsid w:val="00C6559C"/>
    <w:rsid w:val="00C65F4C"/>
    <w:rsid w:val="00C66156"/>
    <w:rsid w:val="00C6650B"/>
    <w:rsid w:val="00C6693C"/>
    <w:rsid w:val="00C675CA"/>
    <w:rsid w:val="00C6782A"/>
    <w:rsid w:val="00C67889"/>
    <w:rsid w:val="00C67B65"/>
    <w:rsid w:val="00C67E32"/>
    <w:rsid w:val="00C67F5D"/>
    <w:rsid w:val="00C7016C"/>
    <w:rsid w:val="00C7028B"/>
    <w:rsid w:val="00C70734"/>
    <w:rsid w:val="00C70791"/>
    <w:rsid w:val="00C70852"/>
    <w:rsid w:val="00C70F9E"/>
    <w:rsid w:val="00C71337"/>
    <w:rsid w:val="00C71869"/>
    <w:rsid w:val="00C71E0D"/>
    <w:rsid w:val="00C71F65"/>
    <w:rsid w:val="00C72159"/>
    <w:rsid w:val="00C7261E"/>
    <w:rsid w:val="00C72AF3"/>
    <w:rsid w:val="00C72E81"/>
    <w:rsid w:val="00C72EDE"/>
    <w:rsid w:val="00C73049"/>
    <w:rsid w:val="00C733F9"/>
    <w:rsid w:val="00C73FB1"/>
    <w:rsid w:val="00C745BC"/>
    <w:rsid w:val="00C750FF"/>
    <w:rsid w:val="00C7511E"/>
    <w:rsid w:val="00C75685"/>
    <w:rsid w:val="00C75C8F"/>
    <w:rsid w:val="00C75D1F"/>
    <w:rsid w:val="00C7644B"/>
    <w:rsid w:val="00C76646"/>
    <w:rsid w:val="00C7671C"/>
    <w:rsid w:val="00C769D1"/>
    <w:rsid w:val="00C76B04"/>
    <w:rsid w:val="00C76C81"/>
    <w:rsid w:val="00C76EF2"/>
    <w:rsid w:val="00C76F52"/>
    <w:rsid w:val="00C7784A"/>
    <w:rsid w:val="00C77910"/>
    <w:rsid w:val="00C77E7D"/>
    <w:rsid w:val="00C800E7"/>
    <w:rsid w:val="00C800F9"/>
    <w:rsid w:val="00C80482"/>
    <w:rsid w:val="00C8086B"/>
    <w:rsid w:val="00C81352"/>
    <w:rsid w:val="00C81559"/>
    <w:rsid w:val="00C81B47"/>
    <w:rsid w:val="00C81CD9"/>
    <w:rsid w:val="00C81CDF"/>
    <w:rsid w:val="00C81D03"/>
    <w:rsid w:val="00C81D13"/>
    <w:rsid w:val="00C81E09"/>
    <w:rsid w:val="00C8206C"/>
    <w:rsid w:val="00C82688"/>
    <w:rsid w:val="00C826D8"/>
    <w:rsid w:val="00C82FCB"/>
    <w:rsid w:val="00C832B7"/>
    <w:rsid w:val="00C834DC"/>
    <w:rsid w:val="00C83C1C"/>
    <w:rsid w:val="00C84F7D"/>
    <w:rsid w:val="00C856EF"/>
    <w:rsid w:val="00C85CF8"/>
    <w:rsid w:val="00C86A09"/>
    <w:rsid w:val="00C86AEA"/>
    <w:rsid w:val="00C86E36"/>
    <w:rsid w:val="00C87E08"/>
    <w:rsid w:val="00C900EF"/>
    <w:rsid w:val="00C9013E"/>
    <w:rsid w:val="00C901E1"/>
    <w:rsid w:val="00C91978"/>
    <w:rsid w:val="00C91A01"/>
    <w:rsid w:val="00C9218C"/>
    <w:rsid w:val="00C923FF"/>
    <w:rsid w:val="00C92AC6"/>
    <w:rsid w:val="00C92E43"/>
    <w:rsid w:val="00C93031"/>
    <w:rsid w:val="00C93706"/>
    <w:rsid w:val="00C9402B"/>
    <w:rsid w:val="00C94D7E"/>
    <w:rsid w:val="00C95477"/>
    <w:rsid w:val="00C95AC6"/>
    <w:rsid w:val="00C960C2"/>
    <w:rsid w:val="00C960C4"/>
    <w:rsid w:val="00C963F5"/>
    <w:rsid w:val="00C967B2"/>
    <w:rsid w:val="00C96ED7"/>
    <w:rsid w:val="00C96F1F"/>
    <w:rsid w:val="00C97615"/>
    <w:rsid w:val="00C977A0"/>
    <w:rsid w:val="00C97873"/>
    <w:rsid w:val="00C97A37"/>
    <w:rsid w:val="00CA042B"/>
    <w:rsid w:val="00CA05F3"/>
    <w:rsid w:val="00CA05F5"/>
    <w:rsid w:val="00CA075E"/>
    <w:rsid w:val="00CA0DBB"/>
    <w:rsid w:val="00CA137C"/>
    <w:rsid w:val="00CA1D58"/>
    <w:rsid w:val="00CA2257"/>
    <w:rsid w:val="00CA24B1"/>
    <w:rsid w:val="00CA258E"/>
    <w:rsid w:val="00CA2C06"/>
    <w:rsid w:val="00CA2F46"/>
    <w:rsid w:val="00CA3719"/>
    <w:rsid w:val="00CA3A11"/>
    <w:rsid w:val="00CA3D7A"/>
    <w:rsid w:val="00CA4022"/>
    <w:rsid w:val="00CA474E"/>
    <w:rsid w:val="00CA4BBF"/>
    <w:rsid w:val="00CA4C81"/>
    <w:rsid w:val="00CA4DBA"/>
    <w:rsid w:val="00CA525A"/>
    <w:rsid w:val="00CA5333"/>
    <w:rsid w:val="00CA5648"/>
    <w:rsid w:val="00CA5711"/>
    <w:rsid w:val="00CA5788"/>
    <w:rsid w:val="00CA6E27"/>
    <w:rsid w:val="00CA77B1"/>
    <w:rsid w:val="00CB0478"/>
    <w:rsid w:val="00CB05D0"/>
    <w:rsid w:val="00CB0851"/>
    <w:rsid w:val="00CB0958"/>
    <w:rsid w:val="00CB131A"/>
    <w:rsid w:val="00CB194F"/>
    <w:rsid w:val="00CB1BAF"/>
    <w:rsid w:val="00CB220A"/>
    <w:rsid w:val="00CB2222"/>
    <w:rsid w:val="00CB22DA"/>
    <w:rsid w:val="00CB2796"/>
    <w:rsid w:val="00CB2BF8"/>
    <w:rsid w:val="00CB2C6C"/>
    <w:rsid w:val="00CB2FD1"/>
    <w:rsid w:val="00CB325C"/>
    <w:rsid w:val="00CB3C30"/>
    <w:rsid w:val="00CB3F27"/>
    <w:rsid w:val="00CB4479"/>
    <w:rsid w:val="00CB4792"/>
    <w:rsid w:val="00CB5AFC"/>
    <w:rsid w:val="00CB6706"/>
    <w:rsid w:val="00CB6A3E"/>
    <w:rsid w:val="00CB6E78"/>
    <w:rsid w:val="00CB6F88"/>
    <w:rsid w:val="00CB73EA"/>
    <w:rsid w:val="00CB7962"/>
    <w:rsid w:val="00CB7D11"/>
    <w:rsid w:val="00CB7D61"/>
    <w:rsid w:val="00CB7DC4"/>
    <w:rsid w:val="00CC02D1"/>
    <w:rsid w:val="00CC0B7C"/>
    <w:rsid w:val="00CC0C9B"/>
    <w:rsid w:val="00CC19C0"/>
    <w:rsid w:val="00CC1AAF"/>
    <w:rsid w:val="00CC1D5B"/>
    <w:rsid w:val="00CC206C"/>
    <w:rsid w:val="00CC2124"/>
    <w:rsid w:val="00CC26A0"/>
    <w:rsid w:val="00CC2C8E"/>
    <w:rsid w:val="00CC2D87"/>
    <w:rsid w:val="00CC2F19"/>
    <w:rsid w:val="00CC3266"/>
    <w:rsid w:val="00CC3F83"/>
    <w:rsid w:val="00CC48C0"/>
    <w:rsid w:val="00CC49CF"/>
    <w:rsid w:val="00CC5045"/>
    <w:rsid w:val="00CC595A"/>
    <w:rsid w:val="00CC5C63"/>
    <w:rsid w:val="00CC5E36"/>
    <w:rsid w:val="00CC6121"/>
    <w:rsid w:val="00CC67CC"/>
    <w:rsid w:val="00CC6F0C"/>
    <w:rsid w:val="00CC71CC"/>
    <w:rsid w:val="00CC7246"/>
    <w:rsid w:val="00CC78EF"/>
    <w:rsid w:val="00CD0614"/>
    <w:rsid w:val="00CD1FAC"/>
    <w:rsid w:val="00CD2847"/>
    <w:rsid w:val="00CD2AB1"/>
    <w:rsid w:val="00CD2BEC"/>
    <w:rsid w:val="00CD3C89"/>
    <w:rsid w:val="00CD3EDB"/>
    <w:rsid w:val="00CD40EB"/>
    <w:rsid w:val="00CD495D"/>
    <w:rsid w:val="00CD4CCD"/>
    <w:rsid w:val="00CD55FB"/>
    <w:rsid w:val="00CD5986"/>
    <w:rsid w:val="00CD61D9"/>
    <w:rsid w:val="00CD69A7"/>
    <w:rsid w:val="00CD6F37"/>
    <w:rsid w:val="00CD74B6"/>
    <w:rsid w:val="00CD7700"/>
    <w:rsid w:val="00CD7E5C"/>
    <w:rsid w:val="00CE003D"/>
    <w:rsid w:val="00CE025C"/>
    <w:rsid w:val="00CE0AA6"/>
    <w:rsid w:val="00CE0C22"/>
    <w:rsid w:val="00CE0D21"/>
    <w:rsid w:val="00CE0E68"/>
    <w:rsid w:val="00CE1188"/>
    <w:rsid w:val="00CE1FB3"/>
    <w:rsid w:val="00CE2381"/>
    <w:rsid w:val="00CE2674"/>
    <w:rsid w:val="00CE2D24"/>
    <w:rsid w:val="00CE3053"/>
    <w:rsid w:val="00CE3FF4"/>
    <w:rsid w:val="00CE4D43"/>
    <w:rsid w:val="00CE4E7D"/>
    <w:rsid w:val="00CE59C4"/>
    <w:rsid w:val="00CE5B8E"/>
    <w:rsid w:val="00CE5EA4"/>
    <w:rsid w:val="00CE636F"/>
    <w:rsid w:val="00CE69C7"/>
    <w:rsid w:val="00CE6C5B"/>
    <w:rsid w:val="00CE7C47"/>
    <w:rsid w:val="00CF00C6"/>
    <w:rsid w:val="00CF011E"/>
    <w:rsid w:val="00CF0760"/>
    <w:rsid w:val="00CF092F"/>
    <w:rsid w:val="00CF0B32"/>
    <w:rsid w:val="00CF1377"/>
    <w:rsid w:val="00CF142D"/>
    <w:rsid w:val="00CF1474"/>
    <w:rsid w:val="00CF15BA"/>
    <w:rsid w:val="00CF1A13"/>
    <w:rsid w:val="00CF217F"/>
    <w:rsid w:val="00CF22EB"/>
    <w:rsid w:val="00CF23C2"/>
    <w:rsid w:val="00CF2C6E"/>
    <w:rsid w:val="00CF3224"/>
    <w:rsid w:val="00CF3A2E"/>
    <w:rsid w:val="00CF3F11"/>
    <w:rsid w:val="00CF41AF"/>
    <w:rsid w:val="00CF45A0"/>
    <w:rsid w:val="00CF5354"/>
    <w:rsid w:val="00CF5427"/>
    <w:rsid w:val="00CF5668"/>
    <w:rsid w:val="00CF607B"/>
    <w:rsid w:val="00CF7045"/>
    <w:rsid w:val="00CF73E3"/>
    <w:rsid w:val="00CF755E"/>
    <w:rsid w:val="00CF75D0"/>
    <w:rsid w:val="00CF7790"/>
    <w:rsid w:val="00CF7915"/>
    <w:rsid w:val="00CF792B"/>
    <w:rsid w:val="00CF7D9F"/>
    <w:rsid w:val="00D0048F"/>
    <w:rsid w:val="00D00DEC"/>
    <w:rsid w:val="00D00FCB"/>
    <w:rsid w:val="00D020AC"/>
    <w:rsid w:val="00D0212E"/>
    <w:rsid w:val="00D02BFA"/>
    <w:rsid w:val="00D02E64"/>
    <w:rsid w:val="00D033D2"/>
    <w:rsid w:val="00D0361C"/>
    <w:rsid w:val="00D03B62"/>
    <w:rsid w:val="00D03E11"/>
    <w:rsid w:val="00D04374"/>
    <w:rsid w:val="00D047AD"/>
    <w:rsid w:val="00D04AFF"/>
    <w:rsid w:val="00D04E68"/>
    <w:rsid w:val="00D051EE"/>
    <w:rsid w:val="00D054C6"/>
    <w:rsid w:val="00D06043"/>
    <w:rsid w:val="00D06A43"/>
    <w:rsid w:val="00D070AA"/>
    <w:rsid w:val="00D108B3"/>
    <w:rsid w:val="00D10991"/>
    <w:rsid w:val="00D10A92"/>
    <w:rsid w:val="00D10DBA"/>
    <w:rsid w:val="00D10F69"/>
    <w:rsid w:val="00D11F18"/>
    <w:rsid w:val="00D11F49"/>
    <w:rsid w:val="00D1262C"/>
    <w:rsid w:val="00D1311F"/>
    <w:rsid w:val="00D1331B"/>
    <w:rsid w:val="00D137DB"/>
    <w:rsid w:val="00D13817"/>
    <w:rsid w:val="00D13955"/>
    <w:rsid w:val="00D1437C"/>
    <w:rsid w:val="00D143A0"/>
    <w:rsid w:val="00D1461B"/>
    <w:rsid w:val="00D14B03"/>
    <w:rsid w:val="00D1572F"/>
    <w:rsid w:val="00D15A5C"/>
    <w:rsid w:val="00D15D87"/>
    <w:rsid w:val="00D16105"/>
    <w:rsid w:val="00D16836"/>
    <w:rsid w:val="00D1733C"/>
    <w:rsid w:val="00D177F0"/>
    <w:rsid w:val="00D17D4D"/>
    <w:rsid w:val="00D20793"/>
    <w:rsid w:val="00D207B9"/>
    <w:rsid w:val="00D209AC"/>
    <w:rsid w:val="00D211AE"/>
    <w:rsid w:val="00D21457"/>
    <w:rsid w:val="00D21934"/>
    <w:rsid w:val="00D21C0F"/>
    <w:rsid w:val="00D21D3D"/>
    <w:rsid w:val="00D223A2"/>
    <w:rsid w:val="00D22BD7"/>
    <w:rsid w:val="00D2355B"/>
    <w:rsid w:val="00D2433D"/>
    <w:rsid w:val="00D24C03"/>
    <w:rsid w:val="00D24FAE"/>
    <w:rsid w:val="00D2545A"/>
    <w:rsid w:val="00D2603D"/>
    <w:rsid w:val="00D26520"/>
    <w:rsid w:val="00D273D7"/>
    <w:rsid w:val="00D3035C"/>
    <w:rsid w:val="00D30434"/>
    <w:rsid w:val="00D3056C"/>
    <w:rsid w:val="00D30789"/>
    <w:rsid w:val="00D30A5E"/>
    <w:rsid w:val="00D30A75"/>
    <w:rsid w:val="00D30D67"/>
    <w:rsid w:val="00D31004"/>
    <w:rsid w:val="00D31120"/>
    <w:rsid w:val="00D312C3"/>
    <w:rsid w:val="00D31506"/>
    <w:rsid w:val="00D31E55"/>
    <w:rsid w:val="00D320E6"/>
    <w:rsid w:val="00D3211C"/>
    <w:rsid w:val="00D322B0"/>
    <w:rsid w:val="00D32463"/>
    <w:rsid w:val="00D32A3A"/>
    <w:rsid w:val="00D32D15"/>
    <w:rsid w:val="00D32F90"/>
    <w:rsid w:val="00D339C0"/>
    <w:rsid w:val="00D33DDD"/>
    <w:rsid w:val="00D34691"/>
    <w:rsid w:val="00D347B1"/>
    <w:rsid w:val="00D347D3"/>
    <w:rsid w:val="00D34FA7"/>
    <w:rsid w:val="00D3566F"/>
    <w:rsid w:val="00D358C0"/>
    <w:rsid w:val="00D35AB8"/>
    <w:rsid w:val="00D3627C"/>
    <w:rsid w:val="00D36386"/>
    <w:rsid w:val="00D366F2"/>
    <w:rsid w:val="00D36AB6"/>
    <w:rsid w:val="00D36B4D"/>
    <w:rsid w:val="00D36BD1"/>
    <w:rsid w:val="00D36F96"/>
    <w:rsid w:val="00D37890"/>
    <w:rsid w:val="00D37C2C"/>
    <w:rsid w:val="00D37F64"/>
    <w:rsid w:val="00D40046"/>
    <w:rsid w:val="00D406AE"/>
    <w:rsid w:val="00D40EB2"/>
    <w:rsid w:val="00D4128A"/>
    <w:rsid w:val="00D41B15"/>
    <w:rsid w:val="00D41B77"/>
    <w:rsid w:val="00D41CFD"/>
    <w:rsid w:val="00D41E2F"/>
    <w:rsid w:val="00D4217F"/>
    <w:rsid w:val="00D421BF"/>
    <w:rsid w:val="00D42370"/>
    <w:rsid w:val="00D42586"/>
    <w:rsid w:val="00D42800"/>
    <w:rsid w:val="00D4318B"/>
    <w:rsid w:val="00D43FEA"/>
    <w:rsid w:val="00D44247"/>
    <w:rsid w:val="00D4487A"/>
    <w:rsid w:val="00D45146"/>
    <w:rsid w:val="00D45305"/>
    <w:rsid w:val="00D4550C"/>
    <w:rsid w:val="00D456A6"/>
    <w:rsid w:val="00D456FA"/>
    <w:rsid w:val="00D460FB"/>
    <w:rsid w:val="00D468DE"/>
    <w:rsid w:val="00D46C31"/>
    <w:rsid w:val="00D472E9"/>
    <w:rsid w:val="00D472F2"/>
    <w:rsid w:val="00D4732A"/>
    <w:rsid w:val="00D47B10"/>
    <w:rsid w:val="00D47DE3"/>
    <w:rsid w:val="00D50697"/>
    <w:rsid w:val="00D506A2"/>
    <w:rsid w:val="00D50D63"/>
    <w:rsid w:val="00D51C95"/>
    <w:rsid w:val="00D5246D"/>
    <w:rsid w:val="00D527C4"/>
    <w:rsid w:val="00D52F8E"/>
    <w:rsid w:val="00D52FA3"/>
    <w:rsid w:val="00D53365"/>
    <w:rsid w:val="00D53930"/>
    <w:rsid w:val="00D539E1"/>
    <w:rsid w:val="00D53D10"/>
    <w:rsid w:val="00D53D2D"/>
    <w:rsid w:val="00D54117"/>
    <w:rsid w:val="00D5450D"/>
    <w:rsid w:val="00D54DE8"/>
    <w:rsid w:val="00D5534C"/>
    <w:rsid w:val="00D5547D"/>
    <w:rsid w:val="00D55651"/>
    <w:rsid w:val="00D56240"/>
    <w:rsid w:val="00D562F9"/>
    <w:rsid w:val="00D56673"/>
    <w:rsid w:val="00D56D32"/>
    <w:rsid w:val="00D572BE"/>
    <w:rsid w:val="00D57427"/>
    <w:rsid w:val="00D576B1"/>
    <w:rsid w:val="00D5789C"/>
    <w:rsid w:val="00D578E6"/>
    <w:rsid w:val="00D60A58"/>
    <w:rsid w:val="00D60B08"/>
    <w:rsid w:val="00D61552"/>
    <w:rsid w:val="00D6155A"/>
    <w:rsid w:val="00D615BD"/>
    <w:rsid w:val="00D61A72"/>
    <w:rsid w:val="00D61EAC"/>
    <w:rsid w:val="00D6248E"/>
    <w:rsid w:val="00D62989"/>
    <w:rsid w:val="00D62C13"/>
    <w:rsid w:val="00D62C3E"/>
    <w:rsid w:val="00D63266"/>
    <w:rsid w:val="00D63394"/>
    <w:rsid w:val="00D63491"/>
    <w:rsid w:val="00D63689"/>
    <w:rsid w:val="00D63A4C"/>
    <w:rsid w:val="00D63E51"/>
    <w:rsid w:val="00D63E9A"/>
    <w:rsid w:val="00D6417B"/>
    <w:rsid w:val="00D642B5"/>
    <w:rsid w:val="00D6446D"/>
    <w:rsid w:val="00D647CB"/>
    <w:rsid w:val="00D6486B"/>
    <w:rsid w:val="00D650D8"/>
    <w:rsid w:val="00D655A9"/>
    <w:rsid w:val="00D659FB"/>
    <w:rsid w:val="00D65E7B"/>
    <w:rsid w:val="00D66477"/>
    <w:rsid w:val="00D66820"/>
    <w:rsid w:val="00D66B44"/>
    <w:rsid w:val="00D66F8D"/>
    <w:rsid w:val="00D6709F"/>
    <w:rsid w:val="00D67100"/>
    <w:rsid w:val="00D67654"/>
    <w:rsid w:val="00D70C98"/>
    <w:rsid w:val="00D71C35"/>
    <w:rsid w:val="00D71DCE"/>
    <w:rsid w:val="00D71E1E"/>
    <w:rsid w:val="00D71F12"/>
    <w:rsid w:val="00D71FDB"/>
    <w:rsid w:val="00D72BC3"/>
    <w:rsid w:val="00D7357C"/>
    <w:rsid w:val="00D73684"/>
    <w:rsid w:val="00D7431B"/>
    <w:rsid w:val="00D744E4"/>
    <w:rsid w:val="00D7466D"/>
    <w:rsid w:val="00D74A60"/>
    <w:rsid w:val="00D7522C"/>
    <w:rsid w:val="00D75BD0"/>
    <w:rsid w:val="00D7675E"/>
    <w:rsid w:val="00D7679E"/>
    <w:rsid w:val="00D76A51"/>
    <w:rsid w:val="00D7715F"/>
    <w:rsid w:val="00D776BB"/>
    <w:rsid w:val="00D77D2E"/>
    <w:rsid w:val="00D8007B"/>
    <w:rsid w:val="00D814AA"/>
    <w:rsid w:val="00D817A6"/>
    <w:rsid w:val="00D818B4"/>
    <w:rsid w:val="00D82683"/>
    <w:rsid w:val="00D83A3F"/>
    <w:rsid w:val="00D83BE2"/>
    <w:rsid w:val="00D8407C"/>
    <w:rsid w:val="00D84142"/>
    <w:rsid w:val="00D841A2"/>
    <w:rsid w:val="00D84531"/>
    <w:rsid w:val="00D84FD5"/>
    <w:rsid w:val="00D85337"/>
    <w:rsid w:val="00D85CB3"/>
    <w:rsid w:val="00D85DD6"/>
    <w:rsid w:val="00D85DDD"/>
    <w:rsid w:val="00D85FAF"/>
    <w:rsid w:val="00D86150"/>
    <w:rsid w:val="00D86254"/>
    <w:rsid w:val="00D86710"/>
    <w:rsid w:val="00D86D24"/>
    <w:rsid w:val="00D87618"/>
    <w:rsid w:val="00D90056"/>
    <w:rsid w:val="00D9053C"/>
    <w:rsid w:val="00D9054F"/>
    <w:rsid w:val="00D9070A"/>
    <w:rsid w:val="00D90DAB"/>
    <w:rsid w:val="00D91277"/>
    <w:rsid w:val="00D91CE6"/>
    <w:rsid w:val="00D921D4"/>
    <w:rsid w:val="00D92595"/>
    <w:rsid w:val="00D92C93"/>
    <w:rsid w:val="00D93CD5"/>
    <w:rsid w:val="00D94D9B"/>
    <w:rsid w:val="00D94DAE"/>
    <w:rsid w:val="00D95377"/>
    <w:rsid w:val="00D960F5"/>
    <w:rsid w:val="00D966F4"/>
    <w:rsid w:val="00D9678E"/>
    <w:rsid w:val="00D96B89"/>
    <w:rsid w:val="00D96D57"/>
    <w:rsid w:val="00D97481"/>
    <w:rsid w:val="00D97CA2"/>
    <w:rsid w:val="00D97D8A"/>
    <w:rsid w:val="00DA0042"/>
    <w:rsid w:val="00DA01F0"/>
    <w:rsid w:val="00DA03C9"/>
    <w:rsid w:val="00DA08BE"/>
    <w:rsid w:val="00DA0B34"/>
    <w:rsid w:val="00DA122F"/>
    <w:rsid w:val="00DA139C"/>
    <w:rsid w:val="00DA1583"/>
    <w:rsid w:val="00DA1630"/>
    <w:rsid w:val="00DA19C4"/>
    <w:rsid w:val="00DA1DFC"/>
    <w:rsid w:val="00DA1FF7"/>
    <w:rsid w:val="00DA203C"/>
    <w:rsid w:val="00DA2308"/>
    <w:rsid w:val="00DA279F"/>
    <w:rsid w:val="00DA2C28"/>
    <w:rsid w:val="00DA2C9C"/>
    <w:rsid w:val="00DA3A73"/>
    <w:rsid w:val="00DA462C"/>
    <w:rsid w:val="00DA47E6"/>
    <w:rsid w:val="00DA4938"/>
    <w:rsid w:val="00DA493D"/>
    <w:rsid w:val="00DA4CAF"/>
    <w:rsid w:val="00DA51B1"/>
    <w:rsid w:val="00DA59FF"/>
    <w:rsid w:val="00DA5C69"/>
    <w:rsid w:val="00DA5E39"/>
    <w:rsid w:val="00DA6C06"/>
    <w:rsid w:val="00DA70A4"/>
    <w:rsid w:val="00DA746C"/>
    <w:rsid w:val="00DA752C"/>
    <w:rsid w:val="00DA76DA"/>
    <w:rsid w:val="00DB09A7"/>
    <w:rsid w:val="00DB0E0E"/>
    <w:rsid w:val="00DB0F09"/>
    <w:rsid w:val="00DB1553"/>
    <w:rsid w:val="00DB164D"/>
    <w:rsid w:val="00DB16F2"/>
    <w:rsid w:val="00DB17C6"/>
    <w:rsid w:val="00DB1CCA"/>
    <w:rsid w:val="00DB1FF1"/>
    <w:rsid w:val="00DB2147"/>
    <w:rsid w:val="00DB21B2"/>
    <w:rsid w:val="00DB21E1"/>
    <w:rsid w:val="00DB27B1"/>
    <w:rsid w:val="00DB31DB"/>
    <w:rsid w:val="00DB34CF"/>
    <w:rsid w:val="00DB35AB"/>
    <w:rsid w:val="00DB3DD0"/>
    <w:rsid w:val="00DB4730"/>
    <w:rsid w:val="00DB4EF7"/>
    <w:rsid w:val="00DB5395"/>
    <w:rsid w:val="00DB5D45"/>
    <w:rsid w:val="00DB5F0E"/>
    <w:rsid w:val="00DB6304"/>
    <w:rsid w:val="00DB6523"/>
    <w:rsid w:val="00DB688C"/>
    <w:rsid w:val="00DB727D"/>
    <w:rsid w:val="00DB764B"/>
    <w:rsid w:val="00DB7771"/>
    <w:rsid w:val="00DB7B0D"/>
    <w:rsid w:val="00DB7D5D"/>
    <w:rsid w:val="00DC030C"/>
    <w:rsid w:val="00DC0395"/>
    <w:rsid w:val="00DC0794"/>
    <w:rsid w:val="00DC0CD8"/>
    <w:rsid w:val="00DC19A1"/>
    <w:rsid w:val="00DC2028"/>
    <w:rsid w:val="00DC2F84"/>
    <w:rsid w:val="00DC3182"/>
    <w:rsid w:val="00DC3485"/>
    <w:rsid w:val="00DC34A2"/>
    <w:rsid w:val="00DC34D2"/>
    <w:rsid w:val="00DC4002"/>
    <w:rsid w:val="00DC40EE"/>
    <w:rsid w:val="00DC41FE"/>
    <w:rsid w:val="00DC4310"/>
    <w:rsid w:val="00DC4427"/>
    <w:rsid w:val="00DC4F22"/>
    <w:rsid w:val="00DC5794"/>
    <w:rsid w:val="00DC5B03"/>
    <w:rsid w:val="00DC65FB"/>
    <w:rsid w:val="00DC68D9"/>
    <w:rsid w:val="00DC6AF0"/>
    <w:rsid w:val="00DC7090"/>
    <w:rsid w:val="00DC712F"/>
    <w:rsid w:val="00DD03C1"/>
    <w:rsid w:val="00DD0474"/>
    <w:rsid w:val="00DD04D4"/>
    <w:rsid w:val="00DD103C"/>
    <w:rsid w:val="00DD1298"/>
    <w:rsid w:val="00DD13D6"/>
    <w:rsid w:val="00DD181F"/>
    <w:rsid w:val="00DD1D0D"/>
    <w:rsid w:val="00DD1DD2"/>
    <w:rsid w:val="00DD261A"/>
    <w:rsid w:val="00DD273C"/>
    <w:rsid w:val="00DD2BAC"/>
    <w:rsid w:val="00DD2BBC"/>
    <w:rsid w:val="00DD2CE1"/>
    <w:rsid w:val="00DD2F18"/>
    <w:rsid w:val="00DD3305"/>
    <w:rsid w:val="00DD3CAC"/>
    <w:rsid w:val="00DD3CD4"/>
    <w:rsid w:val="00DD3E02"/>
    <w:rsid w:val="00DD404F"/>
    <w:rsid w:val="00DD44CF"/>
    <w:rsid w:val="00DD4680"/>
    <w:rsid w:val="00DD47FD"/>
    <w:rsid w:val="00DD48D7"/>
    <w:rsid w:val="00DD5228"/>
    <w:rsid w:val="00DD59E7"/>
    <w:rsid w:val="00DD5CBF"/>
    <w:rsid w:val="00DD5DA0"/>
    <w:rsid w:val="00DD6423"/>
    <w:rsid w:val="00DD6717"/>
    <w:rsid w:val="00DD67A1"/>
    <w:rsid w:val="00DD6A9D"/>
    <w:rsid w:val="00DD6EBD"/>
    <w:rsid w:val="00DD70DA"/>
    <w:rsid w:val="00DD77C3"/>
    <w:rsid w:val="00DE034A"/>
    <w:rsid w:val="00DE06A2"/>
    <w:rsid w:val="00DE19FF"/>
    <w:rsid w:val="00DE2635"/>
    <w:rsid w:val="00DE2E47"/>
    <w:rsid w:val="00DE3336"/>
    <w:rsid w:val="00DE3706"/>
    <w:rsid w:val="00DE394C"/>
    <w:rsid w:val="00DE3AC8"/>
    <w:rsid w:val="00DE3F5F"/>
    <w:rsid w:val="00DE404E"/>
    <w:rsid w:val="00DE50C3"/>
    <w:rsid w:val="00DE5156"/>
    <w:rsid w:val="00DE52C0"/>
    <w:rsid w:val="00DE52EE"/>
    <w:rsid w:val="00DE5440"/>
    <w:rsid w:val="00DE568B"/>
    <w:rsid w:val="00DE59A4"/>
    <w:rsid w:val="00DE5B12"/>
    <w:rsid w:val="00DE63BB"/>
    <w:rsid w:val="00DE6692"/>
    <w:rsid w:val="00DE6988"/>
    <w:rsid w:val="00DE6A1A"/>
    <w:rsid w:val="00DE6A95"/>
    <w:rsid w:val="00DE6DB3"/>
    <w:rsid w:val="00DE7DA2"/>
    <w:rsid w:val="00DE7E69"/>
    <w:rsid w:val="00DF061E"/>
    <w:rsid w:val="00DF0887"/>
    <w:rsid w:val="00DF0C39"/>
    <w:rsid w:val="00DF1194"/>
    <w:rsid w:val="00DF2112"/>
    <w:rsid w:val="00DF2266"/>
    <w:rsid w:val="00DF268E"/>
    <w:rsid w:val="00DF3E4C"/>
    <w:rsid w:val="00DF45B5"/>
    <w:rsid w:val="00DF4785"/>
    <w:rsid w:val="00DF4C86"/>
    <w:rsid w:val="00DF5366"/>
    <w:rsid w:val="00DF55F1"/>
    <w:rsid w:val="00DF5621"/>
    <w:rsid w:val="00DF5731"/>
    <w:rsid w:val="00DF58CB"/>
    <w:rsid w:val="00DF5B7E"/>
    <w:rsid w:val="00DF666E"/>
    <w:rsid w:val="00DF6D10"/>
    <w:rsid w:val="00DF7215"/>
    <w:rsid w:val="00DF739C"/>
    <w:rsid w:val="00DF745A"/>
    <w:rsid w:val="00DF76D1"/>
    <w:rsid w:val="00E00347"/>
    <w:rsid w:val="00E00550"/>
    <w:rsid w:val="00E008AA"/>
    <w:rsid w:val="00E00F15"/>
    <w:rsid w:val="00E0103A"/>
    <w:rsid w:val="00E011DC"/>
    <w:rsid w:val="00E0128D"/>
    <w:rsid w:val="00E0162F"/>
    <w:rsid w:val="00E01665"/>
    <w:rsid w:val="00E017E2"/>
    <w:rsid w:val="00E01B3A"/>
    <w:rsid w:val="00E01E8E"/>
    <w:rsid w:val="00E03697"/>
    <w:rsid w:val="00E03D5C"/>
    <w:rsid w:val="00E044CD"/>
    <w:rsid w:val="00E0470C"/>
    <w:rsid w:val="00E05196"/>
    <w:rsid w:val="00E0521E"/>
    <w:rsid w:val="00E05910"/>
    <w:rsid w:val="00E065B6"/>
    <w:rsid w:val="00E06958"/>
    <w:rsid w:val="00E074F3"/>
    <w:rsid w:val="00E07717"/>
    <w:rsid w:val="00E100C6"/>
    <w:rsid w:val="00E1019E"/>
    <w:rsid w:val="00E10237"/>
    <w:rsid w:val="00E10304"/>
    <w:rsid w:val="00E1090E"/>
    <w:rsid w:val="00E10D9F"/>
    <w:rsid w:val="00E10DA0"/>
    <w:rsid w:val="00E115EC"/>
    <w:rsid w:val="00E11B0C"/>
    <w:rsid w:val="00E12781"/>
    <w:rsid w:val="00E1388B"/>
    <w:rsid w:val="00E13AFB"/>
    <w:rsid w:val="00E13E41"/>
    <w:rsid w:val="00E1409B"/>
    <w:rsid w:val="00E143C1"/>
    <w:rsid w:val="00E150DF"/>
    <w:rsid w:val="00E1565E"/>
    <w:rsid w:val="00E1591F"/>
    <w:rsid w:val="00E159F3"/>
    <w:rsid w:val="00E15B43"/>
    <w:rsid w:val="00E15C3D"/>
    <w:rsid w:val="00E15FBD"/>
    <w:rsid w:val="00E16CBA"/>
    <w:rsid w:val="00E17990"/>
    <w:rsid w:val="00E20446"/>
    <w:rsid w:val="00E206EC"/>
    <w:rsid w:val="00E20869"/>
    <w:rsid w:val="00E20CEF"/>
    <w:rsid w:val="00E20D96"/>
    <w:rsid w:val="00E2166D"/>
    <w:rsid w:val="00E2192B"/>
    <w:rsid w:val="00E21BB6"/>
    <w:rsid w:val="00E22395"/>
    <w:rsid w:val="00E2263B"/>
    <w:rsid w:val="00E22F86"/>
    <w:rsid w:val="00E2343F"/>
    <w:rsid w:val="00E234F5"/>
    <w:rsid w:val="00E237BB"/>
    <w:rsid w:val="00E2398F"/>
    <w:rsid w:val="00E23C4D"/>
    <w:rsid w:val="00E23C6F"/>
    <w:rsid w:val="00E24180"/>
    <w:rsid w:val="00E24B92"/>
    <w:rsid w:val="00E25123"/>
    <w:rsid w:val="00E25926"/>
    <w:rsid w:val="00E25CD2"/>
    <w:rsid w:val="00E261DA"/>
    <w:rsid w:val="00E262B0"/>
    <w:rsid w:val="00E26437"/>
    <w:rsid w:val="00E267AB"/>
    <w:rsid w:val="00E26D8E"/>
    <w:rsid w:val="00E2711E"/>
    <w:rsid w:val="00E2714E"/>
    <w:rsid w:val="00E27DFB"/>
    <w:rsid w:val="00E27E45"/>
    <w:rsid w:val="00E30898"/>
    <w:rsid w:val="00E30A6E"/>
    <w:rsid w:val="00E30B08"/>
    <w:rsid w:val="00E30DA9"/>
    <w:rsid w:val="00E314B0"/>
    <w:rsid w:val="00E31E8F"/>
    <w:rsid w:val="00E321FC"/>
    <w:rsid w:val="00E32EB0"/>
    <w:rsid w:val="00E33047"/>
    <w:rsid w:val="00E33BA9"/>
    <w:rsid w:val="00E33D7A"/>
    <w:rsid w:val="00E34A8E"/>
    <w:rsid w:val="00E35257"/>
    <w:rsid w:val="00E35317"/>
    <w:rsid w:val="00E3540F"/>
    <w:rsid w:val="00E361A8"/>
    <w:rsid w:val="00E36392"/>
    <w:rsid w:val="00E36AB1"/>
    <w:rsid w:val="00E36B87"/>
    <w:rsid w:val="00E36C1D"/>
    <w:rsid w:val="00E36DC8"/>
    <w:rsid w:val="00E36DE4"/>
    <w:rsid w:val="00E37950"/>
    <w:rsid w:val="00E37C8A"/>
    <w:rsid w:val="00E401C3"/>
    <w:rsid w:val="00E4033D"/>
    <w:rsid w:val="00E403C9"/>
    <w:rsid w:val="00E409FC"/>
    <w:rsid w:val="00E40A02"/>
    <w:rsid w:val="00E41A31"/>
    <w:rsid w:val="00E41F2F"/>
    <w:rsid w:val="00E421D6"/>
    <w:rsid w:val="00E42448"/>
    <w:rsid w:val="00E42D44"/>
    <w:rsid w:val="00E43078"/>
    <w:rsid w:val="00E43776"/>
    <w:rsid w:val="00E4388D"/>
    <w:rsid w:val="00E43D1E"/>
    <w:rsid w:val="00E44848"/>
    <w:rsid w:val="00E448CE"/>
    <w:rsid w:val="00E44F21"/>
    <w:rsid w:val="00E44F48"/>
    <w:rsid w:val="00E45765"/>
    <w:rsid w:val="00E45C65"/>
    <w:rsid w:val="00E46176"/>
    <w:rsid w:val="00E47260"/>
    <w:rsid w:val="00E477D0"/>
    <w:rsid w:val="00E5034F"/>
    <w:rsid w:val="00E504A7"/>
    <w:rsid w:val="00E50D82"/>
    <w:rsid w:val="00E511CD"/>
    <w:rsid w:val="00E511EA"/>
    <w:rsid w:val="00E52033"/>
    <w:rsid w:val="00E524D2"/>
    <w:rsid w:val="00E52777"/>
    <w:rsid w:val="00E527D4"/>
    <w:rsid w:val="00E530E9"/>
    <w:rsid w:val="00E538DF"/>
    <w:rsid w:val="00E53E37"/>
    <w:rsid w:val="00E53E5B"/>
    <w:rsid w:val="00E53E6D"/>
    <w:rsid w:val="00E5483E"/>
    <w:rsid w:val="00E54AFF"/>
    <w:rsid w:val="00E54D71"/>
    <w:rsid w:val="00E5506F"/>
    <w:rsid w:val="00E550C1"/>
    <w:rsid w:val="00E55137"/>
    <w:rsid w:val="00E55531"/>
    <w:rsid w:val="00E55BFC"/>
    <w:rsid w:val="00E55D14"/>
    <w:rsid w:val="00E56A20"/>
    <w:rsid w:val="00E56AE3"/>
    <w:rsid w:val="00E57261"/>
    <w:rsid w:val="00E578CE"/>
    <w:rsid w:val="00E57B8E"/>
    <w:rsid w:val="00E57BEF"/>
    <w:rsid w:val="00E57DE4"/>
    <w:rsid w:val="00E60626"/>
    <w:rsid w:val="00E608E6"/>
    <w:rsid w:val="00E60E43"/>
    <w:rsid w:val="00E6170E"/>
    <w:rsid w:val="00E61D2C"/>
    <w:rsid w:val="00E61F4F"/>
    <w:rsid w:val="00E6267B"/>
    <w:rsid w:val="00E62C86"/>
    <w:rsid w:val="00E62F9C"/>
    <w:rsid w:val="00E6323D"/>
    <w:rsid w:val="00E633FF"/>
    <w:rsid w:val="00E636E6"/>
    <w:rsid w:val="00E63C0A"/>
    <w:rsid w:val="00E63F54"/>
    <w:rsid w:val="00E64105"/>
    <w:rsid w:val="00E642AE"/>
    <w:rsid w:val="00E6434A"/>
    <w:rsid w:val="00E6460A"/>
    <w:rsid w:val="00E64903"/>
    <w:rsid w:val="00E64B9F"/>
    <w:rsid w:val="00E650A3"/>
    <w:rsid w:val="00E65449"/>
    <w:rsid w:val="00E656BA"/>
    <w:rsid w:val="00E65ABF"/>
    <w:rsid w:val="00E65F53"/>
    <w:rsid w:val="00E65FB8"/>
    <w:rsid w:val="00E668F5"/>
    <w:rsid w:val="00E669E0"/>
    <w:rsid w:val="00E66B48"/>
    <w:rsid w:val="00E66E2B"/>
    <w:rsid w:val="00E674C9"/>
    <w:rsid w:val="00E676AC"/>
    <w:rsid w:val="00E67BCF"/>
    <w:rsid w:val="00E67FAA"/>
    <w:rsid w:val="00E70015"/>
    <w:rsid w:val="00E70019"/>
    <w:rsid w:val="00E7126D"/>
    <w:rsid w:val="00E71574"/>
    <w:rsid w:val="00E71A0F"/>
    <w:rsid w:val="00E71B0C"/>
    <w:rsid w:val="00E71CAF"/>
    <w:rsid w:val="00E72518"/>
    <w:rsid w:val="00E72B72"/>
    <w:rsid w:val="00E72E1A"/>
    <w:rsid w:val="00E731D1"/>
    <w:rsid w:val="00E7339B"/>
    <w:rsid w:val="00E735AF"/>
    <w:rsid w:val="00E7363F"/>
    <w:rsid w:val="00E740C0"/>
    <w:rsid w:val="00E74FD0"/>
    <w:rsid w:val="00E754EC"/>
    <w:rsid w:val="00E75E7D"/>
    <w:rsid w:val="00E763D9"/>
    <w:rsid w:val="00E77366"/>
    <w:rsid w:val="00E773F6"/>
    <w:rsid w:val="00E7768C"/>
    <w:rsid w:val="00E77934"/>
    <w:rsid w:val="00E7795B"/>
    <w:rsid w:val="00E77E21"/>
    <w:rsid w:val="00E77EB2"/>
    <w:rsid w:val="00E80DBB"/>
    <w:rsid w:val="00E80FEF"/>
    <w:rsid w:val="00E812B7"/>
    <w:rsid w:val="00E81BD1"/>
    <w:rsid w:val="00E81DA9"/>
    <w:rsid w:val="00E825EF"/>
    <w:rsid w:val="00E826BC"/>
    <w:rsid w:val="00E82AFE"/>
    <w:rsid w:val="00E82B80"/>
    <w:rsid w:val="00E830D6"/>
    <w:rsid w:val="00E83E81"/>
    <w:rsid w:val="00E8417F"/>
    <w:rsid w:val="00E84214"/>
    <w:rsid w:val="00E84470"/>
    <w:rsid w:val="00E84727"/>
    <w:rsid w:val="00E85AC1"/>
    <w:rsid w:val="00E85C47"/>
    <w:rsid w:val="00E87197"/>
    <w:rsid w:val="00E87245"/>
    <w:rsid w:val="00E8725A"/>
    <w:rsid w:val="00E87276"/>
    <w:rsid w:val="00E876E7"/>
    <w:rsid w:val="00E87718"/>
    <w:rsid w:val="00E877B6"/>
    <w:rsid w:val="00E87804"/>
    <w:rsid w:val="00E9135E"/>
    <w:rsid w:val="00E92146"/>
    <w:rsid w:val="00E92CFF"/>
    <w:rsid w:val="00E9305B"/>
    <w:rsid w:val="00E935F9"/>
    <w:rsid w:val="00E93926"/>
    <w:rsid w:val="00E93F01"/>
    <w:rsid w:val="00E951FD"/>
    <w:rsid w:val="00E954ED"/>
    <w:rsid w:val="00E958DE"/>
    <w:rsid w:val="00E95B38"/>
    <w:rsid w:val="00E96073"/>
    <w:rsid w:val="00E966E2"/>
    <w:rsid w:val="00E9672D"/>
    <w:rsid w:val="00E972B1"/>
    <w:rsid w:val="00E97F4E"/>
    <w:rsid w:val="00EA08A5"/>
    <w:rsid w:val="00EA1147"/>
    <w:rsid w:val="00EA1613"/>
    <w:rsid w:val="00EA1714"/>
    <w:rsid w:val="00EA1AF7"/>
    <w:rsid w:val="00EA1DDE"/>
    <w:rsid w:val="00EA2CEE"/>
    <w:rsid w:val="00EA31CC"/>
    <w:rsid w:val="00EA3366"/>
    <w:rsid w:val="00EA371A"/>
    <w:rsid w:val="00EA3B70"/>
    <w:rsid w:val="00EA3EDC"/>
    <w:rsid w:val="00EA3F97"/>
    <w:rsid w:val="00EA4206"/>
    <w:rsid w:val="00EA44E4"/>
    <w:rsid w:val="00EA4B9D"/>
    <w:rsid w:val="00EA4BC1"/>
    <w:rsid w:val="00EA50F3"/>
    <w:rsid w:val="00EA51EF"/>
    <w:rsid w:val="00EA5207"/>
    <w:rsid w:val="00EA575E"/>
    <w:rsid w:val="00EA59F5"/>
    <w:rsid w:val="00EA5B2E"/>
    <w:rsid w:val="00EA5C25"/>
    <w:rsid w:val="00EA5F43"/>
    <w:rsid w:val="00EA6264"/>
    <w:rsid w:val="00EA6447"/>
    <w:rsid w:val="00EA6B3B"/>
    <w:rsid w:val="00EA6B71"/>
    <w:rsid w:val="00EA7155"/>
    <w:rsid w:val="00EA753B"/>
    <w:rsid w:val="00EB09BB"/>
    <w:rsid w:val="00EB0A0D"/>
    <w:rsid w:val="00EB0A25"/>
    <w:rsid w:val="00EB0A94"/>
    <w:rsid w:val="00EB0BBB"/>
    <w:rsid w:val="00EB0D05"/>
    <w:rsid w:val="00EB0EDC"/>
    <w:rsid w:val="00EB1011"/>
    <w:rsid w:val="00EB154F"/>
    <w:rsid w:val="00EB16F5"/>
    <w:rsid w:val="00EB1C4D"/>
    <w:rsid w:val="00EB1D5D"/>
    <w:rsid w:val="00EB2034"/>
    <w:rsid w:val="00EB20E7"/>
    <w:rsid w:val="00EB2F67"/>
    <w:rsid w:val="00EB2F81"/>
    <w:rsid w:val="00EB3B0A"/>
    <w:rsid w:val="00EB3BE3"/>
    <w:rsid w:val="00EB3E06"/>
    <w:rsid w:val="00EB3E3F"/>
    <w:rsid w:val="00EB3E86"/>
    <w:rsid w:val="00EB4B87"/>
    <w:rsid w:val="00EB4D3F"/>
    <w:rsid w:val="00EB5313"/>
    <w:rsid w:val="00EB5334"/>
    <w:rsid w:val="00EB5526"/>
    <w:rsid w:val="00EB5951"/>
    <w:rsid w:val="00EB6327"/>
    <w:rsid w:val="00EB6341"/>
    <w:rsid w:val="00EB661A"/>
    <w:rsid w:val="00EB664F"/>
    <w:rsid w:val="00EB6751"/>
    <w:rsid w:val="00EB6A88"/>
    <w:rsid w:val="00EB71AB"/>
    <w:rsid w:val="00EB75F3"/>
    <w:rsid w:val="00EB785C"/>
    <w:rsid w:val="00EB786C"/>
    <w:rsid w:val="00EB7EE2"/>
    <w:rsid w:val="00EC0428"/>
    <w:rsid w:val="00EC0E15"/>
    <w:rsid w:val="00EC1BC7"/>
    <w:rsid w:val="00EC23E9"/>
    <w:rsid w:val="00EC28B5"/>
    <w:rsid w:val="00EC36F7"/>
    <w:rsid w:val="00EC4399"/>
    <w:rsid w:val="00EC439F"/>
    <w:rsid w:val="00EC49E8"/>
    <w:rsid w:val="00EC4B0C"/>
    <w:rsid w:val="00EC4D33"/>
    <w:rsid w:val="00EC5193"/>
    <w:rsid w:val="00EC63DD"/>
    <w:rsid w:val="00EC6C6F"/>
    <w:rsid w:val="00EC6F00"/>
    <w:rsid w:val="00EC7016"/>
    <w:rsid w:val="00EC7C63"/>
    <w:rsid w:val="00ED02DE"/>
    <w:rsid w:val="00ED03C6"/>
    <w:rsid w:val="00ED0673"/>
    <w:rsid w:val="00ED07DC"/>
    <w:rsid w:val="00ED083D"/>
    <w:rsid w:val="00ED0DC3"/>
    <w:rsid w:val="00ED0DDA"/>
    <w:rsid w:val="00ED13F5"/>
    <w:rsid w:val="00ED15BB"/>
    <w:rsid w:val="00ED1625"/>
    <w:rsid w:val="00ED16FC"/>
    <w:rsid w:val="00ED18C0"/>
    <w:rsid w:val="00ED2968"/>
    <w:rsid w:val="00ED2C36"/>
    <w:rsid w:val="00ED2D3D"/>
    <w:rsid w:val="00ED2EB5"/>
    <w:rsid w:val="00ED3A2B"/>
    <w:rsid w:val="00ED3A62"/>
    <w:rsid w:val="00ED3ECC"/>
    <w:rsid w:val="00ED441F"/>
    <w:rsid w:val="00ED48BC"/>
    <w:rsid w:val="00ED4A45"/>
    <w:rsid w:val="00ED5267"/>
    <w:rsid w:val="00ED5929"/>
    <w:rsid w:val="00ED5999"/>
    <w:rsid w:val="00ED5BD6"/>
    <w:rsid w:val="00ED62B8"/>
    <w:rsid w:val="00ED6439"/>
    <w:rsid w:val="00ED7088"/>
    <w:rsid w:val="00ED713E"/>
    <w:rsid w:val="00ED7396"/>
    <w:rsid w:val="00ED74F8"/>
    <w:rsid w:val="00ED7AEF"/>
    <w:rsid w:val="00ED7F40"/>
    <w:rsid w:val="00EE068F"/>
    <w:rsid w:val="00EE084B"/>
    <w:rsid w:val="00EE0868"/>
    <w:rsid w:val="00EE08B3"/>
    <w:rsid w:val="00EE09C3"/>
    <w:rsid w:val="00EE0D12"/>
    <w:rsid w:val="00EE1000"/>
    <w:rsid w:val="00EE1A1A"/>
    <w:rsid w:val="00EE1D3C"/>
    <w:rsid w:val="00EE2460"/>
    <w:rsid w:val="00EE24AE"/>
    <w:rsid w:val="00EE2773"/>
    <w:rsid w:val="00EE2C59"/>
    <w:rsid w:val="00EE2D68"/>
    <w:rsid w:val="00EE351D"/>
    <w:rsid w:val="00EE35E1"/>
    <w:rsid w:val="00EE3B1F"/>
    <w:rsid w:val="00EE4343"/>
    <w:rsid w:val="00EE4851"/>
    <w:rsid w:val="00EE4BA0"/>
    <w:rsid w:val="00EE4BC3"/>
    <w:rsid w:val="00EE4BD3"/>
    <w:rsid w:val="00EE5AE1"/>
    <w:rsid w:val="00EE5F2F"/>
    <w:rsid w:val="00EE6C8B"/>
    <w:rsid w:val="00EE734B"/>
    <w:rsid w:val="00EE7844"/>
    <w:rsid w:val="00EE7B5A"/>
    <w:rsid w:val="00EF0155"/>
    <w:rsid w:val="00EF0986"/>
    <w:rsid w:val="00EF0C63"/>
    <w:rsid w:val="00EF1156"/>
    <w:rsid w:val="00EF14C7"/>
    <w:rsid w:val="00EF171F"/>
    <w:rsid w:val="00EF1B39"/>
    <w:rsid w:val="00EF1B3D"/>
    <w:rsid w:val="00EF1D74"/>
    <w:rsid w:val="00EF2185"/>
    <w:rsid w:val="00EF2335"/>
    <w:rsid w:val="00EF23C5"/>
    <w:rsid w:val="00EF4214"/>
    <w:rsid w:val="00EF53A0"/>
    <w:rsid w:val="00EF548F"/>
    <w:rsid w:val="00EF5504"/>
    <w:rsid w:val="00EF646B"/>
    <w:rsid w:val="00EF6796"/>
    <w:rsid w:val="00EF6B9E"/>
    <w:rsid w:val="00EF745E"/>
    <w:rsid w:val="00EF7D21"/>
    <w:rsid w:val="00EF7E06"/>
    <w:rsid w:val="00F00088"/>
    <w:rsid w:val="00F004E5"/>
    <w:rsid w:val="00F00E3B"/>
    <w:rsid w:val="00F01F39"/>
    <w:rsid w:val="00F022F2"/>
    <w:rsid w:val="00F033FE"/>
    <w:rsid w:val="00F0357F"/>
    <w:rsid w:val="00F037CD"/>
    <w:rsid w:val="00F0498B"/>
    <w:rsid w:val="00F05864"/>
    <w:rsid w:val="00F05AB4"/>
    <w:rsid w:val="00F05B6B"/>
    <w:rsid w:val="00F06873"/>
    <w:rsid w:val="00F06B51"/>
    <w:rsid w:val="00F06D27"/>
    <w:rsid w:val="00F06E59"/>
    <w:rsid w:val="00F0706E"/>
    <w:rsid w:val="00F07080"/>
    <w:rsid w:val="00F10250"/>
    <w:rsid w:val="00F10330"/>
    <w:rsid w:val="00F108AD"/>
    <w:rsid w:val="00F10911"/>
    <w:rsid w:val="00F10AF5"/>
    <w:rsid w:val="00F11138"/>
    <w:rsid w:val="00F11871"/>
    <w:rsid w:val="00F12709"/>
    <w:rsid w:val="00F1280B"/>
    <w:rsid w:val="00F12BBA"/>
    <w:rsid w:val="00F12F57"/>
    <w:rsid w:val="00F13B0A"/>
    <w:rsid w:val="00F13B20"/>
    <w:rsid w:val="00F1419E"/>
    <w:rsid w:val="00F14360"/>
    <w:rsid w:val="00F1444F"/>
    <w:rsid w:val="00F15111"/>
    <w:rsid w:val="00F152EA"/>
    <w:rsid w:val="00F157B1"/>
    <w:rsid w:val="00F16BB5"/>
    <w:rsid w:val="00F17DAC"/>
    <w:rsid w:val="00F202B5"/>
    <w:rsid w:val="00F20CEF"/>
    <w:rsid w:val="00F21B76"/>
    <w:rsid w:val="00F22699"/>
    <w:rsid w:val="00F22B29"/>
    <w:rsid w:val="00F2340F"/>
    <w:rsid w:val="00F2460B"/>
    <w:rsid w:val="00F247F0"/>
    <w:rsid w:val="00F24B06"/>
    <w:rsid w:val="00F2535C"/>
    <w:rsid w:val="00F25693"/>
    <w:rsid w:val="00F25F96"/>
    <w:rsid w:val="00F261AE"/>
    <w:rsid w:val="00F265C5"/>
    <w:rsid w:val="00F26E6C"/>
    <w:rsid w:val="00F26E99"/>
    <w:rsid w:val="00F271DE"/>
    <w:rsid w:val="00F277FD"/>
    <w:rsid w:val="00F279DF"/>
    <w:rsid w:val="00F300EB"/>
    <w:rsid w:val="00F301D2"/>
    <w:rsid w:val="00F3052D"/>
    <w:rsid w:val="00F308DE"/>
    <w:rsid w:val="00F30AF6"/>
    <w:rsid w:val="00F31527"/>
    <w:rsid w:val="00F31C0F"/>
    <w:rsid w:val="00F31C6C"/>
    <w:rsid w:val="00F32589"/>
    <w:rsid w:val="00F333F0"/>
    <w:rsid w:val="00F33854"/>
    <w:rsid w:val="00F3385A"/>
    <w:rsid w:val="00F33B8C"/>
    <w:rsid w:val="00F34019"/>
    <w:rsid w:val="00F342F4"/>
    <w:rsid w:val="00F34342"/>
    <w:rsid w:val="00F3444C"/>
    <w:rsid w:val="00F3447C"/>
    <w:rsid w:val="00F347A4"/>
    <w:rsid w:val="00F35921"/>
    <w:rsid w:val="00F35ECB"/>
    <w:rsid w:val="00F361E1"/>
    <w:rsid w:val="00F36373"/>
    <w:rsid w:val="00F367FF"/>
    <w:rsid w:val="00F36C5F"/>
    <w:rsid w:val="00F36CD1"/>
    <w:rsid w:val="00F36E71"/>
    <w:rsid w:val="00F36FE5"/>
    <w:rsid w:val="00F3764A"/>
    <w:rsid w:val="00F37C1E"/>
    <w:rsid w:val="00F407FD"/>
    <w:rsid w:val="00F40AF1"/>
    <w:rsid w:val="00F41253"/>
    <w:rsid w:val="00F412D3"/>
    <w:rsid w:val="00F41E17"/>
    <w:rsid w:val="00F42394"/>
    <w:rsid w:val="00F4256F"/>
    <w:rsid w:val="00F4277E"/>
    <w:rsid w:val="00F427C1"/>
    <w:rsid w:val="00F42E44"/>
    <w:rsid w:val="00F4302A"/>
    <w:rsid w:val="00F434EF"/>
    <w:rsid w:val="00F443DE"/>
    <w:rsid w:val="00F445F1"/>
    <w:rsid w:val="00F447BF"/>
    <w:rsid w:val="00F450CC"/>
    <w:rsid w:val="00F4510E"/>
    <w:rsid w:val="00F45329"/>
    <w:rsid w:val="00F454B0"/>
    <w:rsid w:val="00F45BDB"/>
    <w:rsid w:val="00F46342"/>
    <w:rsid w:val="00F468D2"/>
    <w:rsid w:val="00F46F29"/>
    <w:rsid w:val="00F474D0"/>
    <w:rsid w:val="00F5016E"/>
    <w:rsid w:val="00F501E9"/>
    <w:rsid w:val="00F50C78"/>
    <w:rsid w:val="00F50DC3"/>
    <w:rsid w:val="00F50EB7"/>
    <w:rsid w:val="00F510C5"/>
    <w:rsid w:val="00F514AB"/>
    <w:rsid w:val="00F5183C"/>
    <w:rsid w:val="00F51ACD"/>
    <w:rsid w:val="00F51D62"/>
    <w:rsid w:val="00F523E1"/>
    <w:rsid w:val="00F52465"/>
    <w:rsid w:val="00F524F6"/>
    <w:rsid w:val="00F52A43"/>
    <w:rsid w:val="00F52F57"/>
    <w:rsid w:val="00F53205"/>
    <w:rsid w:val="00F5331A"/>
    <w:rsid w:val="00F5391E"/>
    <w:rsid w:val="00F54040"/>
    <w:rsid w:val="00F542F2"/>
    <w:rsid w:val="00F544D9"/>
    <w:rsid w:val="00F54854"/>
    <w:rsid w:val="00F548F7"/>
    <w:rsid w:val="00F54E37"/>
    <w:rsid w:val="00F550FB"/>
    <w:rsid w:val="00F55963"/>
    <w:rsid w:val="00F55D39"/>
    <w:rsid w:val="00F572A6"/>
    <w:rsid w:val="00F57615"/>
    <w:rsid w:val="00F57781"/>
    <w:rsid w:val="00F57E12"/>
    <w:rsid w:val="00F60107"/>
    <w:rsid w:val="00F60E0F"/>
    <w:rsid w:val="00F617A1"/>
    <w:rsid w:val="00F62136"/>
    <w:rsid w:val="00F628DB"/>
    <w:rsid w:val="00F63143"/>
    <w:rsid w:val="00F63193"/>
    <w:rsid w:val="00F637F9"/>
    <w:rsid w:val="00F639B1"/>
    <w:rsid w:val="00F63F3E"/>
    <w:rsid w:val="00F64354"/>
    <w:rsid w:val="00F64404"/>
    <w:rsid w:val="00F648A5"/>
    <w:rsid w:val="00F64984"/>
    <w:rsid w:val="00F64C2D"/>
    <w:rsid w:val="00F654B5"/>
    <w:rsid w:val="00F657E9"/>
    <w:rsid w:val="00F6696C"/>
    <w:rsid w:val="00F66FCB"/>
    <w:rsid w:val="00F672BB"/>
    <w:rsid w:val="00F67882"/>
    <w:rsid w:val="00F67A75"/>
    <w:rsid w:val="00F700F7"/>
    <w:rsid w:val="00F70381"/>
    <w:rsid w:val="00F705A8"/>
    <w:rsid w:val="00F70BB0"/>
    <w:rsid w:val="00F710FD"/>
    <w:rsid w:val="00F718CD"/>
    <w:rsid w:val="00F71921"/>
    <w:rsid w:val="00F72147"/>
    <w:rsid w:val="00F727C0"/>
    <w:rsid w:val="00F731F1"/>
    <w:rsid w:val="00F73457"/>
    <w:rsid w:val="00F737B1"/>
    <w:rsid w:val="00F73844"/>
    <w:rsid w:val="00F738D2"/>
    <w:rsid w:val="00F75236"/>
    <w:rsid w:val="00F754F2"/>
    <w:rsid w:val="00F75BAA"/>
    <w:rsid w:val="00F75F63"/>
    <w:rsid w:val="00F76CE7"/>
    <w:rsid w:val="00F77062"/>
    <w:rsid w:val="00F777AC"/>
    <w:rsid w:val="00F77A9C"/>
    <w:rsid w:val="00F77CA5"/>
    <w:rsid w:val="00F77FEE"/>
    <w:rsid w:val="00F803F4"/>
    <w:rsid w:val="00F804AF"/>
    <w:rsid w:val="00F80B8D"/>
    <w:rsid w:val="00F80D37"/>
    <w:rsid w:val="00F81802"/>
    <w:rsid w:val="00F81A0C"/>
    <w:rsid w:val="00F82340"/>
    <w:rsid w:val="00F82569"/>
    <w:rsid w:val="00F825FC"/>
    <w:rsid w:val="00F8282F"/>
    <w:rsid w:val="00F82FBE"/>
    <w:rsid w:val="00F832CC"/>
    <w:rsid w:val="00F845D1"/>
    <w:rsid w:val="00F84873"/>
    <w:rsid w:val="00F84A27"/>
    <w:rsid w:val="00F84AB1"/>
    <w:rsid w:val="00F84BF7"/>
    <w:rsid w:val="00F84C8C"/>
    <w:rsid w:val="00F852A9"/>
    <w:rsid w:val="00F85480"/>
    <w:rsid w:val="00F85908"/>
    <w:rsid w:val="00F85D89"/>
    <w:rsid w:val="00F863A1"/>
    <w:rsid w:val="00F866B7"/>
    <w:rsid w:val="00F866C5"/>
    <w:rsid w:val="00F86CBE"/>
    <w:rsid w:val="00F87041"/>
    <w:rsid w:val="00F8799E"/>
    <w:rsid w:val="00F87C0A"/>
    <w:rsid w:val="00F905A0"/>
    <w:rsid w:val="00F90750"/>
    <w:rsid w:val="00F9075F"/>
    <w:rsid w:val="00F92069"/>
    <w:rsid w:val="00F920BE"/>
    <w:rsid w:val="00F921E3"/>
    <w:rsid w:val="00F9250E"/>
    <w:rsid w:val="00F92861"/>
    <w:rsid w:val="00F933F7"/>
    <w:rsid w:val="00F9360E"/>
    <w:rsid w:val="00F9397B"/>
    <w:rsid w:val="00F93B9F"/>
    <w:rsid w:val="00F93BBF"/>
    <w:rsid w:val="00F93DE2"/>
    <w:rsid w:val="00F940B7"/>
    <w:rsid w:val="00F947E2"/>
    <w:rsid w:val="00F94800"/>
    <w:rsid w:val="00F949DA"/>
    <w:rsid w:val="00F95936"/>
    <w:rsid w:val="00F95A91"/>
    <w:rsid w:val="00F967B3"/>
    <w:rsid w:val="00F96E53"/>
    <w:rsid w:val="00F97775"/>
    <w:rsid w:val="00F97C43"/>
    <w:rsid w:val="00F97ED6"/>
    <w:rsid w:val="00F97F7A"/>
    <w:rsid w:val="00FA066E"/>
    <w:rsid w:val="00FA0ED1"/>
    <w:rsid w:val="00FA19F6"/>
    <w:rsid w:val="00FA2AA8"/>
    <w:rsid w:val="00FA3770"/>
    <w:rsid w:val="00FA3C1B"/>
    <w:rsid w:val="00FA4B9A"/>
    <w:rsid w:val="00FA4C25"/>
    <w:rsid w:val="00FA510D"/>
    <w:rsid w:val="00FA547B"/>
    <w:rsid w:val="00FA5A03"/>
    <w:rsid w:val="00FA5EBF"/>
    <w:rsid w:val="00FA6559"/>
    <w:rsid w:val="00FA6C04"/>
    <w:rsid w:val="00FA6CA6"/>
    <w:rsid w:val="00FA6E70"/>
    <w:rsid w:val="00FA7891"/>
    <w:rsid w:val="00FB03F2"/>
    <w:rsid w:val="00FB0C74"/>
    <w:rsid w:val="00FB0C9E"/>
    <w:rsid w:val="00FB0FB8"/>
    <w:rsid w:val="00FB161C"/>
    <w:rsid w:val="00FB1762"/>
    <w:rsid w:val="00FB1FC7"/>
    <w:rsid w:val="00FB23BA"/>
    <w:rsid w:val="00FB250D"/>
    <w:rsid w:val="00FB256C"/>
    <w:rsid w:val="00FB25D3"/>
    <w:rsid w:val="00FB2ADF"/>
    <w:rsid w:val="00FB2DC3"/>
    <w:rsid w:val="00FB3011"/>
    <w:rsid w:val="00FB32EA"/>
    <w:rsid w:val="00FB3538"/>
    <w:rsid w:val="00FB3BDF"/>
    <w:rsid w:val="00FB3E7D"/>
    <w:rsid w:val="00FB420B"/>
    <w:rsid w:val="00FB484C"/>
    <w:rsid w:val="00FB4DB3"/>
    <w:rsid w:val="00FB4FAA"/>
    <w:rsid w:val="00FB506C"/>
    <w:rsid w:val="00FB5352"/>
    <w:rsid w:val="00FB571A"/>
    <w:rsid w:val="00FB5B1D"/>
    <w:rsid w:val="00FB5E58"/>
    <w:rsid w:val="00FB63E0"/>
    <w:rsid w:val="00FB6485"/>
    <w:rsid w:val="00FB677B"/>
    <w:rsid w:val="00FB6B25"/>
    <w:rsid w:val="00FB6DE7"/>
    <w:rsid w:val="00FB6F81"/>
    <w:rsid w:val="00FB754D"/>
    <w:rsid w:val="00FB7976"/>
    <w:rsid w:val="00FC085F"/>
    <w:rsid w:val="00FC0A60"/>
    <w:rsid w:val="00FC0B24"/>
    <w:rsid w:val="00FC1A1E"/>
    <w:rsid w:val="00FC1A7C"/>
    <w:rsid w:val="00FC1EA6"/>
    <w:rsid w:val="00FC2196"/>
    <w:rsid w:val="00FC22C8"/>
    <w:rsid w:val="00FC2BF9"/>
    <w:rsid w:val="00FC33F4"/>
    <w:rsid w:val="00FC3510"/>
    <w:rsid w:val="00FC3B5C"/>
    <w:rsid w:val="00FC3BC1"/>
    <w:rsid w:val="00FC3D99"/>
    <w:rsid w:val="00FC4192"/>
    <w:rsid w:val="00FC451D"/>
    <w:rsid w:val="00FC4DBC"/>
    <w:rsid w:val="00FC4FE6"/>
    <w:rsid w:val="00FC5234"/>
    <w:rsid w:val="00FC543E"/>
    <w:rsid w:val="00FC575A"/>
    <w:rsid w:val="00FC594A"/>
    <w:rsid w:val="00FC5955"/>
    <w:rsid w:val="00FC59C8"/>
    <w:rsid w:val="00FC5C8C"/>
    <w:rsid w:val="00FC637F"/>
    <w:rsid w:val="00FC63BC"/>
    <w:rsid w:val="00FC6650"/>
    <w:rsid w:val="00FC703C"/>
    <w:rsid w:val="00FC7570"/>
    <w:rsid w:val="00FC764E"/>
    <w:rsid w:val="00FC782B"/>
    <w:rsid w:val="00FC78B4"/>
    <w:rsid w:val="00FC7AC7"/>
    <w:rsid w:val="00FD05C2"/>
    <w:rsid w:val="00FD0981"/>
    <w:rsid w:val="00FD1420"/>
    <w:rsid w:val="00FD17A6"/>
    <w:rsid w:val="00FD1B13"/>
    <w:rsid w:val="00FD1EF8"/>
    <w:rsid w:val="00FD2113"/>
    <w:rsid w:val="00FD2213"/>
    <w:rsid w:val="00FD272F"/>
    <w:rsid w:val="00FD2AA1"/>
    <w:rsid w:val="00FD2D14"/>
    <w:rsid w:val="00FD30A3"/>
    <w:rsid w:val="00FD32EE"/>
    <w:rsid w:val="00FD4031"/>
    <w:rsid w:val="00FD4DFA"/>
    <w:rsid w:val="00FD4EA4"/>
    <w:rsid w:val="00FD58FF"/>
    <w:rsid w:val="00FD5A5B"/>
    <w:rsid w:val="00FD6ABB"/>
    <w:rsid w:val="00FD6C7F"/>
    <w:rsid w:val="00FD7401"/>
    <w:rsid w:val="00FD749E"/>
    <w:rsid w:val="00FD76D1"/>
    <w:rsid w:val="00FD7F69"/>
    <w:rsid w:val="00FE029F"/>
    <w:rsid w:val="00FE036C"/>
    <w:rsid w:val="00FE03C8"/>
    <w:rsid w:val="00FE051E"/>
    <w:rsid w:val="00FE06CB"/>
    <w:rsid w:val="00FE0E74"/>
    <w:rsid w:val="00FE0EA1"/>
    <w:rsid w:val="00FE1492"/>
    <w:rsid w:val="00FE17CB"/>
    <w:rsid w:val="00FE222C"/>
    <w:rsid w:val="00FE3239"/>
    <w:rsid w:val="00FE3A0B"/>
    <w:rsid w:val="00FE42CB"/>
    <w:rsid w:val="00FE4A51"/>
    <w:rsid w:val="00FE4A9A"/>
    <w:rsid w:val="00FE4AF2"/>
    <w:rsid w:val="00FE4FA3"/>
    <w:rsid w:val="00FE5071"/>
    <w:rsid w:val="00FE5663"/>
    <w:rsid w:val="00FE5792"/>
    <w:rsid w:val="00FE5E1B"/>
    <w:rsid w:val="00FE6246"/>
    <w:rsid w:val="00FE64D9"/>
    <w:rsid w:val="00FE6F6E"/>
    <w:rsid w:val="00FE7B22"/>
    <w:rsid w:val="00FE7B75"/>
    <w:rsid w:val="00FE7BA8"/>
    <w:rsid w:val="00FE7C00"/>
    <w:rsid w:val="00FF0328"/>
    <w:rsid w:val="00FF0AA4"/>
    <w:rsid w:val="00FF0CCD"/>
    <w:rsid w:val="00FF1A6C"/>
    <w:rsid w:val="00FF228A"/>
    <w:rsid w:val="00FF22E9"/>
    <w:rsid w:val="00FF250B"/>
    <w:rsid w:val="00FF2E9C"/>
    <w:rsid w:val="00FF365A"/>
    <w:rsid w:val="00FF3D90"/>
    <w:rsid w:val="00FF3F2A"/>
    <w:rsid w:val="00FF4CA9"/>
    <w:rsid w:val="00FF5913"/>
    <w:rsid w:val="00FF6A58"/>
    <w:rsid w:val="00FF6A8A"/>
    <w:rsid w:val="00FF73BA"/>
    <w:rsid w:val="00FF778B"/>
    <w:rsid w:val="00FF785B"/>
    <w:rsid w:val="00FF7873"/>
    <w:rsid w:val="00FF7A0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4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272D2"/>
    <w:rPr>
      <w:color w:val="808080"/>
    </w:rPr>
  </w:style>
  <w:style w:type="paragraph" w:styleId="Lijstalinea">
    <w:name w:val="List Paragraph"/>
    <w:basedOn w:val="Standaard"/>
    <w:uiPriority w:val="34"/>
    <w:qFormat/>
    <w:rsid w:val="0060582A"/>
    <w:pPr>
      <w:ind w:left="720"/>
      <w:contextualSpacing/>
    </w:pPr>
  </w:style>
  <w:style w:type="paragraph" w:customStyle="1" w:styleId="Default">
    <w:name w:val="Default"/>
    <w:rsid w:val="00C638E7"/>
    <w:pPr>
      <w:autoSpaceDE w:val="0"/>
      <w:autoSpaceDN w:val="0"/>
      <w:adjustRightInd w:val="0"/>
    </w:pPr>
    <w:rPr>
      <w:rFonts w:ascii="Univers" w:hAnsi="Univers" w:cs="Univers"/>
      <w:color w:val="000000"/>
      <w:sz w:val="24"/>
      <w:szCs w:val="24"/>
    </w:rPr>
  </w:style>
  <w:style w:type="paragraph" w:styleId="Voetnoottekst">
    <w:name w:val="footnote text"/>
    <w:basedOn w:val="Standaard"/>
    <w:link w:val="VoetnoottekstChar"/>
    <w:uiPriority w:val="99"/>
    <w:semiHidden/>
    <w:unhideWhenUsed/>
    <w:rsid w:val="0035252F"/>
    <w:rPr>
      <w:sz w:val="20"/>
      <w:szCs w:val="20"/>
    </w:rPr>
  </w:style>
  <w:style w:type="character" w:customStyle="1" w:styleId="VoetnoottekstChar">
    <w:name w:val="Voetnoottekst Char"/>
    <w:basedOn w:val="Standaardalinea-lettertype"/>
    <w:link w:val="Voetnoottekst"/>
    <w:uiPriority w:val="99"/>
    <w:semiHidden/>
    <w:rsid w:val="0035252F"/>
    <w:rPr>
      <w:rFonts w:ascii="Univers" w:hAnsi="Univers"/>
    </w:rPr>
  </w:style>
  <w:style w:type="character" w:styleId="Voetnootmarkering">
    <w:name w:val="footnote reference"/>
    <w:basedOn w:val="Standaardalinea-lettertype"/>
    <w:uiPriority w:val="99"/>
    <w:semiHidden/>
    <w:unhideWhenUsed/>
    <w:rsid w:val="0035252F"/>
    <w:rPr>
      <w:vertAlign w:val="superscript"/>
    </w:rPr>
  </w:style>
  <w:style w:type="character" w:styleId="Hyperlink">
    <w:name w:val="Hyperlink"/>
    <w:basedOn w:val="Standaardalinea-lettertype"/>
    <w:uiPriority w:val="99"/>
    <w:unhideWhenUsed/>
    <w:rsid w:val="00323DD3"/>
    <w:rPr>
      <w:color w:val="0000FF" w:themeColor="hyperlink"/>
      <w:u w:val="single"/>
    </w:rPr>
  </w:style>
  <w:style w:type="character" w:customStyle="1" w:styleId="UnresolvedMention">
    <w:name w:val="Unresolved Mention"/>
    <w:basedOn w:val="Standaardalinea-lettertype"/>
    <w:uiPriority w:val="99"/>
    <w:rsid w:val="00323DD3"/>
    <w:rPr>
      <w:color w:val="605E5C"/>
      <w:shd w:val="clear" w:color="auto" w:fill="E1DFDD"/>
    </w:rPr>
  </w:style>
  <w:style w:type="character" w:styleId="Verwijzingopmerking">
    <w:name w:val="annotation reference"/>
    <w:basedOn w:val="Standaardalinea-lettertype"/>
    <w:uiPriority w:val="99"/>
    <w:semiHidden/>
    <w:unhideWhenUsed/>
    <w:rsid w:val="000F14F9"/>
    <w:rPr>
      <w:sz w:val="16"/>
      <w:szCs w:val="16"/>
    </w:rPr>
  </w:style>
  <w:style w:type="paragraph" w:styleId="Tekstopmerking">
    <w:name w:val="annotation text"/>
    <w:basedOn w:val="Standaard"/>
    <w:link w:val="TekstopmerkingChar"/>
    <w:uiPriority w:val="99"/>
    <w:unhideWhenUsed/>
    <w:rsid w:val="000F14F9"/>
    <w:rPr>
      <w:sz w:val="20"/>
      <w:szCs w:val="20"/>
    </w:rPr>
  </w:style>
  <w:style w:type="character" w:customStyle="1" w:styleId="TekstopmerkingChar">
    <w:name w:val="Tekst opmerking Char"/>
    <w:basedOn w:val="Standaardalinea-lettertype"/>
    <w:link w:val="Tekstopmerking"/>
    <w:uiPriority w:val="99"/>
    <w:rsid w:val="000F14F9"/>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0F14F9"/>
    <w:rPr>
      <w:b/>
      <w:bCs/>
    </w:rPr>
  </w:style>
  <w:style w:type="character" w:customStyle="1" w:styleId="OnderwerpvanopmerkingChar">
    <w:name w:val="Onderwerp van opmerking Char"/>
    <w:basedOn w:val="TekstopmerkingChar"/>
    <w:link w:val="Onderwerpvanopmerking"/>
    <w:uiPriority w:val="99"/>
    <w:semiHidden/>
    <w:rsid w:val="000F14F9"/>
    <w:rPr>
      <w:rFonts w:ascii="Univers" w:hAnsi="Univers"/>
      <w:b/>
      <w:bCs/>
    </w:rPr>
  </w:style>
  <w:style w:type="character" w:styleId="GevolgdeHyperlink">
    <w:name w:val="FollowedHyperlink"/>
    <w:basedOn w:val="Standaardalinea-lettertype"/>
    <w:uiPriority w:val="99"/>
    <w:semiHidden/>
    <w:unhideWhenUsed/>
    <w:rsid w:val="000F14F9"/>
    <w:rPr>
      <w:color w:val="800080" w:themeColor="followedHyperlink"/>
      <w:u w:val="single"/>
    </w:rPr>
  </w:style>
  <w:style w:type="paragraph" w:styleId="Revisie">
    <w:name w:val="Revision"/>
    <w:hidden/>
    <w:uiPriority w:val="99"/>
    <w:semiHidden/>
    <w:rsid w:val="00295E38"/>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0DBB6F20-41D6-4B55-B8B6-98A5E620D358}"/>
      </w:docPartPr>
      <w:docPartBody>
        <w:p w:rsidR="003C0986" w:rsidRDefault="00B11CF8">
          <w:r w:rsidRPr="00210EE3">
            <w:rPr>
              <w:rStyle w:val="Tekstvantijdelijkeaanduiding"/>
            </w:rPr>
            <w:t>Klik of tik om tekst in te voeren.</w:t>
          </w:r>
        </w:p>
      </w:docPartBody>
    </w:docPart>
    <w:docPart>
      <w:docPartPr>
        <w:name w:val="9D186FD14F214ECF88BBD5596E17EE97"/>
        <w:category>
          <w:name w:val="Algemeen"/>
          <w:gallery w:val="placeholder"/>
        </w:category>
        <w:types>
          <w:type w:val="bbPlcHdr"/>
        </w:types>
        <w:behaviors>
          <w:behavior w:val="content"/>
        </w:behaviors>
        <w:guid w:val="{C4545252-EAAD-4038-8F0C-5699C81F87D9}"/>
      </w:docPartPr>
      <w:docPartBody>
        <w:p w:rsidR="00F207CA" w:rsidRDefault="00B11CF8">
          <w:pPr>
            <w:pStyle w:val="9D186FD14F214ECF88BBD5596E17EE97"/>
          </w:pPr>
          <w:r w:rsidRPr="00210EE3">
            <w:rPr>
              <w:rStyle w:val="Tekstvantijdelijkeaanduiding"/>
            </w:rPr>
            <w:t>Klik of tik om tekst in te voeren.</w:t>
          </w:r>
        </w:p>
      </w:docPartBody>
    </w:docPart>
    <w:docPart>
      <w:docPartPr>
        <w:name w:val="D541B0827FE349EA9146C04558A937A9"/>
        <w:category>
          <w:name w:val="Algemeen"/>
          <w:gallery w:val="placeholder"/>
        </w:category>
        <w:types>
          <w:type w:val="bbPlcHdr"/>
        </w:types>
        <w:behaviors>
          <w:behavior w:val="content"/>
        </w:behaviors>
        <w:guid w:val="{155FFD22-DE62-4235-A690-9841A297C1B7}"/>
      </w:docPartPr>
      <w:docPartBody>
        <w:p w:rsidR="00F207CA" w:rsidRDefault="00F207CA">
          <w:pPr>
            <w:pStyle w:val="D541B0827FE349EA9146C04558A937A9"/>
          </w:pPr>
          <w:r w:rsidRPr="00210EE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F8"/>
    <w:rsid w:val="00264CF6"/>
    <w:rsid w:val="003C0986"/>
    <w:rsid w:val="00707AC6"/>
    <w:rsid w:val="007B5925"/>
    <w:rsid w:val="00B11CF8"/>
    <w:rsid w:val="00B536E0"/>
    <w:rsid w:val="00F207CA"/>
    <w:rsid w:val="00F32C5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11CF8"/>
    <w:rPr>
      <w:color w:val="808080"/>
    </w:rPr>
  </w:style>
  <w:style w:type="paragraph" w:customStyle="1" w:styleId="9D186FD14F214ECF88BBD5596E17EE97">
    <w:name w:val="9D186FD14F214ECF88BBD5596E17EE97"/>
  </w:style>
  <w:style w:type="paragraph" w:customStyle="1" w:styleId="D541B0827FE349EA9146C04558A937A9">
    <w:name w:val="D541B0827FE349EA9146C04558A937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9054</ap:Words>
  <ap:Characters>49800</ap:Characters>
  <ap:DocSecurity>0</ap:DocSecurity>
  <ap:Lines>415</ap:Lines>
  <ap:Paragraphs>117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2023-02-01T19:30:00.0000000Z</lastPrinted>
  <dcterms:created xsi:type="dcterms:W3CDTF">2023-03-28T15:38:00.0000000Z</dcterms:created>
  <dcterms:modified xsi:type="dcterms:W3CDTF">2023-03-28T15:38:00.0000000Z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W16.22.00210/II</vt:lpwstr>
  </property>
  <property fmtid="{D5CDD505-2E9C-101B-9397-08002B2CF9AE}" pid="5" name="zaaktype">
    <vt:lpwstr>WET</vt:lpwstr>
  </property>
  <property fmtid="{D5CDD505-2E9C-101B-9397-08002B2CF9AE}" pid="6" name="ContentTypeId">
    <vt:lpwstr>0x010100FA5A77795FEADA4EA51227303613444600D23F25C882B73C49BBCCB76C1F052D32</vt:lpwstr>
  </property>
  <property fmtid="{D5CDD505-2E9C-101B-9397-08002B2CF9AE}" pid="7" name="_dlc_DocIdItemGuid">
    <vt:lpwstr>5e2de3d6-9d32-41dd-94d5-16b28525cf09</vt:lpwstr>
  </property>
  <property fmtid="{D5CDD505-2E9C-101B-9397-08002B2CF9AE}" pid="8" name="RedactioneleBijlage">
    <vt:lpwstr>Nee</vt:lpwstr>
  </property>
  <property fmtid="{D5CDD505-2E9C-101B-9397-08002B2CF9AE}" pid="9" name="dictum">
    <vt:lpwstr>C</vt:lpwstr>
  </property>
  <property fmtid="{D5CDD505-2E9C-101B-9397-08002B2CF9AE}" pid="10" name="onderdeel">
    <vt:lpwstr>Advies</vt:lpwstr>
  </property>
  <property fmtid="{D5CDD505-2E9C-101B-9397-08002B2CF9AE}" pid="11" name="DocumentSetDescription">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6500</vt:r8>
  </property>
  <property fmtid="{D5CDD505-2E9C-101B-9397-08002B2CF9AE}" pid="19" name="processtap">
    <vt:lpwstr>Advies (ter ondertekening)</vt:lpwstr>
  </property>
</Properties>
</file>