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3632478D" w14:textId="77777777">
          <w:pPr>
            <w:tabs>
              <w:tab w:val="left" w:pos="3686"/>
            </w:tabs>
          </w:pPr>
          <w:r>
            <w:rPr>
              <w:noProof/>
            </w:rPr>
            <mc:AlternateContent>
              <mc:Choice Requires="wps">
                <w:drawing>
                  <wp:anchor distT="0" distB="0" distL="114300" distR="114300" simplePos="0" relativeHeight="251657728" behindDoc="0" locked="0" layoutInCell="1" allowOverlap="1" wp14:editId="2595F625" wp14:anchorId="0B39058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3D45E5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390588">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23D45E5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A8BA797" wp14:anchorId="0510A4B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W16.20.0469/II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 juni 2021</w:t>
              </w:r>
            </w:sdtContent>
          </w:sdt>
        </w:p>
        <w:p w:rsidR="00503044" w:rsidP="00503044" w:rsidRDefault="00503044" w14:paraId="41EFBCC5" w14:textId="77777777">
          <w:pPr>
            <w:tabs>
              <w:tab w:val="left" w:pos="3685"/>
            </w:tabs>
          </w:pPr>
        </w:p>
        <w:p w:rsidR="00503044" w:rsidP="00503044" w:rsidRDefault="00503044" w14:paraId="2529B58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6196B" w:rsidRDefault="00042A08" w14:paraId="4C2594FE" w14:textId="77777777">
              <w:r>
                <w:t>Bij Kabinetsmissive van 15 december 2020, no.2020002588, heeft Uwe Majesteit, op voordracht van de Minister voor Rechtsbescherming, mede namens de Minister van Onderwijs, Cultuur en Wetenschap, bij de Afdeling advisering van de Raad van State ter overweging aanhangig gemaakt het voorstel van wet tot wijziging van Boek 1 en Boek 10 van het Burgerlijk Wetboek en enige andere wetten in verband met de introductie van met name een regeling voor draagmoederschap en een versterking van het recht van het kind op afstammingsinformatie (Wet kind, draagmoederschap en afstamming), met memorie van toelichting.</w:t>
              </w:r>
            </w:p>
          </w:sdtContent>
        </w:sdt>
        <w:p w:rsidR="0071031E" w:rsidRDefault="0071031E" w14:paraId="58D1C0C5" w14:textId="77777777"/>
        <w:sdt>
          <w:sdtPr>
            <w:alias w:val="VrijeTekst1"/>
            <w:tag w:val="VrijeTekst1"/>
            <w:id w:val="-1861418069"/>
            <w:lock w:val="sdtLocked"/>
          </w:sdtPr>
          <w:sdtEndPr/>
          <w:sdtContent>
            <w:p w:rsidR="00E25919" w:rsidP="00E25919" w:rsidRDefault="00042A08" w14:paraId="01DD2002" w14:textId="77777777">
              <w:pPr>
                <w:pStyle w:val="Lijstalinea"/>
                <w:ind w:left="0"/>
              </w:pPr>
              <w:r>
                <w:t xml:space="preserve">Het wetsvoorstel introduceert eerst en vooral een regeling voor toekenning van ouderschap na draagmoederschap binnen Nederland en een regeling voor de erkenning van ouderschap na draagmoederschap uit het buitenland. Blijkens de toelichting is het doel van deze regelingen het bieden van een betere bescherming van het kind, de draagmoeder en de wensouders. In samenhang hiermee worden ook het wensouderschapsverlof en enige strafbaarstellingen voorgesteld. Daarnaast beoogt het wetsvoorstel het recht op afstammingsinformatie te versterken, de mogelijkheden tot beëindiging van het ouderschap te verruimen, de termijnen voor de ontkenning van het ouderschap of de vernietiging van de erkenning te schrappen, en de bescherming van minderjarige ouders te versterken. </w:t>
              </w:r>
            </w:p>
            <w:p w:rsidR="00E25919" w:rsidP="00E25919" w:rsidRDefault="00E41AAE" w14:paraId="1B21A96C" w14:textId="77777777">
              <w:pPr>
                <w:pStyle w:val="Lijstalinea"/>
                <w:ind w:left="0"/>
              </w:pPr>
            </w:p>
            <w:p w:rsidR="00E25919" w:rsidP="00E25919" w:rsidRDefault="00042A08" w14:paraId="756D4CA8" w14:textId="77777777">
              <w:pPr>
                <w:pStyle w:val="Lijstalinea"/>
                <w:ind w:left="0"/>
              </w:pPr>
              <w:r>
                <w:t xml:space="preserve">De Afdeling is van oordeel dat het wetsvoorstel nader dient te worden overwogen. In de eerste plaats adviseert de Afdeling daartoe om de onderdelen die niet het draagmoederschap betreffen maar gaan over afstammingsinformatie en ouderschap in meer algemene zin, in het belang van wetgevingskwaliteit af te splitsen van het voorstel. Over het voorstel tot regulering van draagmoederschap adviseert de Afdeling in de toelichting een duidelijk en volledig beeld te schetsen van de aard en omvang van de juridische en maatschappelijke problematiek, evenals van de mogelijke (voortdurende) risico’s en (neven)effecten van de voorgestelde regelingen voor draagmoederschap. Dat is nodig om de vele afwegingen die met deze regeling gepaard gaan goed te kunnen maken. In dat verband verdient de verhouding van dit voorstel tot het rapport van de Commissie Onderzoek interlandelijke adoptie bijzondere aandacht. </w:t>
              </w:r>
            </w:p>
            <w:p w:rsidR="00E25919" w:rsidP="00E25919" w:rsidRDefault="00E41AAE" w14:paraId="7D22B141" w14:textId="77777777"/>
            <w:p w:rsidR="009A5D44" w:rsidP="00E25919" w:rsidRDefault="00042A08" w14:paraId="36F6FDEE" w14:textId="77777777">
              <w:r>
                <w:t xml:space="preserve">Verder dient de wetgever, mede in het licht van de toepasselijke grondrechten, te voorzien in toereikende waarborgen voor de direct betrokkenen bij draagmoederschap. Dat betreft in elk geval waarborgen om te verzekeren dat </w:t>
              </w:r>
            </w:p>
            <w:p w:rsidR="009A5D44" w:rsidP="009A5D44" w:rsidRDefault="00042A08" w14:paraId="3C785BEB" w14:textId="77777777">
              <w:pPr>
                <w:pStyle w:val="Lijstalinea"/>
                <w:numPr>
                  <w:ilvl w:val="0"/>
                  <w:numId w:val="43"/>
                </w:numPr>
                <w:ind w:left="284" w:hanging="284"/>
              </w:pPr>
              <w:r>
                <w:t xml:space="preserve">het belang van het kind een eerste overweging vormt en mede met het oog daarop voorkomen wordt dat het kind ‘tussen wal en schip terechtkomt’ en </w:t>
              </w:r>
            </w:p>
            <w:p w:rsidR="009A5D44" w:rsidP="009A5D44" w:rsidRDefault="00042A08" w14:paraId="706B12A5" w14:textId="77777777">
              <w:pPr>
                <w:pStyle w:val="Lijstalinea"/>
                <w:numPr>
                  <w:ilvl w:val="0"/>
                  <w:numId w:val="43"/>
                </w:numPr>
                <w:ind w:left="284" w:hanging="284"/>
              </w:pPr>
              <w:r>
                <w:t>de (potentiële) draagmoeder wordt beschermd tegen ongeoorloofde druk voorafgaand aan en tijdens een zwangerschap, evenals bij de afstand van het kind.</w:t>
              </w:r>
            </w:p>
            <w:p w:rsidR="00E25919" w:rsidP="009A5D44" w:rsidRDefault="00042A08" w14:paraId="56B740B2" w14:textId="77777777">
              <w:r>
                <w:t>Tegen die achtergrond plaatst de Afdeling diverse kanttekeningen bij de voorgestelde regelingen ten aanzien van binnenlands en buitenlands draagmoederschap. Ook maakt de Afdeling opmerkingen over de draagmoederschapsovereenkomst en de voorgestelde strafbaarstellingen.</w:t>
              </w:r>
            </w:p>
            <w:p w:rsidR="00E25919" w:rsidP="00E25919" w:rsidRDefault="00E41AAE" w14:paraId="4F39D723" w14:textId="77777777"/>
            <w:p w:rsidR="00E25919" w:rsidP="00E25919" w:rsidRDefault="00042A08" w14:paraId="78FF37D2" w14:textId="77777777">
              <w:r>
                <w:t xml:space="preserve">Daarnaast is met de voorgestelde regeling voor een afstammingsregister niet voldaan aan de vereisten van artikel 10 van de Grondwet. Het wetsvoorstel werkt de wezenlijke </w:t>
              </w:r>
              <w:r>
                <w:lastRenderedPageBreak/>
                <w:t>onderdelen van deze regeling niet uit en een nadere toelichting daarop ontbreekt</w:t>
              </w:r>
              <w:r>
                <w:rPr>
                  <w:rFonts w:cstheme="minorHAnsi"/>
                  <w:szCs w:val="18"/>
                </w:rPr>
                <w:t>. Ook de andere voorgestelde regelingen die niet zien op draagmoederschap en het wensouderschapsverlof zijn onvoldoende uitgewerkt en roepen verschillende vragen op.</w:t>
              </w:r>
            </w:p>
            <w:p w:rsidR="00E25919" w:rsidP="00E25919" w:rsidRDefault="00E41AAE" w14:paraId="720D78E2" w14:textId="77777777">
              <w:pPr>
                <w:pStyle w:val="Lijstalinea"/>
                <w:ind w:left="0"/>
              </w:pPr>
            </w:p>
            <w:p w:rsidRPr="003717E8" w:rsidR="00E25919" w:rsidP="00E25919" w:rsidRDefault="00042A08" w14:paraId="09E37136" w14:textId="77777777">
              <w:pPr>
                <w:rPr>
                  <w:u w:val="single"/>
                </w:rPr>
              </w:pPr>
              <w:r w:rsidRPr="003717E8">
                <w:rPr>
                  <w:u w:val="single"/>
                </w:rPr>
                <w:t>Leeswijzer</w:t>
              </w:r>
            </w:p>
            <w:p w:rsidRPr="00AA5E2C" w:rsidR="00E25919" w:rsidP="00E25919" w:rsidRDefault="00E41AAE" w14:paraId="757AE8E0" w14:textId="77777777">
              <w:pPr>
                <w:pStyle w:val="Lijstalinea"/>
                <w:ind w:left="0"/>
              </w:pPr>
            </w:p>
            <w:p w:rsidR="00E25919" w:rsidP="00E25919" w:rsidRDefault="00042A08" w14:paraId="0744C56D" w14:textId="77777777">
              <w:r>
                <w:t>Dit advies bestaat uit twee delen. In deel I gaat de Afdeling kort in op de inhoud van het wetsvoorstel (punt 1). Vervolgens schetst de Afdeling de context waarin de regeling met betrekking tot draagmoederschap – het centrale onderdeel van het voorstel – moet worden geplaatst (punt 2). In dat verband wordt ingegaan op de gebruikte terminologie (onderdeel a), het (wetgevings)beleid van de afgelopen 30 jaar (onderdeel b), het huidige juridisch kader ten aanzien van draagmoederschap (onderdeel c), de praktijk omtrent binnenlands- en buitenlands draagmoederschap (onderdeel d), regulering in andere landen (onderdeel e), en vervolgens de directe aanleiding voor de voorgestelde regeling (onderdeel f).</w:t>
              </w:r>
            </w:p>
            <w:p w:rsidR="00E25919" w:rsidP="00E25919" w:rsidRDefault="00E41AAE" w14:paraId="74569760" w14:textId="77777777"/>
            <w:p w:rsidR="00E25919" w:rsidP="00E25919" w:rsidRDefault="00042A08" w14:paraId="38FA213B" w14:textId="77777777">
              <w:r>
                <w:t>In deel II gaat de Afdeling over tot een beoordeling van het wetsvoorstel. In dat verband maakt zij eerst opmerkingen over de reikwijdte (punt 3) en de probleemanalyse van het wetsvoorstel (punt 4). Voorts</w:t>
              </w:r>
              <w:r w:rsidRPr="00B93A45">
                <w:t xml:space="preserve"> beschouwt de Afdeling het wetsvoorstel tegen de achtergrond van de kaders die het Europese recht</w:t>
              </w:r>
              <w:r>
                <w:t xml:space="preserve"> (</w:t>
              </w:r>
              <w:r w:rsidRPr="00B93A45">
                <w:t>EVRM en Unierecht) biedt voor de regulering van draagmoederschap (</w:t>
              </w:r>
              <w:r>
                <w:t>punt 5</w:t>
              </w:r>
              <w:r w:rsidRPr="00B93A45">
                <w:t>).</w:t>
              </w:r>
              <w:r>
                <w:t xml:space="preserve"> Vervolgens richt zij zich op enkele afzonderlijke aspecten van de regelingen ten aanzien van draagmoederschap (punt 6</w:t>
              </w:r>
              <w:r w:rsidRPr="00615C50">
                <w:t xml:space="preserve">). In het licht van de grondrechten die moeten worden geëerbiedigd, formuleert de Afdeling waarborgen waarin een wettelijke regeling voor draagmoederschap zou moeten </w:t>
              </w:r>
              <w:r>
                <w:t xml:space="preserve">voorzien. Tegen die achtergrond maakt de Afdeling enkele opmerkingen over de voorgestelde regelingen voor binnenlands en buitenlands draagmoederschap (onderdeel a). Daarna gaat zij in op de draagmoederschapsovereenkomst (onderdeel b) en de voorgestelde strafbaarstellingen (onderdeel c). </w:t>
              </w:r>
            </w:p>
            <w:p w:rsidR="00E25919" w:rsidP="00E25919" w:rsidRDefault="00E41AAE" w14:paraId="6ED9A8E0" w14:textId="77777777"/>
            <w:p w:rsidR="00E25919" w:rsidP="00E25919" w:rsidRDefault="00042A08" w14:paraId="2F308E6A" w14:textId="77777777">
              <w:pPr>
                <w:contextualSpacing/>
              </w:pPr>
              <w:r>
                <w:t xml:space="preserve">De Afdeling maakt verder enkele opmerkingen over de regeling omtrent het recht op afstammingsinformatie (punt 7). Tot slot komen de regelingen ten aanzien van de beëindiging van het ouderschap (punt 8), de afschaffing van de bestaande termijnen voor de ontkenning van het ouderschap en vernietiging van de erkenning (punt 9) en de bescherming van minderjarige ouders (punt 10) aan bod. </w:t>
              </w:r>
            </w:p>
            <w:p w:rsidR="00042A08" w:rsidRDefault="00042A08" w14:paraId="74D447DB" w14:textId="6D24357D">
              <w:r>
                <w:br w:type="page"/>
              </w:r>
            </w:p>
            <w:p w:rsidRPr="003717E8" w:rsidR="00E25919" w:rsidP="00E25919" w:rsidRDefault="00042A08" w14:paraId="0ED5841D" w14:textId="77777777">
              <w:r w:rsidRPr="003717E8">
                <w:t>DEEL I</w:t>
              </w:r>
              <w:r w:rsidRPr="003717E8">
                <w:tab/>
              </w:r>
              <w:r>
                <w:t xml:space="preserve">- </w:t>
              </w:r>
              <w:r w:rsidRPr="003717E8">
                <w:t>INHOUD EN CONTEXT</w:t>
              </w:r>
              <w:r>
                <w:t xml:space="preserve"> VAN HET WETSVOORSTEL</w:t>
              </w:r>
            </w:p>
            <w:p w:rsidR="00E25919" w:rsidP="00E25919" w:rsidRDefault="00E41AAE" w14:paraId="303A0136" w14:textId="77777777"/>
            <w:p w:rsidRPr="00892A4E" w:rsidR="00E25919" w:rsidP="00E25919" w:rsidRDefault="00042A08" w14:paraId="3C4D42B1" w14:textId="77777777">
              <w:pPr>
                <w:pStyle w:val="Lijstalinea"/>
                <w:numPr>
                  <w:ilvl w:val="0"/>
                  <w:numId w:val="29"/>
                </w:numPr>
                <w:ind w:left="709" w:hanging="709"/>
                <w:rPr>
                  <w:u w:val="single"/>
                </w:rPr>
              </w:pPr>
              <w:r w:rsidRPr="00892A4E">
                <w:rPr>
                  <w:u w:val="single"/>
                </w:rPr>
                <w:t>Inhoud van het wetsvoorstel</w:t>
              </w:r>
            </w:p>
            <w:p w:rsidR="00E25919" w:rsidP="00E25919" w:rsidRDefault="00E41AAE" w14:paraId="7B04647A" w14:textId="77777777">
              <w:pPr>
                <w:rPr>
                  <w:u w:val="single"/>
                </w:rPr>
              </w:pPr>
            </w:p>
            <w:p w:rsidR="00E25919" w:rsidP="00E25919" w:rsidRDefault="00042A08" w14:paraId="728F96E6" w14:textId="77777777">
              <w:r>
                <w:t xml:space="preserve">Het voorstel bestaat enerzijds uit regelingen die specifiek betrekking hebben op draagmoederschap (onderdeel a) en anderzijds uit enkele regelingen die zien op afstammingsinformatie en ouderschap in meer algemene zin (onderdelen b-e). </w:t>
              </w:r>
            </w:p>
            <w:p w:rsidRPr="007F31EE" w:rsidR="00E25919" w:rsidP="00E25919" w:rsidRDefault="00E41AAE" w14:paraId="099CFC0E" w14:textId="77777777"/>
            <w:p w:rsidRPr="009666AA" w:rsidR="00E25919" w:rsidP="00E25919" w:rsidRDefault="00042A08" w14:paraId="667E5A5C" w14:textId="77777777">
              <w:pPr>
                <w:pStyle w:val="Lijstalinea"/>
                <w:numPr>
                  <w:ilvl w:val="0"/>
                  <w:numId w:val="4"/>
                </w:numPr>
                <w:ind w:hanging="720"/>
                <w:rPr>
                  <w:i/>
                  <w:iCs/>
                </w:rPr>
              </w:pPr>
              <w:r w:rsidRPr="009666AA">
                <w:rPr>
                  <w:i/>
                  <w:iCs/>
                </w:rPr>
                <w:t>Voorgestelde regelingen m.b.t. draagmoederschap</w:t>
              </w:r>
            </w:p>
            <w:p w:rsidR="00E25919" w:rsidP="00E25919" w:rsidRDefault="00042A08" w14:paraId="185D5AE2" w14:textId="77777777">
              <w:pPr>
                <w:contextualSpacing/>
              </w:pPr>
              <w:r>
                <w:t>Het wetsvoorstel biedt zowel een regeling voor toekenning van ouderschap na draagmoederschap binnen Nederland als een separate regeling voor de erkenning van ouderschap na draagmoederschap uit het buitenland. Volgens de toelichting moeten de regelingen ten aanzien van draagmoederschap zoveel mogelijk al vóór de conceptie waarborgen dat het traject van draagmoederschap zorgvuldig en transparant verloopt en dat rechtszekerheid wordt geboden aan alle betrokkenen.</w:t>
              </w:r>
              <w:r>
                <w:rPr>
                  <w:rStyle w:val="Voetnootmarkering"/>
                </w:rPr>
                <w:footnoteReference w:id="1"/>
              </w:r>
              <w:r>
                <w:t xml:space="preserve"> </w:t>
              </w:r>
            </w:p>
            <w:p w:rsidR="00E25919" w:rsidP="00E25919" w:rsidRDefault="00E41AAE" w14:paraId="50745350" w14:textId="77777777">
              <w:pPr>
                <w:contextualSpacing/>
              </w:pPr>
            </w:p>
            <w:p w:rsidR="00E25919" w:rsidP="00E25919" w:rsidRDefault="00042A08" w14:paraId="19ACFB48" w14:textId="77777777">
              <w:pPr>
                <w:contextualSpacing/>
              </w:pPr>
              <w:r>
                <w:t>De kern van de regeling voor draagmoederschap binnen Nederland is dat het draagmoederschapstraject al vóór de conceptie wordt getoetst door de rechter.</w:t>
              </w:r>
              <w:r>
                <w:rPr>
                  <w:rStyle w:val="Voetnootmarkering"/>
                </w:rPr>
                <w:footnoteReference w:id="2"/>
              </w:r>
              <w:r>
                <w:t xml:space="preserve"> Deze toetst aan voorwaarden die enerzijds zien op de belangen van het kind en anderzijds op de belangen van de draagmoeder en de wensouders. In dat verband wordt onder meer bezien of de draagmoederschapsovereenkomst enkele verplichte aspecten regelt.</w:t>
              </w:r>
              <w:r>
                <w:rPr>
                  <w:rStyle w:val="Voetnootmarkering"/>
                </w:rPr>
                <w:footnoteReference w:id="3"/>
              </w:r>
              <w:r>
                <w:t xml:space="preserve"> </w:t>
              </w:r>
              <w:r w:rsidRPr="00C86BB1">
                <w:t xml:space="preserve">Indien de rechter besluit </w:t>
              </w:r>
              <w:r>
                <w:t>het</w:t>
              </w:r>
              <w:r w:rsidRPr="00C86BB1">
                <w:t xml:space="preserve"> ouderschap na draagmoederschap toe te kennen aan de wensouders, oefenen </w:t>
              </w:r>
              <w:r>
                <w:t>zij</w:t>
              </w:r>
              <w:r w:rsidRPr="00C86BB1">
                <w:t xml:space="preserve"> vanaf de geboorte het (gezamenlijk) gezag uit over het kind. Zij komen na de geboorteaangifte op de geboorteakte te staan als de ouders van het kind</w:t>
              </w:r>
              <w:r>
                <w:t>,</w:t>
              </w:r>
              <w:r>
                <w:rPr>
                  <w:rStyle w:val="Voetnootmarkering"/>
                </w:rPr>
                <w:footnoteReference w:id="4"/>
              </w:r>
              <w:r w:rsidRPr="00C86BB1">
                <w:t xml:space="preserve"> </w:t>
              </w:r>
              <w:r>
                <w:t xml:space="preserve">terwijl </w:t>
              </w:r>
              <w:r w:rsidRPr="00C86BB1">
                <w:t xml:space="preserve">de draagmoeder wordt </w:t>
              </w:r>
              <w:r>
                <w:t xml:space="preserve">vermeld </w:t>
              </w:r>
              <w:r w:rsidRPr="00C86BB1">
                <w:t>als vrouw uit wie het kind is geboren.</w:t>
              </w:r>
              <w:r>
                <w:rPr>
                  <w:rStyle w:val="Voetnootmarkering"/>
                </w:rPr>
                <w:footnoteReference w:id="5"/>
              </w:r>
              <w:r>
                <w:t xml:space="preserve"> Onder bepaalde omstandigheden hebben zowel de draagmoeder als de wensouders de mogelijkheid om de rechter te verzoeken de gerechtelijke toekenning van het ouderschap te herroepen. Daarvoor is uiterlijk zes weken na de geboorte een gang naar de rechter nodig.</w:t>
              </w:r>
              <w:r>
                <w:rPr>
                  <w:rStyle w:val="Voetnootmarkering"/>
                </w:rPr>
                <w:footnoteReference w:id="6"/>
              </w:r>
            </w:p>
            <w:p w:rsidRPr="00CA0391" w:rsidR="00E25919" w:rsidP="00E25919" w:rsidRDefault="00E41AAE" w14:paraId="1C30BD1E" w14:textId="77777777"/>
            <w:p w:rsidR="00E25919" w:rsidP="00E25919" w:rsidRDefault="00042A08" w14:paraId="14D3F813" w14:textId="77777777">
              <w:pPr>
                <w:contextualSpacing/>
              </w:pPr>
              <w:r>
                <w:t>De voorgestelde regeling voor eenvoudige erkenning van buitenlandse beslissingen na draagmoederschap beoogt wensouders te stimuleren gebruik te maken van draagmoeders in landen die voldoen aan bepaalde basisvoorwaarden.</w:t>
              </w:r>
              <w:r>
                <w:rPr>
                  <w:rStyle w:val="Voetnootmarkering"/>
                </w:rPr>
                <w:footnoteReference w:id="7"/>
              </w:r>
              <w:r>
                <w:t xml:space="preserve"> Voorwaarden voor deze erkenning zijn, onder meer, dat gegevens over de afstamming van het kind beschikbaar zijn voor opname in een register en een rechterlijke beslissing ten grondslag ligt aan de buitenlandse geboorteakte van een kind dat geboren is uit draagmoederschap.</w:t>
              </w:r>
            </w:p>
            <w:p w:rsidRPr="00CA0391" w:rsidR="00E25919" w:rsidP="00E25919" w:rsidRDefault="00E41AAE" w14:paraId="22E0B204" w14:textId="77777777"/>
            <w:p w:rsidR="00E25919" w:rsidP="00E25919" w:rsidRDefault="00042A08" w14:paraId="211A1760" w14:textId="77777777">
              <w:r w:rsidRPr="00A45836">
                <w:t>Het wetsvoorstel bevat tevens enkele strafbaarstellingen om binnenlands en buitenlands draagmoederschap te reguleren.</w:t>
              </w:r>
              <w:r>
                <w:t xml:space="preserve"> Zowel betalingen voor de overdracht van ouderschap als onkostenvergoedingen voor het draagmoederschap die bij algemene maatregel van bestuur bepaalde maxima te boven gaan, worden strafbaar gesteld.</w:t>
              </w:r>
              <w:r>
                <w:rPr>
                  <w:rStyle w:val="Voetnootmarkering"/>
                </w:rPr>
                <w:footnoteReference w:id="8"/>
              </w:r>
              <w:r>
                <w:t xml:space="preserve"> Daarnaast wordt het bemiddelingsverbod dat nu bestaat, versoepeld.</w:t>
              </w:r>
              <w:r>
                <w:rPr>
                  <w:rStyle w:val="Voetnootmarkering"/>
                </w:rPr>
                <w:footnoteReference w:id="9"/>
              </w:r>
            </w:p>
            <w:p w:rsidR="00E25919" w:rsidP="00E25919" w:rsidRDefault="00E41AAE" w14:paraId="00FF8224" w14:textId="77777777">
              <w:pPr>
                <w:rPr>
                  <w:i/>
                  <w:iCs/>
                </w:rPr>
              </w:pPr>
            </w:p>
            <w:p w:rsidRPr="00DA321A" w:rsidR="00E25919" w:rsidP="00E25919" w:rsidRDefault="00042A08" w14:paraId="65303E65" w14:textId="77777777">
              <w:pPr>
                <w:contextualSpacing/>
              </w:pPr>
              <w:r>
                <w:t>Ook regelt het wetsvoorstel dat d</w:t>
              </w:r>
              <w:r w:rsidRPr="00DA321A">
                <w:t>e wensouders die werknemer of gelijkgestelde zijn</w:t>
              </w:r>
              <w:r>
                <w:t>,</w:t>
              </w:r>
              <w:r w:rsidRPr="00DA321A">
                <w:t xml:space="preserve"> recht </w:t>
              </w:r>
              <w:r>
                <w:t xml:space="preserve">hebben </w:t>
              </w:r>
              <w:r w:rsidRPr="00DA321A">
                <w:t xml:space="preserve">op verlof </w:t>
              </w:r>
              <w:r>
                <w:t>dat</w:t>
              </w:r>
              <w:r w:rsidRPr="00DA321A">
                <w:t xml:space="preserve"> </w:t>
              </w:r>
              <w:r>
                <w:t>zes</w:t>
              </w:r>
              <w:r w:rsidRPr="00DA321A">
                <w:t>maal de wekelijkse arbeidsduur</w:t>
              </w:r>
              <w:r>
                <w:t xml:space="preserve"> bedraagt</w:t>
              </w:r>
              <w:r w:rsidRPr="00DA321A">
                <w:t>.</w:t>
              </w:r>
              <w:r>
                <w:rPr>
                  <w:rStyle w:val="Voetnootmarkering"/>
                </w:rPr>
                <w:footnoteReference w:id="10"/>
              </w:r>
              <w:r w:rsidRPr="00DA321A">
                <w:t xml:space="preserve"> </w:t>
              </w:r>
              <w:r>
                <w:t>W</w:t>
              </w:r>
              <w:r w:rsidRPr="00DA321A">
                <w:t xml:space="preserve">ensouders die werknemer </w:t>
              </w:r>
              <w:r>
                <w:t xml:space="preserve">zijn, zullen daarnaast </w:t>
              </w:r>
              <w:r w:rsidRPr="00DA321A">
                <w:t>expliciet worden vermeld als rechthebbenden op calamiteiten- en ander kort verzuimverlof wegens zeer bijzondere persoonlijke omstandigheden</w:t>
              </w:r>
              <w:r>
                <w:t>, zoals</w:t>
              </w:r>
              <w:r w:rsidRPr="00DA321A">
                <w:t xml:space="preserve"> de bevalling van de draagmoeder.</w:t>
              </w:r>
              <w:r>
                <w:rPr>
                  <w:rStyle w:val="Voetnootmarkering"/>
                </w:rPr>
                <w:footnoteReference w:id="11"/>
              </w:r>
            </w:p>
            <w:p w:rsidR="00E25919" w:rsidP="00E25919" w:rsidRDefault="00E41AAE" w14:paraId="06D6A60D" w14:textId="77777777">
              <w:pPr>
                <w:rPr>
                  <w:u w:val="single"/>
                </w:rPr>
              </w:pPr>
            </w:p>
            <w:p w:rsidRPr="008B3ACD" w:rsidR="00E25919" w:rsidP="00E25919" w:rsidRDefault="00042A08" w14:paraId="73ACFB3D" w14:textId="77777777">
              <w:pPr>
                <w:pStyle w:val="Lijstalinea"/>
                <w:numPr>
                  <w:ilvl w:val="0"/>
                  <w:numId w:val="4"/>
                </w:numPr>
                <w:ind w:left="709" w:hanging="709"/>
                <w:rPr>
                  <w:i/>
                  <w:iCs/>
                </w:rPr>
              </w:pPr>
              <w:r w:rsidRPr="008B3ACD">
                <w:rPr>
                  <w:i/>
                  <w:iCs/>
                </w:rPr>
                <w:t>Versterking van het recht op afstammingsinformatie</w:t>
              </w:r>
            </w:p>
            <w:p w:rsidR="00E25919" w:rsidP="00E25919" w:rsidRDefault="00042A08" w14:paraId="4E2F4E0B" w14:textId="77777777">
              <w:pPr>
                <w:contextualSpacing/>
              </w:pPr>
              <w:r>
                <w:t>Het wetsvoorstel bevat een verplichting voor ouders en andere personen met gezag om kinderen afstammingsvoorlichting te geven.</w:t>
              </w:r>
              <w:r>
                <w:rPr>
                  <w:rStyle w:val="Voetnootmarkering"/>
                </w:rPr>
                <w:footnoteReference w:id="12"/>
              </w:r>
              <w:r>
                <w:t xml:space="preserve"> Volgens de toelichting ziet dergelijke voorlichting in ieder geval op gegevens over de genetische ouders van het kind en de eventueel niet-genetisch verwante geboortemoeder, waaronder persoonsidentificerende gegevens, medische gegevens en gegevens die een beeld geven van de persoon van de betrokkene. Wanneer van een donor gebruik is gemaakt, betreft het ook informatie over eventuele genetische broers en zussen. Verder betreft het informatie over instanties die hebben bemiddeld of medische assistentie hebben verleend.</w:t>
              </w:r>
              <w:r>
                <w:rPr>
                  <w:rStyle w:val="Voetnootmarkering"/>
                </w:rPr>
                <w:footnoteReference w:id="13"/>
              </w:r>
              <w:r>
                <w:t xml:space="preserve"> </w:t>
              </w:r>
            </w:p>
            <w:p w:rsidR="00E25919" w:rsidP="00E25919" w:rsidRDefault="00E41AAE" w14:paraId="07D1D1A5" w14:textId="77777777">
              <w:pPr>
                <w:contextualSpacing/>
              </w:pPr>
            </w:p>
            <w:p w:rsidR="00E25919" w:rsidP="00E25919" w:rsidRDefault="00042A08" w14:paraId="17644BA9" w14:textId="77777777">
              <w:pPr>
                <w:contextualSpacing/>
              </w:pPr>
              <w:r>
                <w:t>Daarnaast bevat het wetsvoorstel een algemene grondslag voor een register waarin in ieder geval gegevens met betrekking tot draagmoederschap worden opgeslagen.</w:t>
              </w:r>
              <w:r w:rsidRPr="002A0848">
                <w:rPr>
                  <w:vertAlign w:val="superscript"/>
                </w:rPr>
                <w:footnoteReference w:id="14"/>
              </w:r>
              <w:r>
                <w:t xml:space="preserve"> Naast gegevens over de biologische afstamming, worden bijvoorbeeld ook de beschikking van de rechter en de draagmoederschapsovereenkomst opgenomen. Uit de toelichting blijkt verder dat uiteindelijk wordt beoogd om aan (alle) kinderen met vragen over hun afstamming een centrale toegang te geven tot biologische en genetische gegevens, ongeacht de wijze waarop de afstammingsrelatie tot stand is gekomen. </w:t>
              </w:r>
            </w:p>
            <w:p w:rsidR="00E25919" w:rsidP="00E25919" w:rsidRDefault="00E41AAE" w14:paraId="7DB74604" w14:textId="77777777">
              <w:pPr>
                <w:rPr>
                  <w:i/>
                  <w:iCs/>
                </w:rPr>
              </w:pPr>
            </w:p>
            <w:p w:rsidRPr="002A04E0" w:rsidR="00E25919" w:rsidP="00E25919" w:rsidRDefault="00042A08" w14:paraId="7B060D6C" w14:textId="77777777">
              <w:pPr>
                <w:pStyle w:val="Lijstalinea"/>
                <w:numPr>
                  <w:ilvl w:val="0"/>
                  <w:numId w:val="4"/>
                </w:numPr>
                <w:ind w:hanging="720"/>
                <w:rPr>
                  <w:i/>
                  <w:iCs/>
                </w:rPr>
              </w:pPr>
              <w:r w:rsidRPr="002A04E0">
                <w:rPr>
                  <w:i/>
                  <w:iCs/>
                </w:rPr>
                <w:t>Verruiming mogelijkheden beëindiging ouderschap</w:t>
              </w:r>
            </w:p>
            <w:p w:rsidRPr="00D77384" w:rsidR="00E25919" w:rsidP="00E25919" w:rsidRDefault="00042A08" w14:paraId="323DDFBF" w14:textId="77777777">
              <w:pPr>
                <w:contextualSpacing/>
              </w:pPr>
              <w:r>
                <w:t>Het wetsvoorstel creëert</w:t>
              </w:r>
              <w:r w:rsidRPr="002A04E0">
                <w:rPr>
                  <w:rFonts w:cstheme="minorHAnsi"/>
                  <w:szCs w:val="18"/>
                </w:rPr>
                <w:t xml:space="preserve"> een algemene grondslag voor de beëindiging van ouderschap op verzoek van een meerderjarig kind.</w:t>
              </w:r>
              <w:r>
                <w:rPr>
                  <w:rStyle w:val="Voetnootmarkering"/>
                  <w:rFonts w:cstheme="minorHAnsi"/>
                  <w:szCs w:val="18"/>
                </w:rPr>
                <w:footnoteReference w:id="15"/>
              </w:r>
              <w:r>
                <w:rPr>
                  <w:rFonts w:cstheme="minorHAnsi"/>
                  <w:szCs w:val="18"/>
                </w:rPr>
                <w:t xml:space="preserve"> </w:t>
              </w:r>
              <w:r w:rsidRPr="00D77384">
                <w:t xml:space="preserve">Volgens </w:t>
              </w:r>
              <w:r>
                <w:t xml:space="preserve">het voorstel </w:t>
              </w:r>
              <w:r w:rsidRPr="00D77384">
                <w:t xml:space="preserve">kan een verzoek </w:t>
              </w:r>
              <w:r>
                <w:t xml:space="preserve">slechts </w:t>
              </w:r>
              <w:r w:rsidRPr="00D77384">
                <w:t>worden ingewilligd</w:t>
              </w:r>
              <w:r>
                <w:t>, indien de beëindiging in het kennelijk belang van het kind is</w:t>
              </w:r>
              <w:r w:rsidRPr="00D77384">
                <w:t xml:space="preserve"> en </w:t>
              </w:r>
              <w:r>
                <w:t>de rechtbank van de redelijkheid van de beëindiging in gemoede overtuigd is.</w:t>
              </w:r>
            </w:p>
            <w:p w:rsidR="00E25919" w:rsidP="00E25919" w:rsidRDefault="00E41AAE" w14:paraId="0ABD7171" w14:textId="77777777">
              <w:pPr>
                <w:pStyle w:val="Lijstalinea"/>
                <w:ind w:left="720"/>
                <w:rPr>
                  <w:i/>
                  <w:iCs/>
                </w:rPr>
              </w:pPr>
            </w:p>
            <w:p w:rsidRPr="002A04E0" w:rsidR="00E25919" w:rsidP="00E25919" w:rsidRDefault="00042A08" w14:paraId="20B5A15E" w14:textId="77777777">
              <w:pPr>
                <w:pStyle w:val="Lijstalinea"/>
                <w:numPr>
                  <w:ilvl w:val="0"/>
                  <w:numId w:val="4"/>
                </w:numPr>
                <w:ind w:hanging="720"/>
                <w:contextualSpacing/>
                <w:rPr>
                  <w:i/>
                  <w:iCs/>
                </w:rPr>
              </w:pPr>
              <w:r w:rsidRPr="002A04E0">
                <w:rPr>
                  <w:i/>
                  <w:iCs/>
                </w:rPr>
                <w:t>Vervallen van termijnen voor ontkenning of vernietiging erkenning ouderschap</w:t>
              </w:r>
            </w:p>
            <w:p w:rsidRPr="002A04E0" w:rsidR="00E25919" w:rsidP="00E25919" w:rsidRDefault="00042A08" w14:paraId="72FC5828" w14:textId="77777777">
              <w:pPr>
                <w:contextualSpacing/>
                <w:rPr>
                  <w:i/>
                  <w:iCs/>
                </w:rPr>
              </w:pPr>
              <w:r>
                <w:t>Voorgesteld wordt om de bestaande termijnen voor de ontkenning van het ouderschap of vernietiging van de erkenning te laten vervallen. De toelichting vermeldt dat de huidige regelingen voor het tenietgaan van ouderschap knellen en dat de thans gehanteerde termijnen niet in lijn zijn met de vereisten van artikel 8 EVRM.</w:t>
              </w:r>
              <w:r>
                <w:rPr>
                  <w:rStyle w:val="Voetnootmarkering"/>
                </w:rPr>
                <w:footnoteReference w:id="16"/>
              </w:r>
              <w:r>
                <w:t xml:space="preserve"> </w:t>
              </w:r>
            </w:p>
            <w:p w:rsidR="00E25919" w:rsidP="00E25919" w:rsidRDefault="00E41AAE" w14:paraId="55CEDB89" w14:textId="77777777">
              <w:pPr>
                <w:pStyle w:val="Lijstalinea"/>
                <w:ind w:left="720"/>
                <w:rPr>
                  <w:i/>
                  <w:iCs/>
                </w:rPr>
              </w:pPr>
            </w:p>
            <w:p w:rsidRPr="002A04E0" w:rsidR="00E25919" w:rsidP="00E25919" w:rsidRDefault="00042A08" w14:paraId="7BC8EAE9" w14:textId="77777777">
              <w:pPr>
                <w:pStyle w:val="Lijstalinea"/>
                <w:numPr>
                  <w:ilvl w:val="0"/>
                  <w:numId w:val="4"/>
                </w:numPr>
                <w:ind w:hanging="720"/>
                <w:rPr>
                  <w:i/>
                  <w:iCs/>
                </w:rPr>
              </w:pPr>
              <w:r w:rsidRPr="002A04E0">
                <w:rPr>
                  <w:i/>
                  <w:iCs/>
                </w:rPr>
                <w:t>Versterking bescherming minderjarige ouders</w:t>
              </w:r>
            </w:p>
            <w:p w:rsidR="00E25919" w:rsidP="00E25919" w:rsidRDefault="00042A08" w14:paraId="65E8EC2C" w14:textId="77777777">
              <w:pPr>
                <w:contextualSpacing/>
              </w:pPr>
              <w:r>
                <w:t>Tot slot wordt geregeld dat voor</w:t>
              </w:r>
              <w:r w:rsidRPr="008B3D44">
                <w:t xml:space="preserve"> erkenning of toestemming voor erkenning </w:t>
              </w:r>
              <w:r>
                <w:t xml:space="preserve">van een kind </w:t>
              </w:r>
              <w:r w:rsidRPr="008B3D44">
                <w:t xml:space="preserve">tijdens de minderjarigheid van de ouder </w:t>
              </w:r>
              <w:r>
                <w:t xml:space="preserve">of aspirant-erkenner </w:t>
              </w:r>
              <w:r w:rsidRPr="008B3D44">
                <w:t xml:space="preserve">eerst om toestemming van de rechter </w:t>
              </w:r>
              <w:r>
                <w:t xml:space="preserve">moet </w:t>
              </w:r>
              <w:r w:rsidRPr="008B3D44">
                <w:t>worden verzocht. Een verzoek hiertoe is mogelijk vanaf het bereiken van de leeftijd van 16 jaar.</w:t>
              </w:r>
              <w:r>
                <w:rPr>
                  <w:rStyle w:val="Voetnootmarkering"/>
                </w:rPr>
                <w:footnoteReference w:id="17"/>
              </w:r>
              <w:r w:rsidRPr="008B3D44">
                <w:t xml:space="preserve"> </w:t>
              </w:r>
              <w:r>
                <w:t>D</w:t>
              </w:r>
              <w:r w:rsidRPr="00967CC8">
                <w:t>aarnaast wordt de mogelijkheid geïntroduceerd voor de minderjarige erkenner van 16 jaar of ouder om een verzoek te doen tot meerderjarigverklaring, waarmee het mogelijk wordt voor minderjarige ouders om gezamenlijk het gezag over hun kind op zich te nemen</w:t>
              </w:r>
              <w:r>
                <w:t>.</w:t>
              </w:r>
              <w:r>
                <w:rPr>
                  <w:rStyle w:val="Voetnootmarkering"/>
                </w:rPr>
                <w:footnoteReference w:id="18"/>
              </w:r>
              <w:r>
                <w:t xml:space="preserve"> </w:t>
              </w:r>
            </w:p>
            <w:p w:rsidR="00E25919" w:rsidP="00E25919" w:rsidRDefault="00E41AAE" w14:paraId="33B933D2" w14:textId="77777777">
              <w:pPr>
                <w:contextualSpacing/>
              </w:pPr>
            </w:p>
            <w:p w:rsidRPr="005514BD" w:rsidR="00E25919" w:rsidP="00E25919" w:rsidRDefault="00042A08" w14:paraId="6305BEFA" w14:textId="77777777">
              <w:pPr>
                <w:pStyle w:val="Lijstalinea"/>
                <w:numPr>
                  <w:ilvl w:val="0"/>
                  <w:numId w:val="29"/>
                </w:numPr>
                <w:ind w:hanging="720"/>
                <w:rPr>
                  <w:u w:val="single"/>
                </w:rPr>
              </w:pPr>
              <w:r w:rsidRPr="005514BD">
                <w:rPr>
                  <w:u w:val="single"/>
                </w:rPr>
                <w:t>Context van de regeling met betrekking tot draagmoederschap</w:t>
              </w:r>
            </w:p>
            <w:p w:rsidRPr="00622A03" w:rsidR="00E25919" w:rsidP="00E25919" w:rsidRDefault="00E41AAE" w14:paraId="6E7C65CB" w14:textId="77777777"/>
            <w:p w:rsidR="00E25919" w:rsidP="00E25919" w:rsidRDefault="00042A08" w14:paraId="355A08F2" w14:textId="77777777">
              <w:pPr>
                <w:pStyle w:val="Lijstalinea"/>
                <w:numPr>
                  <w:ilvl w:val="0"/>
                  <w:numId w:val="5"/>
                </w:numPr>
                <w:ind w:hanging="720"/>
                <w:rPr>
                  <w:i/>
                  <w:iCs/>
                </w:rPr>
              </w:pPr>
              <w:r>
                <w:rPr>
                  <w:i/>
                  <w:iCs/>
                </w:rPr>
                <w:t>Terminologie</w:t>
              </w:r>
            </w:p>
            <w:p w:rsidRPr="00E87004" w:rsidR="00E25919" w:rsidP="00E25919" w:rsidRDefault="00042A08" w14:paraId="5A15EA7A" w14:textId="77777777">
              <w:pPr>
                <w:pStyle w:val="Geenafstand"/>
                <w:rPr>
                  <w:rFonts w:ascii="Univers" w:hAnsi="Univers" w:eastAsia="Times New Roman" w:cs="Times New Roman"/>
                  <w:szCs w:val="24"/>
                  <w:lang w:eastAsia="nl-NL"/>
                </w:rPr>
              </w:pPr>
              <w:r w:rsidRPr="00E87004">
                <w:rPr>
                  <w:rFonts w:ascii="Univers" w:hAnsi="Univers" w:eastAsia="Times New Roman" w:cs="Times New Roman"/>
                  <w:szCs w:val="24"/>
                  <w:lang w:eastAsia="nl-NL"/>
                </w:rPr>
                <w:t xml:space="preserve">Van </w:t>
              </w:r>
              <w:r w:rsidRPr="00D0650C">
                <w:rPr>
                  <w:rFonts w:ascii="Univers" w:hAnsi="Univers" w:eastAsia="Times New Roman" w:cs="Times New Roman"/>
                  <w:i/>
                  <w:iCs/>
                  <w:szCs w:val="24"/>
                  <w:lang w:eastAsia="nl-NL"/>
                </w:rPr>
                <w:t>draagmoederschap</w:t>
              </w:r>
              <w:r w:rsidRPr="00E87004">
                <w:rPr>
                  <w:rFonts w:ascii="Univers" w:hAnsi="Univers" w:eastAsia="Times New Roman" w:cs="Times New Roman"/>
                  <w:szCs w:val="24"/>
                  <w:lang w:eastAsia="nl-NL"/>
                </w:rPr>
                <w:t xml:space="preserve"> is sprake wanneer een vrouw, de draagmoeder</w:t>
              </w:r>
              <w:r>
                <w:rPr>
                  <w:rFonts w:ascii="Univers" w:hAnsi="Univers" w:eastAsia="Times New Roman" w:cs="Times New Roman"/>
                  <w:szCs w:val="24"/>
                  <w:lang w:eastAsia="nl-NL"/>
                </w:rPr>
                <w:t>,</w:t>
              </w:r>
              <w:r w:rsidRPr="00E87004">
                <w:rPr>
                  <w:rFonts w:ascii="Univers" w:hAnsi="Univers" w:eastAsia="Times New Roman" w:cs="Times New Roman"/>
                  <w:szCs w:val="24"/>
                  <w:lang w:eastAsia="nl-NL"/>
                </w:rPr>
                <w:t xml:space="preserve"> een kind draagt en baart met de intentie het kind na de geboorte af te staan aan een ander</w:t>
              </w:r>
              <w:r>
                <w:rPr>
                  <w:rFonts w:ascii="Univers" w:hAnsi="Univers" w:eastAsia="Times New Roman" w:cs="Times New Roman"/>
                  <w:szCs w:val="24"/>
                  <w:lang w:eastAsia="nl-NL"/>
                </w:rPr>
                <w:t>:</w:t>
              </w:r>
              <w:r w:rsidRPr="00E87004">
                <w:rPr>
                  <w:rFonts w:ascii="Univers" w:hAnsi="Univers" w:eastAsia="Times New Roman" w:cs="Times New Roman"/>
                  <w:szCs w:val="24"/>
                  <w:lang w:eastAsia="nl-NL"/>
                </w:rPr>
                <w:t xml:space="preserve"> de </w:t>
              </w:r>
              <w:r w:rsidRPr="000D7CC1">
                <w:rPr>
                  <w:rFonts w:ascii="Univers" w:hAnsi="Univers" w:eastAsia="Times New Roman" w:cs="Times New Roman"/>
                  <w:i/>
                  <w:iCs/>
                  <w:szCs w:val="24"/>
                  <w:lang w:eastAsia="nl-NL"/>
                </w:rPr>
                <w:t>wensouder</w:t>
              </w:r>
              <w:r w:rsidRPr="00E87004">
                <w:rPr>
                  <w:rFonts w:ascii="Univers" w:hAnsi="Univers" w:eastAsia="Times New Roman" w:cs="Times New Roman"/>
                  <w:szCs w:val="24"/>
                  <w:lang w:eastAsia="nl-NL"/>
                </w:rPr>
                <w:t xml:space="preserve"> of </w:t>
              </w:r>
              <w:r w:rsidRPr="000D7CC1">
                <w:rPr>
                  <w:rFonts w:ascii="Univers" w:hAnsi="Univers" w:eastAsia="Times New Roman" w:cs="Times New Roman"/>
                  <w:i/>
                  <w:iCs/>
                  <w:szCs w:val="24"/>
                  <w:lang w:eastAsia="nl-NL"/>
                </w:rPr>
                <w:t>wensouders</w:t>
              </w:r>
              <w:r w:rsidRPr="00E87004">
                <w:rPr>
                  <w:rFonts w:ascii="Univers" w:hAnsi="Univers" w:eastAsia="Times New Roman" w:cs="Times New Roman"/>
                  <w:szCs w:val="24"/>
                  <w:lang w:eastAsia="nl-NL"/>
                </w:rPr>
                <w:t xml:space="preserve">. </w:t>
              </w:r>
              <w:r>
                <w:rPr>
                  <w:rFonts w:ascii="Univers" w:hAnsi="Univers" w:eastAsia="Times New Roman" w:cs="Times New Roman"/>
                  <w:szCs w:val="24"/>
                  <w:lang w:eastAsia="nl-NL"/>
                </w:rPr>
                <w:t xml:space="preserve">Als zodanig </w:t>
              </w:r>
              <w:r w:rsidRPr="00E87004">
                <w:rPr>
                  <w:rFonts w:ascii="Univers" w:hAnsi="Univers" w:eastAsia="Times New Roman" w:cs="Times New Roman"/>
                  <w:szCs w:val="24"/>
                  <w:lang w:eastAsia="nl-NL"/>
                </w:rPr>
                <w:t>is het v</w:t>
              </w:r>
              <w:r>
                <w:rPr>
                  <w:rFonts w:ascii="Univers" w:hAnsi="Univers" w:eastAsia="Times New Roman" w:cs="Times New Roman"/>
                  <w:szCs w:val="24"/>
                  <w:lang w:eastAsia="nl-NL"/>
                </w:rPr>
                <w:t>óó</w:t>
              </w:r>
              <w:r w:rsidRPr="00E87004">
                <w:rPr>
                  <w:rFonts w:ascii="Univers" w:hAnsi="Univers" w:eastAsia="Times New Roman" w:cs="Times New Roman"/>
                  <w:szCs w:val="24"/>
                  <w:lang w:eastAsia="nl-NL"/>
                </w:rPr>
                <w:t>r de conceptie de bedoeling te bewerkstelligen dat familierechtelijke betrekkingen worden gevestigd tussen het kind en de wensouders.</w:t>
              </w:r>
              <w:r>
                <w:rPr>
                  <w:rFonts w:ascii="Univers" w:hAnsi="Univers" w:eastAsia="Times New Roman" w:cs="Times New Roman"/>
                  <w:szCs w:val="24"/>
                  <w:lang w:eastAsia="nl-NL"/>
                </w:rPr>
                <w:t xml:space="preserve"> </w:t>
              </w:r>
              <w:r w:rsidRPr="00E87004">
                <w:rPr>
                  <w:rFonts w:ascii="Univers" w:hAnsi="Univers" w:eastAsia="Times New Roman" w:cs="Times New Roman"/>
                  <w:szCs w:val="24"/>
                  <w:lang w:eastAsia="nl-NL"/>
                </w:rPr>
                <w:t xml:space="preserve">Van draagmoederschap is </w:t>
              </w:r>
              <w:r>
                <w:rPr>
                  <w:rFonts w:ascii="Univers" w:hAnsi="Univers" w:eastAsia="Times New Roman" w:cs="Times New Roman"/>
                  <w:szCs w:val="24"/>
                  <w:lang w:eastAsia="nl-NL"/>
                </w:rPr>
                <w:t xml:space="preserve">derhalve </w:t>
              </w:r>
              <w:r w:rsidRPr="00E87004">
                <w:rPr>
                  <w:rFonts w:ascii="Univers" w:hAnsi="Univers" w:eastAsia="Times New Roman" w:cs="Times New Roman"/>
                  <w:szCs w:val="24"/>
                  <w:lang w:eastAsia="nl-NL"/>
                </w:rPr>
                <w:t>g</w:t>
              </w:r>
              <w:r>
                <w:rPr>
                  <w:rFonts w:ascii="Univers" w:hAnsi="Univers" w:eastAsia="Times New Roman" w:cs="Times New Roman"/>
                  <w:szCs w:val="24"/>
                  <w:lang w:eastAsia="nl-NL"/>
                </w:rPr>
                <w:t>ee</w:t>
              </w:r>
              <w:r w:rsidRPr="00E87004">
                <w:rPr>
                  <w:rFonts w:ascii="Univers" w:hAnsi="Univers" w:eastAsia="Times New Roman" w:cs="Times New Roman"/>
                  <w:szCs w:val="24"/>
                  <w:lang w:eastAsia="nl-NL"/>
                </w:rPr>
                <w:t>n sprake als een vrouw zwanger wordt en tijdens de zwangerschap of na de geboorte besluit tot afstand van het kind.</w:t>
              </w:r>
              <w:r>
                <w:rPr>
                  <w:rStyle w:val="Voetnootmarkering"/>
                  <w:rFonts w:ascii="Univers" w:hAnsi="Univers" w:eastAsia="Times New Roman" w:cs="Times New Roman"/>
                  <w:szCs w:val="24"/>
                  <w:lang w:eastAsia="nl-NL"/>
                </w:rPr>
                <w:footnoteReference w:id="19"/>
              </w:r>
            </w:p>
            <w:p w:rsidR="00E25919" w:rsidP="00E25919" w:rsidRDefault="00E41AAE" w14:paraId="15D13DDD" w14:textId="77777777"/>
            <w:p w:rsidR="00E25919" w:rsidP="00E25919" w:rsidRDefault="00042A08" w14:paraId="173EFE36" w14:textId="77777777">
              <w:r>
                <w:t xml:space="preserve">Er zijn verschillende vormen van draagmoederschap. </w:t>
              </w:r>
              <w:r w:rsidRPr="00B66324">
                <w:t xml:space="preserve">Bij </w:t>
              </w:r>
              <w:r w:rsidRPr="000D7CC1">
                <w:rPr>
                  <w:i/>
                  <w:iCs/>
                </w:rPr>
                <w:t>traditioneel of</w:t>
              </w:r>
              <w:r>
                <w:t xml:space="preserve"> </w:t>
              </w:r>
              <w:r w:rsidRPr="000D7CC1">
                <w:rPr>
                  <w:i/>
                  <w:iCs/>
                </w:rPr>
                <w:t xml:space="preserve">laagtechnologisch draagmoederschap </w:t>
              </w:r>
              <w:r>
                <w:t xml:space="preserve">wordt de draagmoeder geïnsemineerd met het semen van de wensvader of een donor. Ook kan de zwangerschap langs natuurlijke weg worden bewerkstelligd. De draagmoeder is dan zwanger van een genetisch eigen kind, waarvan zij na de geboorte afstand doet ten faveure van de wensouders. Bij </w:t>
              </w:r>
              <w:r w:rsidRPr="000D7CC1">
                <w:rPr>
                  <w:i/>
                  <w:iCs/>
                </w:rPr>
                <w:t>IVF- of</w:t>
              </w:r>
              <w:r>
                <w:t xml:space="preserve"> </w:t>
              </w:r>
              <w:r w:rsidRPr="000D7CC1">
                <w:rPr>
                  <w:i/>
                  <w:iCs/>
                </w:rPr>
                <w:t>hoogtechnologisch draagmoederschap</w:t>
              </w:r>
              <w:r>
                <w:t xml:space="preserve"> wordt een embryo dat ontstaan is door IVF, bij de draagmoeder ingebracht. Dat embryo kan genetisch geheel, ten dele of niet verwant zijn aan de wensouders. Bij hoogtechnologisch draagmoederschap in Nederland geldt het vereiste dat het genetisch materiaal afkomstig is van beide wensouders. Dat is door de medische beroepsgroep zo bepaald. Het VUmc is het enige ziekenhuis waar IVF-draagmoederschap plaatsvindt.</w:t>
              </w:r>
              <w:r>
                <w:rPr>
                  <w:rStyle w:val="Voetnootmarkering"/>
                </w:rPr>
                <w:footnoteReference w:id="20"/>
              </w:r>
              <w:r>
                <w:t xml:space="preserve"> Het betreft voor alle betrokkenen een complexe en ingrijpende behandeling.</w:t>
              </w:r>
            </w:p>
            <w:p w:rsidRPr="001C1BBC" w:rsidR="00E25919" w:rsidP="00E25919" w:rsidRDefault="00E41AAE" w14:paraId="66AB1690" w14:textId="77777777">
              <w:pPr>
                <w:rPr>
                  <w:i/>
                  <w:iCs/>
                </w:rPr>
              </w:pPr>
            </w:p>
            <w:p w:rsidRPr="00266F43" w:rsidR="00E25919" w:rsidP="00E25919" w:rsidRDefault="00042A08" w14:paraId="4C8D6DF3" w14:textId="77777777">
              <w:pPr>
                <w:pStyle w:val="Lijstalinea"/>
                <w:numPr>
                  <w:ilvl w:val="0"/>
                  <w:numId w:val="5"/>
                </w:numPr>
                <w:ind w:hanging="720"/>
                <w:rPr>
                  <w:i/>
                  <w:iCs/>
                </w:rPr>
              </w:pPr>
              <w:r>
                <w:rPr>
                  <w:i/>
                  <w:iCs/>
                </w:rPr>
                <w:t>(Wetgevings)beleid t.a.v. draagmoederschap door de jaren heen</w:t>
              </w:r>
              <w:r>
                <w:rPr>
                  <w:rStyle w:val="Voetnootmarkering"/>
                  <w:i/>
                  <w:iCs/>
                </w:rPr>
                <w:footnoteReference w:id="21"/>
              </w:r>
            </w:p>
            <w:p w:rsidR="00E25919" w:rsidP="00E25919" w:rsidRDefault="00042A08" w14:paraId="68BFE2BC" w14:textId="77777777">
              <w:r>
                <w:t>De afgelopen 30 jaar hebben opeenvolgende kabinetten ten aanzien van draagmoederschap een consistent (ontmoedigings)beleid gevoerd.</w:t>
              </w:r>
            </w:p>
            <w:p w:rsidR="00E25919" w:rsidP="00E25919" w:rsidRDefault="00E41AAE" w14:paraId="246A2FDF" w14:textId="77777777"/>
            <w:p w:rsidRPr="00D0650C" w:rsidR="00E25919" w:rsidP="00E25919" w:rsidRDefault="00042A08" w14:paraId="18BB553B" w14:textId="77777777">
              <w:pPr>
                <w:pStyle w:val="Lijstalinea"/>
                <w:numPr>
                  <w:ilvl w:val="0"/>
                  <w:numId w:val="13"/>
                </w:numPr>
                <w:ind w:left="709" w:hanging="709"/>
                <w:rPr>
                  <w:i/>
                  <w:iCs/>
                </w:rPr>
              </w:pPr>
              <w:r w:rsidRPr="00D0650C">
                <w:rPr>
                  <w:i/>
                  <w:iCs/>
                </w:rPr>
                <w:t>Eerste kabinetsstandpunt</w:t>
              </w:r>
            </w:p>
            <w:p w:rsidR="00E25919" w:rsidP="00E25919" w:rsidRDefault="00042A08" w14:paraId="65C17C64" w14:textId="77777777">
              <w:r>
                <w:t>In 1988 werd voor het eerst een kabinetsstandpunt ingenomen over draagmoederschap en IVF.</w:t>
              </w:r>
              <w:r>
                <w:rPr>
                  <w:rStyle w:val="Voetnootmarkering"/>
                </w:rPr>
                <w:footnoteReference w:id="22"/>
              </w:r>
              <w:r>
                <w:t xml:space="preserve"> Hoewel er op dat moment nog geen onderzoeksgegevens bestonden over de psychosociale en lange termijn gevolgen van draagmoederschap, werden onder meer als mogelijke risico’s genoemd: emotionele problemen voor de draagmoeder, identiteitsproblemen voor het kind en het risico dat het kind tussen wal en schip valt indien wensouders vóór de geboorte terugkomen op hun intentie. Deze risico’s leidden het kabinet destijds tot het standpunt dat draagmoederschap een ongewenst verschijnsel was. Het kabinet kondigde tevens aan bemiddeling omtrent draagmoederschap strafbaar te zullen stellen.</w:t>
              </w:r>
              <w:r>
                <w:rPr>
                  <w:rStyle w:val="Voetnootmarkering"/>
                </w:rPr>
                <w:footnoteReference w:id="23"/>
              </w:r>
            </w:p>
            <w:p w:rsidR="00E25919" w:rsidP="00E25919" w:rsidRDefault="00E41AAE" w14:paraId="4ACDFEDD" w14:textId="77777777"/>
            <w:p w:rsidRPr="00D0650C" w:rsidR="00E25919" w:rsidP="00E25919" w:rsidRDefault="00042A08" w14:paraId="5BB74BC2" w14:textId="77777777">
              <w:pPr>
                <w:pStyle w:val="Lijstalinea"/>
                <w:numPr>
                  <w:ilvl w:val="0"/>
                  <w:numId w:val="13"/>
                </w:numPr>
                <w:ind w:left="709" w:hanging="709"/>
                <w:rPr>
                  <w:i/>
                  <w:iCs/>
                </w:rPr>
              </w:pPr>
              <w:r w:rsidRPr="00D0650C">
                <w:rPr>
                  <w:i/>
                  <w:iCs/>
                </w:rPr>
                <w:t>Strafbaarstelling en ideëel IVF-draagmoederschap</w:t>
              </w:r>
            </w:p>
            <w:p w:rsidR="00E25919" w:rsidP="00E25919" w:rsidRDefault="00042A08" w14:paraId="21E24BC3" w14:textId="77777777">
              <w:r>
                <w:t>Die strafbaarstelling kwam begin jaren ’90 tot stand.</w:t>
              </w:r>
              <w:r>
                <w:rPr>
                  <w:rStyle w:val="Voetnootmarkering"/>
                </w:rPr>
                <w:footnoteReference w:id="24"/>
              </w:r>
              <w:r>
                <w:t xml:space="preserve"> Bij de totstandkoming daarvan werd ingegaan op de vraag of de mogelijkheden voor adoptie door wensouders zouden moeten worden verruimd. Volgens het kabinet paste dit echter niet bij het streven om draagmoederschap te ontmoedigen.</w:t>
              </w:r>
              <w:r>
                <w:rPr>
                  <w:rStyle w:val="Voetnootmarkering"/>
                </w:rPr>
                <w:footnoteReference w:id="25"/>
              </w:r>
              <w:r>
                <w:t xml:space="preserve"> </w:t>
              </w:r>
              <w:r w:rsidRPr="00844FE4">
                <w:t>Ook toen kinderrechters bij de Tweede Kamer aandacht vroegen voor de wijze waarop gezag werd overgedragen bij draagmoederschap, werd hierop terughoudend gereageerd. Een wettelijke regeling zou draagmoederschap kunnen bevorderen</w:t>
              </w:r>
              <w:r>
                <w:t>, hetgeen</w:t>
              </w:r>
              <w:r w:rsidRPr="00844FE4">
                <w:t xml:space="preserve"> onwenselijk </w:t>
              </w:r>
              <w:r>
                <w:t xml:space="preserve">werd </w:t>
              </w:r>
              <w:r w:rsidRPr="00844FE4">
                <w:t>geacht.</w:t>
              </w:r>
              <w:r w:rsidRPr="00844FE4">
                <w:rPr>
                  <w:rStyle w:val="Voetnootmarkering"/>
                </w:rPr>
                <w:footnoteReference w:id="26"/>
              </w:r>
              <w:r w:rsidRPr="00844FE4">
                <w:t xml:space="preserve"> </w:t>
              </w:r>
              <w:r>
                <w:t xml:space="preserve">In 1997 gaf de Minister van Volksgezondheid, Welzijn en Sport (VWS) wel toestemming voor ideëel IVF-draagmoederschap in het kader van onderzoek. </w:t>
              </w:r>
            </w:p>
            <w:p w:rsidR="00E25919" w:rsidP="00E25919" w:rsidRDefault="00E41AAE" w14:paraId="01813C1B" w14:textId="77777777"/>
            <w:p w:rsidRPr="00D0650C" w:rsidR="00E25919" w:rsidP="00E25919" w:rsidRDefault="00042A08" w14:paraId="55EB7721" w14:textId="77777777">
              <w:pPr>
                <w:pStyle w:val="Lijstalinea"/>
                <w:numPr>
                  <w:ilvl w:val="0"/>
                  <w:numId w:val="13"/>
                </w:numPr>
                <w:ind w:left="709" w:hanging="709"/>
                <w:rPr>
                  <w:i/>
                  <w:iCs/>
                </w:rPr>
              </w:pPr>
              <w:r w:rsidRPr="00D0650C">
                <w:rPr>
                  <w:i/>
                  <w:iCs/>
                </w:rPr>
                <w:t>Berichten over misstanden</w:t>
              </w:r>
            </w:p>
            <w:p w:rsidR="00E25919" w:rsidP="00E25919" w:rsidRDefault="00042A08" w14:paraId="454603FB" w14:textId="77777777">
              <w:r>
                <w:t>In 2008 verscheen in de Nederlandse pers een reeks verontrustende berichten over illegale praktijken rondom draagmoederschap. Zo werd bericht over Nederlandse draagmoeders die grof geld verdienen met het illegaal afstaan van kinderen en een Nederlands echtpaar dat een Belgische baby kocht. Ook verschenen berichten over Nederlanders die met gebruikmaking van een Amerikaans bemiddelingsbureau à raison de $150.000,– via een draagmoeder naar Amerikaans recht ouder werden van een kind, terwijl onbekend was wie de genetische moeder is.</w:t>
              </w:r>
              <w:r>
                <w:rPr>
                  <w:rStyle w:val="Voetnootmarkering"/>
                </w:rPr>
                <w:footnoteReference w:id="27"/>
              </w:r>
              <w:r>
                <w:t xml:space="preserve"> </w:t>
              </w:r>
            </w:p>
            <w:p w:rsidR="00E25919" w:rsidP="00E25919" w:rsidRDefault="00E41AAE" w14:paraId="2A139511" w14:textId="77777777">
              <w:pPr>
                <w:rPr>
                  <w:color w:val="0070C0"/>
                </w:rPr>
              </w:pPr>
            </w:p>
            <w:p w:rsidRPr="00D0650C" w:rsidR="00E25919" w:rsidP="00E25919" w:rsidRDefault="00042A08" w14:paraId="4C4A81B2" w14:textId="77777777">
              <w:pPr>
                <w:pStyle w:val="Lijstalinea"/>
                <w:numPr>
                  <w:ilvl w:val="0"/>
                  <w:numId w:val="13"/>
                </w:numPr>
                <w:ind w:left="709" w:hanging="709"/>
                <w:rPr>
                  <w:i/>
                  <w:iCs/>
                </w:rPr>
              </w:pPr>
              <w:r w:rsidRPr="00D0650C">
                <w:rPr>
                  <w:i/>
                  <w:iCs/>
                </w:rPr>
                <w:t>WODC-onderzoek</w:t>
              </w:r>
            </w:p>
            <w:p w:rsidR="00E25919" w:rsidP="00E25919" w:rsidRDefault="00042A08" w14:paraId="615E5F4E" w14:textId="77777777">
              <w:r>
                <w:t>In reactie op de hiervoor genoemde berichten herhaalde de Minister van Justitie dat het Nederlandse beleid gericht is op het voorkomen van commercieel draagmoederschap. Tevens kondigde hij een onderzoek aan naar de aard en omvang van commercieel draagmoederschap en illegale opneming van kinderen, zodat inzichtelijk wordt wat zich afspeelt op dit terrein in landen waar meer mogelijk is dan in Nederland en wat de gevolgen hiervan zijn bij terugkeer van de wensouders in Nederland.</w:t>
              </w:r>
              <w:r>
                <w:rPr>
                  <w:rStyle w:val="Voetnootmarkering"/>
                </w:rPr>
                <w:footnoteReference w:id="28"/>
              </w:r>
              <w:r>
                <w:t xml:space="preserve"> </w:t>
              </w:r>
            </w:p>
            <w:p w:rsidR="00E25919" w:rsidP="00E25919" w:rsidRDefault="00E41AAE" w14:paraId="7C7B24C6" w14:textId="77777777"/>
            <w:p w:rsidRPr="00156901" w:rsidR="00E25919" w:rsidP="00E25919" w:rsidRDefault="00042A08" w14:paraId="1B3EC049" w14:textId="77777777">
              <w:pPr>
                <w:rPr>
                  <w:color w:val="0070C0"/>
                </w:rPr>
              </w:pPr>
              <w:r>
                <w:t>Het resultaat van dat onderzoek, dat in opdracht van het WODC werd uitgevoerd door onderzoekers van het Molengraaff Instituut voor Privaatrecht van de Universiteit Utrecht, verscheen in 2011.</w:t>
              </w:r>
              <w:r>
                <w:rPr>
                  <w:rStyle w:val="Voetnootmarkering"/>
                </w:rPr>
                <w:footnoteReference w:id="29"/>
              </w:r>
              <w:r>
                <w:t xml:space="preserve"> Het bleek voor de onderzoekers moeilijk vast te stellen op welke schaal draagmoederschap in Nederland plaatsvindt.</w:t>
              </w:r>
              <w:r>
                <w:rPr>
                  <w:rStyle w:val="Voetnootmarkering"/>
                </w:rPr>
                <w:footnoteReference w:id="30"/>
              </w:r>
              <w:r>
                <w:t xml:space="preserve"> Wel werd onder andere geconcludeerd dat het Nederlandse recht ten aanzien van draagmoederschap wordt gekenmerkt door rechtsonzekerheid. Die wordt enerzijds veroorzaakt door een consistent ontmoedigingsbeleid dat ook in het strafrecht vorm heeft gekregen, terwijl er anderzijds voor een beperkte groep wel mogelijkheden bestaan om via draagmoederschap een gezin te stichten, zonder dat daar rekening mee is gehouden in het afstammings- of adoptierecht. De onderzoekers brachten vervolgens enkele (juridische) onduidelijkheden in kaart. </w:t>
              </w:r>
            </w:p>
            <w:p w:rsidR="00E25919" w:rsidP="00E25919" w:rsidRDefault="00E41AAE" w14:paraId="516369D7" w14:textId="77777777"/>
            <w:p w:rsidR="00E25919" w:rsidP="00E25919" w:rsidRDefault="00042A08" w14:paraId="6DE03538" w14:textId="77777777">
              <w:r>
                <w:t>In december 2011 presenteerde de Staatssecretaris van Veiligheid en Justitie een voorstel voor nieuw beleid ten aanzien van buitenlands draagmoederschap. Ook werd betere voorlichting over de bestaande regels voor draagmoederschap aangekondigd.</w:t>
              </w:r>
              <w:r>
                <w:rPr>
                  <w:rStyle w:val="Voetnootmarkering"/>
                </w:rPr>
                <w:footnoteReference w:id="31"/>
              </w:r>
              <w:r>
                <w:t xml:space="preserve"> Pas in februari 2015 werd dit beleid besproken met de Tweede Kamer.</w:t>
              </w:r>
              <w:r>
                <w:rPr>
                  <w:rStyle w:val="Voetnootmarkering"/>
                </w:rPr>
                <w:footnoteReference w:id="32"/>
              </w:r>
              <w:r>
                <w:t xml:space="preserve"> Tot een aangepaste wettelijke regeling kwam het op dat moment evenwel niet, aangezien men in afwachting was van de bevindingen van de in 2014 ingestelde Staatscommissie Herijking ouderschap.</w:t>
              </w:r>
              <w:r>
                <w:rPr>
                  <w:rStyle w:val="Voetnootmarkering"/>
                </w:rPr>
                <w:footnoteReference w:id="33"/>
              </w:r>
              <w:r>
                <w:t xml:space="preserve"> </w:t>
              </w:r>
            </w:p>
            <w:p w:rsidR="00E25919" w:rsidP="00E25919" w:rsidRDefault="00E41AAE" w14:paraId="4D66968F" w14:textId="77777777"/>
            <w:p w:rsidRPr="002E5F25" w:rsidR="00E25919" w:rsidP="00E25919" w:rsidRDefault="00042A08" w14:paraId="73AAD778" w14:textId="77777777">
              <w:pPr>
                <w:pStyle w:val="Lijstalinea"/>
                <w:numPr>
                  <w:ilvl w:val="0"/>
                  <w:numId w:val="13"/>
                </w:numPr>
                <w:ind w:left="709" w:hanging="709"/>
                <w:rPr>
                  <w:i/>
                  <w:iCs/>
                </w:rPr>
              </w:pPr>
              <w:r w:rsidRPr="002E5F25">
                <w:rPr>
                  <w:i/>
                  <w:iCs/>
                </w:rPr>
                <w:t>Staatscommissie Herijking ouderschap</w:t>
              </w:r>
            </w:p>
            <w:p w:rsidR="00E25919" w:rsidP="00E25919" w:rsidRDefault="00042A08" w14:paraId="7C190988" w14:textId="77777777">
              <w:r>
                <w:t>Tegen de achtergrond van maatschappelijke en medisch-technologische ontwikkelingen, kreeg de Staatscommissie Herijking ouderschap als opdracht de regering te adviseren over de wenselijkheid van een wijziging van de bestaande regelingen over het ontstaan van juridisch ouderschap en de invoering van een wettelijke regeling voor meerouderschap en meeroudergezag. Ook werd de Staatscommissie gevraagd te adviseren over de wenselijkheid van een specifieke wettelijke regeling voor draagmoederschap.</w:t>
              </w:r>
              <w:r>
                <w:rPr>
                  <w:rStyle w:val="Voetnootmarkering"/>
                </w:rPr>
                <w:footnoteReference w:id="34"/>
              </w:r>
              <w:r>
                <w:t xml:space="preserve"> </w:t>
              </w:r>
            </w:p>
            <w:p w:rsidR="00E25919" w:rsidP="00E25919" w:rsidRDefault="00E41AAE" w14:paraId="678F98D2" w14:textId="77777777"/>
            <w:p w:rsidR="00E25919" w:rsidP="00E25919" w:rsidRDefault="00042A08" w14:paraId="0AE69838" w14:textId="77777777">
              <w:r>
                <w:t>In december 2016 bracht zij onder voorzitterschap van de heer A. Wolfsen haar rapport ‘Kind en ouders in de 21</w:t>
              </w:r>
              <w:r w:rsidRPr="00183F40">
                <w:rPr>
                  <w:vertAlign w:val="superscript"/>
                </w:rPr>
                <w:t>e</w:t>
              </w:r>
              <w:r>
                <w:t xml:space="preserve"> eeuw’ uit. Daarin ging de Staatscommissie onder meer in op maatschappelijke ontwikkelingen omtrent nieuwe gezinsvormen. De geschetste ontwikkelingen betroffen evenwel niet het draagmoederschap.</w:t>
              </w:r>
              <w:r>
                <w:rPr>
                  <w:rStyle w:val="Voetnootmarkering"/>
                </w:rPr>
                <w:footnoteReference w:id="35"/>
              </w:r>
              <w:r>
                <w:t xml:space="preserve"> Tegen de achtergrond van maatschappelijke en medische ontwikkelingen, ethische vragen en pedagogische gezichtspunten daaromtrent,</w:t>
              </w:r>
              <w:r>
                <w:rPr>
                  <w:rStyle w:val="Voetnootmarkering"/>
                </w:rPr>
                <w:footnoteReference w:id="36"/>
              </w:r>
              <w:r>
                <w:t xml:space="preserve"> analyseerde de Staatscommissie vervolgens de juridische aspecten van ouderschap, gezag en draagmoederschap.</w:t>
              </w:r>
              <w:r>
                <w:rPr>
                  <w:rStyle w:val="Voetnootmarkering"/>
                </w:rPr>
                <w:footnoteReference w:id="37"/>
              </w:r>
              <w:r>
                <w:t xml:space="preserve"> Deze analyse leidde tot 68 aanbevelingen.</w:t>
              </w:r>
              <w:r>
                <w:rPr>
                  <w:rStyle w:val="Voetnootmarkering"/>
                </w:rPr>
                <w:footnoteReference w:id="38"/>
              </w:r>
              <w:r>
                <w:t xml:space="preserve"> De belangrijkste van deze aanbevelingen zien op meerouderschap en meeroudergezag (van maximaal 4 personen). Daarnaast zijn aanbevelingen gedaan over het draagmoederschap. Deze vormen de aanleiding voor het voorliggende wetsvoorstel (zie </w:t>
              </w:r>
              <w:r w:rsidRPr="000F01FB">
                <w:t xml:space="preserve">punt 2f hierna). </w:t>
              </w:r>
            </w:p>
            <w:p w:rsidR="00E25919" w:rsidP="00E25919" w:rsidRDefault="00E41AAE" w14:paraId="4B6A4D59" w14:textId="77777777"/>
            <w:p w:rsidRPr="00D0650C" w:rsidR="00E25919" w:rsidP="00E25919" w:rsidRDefault="00042A08" w14:paraId="4826213A" w14:textId="77777777">
              <w:pPr>
                <w:pStyle w:val="Lijstalinea"/>
                <w:numPr>
                  <w:ilvl w:val="0"/>
                  <w:numId w:val="13"/>
                </w:numPr>
                <w:ind w:left="709" w:hanging="709"/>
                <w:rPr>
                  <w:i/>
                  <w:iCs/>
                </w:rPr>
              </w:pPr>
              <w:r w:rsidRPr="00D0650C">
                <w:rPr>
                  <w:i/>
                  <w:iCs/>
                </w:rPr>
                <w:t>Commissie Onderzoek interlandelijke adoptie</w:t>
              </w:r>
            </w:p>
            <w:p w:rsidR="00CD538D" w:rsidP="00E25919" w:rsidRDefault="00042A08" w14:paraId="79D59C5D" w14:textId="77777777">
              <w:r>
                <w:t>Tot slot kan worden gewezen op het rapport van de Commissie Onderzoek interlandelijke adoptie, dat onder voorzitterschap van de heer T. Joustra in februari 2021 werd uitgebracht. De Commissie wees daarin op de transformatie van het adoptiesysteem in de richting van commercieel draagmoederschap.</w:t>
              </w:r>
              <w:r>
                <w:rPr>
                  <w:rStyle w:val="Voetnootmarkering"/>
                </w:rPr>
                <w:footnoteReference w:id="39"/>
              </w:r>
              <w:r>
                <w:t xml:space="preserve"> Hoewel draagmoederschap strikt genomen buiten de taakomschrijving van de Commissie viel, vond zij het </w:t>
              </w:r>
              <w:r w:rsidRPr="004E4F5E">
                <w:t>vanwege de paral</w:t>
              </w:r>
              <w:r>
                <w:t>l</w:t>
              </w:r>
              <w:r w:rsidRPr="004E4F5E">
                <w:t xml:space="preserve">ellen met interlandelijke adoptie </w:t>
              </w:r>
              <w:r>
                <w:t xml:space="preserve">toch geëigend om hier kort op in te gaan. </w:t>
              </w:r>
            </w:p>
            <w:p w:rsidR="00CD538D" w:rsidP="00E25919" w:rsidRDefault="00E41AAE" w14:paraId="12DC8403" w14:textId="77777777"/>
            <w:p w:rsidR="00E25919" w:rsidP="00E25919" w:rsidRDefault="00042A08" w14:paraId="30C1340B" w14:textId="77777777">
              <w:r>
                <w:t>Volgens de Commissie zijn wetgeving en toezicht bij commercieel draagmoederschap – evenals bij interlandelijke adoptie – onvoldoende geregeld. Mede daardoor wees de Commissie op financiële uitwassen en maatschappelijke en politieke druk die een systeem creëren waarin het belang van het kind ondergeschikt is.</w:t>
              </w:r>
              <w:r>
                <w:rPr>
                  <w:rStyle w:val="Voetnootmarkering"/>
                </w:rPr>
                <w:footnoteReference w:id="40"/>
              </w:r>
              <w:r>
                <w:t xml:space="preserve"> De Commissie pleitte ervoor om de lessen uit het onderzoek naar de adoptiemisstanden ook in deze context ter harte te nemen.</w:t>
              </w:r>
              <w:r>
                <w:rPr>
                  <w:rStyle w:val="Voetnootmarkering"/>
                </w:rPr>
                <w:footnoteReference w:id="41"/>
              </w:r>
              <w:r>
                <w:t xml:space="preserve"> </w:t>
              </w:r>
            </w:p>
            <w:p w:rsidR="00E25919" w:rsidP="00E25919" w:rsidRDefault="00E41AAE" w14:paraId="7EF65260" w14:textId="77777777"/>
            <w:p w:rsidRPr="00135070" w:rsidR="00E25919" w:rsidP="00E25919" w:rsidRDefault="00042A08" w14:paraId="4AC3188C" w14:textId="77777777">
              <w:r w:rsidRPr="00135070">
                <w:t xml:space="preserve">In de beleidsreactie op het rapport van de Commissie, liet de </w:t>
              </w:r>
              <w:r>
                <w:t>M</w:t>
              </w:r>
              <w:r w:rsidRPr="00135070">
                <w:t>inister voor Rechtsbescherming weten de aanbeveling van de Commissie om een onafhankelijk landelijk experticecentrum in te stellen over te nemen.</w:t>
              </w:r>
              <w:r w:rsidRPr="00135070">
                <w:rPr>
                  <w:rStyle w:val="Voetnootmarkering"/>
                </w:rPr>
                <w:footnoteReference w:id="42"/>
              </w:r>
              <w:r w:rsidRPr="00135070">
                <w:t xml:space="preserve"> Tevens werd toegezegd bij de uitwerking van de dienstverlening van dit expertisecentrum vragen rondom afstamming en identiteit van kinderen uit nieuwe gezinsvormen, zoals ten gevolge van draagmoederschap, te betrekken.</w:t>
              </w:r>
              <w:r w:rsidRPr="00135070">
                <w:rPr>
                  <w:rStyle w:val="Voetnootmarkering"/>
                </w:rPr>
                <w:footnoteReference w:id="43"/>
              </w:r>
            </w:p>
            <w:p w:rsidR="00E25919" w:rsidP="00E25919" w:rsidRDefault="00E41AAE" w14:paraId="39918D73" w14:textId="77777777"/>
            <w:p w:rsidR="00E25919" w:rsidP="00E25919" w:rsidRDefault="00042A08" w14:paraId="1FEC3F69" w14:textId="77777777">
              <w:pPr>
                <w:pStyle w:val="Lijstalinea"/>
                <w:numPr>
                  <w:ilvl w:val="0"/>
                  <w:numId w:val="5"/>
                </w:numPr>
                <w:ind w:hanging="720"/>
                <w:rPr>
                  <w:i/>
                  <w:iCs/>
                </w:rPr>
              </w:pPr>
              <w:r>
                <w:rPr>
                  <w:i/>
                  <w:iCs/>
                </w:rPr>
                <w:t>Huidig</w:t>
              </w:r>
              <w:r w:rsidRPr="003A0587">
                <w:rPr>
                  <w:i/>
                  <w:iCs/>
                </w:rPr>
                <w:t xml:space="preserve"> wettelijk kader draagmoederschap </w:t>
              </w:r>
            </w:p>
            <w:p w:rsidR="00E25919" w:rsidP="00E25919" w:rsidRDefault="00E41AAE" w14:paraId="45494F53" w14:textId="77777777">
              <w:pPr>
                <w:rPr>
                  <w:i/>
                  <w:iCs/>
                </w:rPr>
              </w:pPr>
            </w:p>
            <w:p w:rsidRPr="00C11E15" w:rsidR="00E25919" w:rsidP="00E25919" w:rsidRDefault="00042A08" w14:paraId="2874F520" w14:textId="77777777">
              <w:pPr>
                <w:rPr>
                  <w:i/>
                  <w:iCs/>
                </w:rPr>
              </w:pPr>
              <w:r>
                <w:rPr>
                  <w:i/>
                  <w:iCs/>
                </w:rPr>
                <w:t>i.</w:t>
              </w:r>
              <w:r>
                <w:rPr>
                  <w:i/>
                  <w:iCs/>
                </w:rPr>
                <w:tab/>
                <w:t>Nationaal kader</w:t>
              </w:r>
            </w:p>
            <w:p w:rsidR="00E25919" w:rsidP="00E25919" w:rsidRDefault="00042A08" w14:paraId="29EC9B87" w14:textId="77777777">
              <w:r>
                <w:t>Het hiervoor geschetste beleid van opeenvolgende kabinetten heeft onder meer geleid tot de afwezigheid van een specifieke regeling voor ouderschap na draagmoederschap. Daarom wordt thans gebruik gemaakt van enkele meer algemene leerstukken uit het familierecht. Naar huidig recht is de vrouw die het kind baart juridisch gezien altijd de moeder van het kind (</w:t>
              </w:r>
              <w:r w:rsidRPr="005412EB">
                <w:rPr>
                  <w:i/>
                  <w:iCs/>
                </w:rPr>
                <w:t>mater semper</w:t>
              </w:r>
              <w:r>
                <w:rPr>
                  <w:i/>
                  <w:iCs/>
                </w:rPr>
                <w:t xml:space="preserve"> certa</w:t>
              </w:r>
              <w:r w:rsidRPr="005412EB">
                <w:rPr>
                  <w:i/>
                  <w:iCs/>
                </w:rPr>
                <w:t xml:space="preserve"> est</w:t>
              </w:r>
              <w:r>
                <w:t>).</w:t>
              </w:r>
              <w:r>
                <w:rPr>
                  <w:rStyle w:val="Voetnootmarkering"/>
                </w:rPr>
                <w:footnoteReference w:id="44"/>
              </w:r>
              <w:r>
                <w:t xml:space="preserve"> Dat uitgangspunt geldt ongeacht de genetische verwantschap tussen moeder en kind, of de intentie om het kind na de geboorte af te staan aan wensouders. Daarmee wordt de draagmoeder juridisch altijd aangemerkt als de moeder van het kind, zowel bij traditioneel als IVF-draagmoederschap. Als de draagmoeder getrouwd is of een geregistreerd partnerschap heeft, wordt haar partner tevens de juridische ouder van het kind. De juridische overdracht van het gezag kan onder andere plaatsvinden via beëindiging van het gezag van deze ouders (een kinderbeschermingsmaatregel) met voogdij door de wensouders. De Raad voor de Kinderbescherming doet dan het verzoek. Na de overgang van het gezag vindt adoptie van het kind door de wensouder(s) plaats.</w:t>
              </w:r>
              <w:r>
                <w:rPr>
                  <w:rStyle w:val="Voetnootmarkering"/>
                </w:rPr>
                <w:footnoteReference w:id="45"/>
              </w:r>
              <w:r>
                <w:t xml:space="preserve"> </w:t>
              </w:r>
            </w:p>
            <w:p w:rsidR="00E25919" w:rsidP="00E25919" w:rsidRDefault="00E41AAE" w14:paraId="751747C8" w14:textId="77777777"/>
            <w:p w:rsidR="00E25919" w:rsidP="00E25919" w:rsidRDefault="00042A08" w14:paraId="1929B746" w14:textId="77777777">
              <w:r>
                <w:t>Ook het Nederlandse internationaal privaatrecht kent geen specifieke regeling voor de erkenning van in het buitenland tot stand gekomen familierechtelijke betrekkingen na draagmoederschap. De erkenning wordt daarom behandeld aan de hand van de algemene regels voor de erkenning van buitenlandse rechterlijke beslissingen en akten.</w:t>
              </w:r>
              <w:r>
                <w:rPr>
                  <w:rStyle w:val="Voetnootmarkering"/>
                </w:rPr>
                <w:footnoteReference w:id="46"/>
              </w:r>
              <w:r>
                <w:t xml:space="preserve"> </w:t>
              </w:r>
            </w:p>
            <w:p w:rsidR="00E25919" w:rsidP="00E25919" w:rsidRDefault="00E41AAE" w14:paraId="7068B665" w14:textId="77777777"/>
            <w:p w:rsidR="00E25919" w:rsidP="00E25919" w:rsidRDefault="00042A08" w14:paraId="7C2A22D8" w14:textId="77777777">
              <w:r>
                <w:t xml:space="preserve">Met het oog op het tegengaan van commercieel draagmoederschap, kent de Nederlandse strafwetgeving wel enkele bepalingen die zijn toegesneden op draagmoederschap. Het betreft de artikelen 151b en 151c van het Wetboek van Strafrecht. Gedragingen die vraag en aanbod van (commercieel) draagmoederschap bevorderen, zoals het bemiddelen en adverteren daarvoor, zijn daarin strafbaar gesteld. Het zijn van draagmoeder is niet strafbaar. </w:t>
              </w:r>
            </w:p>
            <w:p w:rsidR="00E25919" w:rsidP="00E25919" w:rsidRDefault="00E41AAE" w14:paraId="7787B6DF" w14:textId="77777777"/>
            <w:p w:rsidR="00E25919" w:rsidP="00E25919" w:rsidRDefault="00042A08" w14:paraId="2C7F7356" w14:textId="77777777">
              <w:pPr>
                <w:rPr>
                  <w:u w:val="single"/>
                </w:rPr>
              </w:pPr>
              <w:r>
                <w:t>Daarnaast kent het strafrecht een aantal algemene strafbaarstellingen die het mogelijk maken om illegale praktijken rond draagmoederschap aan te pakken. Onder meer artikel 225 (valsheid in geschrifte), artikel 236 (statusverduistering), en artikel 442a van het Wetboek van Strafrecht (opname kind jonger dan zes maanden in gezin zonder toestemming Raad voor de Kinderbescherming). Ook artikel 28 van de Wet opneming buitenlandse kinderen ter adoptie kan in dit verband worden genoemd (opneming buitenlands kind ter adoptie zonder beginseltoestemming van de Nederlandse Centrale autoriteit). Opmerking verdient dat er op alle bovenstaande punten geen handhavingsprioriteit bestaat.</w:t>
              </w:r>
            </w:p>
            <w:p w:rsidR="00E25919" w:rsidP="00E25919" w:rsidRDefault="00E41AAE" w14:paraId="30787A7E" w14:textId="77777777"/>
            <w:p w:rsidRPr="00AE6F55" w:rsidR="00E25919" w:rsidP="00E25919" w:rsidRDefault="00042A08" w14:paraId="18FFFBDB" w14:textId="77777777">
              <w:pPr>
                <w:rPr>
                  <w:i/>
                  <w:iCs/>
                </w:rPr>
              </w:pPr>
              <w:r w:rsidRPr="002B2009">
                <w:t>ii.</w:t>
              </w:r>
              <w:r w:rsidRPr="002B2009">
                <w:tab/>
              </w:r>
              <w:r w:rsidRPr="002B2009">
                <w:rPr>
                  <w:i/>
                  <w:iCs/>
                </w:rPr>
                <w:t>Internationaal</w:t>
              </w:r>
              <w:r>
                <w:rPr>
                  <w:i/>
                  <w:iCs/>
                </w:rPr>
                <w:t>-</w:t>
              </w:r>
              <w:r w:rsidRPr="002B2009">
                <w:rPr>
                  <w:i/>
                  <w:iCs/>
                </w:rPr>
                <w:t xml:space="preserve"> en Europeesrechtelijk kader </w:t>
              </w:r>
            </w:p>
            <w:p w:rsidR="00E25919" w:rsidP="00E25919" w:rsidRDefault="00042A08" w14:paraId="2F6DD05C" w14:textId="77777777">
              <w:r>
                <w:t>Op het internationale niveau bestaat geen kader voor de regulering van draagmoederschap, hoewel de mogelijkheden daartoe wel worden verkend binnen de context van de Haagse Conferentie voor Internationaal Privaatrecht. De totstandkoming van een mondiaal verdrag in dit verband is echter niet op korte termijn te verwachten.</w:t>
              </w:r>
              <w:r>
                <w:rPr>
                  <w:rStyle w:val="Voetnootmarkering"/>
                </w:rPr>
                <w:footnoteReference w:id="47"/>
              </w:r>
            </w:p>
            <w:p w:rsidR="00E25919" w:rsidP="00E25919" w:rsidRDefault="00E41AAE" w14:paraId="22DF1E0F" w14:textId="77777777"/>
            <w:p w:rsidR="00CD538D" w:rsidP="00E25919" w:rsidRDefault="00042A08" w14:paraId="6490E79C" w14:textId="77777777">
              <w:r w:rsidRPr="002B2009">
                <w:t xml:space="preserve">Bij de </w:t>
              </w:r>
              <w:r>
                <w:t xml:space="preserve">(nationale) </w:t>
              </w:r>
              <w:r w:rsidRPr="002B2009">
                <w:t xml:space="preserve">regulering van draagmoederschap </w:t>
              </w:r>
              <w:r>
                <w:t>moet wel met</w:t>
              </w:r>
              <w:r w:rsidRPr="002B2009">
                <w:t xml:space="preserve"> ve</w:t>
              </w:r>
              <w:r>
                <w:t>rschillend</w:t>
              </w:r>
              <w:r w:rsidRPr="002B2009">
                <w:t xml:space="preserve">e rechten en belangen </w:t>
              </w:r>
              <w:r>
                <w:t xml:space="preserve">uit het internationale en Europese recht </w:t>
              </w:r>
              <w:r w:rsidRPr="002B2009">
                <w:t xml:space="preserve">rekening worden gehouden. Vanuit grondrechtelijk perspectief gaat het </w:t>
              </w:r>
              <w:r>
                <w:t>ten</w:t>
              </w:r>
              <w:r w:rsidRPr="002B2009">
                <w:t xml:space="preserve"> eerste om de rechten en de belangen van het kind, die onder meer in het Verdrag inzake de rechten van het kind (IVRK) zijn opgenomen. Bij alle maatregelen betreffende kinderen dienen de belangen van het kind een eerste overweging te vormen (artikel 3 IVRK). Een kind dient onmiddellijk na de geboorte te worden ingeschreven en heeft vanaf de geboorte het recht op een naam, het recht een nationaliteit te verwerven en, voor zover mogelijk, het recht zijn of haar ouders te kennen en door hen te worden verzorgd (artikel 7 IVRK). </w:t>
              </w:r>
            </w:p>
            <w:p w:rsidR="00CD538D" w:rsidP="00E25919" w:rsidRDefault="00E41AAE" w14:paraId="2612346C" w14:textId="77777777"/>
            <w:p w:rsidRPr="002B2009" w:rsidR="00E25919" w:rsidP="00E25919" w:rsidRDefault="00042A08" w14:paraId="2371EA87" w14:textId="77777777">
              <w:r w:rsidRPr="002B2009">
                <w:t>Staten zijn daarnaast verplicht om passende maatregelen te nemen ter voorkoming van de verkoop van of van de handel in kinderen (artikel 35 IVRK).</w:t>
              </w:r>
              <w:r w:rsidRPr="002B2009">
                <w:rPr>
                  <w:vertAlign w:val="superscript"/>
                </w:rPr>
                <w:footnoteReference w:id="48"/>
              </w:r>
              <w:r w:rsidRPr="002B2009">
                <w:t xml:space="preserve"> Verder speelt het recht op respect voor het privé</w:t>
              </w:r>
              <w:r>
                <w:t>leven</w:t>
              </w:r>
              <w:r w:rsidRPr="002B2009">
                <w:t xml:space="preserve"> en </w:t>
              </w:r>
              <w:r>
                <w:t xml:space="preserve">familie- en </w:t>
              </w:r>
              <w:r w:rsidRPr="002B2009">
                <w:t>gezinsleven (artikel 16 IVRK en artikel 8 Europees Verdrag voor de Rechte</w:t>
              </w:r>
              <w:r>
                <w:t>n</w:t>
              </w:r>
              <w:r w:rsidRPr="002B2009">
                <w:t xml:space="preserve"> van de Mens (EVRM)) een belangrijke rol bij draagmoederschap. Het recht op het privéleven </w:t>
              </w:r>
              <w:r>
                <w:t xml:space="preserve">en </w:t>
              </w:r>
              <w:r w:rsidRPr="002B2009">
                <w:t>familie- en gezinsleven kan niet alleen toekomen aan het kind en de (al dan niet genetische) wensouders, maar ook aan de (al dan niet genetische) draagmoeder. Daarnaast moet met het recht op zelfbeschikking van de draagmoeder rekening worden gehouden (artikel 8 EVRM en artikel 16 VN-Vrouwenverdrag) en kunnen in extreme gevallen verplichtingen omtrent de bestrijding van mensenhandel aan de orde komen (artikel 5 Verdrag van de Raad van Europa inzake bestrijding van mensenhandel).</w:t>
              </w:r>
              <w:r w:rsidRPr="002B2009">
                <w:rPr>
                  <w:vertAlign w:val="superscript"/>
                </w:rPr>
                <w:footnoteReference w:id="49"/>
              </w:r>
            </w:p>
            <w:p w:rsidRPr="002B2009" w:rsidR="00E25919" w:rsidP="00E25919" w:rsidRDefault="00E41AAE" w14:paraId="643F07F8" w14:textId="77777777"/>
            <w:p w:rsidR="00E25919" w:rsidP="00E25919" w:rsidRDefault="00042A08" w14:paraId="6121A782" w14:textId="77777777">
              <w:r w:rsidRPr="002B2009">
                <w:t xml:space="preserve">Tot dusver heeft het Europees Hof voor de Rechten van de Mens (EHRM) </w:t>
              </w:r>
              <w:r>
                <w:t xml:space="preserve">slechts </w:t>
              </w:r>
              <w:r w:rsidRPr="002B2009">
                <w:t>enkele zaken behandeld aangaande de erkenning van ouderschap na internationaal draagmoederschap.</w:t>
              </w:r>
              <w:r w:rsidRPr="002B2009">
                <w:rPr>
                  <w:vertAlign w:val="superscript"/>
                </w:rPr>
                <w:footnoteReference w:id="50"/>
              </w:r>
              <w:r w:rsidRPr="002B2009">
                <w:t xml:space="preserve"> Uit deze jurisprudentie is af te leiden dat wanneer buitenlands draagmoederschap volgens de </w:t>
              </w:r>
              <w:r>
                <w:t xml:space="preserve">aldaar </w:t>
              </w:r>
              <w:r w:rsidRPr="002B2009">
                <w:t xml:space="preserve">geldende regels tot stand is gekomen en de wensouders in het buitenland worden beschouwd als de juridische ouders van het kind, de weigering een ouder-kindrelatie bij draagmoederschap juridisch te erkennen, een inmenging is in het recht op respect voor het privéleven van het kind. De weigering het ouderschap te erkennen is in </w:t>
              </w:r>
              <w:r>
                <w:t>een dergelijke</w:t>
              </w:r>
              <w:r w:rsidRPr="002B2009">
                <w:t xml:space="preserve"> situatie ook een inmenging in het </w:t>
              </w:r>
              <w:r>
                <w:t xml:space="preserve">familie- en </w:t>
              </w:r>
              <w:r w:rsidRPr="002B2009">
                <w:t>gezinsleven van de wensouders en het kind. Enige vorm van juridische erkenning van de ouder-kindrelatie is</w:t>
              </w:r>
              <w:r>
                <w:t xml:space="preserve"> volgens het EHRM</w:t>
              </w:r>
              <w:r w:rsidRPr="002B2009">
                <w:t xml:space="preserve"> nodig om </w:t>
              </w:r>
              <w:r>
                <w:t xml:space="preserve">in deze situatie </w:t>
              </w:r>
              <w:r w:rsidRPr="002B2009">
                <w:t xml:space="preserve">in overeenstemming te kunnen handelen met het recht op respect voor het privéleven van het kind. </w:t>
              </w:r>
            </w:p>
            <w:p w:rsidR="00E25919" w:rsidP="00E25919" w:rsidRDefault="00E41AAE" w14:paraId="63240E13" w14:textId="77777777"/>
            <w:p w:rsidRPr="002B2009" w:rsidR="00E25919" w:rsidP="00E25919" w:rsidRDefault="00042A08" w14:paraId="793CE5A9" w14:textId="77777777">
              <w:r w:rsidRPr="002B2009">
                <w:t xml:space="preserve">Bij het bepalen van de vorm van juridische erkenning (erkenning van het ouderschap, adoptie) hebben verdragsstaten echter een ruime </w:t>
              </w:r>
              <w:r w:rsidRPr="002B2009">
                <w:rPr>
                  <w:i/>
                  <w:iCs/>
                </w:rPr>
                <w:t>margin of appreciation</w:t>
              </w:r>
              <w:r w:rsidRPr="002B2009">
                <w:t xml:space="preserve">. Staten hebben in beginsel ook een ruime </w:t>
              </w:r>
              <w:r w:rsidRPr="002B2009">
                <w:rPr>
                  <w:i/>
                  <w:iCs/>
                </w:rPr>
                <w:t xml:space="preserve">margin of appreciation </w:t>
              </w:r>
              <w:r w:rsidRPr="002B2009">
                <w:t xml:space="preserve">bij </w:t>
              </w:r>
              <w:r>
                <w:t xml:space="preserve">de keuze voor het al dan niet </w:t>
              </w:r>
              <w:r w:rsidRPr="002B2009">
                <w:t>toestaan</w:t>
              </w:r>
              <w:r>
                <w:t xml:space="preserve"> van draagmoederschap</w:t>
              </w:r>
              <w:r w:rsidRPr="002B2009">
                <w:t xml:space="preserve">. De juridische erkenning van een ouder-kindrelatie vormt </w:t>
              </w:r>
              <w:r>
                <w:t>daarbij wel</w:t>
              </w:r>
              <w:r w:rsidRPr="002B2009">
                <w:t xml:space="preserve"> een wezenlijk onderdeel van de identiteit van het kind, zodat de </w:t>
              </w:r>
              <w:r w:rsidRPr="002B2009">
                <w:rPr>
                  <w:i/>
                  <w:iCs/>
                </w:rPr>
                <w:t>margin of appreciation</w:t>
              </w:r>
              <w:r w:rsidRPr="002B2009">
                <w:t xml:space="preserve"> van staten op dit punt beperkt is</w:t>
              </w:r>
              <w:r>
                <w:t>, aldus het EHRM</w:t>
              </w:r>
              <w:r w:rsidRPr="002B2009">
                <w:t xml:space="preserve">. Het recht op respect voor het </w:t>
              </w:r>
              <w:r>
                <w:t xml:space="preserve">familie- en </w:t>
              </w:r>
              <w:r w:rsidRPr="002B2009">
                <w:t xml:space="preserve">gezinsleven van de wensouders en het kind verplicht </w:t>
              </w:r>
              <w:r>
                <w:t xml:space="preserve">volgens het EHRM </w:t>
              </w:r>
              <w:r w:rsidRPr="002B2009">
                <w:t xml:space="preserve">niet tot enige vorm van erkenning van het ouderschap, als aan het gezinsleven ook zonder die erkenning feitelijk invulling kan worden gegeven. </w:t>
              </w:r>
              <w:r>
                <w:t>Waar het in de kern om gaat, is dat de belangen van het kind met betrekking tot onder meer nationaliteit, erfrecht en naam gewaarborgd zijn.</w:t>
              </w:r>
            </w:p>
            <w:p w:rsidRPr="002B2009" w:rsidR="00E25919" w:rsidP="00E25919" w:rsidRDefault="00E41AAE" w14:paraId="304380C7" w14:textId="77777777"/>
            <w:p w:rsidRPr="002B2009" w:rsidR="00663757" w:rsidP="00663757" w:rsidRDefault="00042A08" w14:paraId="28B019DA" w14:textId="77777777">
              <w:r w:rsidRPr="002B2009">
                <w:t xml:space="preserve">Naast het internationaal en Europees grondrechtelijk kader, </w:t>
              </w:r>
              <w:r>
                <w:t>vormt</w:t>
              </w:r>
              <w:r w:rsidRPr="002B2009">
                <w:t xml:space="preserve"> ook het Unierechtelijke vrij verkeer van diensten een relevant toetsingskader </w:t>
              </w:r>
              <w:r>
                <w:t>voor</w:t>
              </w:r>
              <w:r w:rsidRPr="002B2009">
                <w:t xml:space="preserve"> de wettelijke regulering van draagmoederschap.</w:t>
              </w:r>
              <w:r w:rsidRPr="002B2009">
                <w:rPr>
                  <w:vertAlign w:val="superscript"/>
                </w:rPr>
                <w:footnoteReference w:id="51"/>
              </w:r>
              <w:r w:rsidRPr="002B2009">
                <w:t xml:space="preserve"> Het moreel</w:t>
              </w:r>
              <w:r>
                <w:t xml:space="preserve"> </w:t>
              </w:r>
              <w:r w:rsidRPr="002B2009">
                <w:t>gevoelige karakter van draagmoederschap leidt er</w:t>
              </w:r>
              <w:r>
                <w:t xml:space="preserve"> </w:t>
              </w:r>
              <w:r w:rsidRPr="002B2009">
                <w:t>niet toe dat toepassing van de bepalingen van het vrij verkeer van diensten is uitgesloten.</w:t>
              </w:r>
              <w:r w:rsidRPr="002B2009">
                <w:rPr>
                  <w:vertAlign w:val="superscript"/>
                </w:rPr>
                <w:footnoteReference w:id="52"/>
              </w:r>
              <w:r w:rsidRPr="002B2009">
                <w:t xml:space="preserve"> Draagmoederschap zou als een dienst in de zin van artikel 57 van het Verdrag betreffende de werking van de EU (VWEU) kunnen worden aangemerkt </w:t>
              </w:r>
              <w:r>
                <w:t>als</w:t>
              </w:r>
              <w:r w:rsidRPr="002B2009">
                <w:t xml:space="preserve"> daar een vergoeding tegenover wordt gesteld. </w:t>
              </w:r>
              <w:r>
                <w:t xml:space="preserve">Indien </w:t>
              </w:r>
              <w:r w:rsidRPr="002B2009">
                <w:t>afspraken worden gemaakt over</w:t>
              </w:r>
              <w:r>
                <w:t xml:space="preserve"> bijvoorbeeld</w:t>
              </w:r>
              <w:r w:rsidRPr="002B2009">
                <w:t xml:space="preserve"> de vergoeding van</w:t>
              </w:r>
              <w:r>
                <w:t xml:space="preserve"> </w:t>
              </w:r>
              <w:r w:rsidRPr="002B2009">
                <w:t>gederfde inkomsten, kan het substantiële bedragen</w:t>
              </w:r>
              <w:r>
                <w:t xml:space="preserve"> betreffen</w:t>
              </w:r>
              <w:r w:rsidRPr="002B2009">
                <w:t>. De te ontvangen vergoedingen zouden zo een economische tegenprestatie kunnen vormen, zodat gesproken kan worden van dienstverlening.</w:t>
              </w:r>
              <w:r>
                <w:t xml:space="preserve"> Beperkingen van het vrij verkeer van diensten dienen te worden gerechtvaardigd conform de voorwaarden die daaraan worden gesteld in het Unierecht en de rechtspraak van het Hof van Justitie van de EU (HvJ).</w:t>
              </w:r>
            </w:p>
            <w:p w:rsidR="00E25919" w:rsidP="00E25919" w:rsidRDefault="00E41AAE" w14:paraId="06DC8595" w14:textId="77777777"/>
            <w:p w:rsidR="00E25919" w:rsidP="00E25919" w:rsidRDefault="00042A08" w14:paraId="54FD603F" w14:textId="77777777">
              <w:pPr>
                <w:pStyle w:val="Lijstalinea"/>
                <w:numPr>
                  <w:ilvl w:val="0"/>
                  <w:numId w:val="5"/>
                </w:numPr>
                <w:ind w:hanging="720"/>
                <w:rPr>
                  <w:i/>
                  <w:iCs/>
                </w:rPr>
              </w:pPr>
              <w:r>
                <w:rPr>
                  <w:i/>
                  <w:iCs/>
                </w:rPr>
                <w:t>Draagmoederschap in de praktijk</w:t>
              </w:r>
            </w:p>
            <w:p w:rsidR="00E25919" w:rsidP="00E25919" w:rsidRDefault="00E41AAE" w14:paraId="176236CB" w14:textId="77777777"/>
            <w:p w:rsidRPr="000F6BC8" w:rsidR="00E25919" w:rsidP="00E25919" w:rsidRDefault="00042A08" w14:paraId="2DDCBE6C" w14:textId="77777777">
              <w:pPr>
                <w:rPr>
                  <w:i/>
                  <w:iCs/>
                </w:rPr>
              </w:pPr>
              <w:r>
                <w:rPr>
                  <w:i/>
                  <w:iCs/>
                </w:rPr>
                <w:t>i.</w:t>
              </w:r>
              <w:r>
                <w:rPr>
                  <w:i/>
                  <w:iCs/>
                </w:rPr>
                <w:tab/>
                <w:t>D</w:t>
              </w:r>
              <w:r w:rsidRPr="000F6BC8">
                <w:rPr>
                  <w:i/>
                  <w:iCs/>
                </w:rPr>
                <w:t>raagmoederschap</w:t>
              </w:r>
              <w:r>
                <w:rPr>
                  <w:i/>
                  <w:iCs/>
                </w:rPr>
                <w:t xml:space="preserve"> in Nederland</w:t>
              </w:r>
            </w:p>
            <w:p w:rsidR="00E25919" w:rsidP="00E25919" w:rsidRDefault="00042A08" w14:paraId="08820350" w14:textId="77777777">
              <w:r>
                <w:t>Mede als gevolg van het hiervoor genoemde (ontmoedigings)beleid is draagmoederschap binnen Nederland een vrij beperkt verschijnsel. Er zijn echter geen betrouwbare gegevens over het exacte aantal keren dat draagmoederschap jaarlijks voorkomt. Het centrum voor IVF-draagmoederschap aan het VUmc – het enige instituut in Nederland dat dergelijke trajecten uitvoert – neemt jaarlijks tien paren in behandeling. Daarbij moet in aanmerking worden genomen dat dergelijke behandeltrajecten langdurig zijn en niet in alle gevallen tot de geboorte van een kind leiden. Op het aantal keren dat traditioneel draagmoederschap voorkomt, is minder zicht. Het vermoeden bestaat dat een deel van de draagmoederschapsconstructies buiten het zicht van (overheids)instanties zoals de Raad voor de Kinderbescherming om plaatsvindt.</w:t>
              </w:r>
              <w:r>
                <w:rPr>
                  <w:rStyle w:val="Voetnootmarkering"/>
                </w:rPr>
                <w:footnoteReference w:id="53"/>
              </w:r>
              <w:r>
                <w:t xml:space="preserve"> Naar schatting gaat</w:t>
              </w:r>
              <w:r w:rsidRPr="00720A36">
                <w:t xml:space="preserve"> het </w:t>
              </w:r>
              <w:r>
                <w:t xml:space="preserve">in Nederland </w:t>
              </w:r>
              <w:r w:rsidRPr="00720A36">
                <w:t>om enkele tientallen</w:t>
              </w:r>
              <w:r>
                <w:t xml:space="preserve"> gevallen op jaarbasis.</w:t>
              </w:r>
              <w:r>
                <w:rPr>
                  <w:rStyle w:val="Voetnootmarkering"/>
                </w:rPr>
                <w:footnoteReference w:id="54"/>
              </w:r>
              <w:r>
                <w:t xml:space="preserve"> </w:t>
              </w:r>
            </w:p>
            <w:p w:rsidR="00E25919" w:rsidP="00E25919" w:rsidRDefault="00E41AAE" w14:paraId="7EC5D1E0" w14:textId="77777777"/>
            <w:p w:rsidR="00E25919" w:rsidP="00E25919" w:rsidRDefault="00042A08" w14:paraId="061178F6" w14:textId="77777777">
              <w:r w:rsidRPr="002D5BCF">
                <w:t xml:space="preserve">Door het ontbreken van een </w:t>
              </w:r>
              <w:r>
                <w:t xml:space="preserve">specifieke </w:t>
              </w:r>
              <w:r w:rsidRPr="002D5BCF">
                <w:t>wettelijke regeling voor draagmoederschap</w:t>
              </w:r>
              <w:r>
                <w:t xml:space="preserve">, </w:t>
              </w:r>
              <w:r w:rsidRPr="002D5BCF">
                <w:t xml:space="preserve">bestaat momenteel rechtsonzekerheid na de geboorte van het kind. </w:t>
              </w:r>
              <w:r>
                <w:t>Weliswaar staat bij</w:t>
              </w:r>
              <w:r w:rsidRPr="002D5BCF">
                <w:t xml:space="preserve"> de geboorte </w:t>
              </w:r>
              <w:r>
                <w:t xml:space="preserve">vast </w:t>
              </w:r>
              <w:r w:rsidRPr="002D5BCF">
                <w:t>wie de juridische ouder</w:t>
              </w:r>
              <w:r>
                <w:t>(</w:t>
              </w:r>
              <w:r w:rsidRPr="002D5BCF">
                <w:t>s</w:t>
              </w:r>
              <w:r>
                <w:t>)</w:t>
              </w:r>
              <w:r w:rsidRPr="002D5BCF">
                <w:t xml:space="preserve"> van het kind </w:t>
              </w:r>
              <w:r>
                <w:t xml:space="preserve">is of </w:t>
              </w:r>
              <w:r w:rsidRPr="002D5BCF">
                <w:t xml:space="preserve">zijn, </w:t>
              </w:r>
              <w:r>
                <w:t>maar dat is niet de door de wensouders beoogde situatie. Datzelfde geldt voor de</w:t>
              </w:r>
              <w:r w:rsidRPr="002D5BCF">
                <w:t xml:space="preserve"> geslachtsnaam </w:t>
              </w:r>
              <w:r>
                <w:t xml:space="preserve">van </w:t>
              </w:r>
              <w:r w:rsidRPr="002D5BCF">
                <w:t xml:space="preserve">het kind en in sommige gevallen </w:t>
              </w:r>
              <w:r>
                <w:t>ook voor de</w:t>
              </w:r>
              <w:r w:rsidRPr="002D5BCF">
                <w:t xml:space="preserve"> nationaliteit </w:t>
              </w:r>
              <w:r>
                <w:t xml:space="preserve">van </w:t>
              </w:r>
              <w:r w:rsidRPr="002D5BCF">
                <w:t xml:space="preserve">het kind. </w:t>
              </w:r>
              <w:r>
                <w:t>Die onzekerheid</w:t>
              </w:r>
              <w:r w:rsidRPr="002D5BCF">
                <w:t xml:space="preserve"> maakt ook dat degenen die het kind zullen verzorgen en opvoeden, in de meeste gevallen (nog) niet degenen zijn die de belangrijke beslissingen over het kind </w:t>
              </w:r>
              <w:r>
                <w:t>mogen</w:t>
              </w:r>
              <w:r w:rsidRPr="002D5BCF">
                <w:t xml:space="preserve"> nemen.</w:t>
              </w:r>
              <w:r w:rsidRPr="002D5BCF">
                <w:rPr>
                  <w:rStyle w:val="Voetnootmarkering"/>
                </w:rPr>
                <w:footnoteReference w:id="55"/>
              </w:r>
              <w:r w:rsidRPr="002D5BCF">
                <w:t xml:space="preserve"> </w:t>
              </w:r>
            </w:p>
            <w:p w:rsidR="00E25919" w:rsidP="00E25919" w:rsidRDefault="00E41AAE" w14:paraId="675A2F23" w14:textId="77777777"/>
            <w:p w:rsidRPr="002D5BCF" w:rsidR="00E25919" w:rsidP="00E25919" w:rsidRDefault="00042A08" w14:paraId="09CF2D48" w14:textId="77777777">
              <w:r w:rsidRPr="002D5BCF">
                <w:t>Daarnaast zijn de draagmoeder en de wensouders gedurende het proces sterk afhankelijk van elkaar en van een oordeel van de Raad voor de Kinderbescherming en de rechter. “Als één van de betrokkenen zich terugtrekt of van oordeel is dat het traject niet in het belang van het kind is, zijn de uitkomsten van het traject ongewis”.</w:t>
              </w:r>
              <w:r w:rsidRPr="002D5BCF">
                <w:rPr>
                  <w:rStyle w:val="Voetnootmarkering"/>
                </w:rPr>
                <w:footnoteReference w:id="56"/>
              </w:r>
              <w:r w:rsidRPr="002D5BCF">
                <w:t xml:space="preserve"> Ook het ontbreken van een duidelijke regeling ten aanzien van de aard en hoogte van toegestane vergoedingen aan de draagmoeder, vergroot de kans op oneigenlijke druk of zelfs uitbuiting van de draagmoeder.</w:t>
              </w:r>
              <w:r w:rsidRPr="002D5BCF">
                <w:rPr>
                  <w:rStyle w:val="Voetnootmarkering"/>
                </w:rPr>
                <w:footnoteReference w:id="57"/>
              </w:r>
            </w:p>
            <w:p w:rsidR="00042A08" w:rsidRDefault="00042A08" w14:paraId="6C08D548" w14:textId="7C775E93">
              <w:pPr>
                <w:rPr>
                  <w:i/>
                  <w:iCs/>
                </w:rPr>
              </w:pPr>
              <w:r>
                <w:rPr>
                  <w:i/>
                  <w:iCs/>
                </w:rPr>
                <w:br w:type="page"/>
              </w:r>
            </w:p>
            <w:p w:rsidRPr="000F6BC8" w:rsidR="00E25919" w:rsidP="00E25919" w:rsidRDefault="00042A08" w14:paraId="29EB18DA" w14:textId="77777777">
              <w:pPr>
                <w:rPr>
                  <w:i/>
                  <w:iCs/>
                </w:rPr>
              </w:pPr>
              <w:r>
                <w:rPr>
                  <w:i/>
                  <w:iCs/>
                </w:rPr>
                <w:t>ii.</w:t>
              </w:r>
              <w:r>
                <w:rPr>
                  <w:i/>
                  <w:iCs/>
                </w:rPr>
                <w:tab/>
                <w:t>Draagmoederschap in het buitenland</w:t>
              </w:r>
            </w:p>
            <w:p w:rsidRPr="00627AAF" w:rsidR="00E25919" w:rsidP="00E25919" w:rsidRDefault="00042A08" w14:paraId="3B253A0A" w14:textId="77777777">
              <w:r>
                <w:t xml:space="preserve">Er zijn aanwijzingen dat </w:t>
              </w:r>
              <w:r w:rsidRPr="00912C4D">
                <w:t xml:space="preserve">het gebruik van </w:t>
              </w:r>
              <w:r>
                <w:t>draagmoederschap wereldwijd toeneemt.</w:t>
              </w:r>
              <w:r>
                <w:rPr>
                  <w:rStyle w:val="Voetnootmarkering"/>
                </w:rPr>
                <w:footnoteReference w:id="58"/>
              </w:r>
              <w:r>
                <w:t xml:space="preserve"> Ook wensouders uit Nederland maken in sommige gevallen gebruik van een draagmoeder in het buitenland, bijvoorbeeld in de Verenigde Staten (Californië) of Oekraïne. Wanneer zij met </w:t>
              </w:r>
              <w:r w:rsidRPr="002D5BCF">
                <w:t xml:space="preserve">het kind in Nederland willen wonen, rijst de vraag of het ouderschap dat is ontstaan in het buitenland ook in Nederland wordt erkend. Doordat in sommige landen standaard gebruik wordt gemaakt van anonieme zaadcel- of eiceldonoren, bestaat de kans dat het kind nooit kan achterhalen wie zijn biologische ouders zijn. </w:t>
              </w:r>
              <w:r>
                <w:t>Minimale waarborgen voor de positie van draagmoeder en kind zijn door de Nederlandse rechter niet te controleren. Het komt dan ook voor dat wensouders zich bij de Nederlandse autoriteiten melden met een kind dat volgens het recht van het land van geboorte inmiddels het kind van de wensouders is, zonder dat Nederland bereid is om dit buitenlands juridisch ouderschap te erkennen. Dat kan tot onwenselijke situaties leiden, waarbij in het meest ongunstige geval zelfs staatloosheid voor het kind dreigt</w:t>
              </w:r>
              <w:r w:rsidRPr="002D5BCF">
                <w:t>.</w:t>
              </w:r>
              <w:r w:rsidRPr="002D5BCF">
                <w:rPr>
                  <w:rStyle w:val="Voetnootmarkering"/>
                </w:rPr>
                <w:footnoteReference w:id="59"/>
              </w:r>
              <w:r w:rsidRPr="002D5BCF">
                <w:t xml:space="preserve"> </w:t>
              </w:r>
            </w:p>
            <w:p w:rsidR="00E25919" w:rsidP="00E25919" w:rsidRDefault="00E41AAE" w14:paraId="1E30591E" w14:textId="77777777"/>
            <w:p w:rsidRPr="00780C25" w:rsidR="00E25919" w:rsidP="00E25919" w:rsidRDefault="00042A08" w14:paraId="3FD79250" w14:textId="77777777">
              <w:pPr>
                <w:rPr>
                  <w:i/>
                  <w:iCs/>
                </w:rPr>
              </w:pPr>
              <w:r>
                <w:rPr>
                  <w:i/>
                  <w:iCs/>
                </w:rPr>
                <w:t>e</w:t>
              </w:r>
              <w:r w:rsidRPr="00780C25">
                <w:rPr>
                  <w:i/>
                  <w:iCs/>
                </w:rPr>
                <w:t>.</w:t>
              </w:r>
              <w:r w:rsidRPr="00780C25">
                <w:rPr>
                  <w:i/>
                  <w:iCs/>
                </w:rPr>
                <w:tab/>
              </w:r>
              <w:r>
                <w:rPr>
                  <w:i/>
                  <w:iCs/>
                </w:rPr>
                <w:t>Regulering van draagmoederschap in andere landen</w:t>
              </w:r>
            </w:p>
            <w:p w:rsidRPr="00355F4B" w:rsidR="00E25919" w:rsidP="00E25919" w:rsidRDefault="00042A08" w14:paraId="4C14ECAA" w14:textId="77777777">
              <w:pPr>
                <w:rPr>
                  <w:i/>
                  <w:iCs/>
                </w:rPr>
              </w:pPr>
              <w:r>
                <w:t>In andere landen wordt zeer verschillend omgegaan met draagmoederschap. Uit een rechtsvergelijkend onderzoek van de Staatscommissie Herijking ouderschap blijkt dat er grofweg drie mogelijkheden zijn: draagmoederschap wordt gereguleerd (zoals in het Verenigd Koninkrijk), het wordt verboden (zoals praktisch gezien in Frankrijk het geval is, waar draagmoederschapsovereenkomsten zijn verboden) of regulering ontbreekt (zoals in België).</w:t>
              </w:r>
              <w:r>
                <w:rPr>
                  <w:rStyle w:val="Voetnootmarkering"/>
                </w:rPr>
                <w:footnoteReference w:id="60"/>
              </w:r>
              <w:r>
                <w:t xml:space="preserve"> In de meeste staten die partij zijn bij de Raad van Europa zijn draagmoederschapsconstructies impliciet dan wel expliciet verboden. Negen staten staan draagmoederschapsconstructies toe en tien andere staten gedogen deze constructies.</w:t>
              </w:r>
              <w:r>
                <w:rPr>
                  <w:rStyle w:val="Voetnootmarkering"/>
                </w:rPr>
                <w:footnoteReference w:id="61"/>
              </w:r>
              <w:r>
                <w:t xml:space="preserve"> In landen (wereldwijd) waar draagmoederschap wel is toegestaan, gaat het in de meeste gevallen enkel om altruïstisch draagmoederschap. Een onkostenvergoeding is daarbij mogelijk, maar betaald draagmoederschap </w:t>
              </w:r>
              <w:r w:rsidRPr="00912C4D">
                <w:rPr>
                  <w:i/>
                  <w:iCs/>
                </w:rPr>
                <w:t>an sich</w:t>
              </w:r>
              <w:r>
                <w:t xml:space="preserve"> is dan verboden. In Oekraïne en in de Verenigde Staten (Californië) is commercieel draagmoederschap (inclusief bemiddeling) echter wel toegestaan.</w:t>
              </w:r>
            </w:p>
            <w:p w:rsidR="00E25919" w:rsidP="00E25919" w:rsidRDefault="00E41AAE" w14:paraId="59C81B49" w14:textId="77777777"/>
            <w:p w:rsidR="00E25919" w:rsidP="00E25919" w:rsidRDefault="00042A08" w14:paraId="6CCB9E14" w14:textId="77777777">
              <w:pPr>
                <w:rPr>
                  <w:i/>
                  <w:iCs/>
                </w:rPr>
              </w:pPr>
              <w:r>
                <w:t xml:space="preserve">In enkele landen (Griekenland, de Verenigde Staten (Californië) en het Verenigd Koninkrijk) bestaan ook regelingen waarbij voorafgaand, gedurende, ofwel na het draagmoederschapstraject toestemming kan worden verkregen van de rechter om het ouderschap van de wensouders na de geboorte te laten ontstaan. Rechters in die landen toetsen aan voorwaarden die vergelijkbaar zijn met de voorwaarden die in het voorstel zijn opgenomen, maar er bestaan ook verschillen. In Californië, bijvoorbeeld, is een genetische band tussen de wensouder(s) en het kind niet vereist en ook hoeven de wensouders hun gewone verblijfplaats niet in Californië te hebben. In het Verenigd Koninkrijk kan via een </w:t>
              </w:r>
              <w:r w:rsidRPr="00912C4D">
                <w:rPr>
                  <w:i/>
                  <w:iCs/>
                </w:rPr>
                <w:t>parental order</w:t>
              </w:r>
              <w:r>
                <w:t xml:space="preserve"> het ouderschap overgaan op de wensouders. De rechter beoordeelt dan onder meer of toewijzing in het belang van het kind is. Vereist is dat de draagmoeder instemming verleent, maar dat kan zij pas doen zes weken na de geboorte. Er wordt in dat geval een nieuwe geboorteakte opgemaakt. Voor het specifieke geval dat de eicellen van de draagmoeder zijn gebruikt voor de conceptie van het kind, bestaat in Griekenland de mogelijkheid voor de wensmoeder en de draagmoeder om zes maanden na de geboorte van het kind het juridisch ouderschap te laten aanpassen. </w:t>
              </w:r>
            </w:p>
            <w:p w:rsidRPr="00A158B1" w:rsidR="00E25919" w:rsidP="00E25919" w:rsidRDefault="00E41AAE" w14:paraId="5A7C47F2" w14:textId="77777777">
              <w:pPr>
                <w:rPr>
                  <w:i/>
                  <w:iCs/>
                </w:rPr>
              </w:pPr>
            </w:p>
            <w:p w:rsidRPr="00A26BBC" w:rsidR="00E25919" w:rsidP="00E25919" w:rsidRDefault="00042A08" w14:paraId="6CE0F14B" w14:textId="77777777">
              <w:pPr>
                <w:pStyle w:val="Lijstalinea"/>
                <w:numPr>
                  <w:ilvl w:val="0"/>
                  <w:numId w:val="20"/>
                </w:numPr>
                <w:ind w:hanging="720"/>
                <w:rPr>
                  <w:i/>
                  <w:iCs/>
                </w:rPr>
              </w:pPr>
              <w:r w:rsidRPr="00A26BBC">
                <w:rPr>
                  <w:i/>
                  <w:iCs/>
                </w:rPr>
                <w:t>Aanleiding wetsvoorstel</w:t>
              </w:r>
            </w:p>
            <w:p w:rsidRPr="005D5767" w:rsidR="00E25919" w:rsidP="00E25919" w:rsidRDefault="00042A08" w14:paraId="0C95B70C" w14:textId="77777777">
              <w:pPr>
                <w:autoSpaceDE w:val="0"/>
                <w:autoSpaceDN w:val="0"/>
                <w:adjustRightInd w:val="0"/>
                <w:rPr>
                  <w:color w:val="0070C0"/>
                </w:rPr>
              </w:pPr>
              <w:r>
                <w:t>Uit de toelichting blijkt dat het wetsvoorstel beoogt invulling te geven aan enkele aanbevelingen uit het rapport ‘Kind en ouders in de 21</w:t>
              </w:r>
              <w:r w:rsidRPr="00912C4D">
                <w:rPr>
                  <w:vertAlign w:val="superscript"/>
                </w:rPr>
                <w:t>e</w:t>
              </w:r>
              <w:r>
                <w:t xml:space="preserve"> eeuw’ van de Staatscommissie Herijking ouderschap. </w:t>
              </w:r>
            </w:p>
            <w:p w:rsidR="00E25919" w:rsidP="00E25919" w:rsidRDefault="00E41AAE" w14:paraId="669BF0F1" w14:textId="77777777">
              <w:pPr>
                <w:autoSpaceDE w:val="0"/>
                <w:autoSpaceDN w:val="0"/>
                <w:adjustRightInd w:val="0"/>
              </w:pPr>
            </w:p>
            <w:p w:rsidR="00E25919" w:rsidP="00E25919" w:rsidRDefault="00042A08" w14:paraId="0777467D" w14:textId="77777777">
              <w:pPr>
                <w:autoSpaceDE w:val="0"/>
                <w:autoSpaceDN w:val="0"/>
                <w:adjustRightInd w:val="0"/>
              </w:pPr>
              <w:r>
                <w:t>Hoewel draagmoederschap in Nederland vooralsnog een vrij beperkt verschijnsel lijkt te zijn, acht de Staatscommissie het wenselijk om hiervoor onder strikte voorwaarden een wettelijke regeling in te richten. Door het ontbreken van een wettelijke regeling is er momenteel nauwelijks toezicht op de uitvoering van draagmoederschappen, zo stelt de Staatscommissie. Alleen bij IVF-draagmoederschap wordt het proces binnen Nederland op dit moment gegarandeerd zorgvuldig begeleid. Het gebrek aan toezicht acht de Staatscommissie problematisch gelet op de kwetsbare positie waarin de direct betrokkenen – het kind, de draagmoeder en de wensouders – zich bevinden. Een duidelijke wettelijke regeling zou volgens de Staatscommissie waarborgen en houvast bieden. Met het inrichten van een zorgvuldige binnenlandse regeling zou bovendien een alternatief kunnen worden geboden voor buitenlands draagmoederschap. Dat zijn voor de Staatscommissie de voornaamste redenen om te adviseren om te komen tot een wettelijke regeling voor zowel nationaal als internationaal draagmoederschap.</w:t>
              </w:r>
              <w:r>
                <w:rPr>
                  <w:rStyle w:val="Voetnootmarkering"/>
                </w:rPr>
                <w:footnoteReference w:id="62"/>
              </w:r>
              <w:r>
                <w:t xml:space="preserve"> </w:t>
              </w:r>
            </w:p>
            <w:p w:rsidR="00E25919" w:rsidP="00E25919" w:rsidRDefault="00E41AAE" w14:paraId="05D7E355" w14:textId="77777777">
              <w:pPr>
                <w:autoSpaceDE w:val="0"/>
                <w:autoSpaceDN w:val="0"/>
                <w:adjustRightInd w:val="0"/>
              </w:pPr>
            </w:p>
            <w:p w:rsidR="00E25919" w:rsidP="00E25919" w:rsidRDefault="00042A08" w14:paraId="4638F704" w14:textId="77777777">
              <w:r>
                <w:t>Het kabinet heeft de Tweede Kamer bij brief van 12 juli 2019 geïnformeerd over de wens om te komen tot een regeling die onder meer ziet op draagmoederschap en de registratie van gegevens over de ontstaansgeschiedenis.</w:t>
              </w:r>
              <w:r>
                <w:rPr>
                  <w:rStyle w:val="Voetnootmarkering"/>
                </w:rPr>
                <w:footnoteReference w:id="63"/>
              </w:r>
              <w:r>
                <w:t xml:space="preserve"> Dit wetsvoorstel vormt de uitwerking van die voornemens. </w:t>
              </w:r>
              <w:r w:rsidRPr="007225C9">
                <w:t>Ook de</w:t>
              </w:r>
              <w:r>
                <w:t xml:space="preserve"> andere regelingen</w:t>
              </w:r>
              <w:r w:rsidRPr="007225C9">
                <w:t xml:space="preserve"> die </w:t>
              </w:r>
              <w:r>
                <w:t xml:space="preserve">in dit voorstel zijn opgenomen en </w:t>
              </w:r>
              <w:r w:rsidRPr="007225C9">
                <w:t>betrekking hebben op afstammingsinformatie en ouderschap in meer algemene zin</w:t>
              </w:r>
              <w:r>
                <w:t>, vloeien voort uit de aanbevelingen van de Staatscommissie</w:t>
              </w:r>
              <w:r w:rsidRPr="007225C9">
                <w:t>.</w:t>
              </w:r>
            </w:p>
            <w:p w:rsidR="00E25919" w:rsidP="00E25919" w:rsidRDefault="00E41AAE" w14:paraId="126924B4" w14:textId="77777777">
              <w:pPr>
                <w:rPr>
                  <w:u w:val="single"/>
                </w:rPr>
              </w:pPr>
            </w:p>
            <w:p w:rsidR="00E25919" w:rsidP="00E25919" w:rsidRDefault="00042A08" w14:paraId="66B1D578" w14:textId="77777777">
              <w:pPr>
                <w:rPr>
                  <w:u w:val="single"/>
                </w:rPr>
              </w:pPr>
              <w:r>
                <w:rPr>
                  <w:u w:val="single"/>
                </w:rPr>
                <w:t>DEEL II - BEOORDELING VAN HET WETSVOORSTEL</w:t>
              </w:r>
            </w:p>
            <w:p w:rsidRPr="00535401" w:rsidR="00E25919" w:rsidP="00E25919" w:rsidRDefault="00E41AAE" w14:paraId="4F5752C1" w14:textId="77777777">
              <w:pPr>
                <w:rPr>
                  <w:u w:val="single"/>
                </w:rPr>
              </w:pPr>
            </w:p>
            <w:p w:rsidRPr="00944FFA" w:rsidR="00E25919" w:rsidP="00E25919" w:rsidRDefault="00042A08" w14:paraId="640EA11C" w14:textId="77777777">
              <w:r>
                <w:t xml:space="preserve">De Afdeling gaat nu over tot een beoordeling van het wetsvoorstel. Tegen de achtergrond van het voorgaande maakt de Afdeling de volgende opmerkingen. </w:t>
              </w:r>
            </w:p>
            <w:p w:rsidR="00E25919" w:rsidP="00E25919" w:rsidRDefault="00E41AAE" w14:paraId="204797B3" w14:textId="77777777"/>
            <w:p w:rsidRPr="003717E8" w:rsidR="00E25919" w:rsidP="00E25919" w:rsidRDefault="00042A08" w14:paraId="75937069" w14:textId="77777777">
              <w:pPr>
                <w:pStyle w:val="Lijstalinea"/>
                <w:ind w:left="0"/>
                <w:rPr>
                  <w:u w:val="single"/>
                </w:rPr>
              </w:pPr>
              <w:r w:rsidRPr="003717E8">
                <w:t>3.</w:t>
              </w:r>
              <w:r w:rsidRPr="003717E8">
                <w:tab/>
              </w:r>
              <w:r w:rsidRPr="003717E8">
                <w:rPr>
                  <w:u w:val="single"/>
                </w:rPr>
                <w:t>Reikwijdte van het voorstel</w:t>
              </w:r>
            </w:p>
            <w:p w:rsidR="00E25919" w:rsidP="00E25919" w:rsidRDefault="00E41AAE" w14:paraId="344C69CD" w14:textId="77777777"/>
            <w:p w:rsidR="00E25919" w:rsidP="00E25919" w:rsidRDefault="00042A08" w14:paraId="7283A879" w14:textId="77777777">
              <w:r>
                <w:t xml:space="preserve">Het voorstel beoogt primair een regeling te treffen voor draagmoederschap maar omvat ook enkele andere onderwerpen. Het regelt naast draagmoederschap een versterking van het recht op afstammingsinformatie, een verruiming van de mogelijkheden tot beëindiging van het ouderschap, het vervallen van de termijnen voor de ontkenning van het ouderschap en de vernietiging van de erkenning, en een versterking van de bescherming van minderjarige ouders. </w:t>
              </w:r>
            </w:p>
            <w:p w:rsidR="00E25919" w:rsidP="00E25919" w:rsidRDefault="00E41AAE" w14:paraId="3FE32357" w14:textId="77777777"/>
            <w:p w:rsidR="00E25919" w:rsidP="00E25919" w:rsidRDefault="00042A08" w14:paraId="07CFA457" w14:textId="77777777">
              <w:r>
                <w:t>Vanwege</w:t>
              </w:r>
              <w:r w:rsidRPr="005801CC">
                <w:t xml:space="preserve"> de </w:t>
              </w:r>
              <w:r>
                <w:t xml:space="preserve">omvang evenals de </w:t>
              </w:r>
              <w:r w:rsidRPr="005801CC">
                <w:t xml:space="preserve">aard </w:t>
              </w:r>
              <w:r>
                <w:t xml:space="preserve">en complexiteit </w:t>
              </w:r>
              <w:r w:rsidRPr="005801CC">
                <w:t>van de materie,</w:t>
              </w:r>
              <w:r>
                <w:t xml:space="preserve"> rechtvaardigt de regulering van draagmoederschap een afzonderlijk wetsvoorstel.</w:t>
              </w:r>
              <w:r w:rsidRPr="005801CC">
                <w:rPr>
                  <w:vertAlign w:val="superscript"/>
                </w:rPr>
                <w:footnoteReference w:id="64"/>
              </w:r>
              <w:r w:rsidRPr="005801CC">
                <w:t xml:space="preserve"> </w:t>
              </w:r>
              <w:r>
                <w:t>Dat klemt te meer nu de samenhang tussen deze regeling en de andere onderdelen van het voorstel onduidelijk blijft.</w:t>
              </w:r>
              <w:r>
                <w:rPr>
                  <w:rStyle w:val="Voetnootmarkering"/>
                </w:rPr>
                <w:footnoteReference w:id="65"/>
              </w:r>
              <w:r>
                <w:t xml:space="preserve"> Bovendien zijn de genoemde regelingen op belangrijke onderdelen onvoldoende uitgewerkt, zoals de Afdeling hierna zal uiteenzetten (</w:t>
              </w:r>
              <w:r w:rsidRPr="00F90D13">
                <w:t>zie punten 7 t/m 10</w:t>
              </w:r>
              <w:r>
                <w:t>). Deze dienen daarom in een afzonderlijk wetsvoorstel te worden uitgewerkt. Zo kan een goede parlementaire behandeling van de verschillende onderdelen beter worden gewaarborgd en belasten de andere regelingen het voorstel tot regulering van draagmoederschap niet.</w:t>
              </w:r>
            </w:p>
            <w:p w:rsidR="00E25919" w:rsidP="00E25919" w:rsidRDefault="00042A08" w14:paraId="43E04804" w14:textId="77777777">
              <w:r>
                <w:t xml:space="preserve"> </w:t>
              </w:r>
            </w:p>
            <w:p w:rsidR="00B32651" w:rsidRDefault="00042A08" w14:paraId="0533AA99" w14:textId="25B78ACF">
              <w:pPr>
                <w:contextualSpacing/>
              </w:pPr>
              <w:r>
                <w:t>De Afdeling adviseert om, in het belang van wetgevingskwaliteit, de andere regelingen af te splitsen van het voorstel tot regulering van draagmoederschap.</w:t>
              </w:r>
              <w:r>
                <w:rPr>
                  <w:rStyle w:val="Voetnootmarkering"/>
                </w:rPr>
                <w:footnoteReference w:id="66"/>
              </w:r>
              <w:r>
                <w:t xml:space="preserve"> Evenwel wijdt de Afdeling in dit advies diverse inhoudelijke adviesopmerkingen aan de genoemde andere regelingen die van belang zijn bij de nadere uitwerking van en toelichting op die regelingen. </w:t>
              </w:r>
              <w:r w:rsidRPr="001640D1">
                <w:t xml:space="preserve">Ook </w:t>
              </w:r>
              <w:r>
                <w:t>wanneer deze regelingen worden afgesplitst en in afzonderlijke wetsvoorstellen nader worden uitgewerkt, ziet de Afdeling een reactie op die punten graag tegemoet</w:t>
              </w:r>
              <w:r w:rsidRPr="001640D1">
                <w:t>.</w:t>
              </w:r>
              <w:r>
                <w:rPr>
                  <w:rStyle w:val="Voetnootmarkering"/>
                </w:rPr>
                <w:footnoteReference w:id="67"/>
              </w:r>
            </w:p>
            <w:p w:rsidR="00042A08" w:rsidRDefault="00042A08" w14:paraId="0D54FE1F" w14:textId="77777777">
              <w:pPr>
                <w:contextualSpacing/>
              </w:pPr>
            </w:p>
            <w:p w:rsidR="00E25919" w:rsidP="00E25919" w:rsidRDefault="00042A08" w14:paraId="2A24507A" w14:textId="77777777">
              <w:r>
                <w:t>4.</w:t>
              </w:r>
              <w:r>
                <w:tab/>
              </w:r>
              <w:r w:rsidRPr="00535401">
                <w:rPr>
                  <w:u w:val="single"/>
                </w:rPr>
                <w:t>Probleemanalyse</w:t>
              </w:r>
            </w:p>
            <w:p w:rsidR="00E25919" w:rsidP="00E25919" w:rsidRDefault="00E41AAE" w14:paraId="4E302831" w14:textId="77777777"/>
            <w:p w:rsidR="00E25919" w:rsidP="00E25919" w:rsidRDefault="00042A08" w14:paraId="2882D1C5" w14:textId="77777777">
              <w:r>
                <w:t xml:space="preserve">Tegen de achtergrond van hetgeen hiervoor </w:t>
              </w:r>
              <w:r w:rsidRPr="00A26BBC">
                <w:t xml:space="preserve">in </w:t>
              </w:r>
              <w:r w:rsidRPr="00F90D13">
                <w:t xml:space="preserve">punt 2b </w:t>
              </w:r>
              <w:r>
                <w:t>is uiteengezet, vormt de voorgestelde regeling ten aanzien van draagmoederschap een belangrijke omslag in het Nederlandse (wetgevings)beleid. Waar opeenvolgende kabinetten er de afgelopen 30 jaar bewust voor kozen geen specifieke wettelijke regeling voor draagmoederschap te creëren en deze keuze gesteund werd door het parlement, beoogt het voorliggende wetsvoorstel een dergelijke regeling nu wel in te richten. Het kabinet volgt daarmee de aanbeveling van de Staatscommissie Herijking ouderschap op.</w:t>
              </w:r>
              <w:r>
                <w:rPr>
                  <w:rStyle w:val="Voetnootmarkering"/>
                </w:rPr>
                <w:footnoteReference w:id="68"/>
              </w:r>
              <w:r>
                <w:t xml:space="preserve"> </w:t>
              </w:r>
            </w:p>
            <w:p w:rsidR="00E25919" w:rsidP="00E25919" w:rsidRDefault="00E41AAE" w14:paraId="3DB6309C" w14:textId="77777777">
              <w:pPr>
                <w:pStyle w:val="Lijstalinea"/>
                <w:ind w:left="1080"/>
              </w:pPr>
            </w:p>
            <w:p w:rsidR="00E25919" w:rsidP="00E25919" w:rsidRDefault="00042A08" w14:paraId="11739370" w14:textId="77777777">
              <w:r>
                <w:t>Het kabinet acht het voor de bescherming van de betrokken kinderen en in het belang van de andere betrokkenen noodzakelijk om het (familie)recht zo goed mogelijk te laten aansluiten op de maatschappelijke werkelijkheid.</w:t>
              </w:r>
              <w:r>
                <w:rPr>
                  <w:rStyle w:val="Voetnootmarkering"/>
                </w:rPr>
                <w:footnoteReference w:id="69"/>
              </w:r>
              <w:r>
                <w:t xml:space="preserve"> Blijkens de toelichting is het doel van de voorgestelde regelingen dan ook het bieden van een betere bescherming van het kind, de draagmoeder en de wensouders. Hoewel niet wordt beoogd om draagmoederschap </w:t>
              </w:r>
              <w:r w:rsidRPr="00D02621">
                <w:rPr>
                  <w:i/>
                  <w:iCs/>
                </w:rPr>
                <w:t>an sich</w:t>
              </w:r>
              <w:r>
                <w:t xml:space="preserve"> te bevorderen of te ontmoedigen, beoogt de regeling wel om wensouders te stimuleren gebruik te maken van het met waarborgen omkleed draagmoederschap in Nederland. Erkend wordt evenwel dat de vraag naar buitenlands draagmoederschap waarschijnlijk zal blijven.</w:t>
              </w:r>
              <w:r>
                <w:rPr>
                  <w:rStyle w:val="Voetnootmarkering"/>
                </w:rPr>
                <w:footnoteReference w:id="70"/>
              </w:r>
            </w:p>
            <w:p w:rsidR="00E25919" w:rsidP="00E25919" w:rsidRDefault="00E41AAE" w14:paraId="19EBDD19" w14:textId="77777777"/>
            <w:p w:rsidR="00E25919" w:rsidP="00E25919" w:rsidRDefault="00042A08" w14:paraId="088DBE69" w14:textId="77777777">
              <w:r>
                <w:t>Volgens de toelichting is de inschatting op basis van signalen uit de praktijk dat in Nederland slechts enkele tientallen keren per jaar gebruik wordt gemaakt van (binnenlandse en buitenlandse) draagmoederschapsconstructies. Betrouwbare gegevens in dit verband ontbreken echter, zo stelt de toelichting, omdat er op dit moment voor wensouders niet één standaardroute naar ouderschap bestaat.</w:t>
              </w:r>
              <w:r>
                <w:rPr>
                  <w:rStyle w:val="Voetnootmarkering"/>
                </w:rPr>
                <w:footnoteReference w:id="71"/>
              </w:r>
              <w:r>
                <w:t xml:space="preserve"> De toelichting wijst vervolgens terecht op de (mogelijke) rechtsonzekerheid en risico’s die de huidige praktijk van draagmoederschap met zich brengt.</w:t>
              </w:r>
              <w:r>
                <w:rPr>
                  <w:rStyle w:val="Voetnootmarkering"/>
                </w:rPr>
                <w:footnoteReference w:id="72"/>
              </w:r>
              <w:r>
                <w:t xml:space="preserve"> Mede door het gebrek aan inzicht in bovengenoemde gegevens, blijft echter onduidelijk in hoeverre en daarnaast welke juridische en maatschappelijke problemen zich precies in de praktijk manifesteren. </w:t>
              </w:r>
            </w:p>
            <w:p w:rsidR="00E25919" w:rsidP="00E25919" w:rsidRDefault="00E41AAE" w14:paraId="40CE69B5" w14:textId="77777777"/>
            <w:p w:rsidR="00E25919" w:rsidP="00E25919" w:rsidRDefault="00042A08" w14:paraId="49BA1AFF" w14:textId="77777777">
              <w:r>
                <w:t xml:space="preserve">Evenals het kabinet acht de Afdeling het van belang dat de voorgestelde regeling op zorgvuldige wijze aansluit bij de maatschappelijke werkelijkheid. De toelichting dient om die reden wel beter inzicht te bieden in die werkelijkheid, met inbegrip van de risico’s die zich met een wettelijke regeling als voorgesteld kunnen blijven voordoen en de mogelijke (neven)effecten van deze regeling. Daarbij valt bijvoorbeeld te denken aan de aanzuigende werking die het voorstel in zijn huidige vorm zou kunnen veroorzaken. De toelichting gaat op de mogelijke gevolgen en risico’s echter niet in. De Staatscommissie herijking ouderschap is hierop evenmin ingegaan. Voor de te maken afwegingen in dit verband is een compleet beeld van de maatschappelijke werkelijkheid in dit opzicht van groot belang. </w:t>
              </w:r>
            </w:p>
            <w:p w:rsidR="00E25919" w:rsidP="00E25919" w:rsidRDefault="00E41AAE" w14:paraId="03AA851A" w14:textId="77777777"/>
            <w:p w:rsidR="00E25919" w:rsidP="00E25919" w:rsidRDefault="00042A08" w14:paraId="3FC0EF77" w14:textId="77777777">
              <w:r>
                <w:t>In dit verband merkt de Afdeling ook op dat de toelichting tevens aandacht dient te besteden aan het rapport van de Commissie Onderzoek interlandelijke adoptie. Daarin wordt er onder meer voor gepleit de lessen uit het onderzoek naar de adoptiemisstanden ook in de context van draagmoederschap ter harte te nemen.</w:t>
              </w:r>
              <w:r>
                <w:rPr>
                  <w:rStyle w:val="Voetnootmarkering"/>
                </w:rPr>
                <w:footnoteReference w:id="73"/>
              </w:r>
              <w:r>
                <w:t xml:space="preserve"> De bevindingen en aanbevelingen van de Commissie plaatsen de voorgestelde regeling voor draagmoederschap in een ander perspectief.</w:t>
              </w:r>
              <w:r>
                <w:rPr>
                  <w:rStyle w:val="Voetnootmarkering"/>
                </w:rPr>
                <w:footnoteReference w:id="74"/>
              </w:r>
              <w:r>
                <w:t xml:space="preserve"> Dat is in het bijzonder relevant nu het kabinet naar aanleiding van het rapport heeft besloten interlandelijke adopties op te schorten. Een dragende motivering voor een complexe en ingrijpende regeling als deze, waarin aandacht uitgaat naar de risico’s op mogelijke misstanden, klemt in dat verband temeer.</w:t>
              </w:r>
            </w:p>
            <w:p w:rsidR="00E25919" w:rsidP="00E25919" w:rsidRDefault="00E41AAE" w14:paraId="67AF8AD6" w14:textId="77777777"/>
            <w:p w:rsidR="00E25919" w:rsidP="00E25919" w:rsidRDefault="00042A08" w14:paraId="546E0F14" w14:textId="77777777">
              <w:r>
                <w:t>Gelet op het voorgaande adviseert de Afdeling in de toelichting een duidelijk en volledig beeld te schetsen van de aard en omvang van de juridische en maatschappelijke problematiek ten aanzien van draagmoederschap, evenals de mogelijke (voortdurende) risico’s en (neven)effecten van de voorgestelde regeling.</w:t>
              </w:r>
              <w:r>
                <w:rPr>
                  <w:rStyle w:val="Voetnootmarkering"/>
                </w:rPr>
                <w:footnoteReference w:id="75"/>
              </w:r>
              <w:r>
                <w:t xml:space="preserve"> In dat verband verdient de verhouding van dit voorstel tot het rapport van de Commissie Onderzoek interlandelijke adoptie bijzondere aandacht. </w:t>
              </w:r>
            </w:p>
            <w:p w:rsidRPr="0014170B" w:rsidR="00E25919" w:rsidP="00E25919" w:rsidRDefault="00E41AAE" w14:paraId="1D455C37" w14:textId="77777777">
              <w:pPr>
                <w:rPr>
                  <w:color w:val="0070C0"/>
                </w:rPr>
              </w:pPr>
            </w:p>
            <w:p w:rsidRPr="00535401" w:rsidR="00E25919" w:rsidP="00E25919" w:rsidRDefault="00042A08" w14:paraId="08EF7DAE" w14:textId="77777777">
              <w:pPr>
                <w:pStyle w:val="Lijstalinea"/>
                <w:numPr>
                  <w:ilvl w:val="0"/>
                  <w:numId w:val="37"/>
                </w:numPr>
                <w:ind w:hanging="720"/>
                <w:rPr>
                  <w:u w:val="single"/>
                </w:rPr>
              </w:pPr>
              <w:r w:rsidRPr="00535401">
                <w:rPr>
                  <w:u w:val="single"/>
                </w:rPr>
                <w:t>Internationaal</w:t>
              </w:r>
              <w:r>
                <w:rPr>
                  <w:u w:val="single"/>
                </w:rPr>
                <w:t>-</w:t>
              </w:r>
              <w:r w:rsidRPr="00535401">
                <w:rPr>
                  <w:u w:val="single"/>
                </w:rPr>
                <w:t xml:space="preserve"> en Europeesrechtelijke aspecten </w:t>
              </w:r>
            </w:p>
            <w:p w:rsidR="00E25919" w:rsidP="00E25919" w:rsidRDefault="00E41AAE" w14:paraId="66B52B90" w14:textId="77777777">
              <w:pPr>
                <w:rPr>
                  <w:i/>
                  <w:iCs/>
                </w:rPr>
              </w:pPr>
            </w:p>
            <w:p w:rsidRPr="000B7F85" w:rsidR="00E25919" w:rsidP="00E25919" w:rsidRDefault="00042A08" w14:paraId="4F552BB9" w14:textId="77777777">
              <w:pPr>
                <w:pStyle w:val="Lijstalinea"/>
                <w:numPr>
                  <w:ilvl w:val="0"/>
                  <w:numId w:val="38"/>
                </w:numPr>
                <w:ind w:hanging="720"/>
                <w:rPr>
                  <w:i/>
                  <w:iCs/>
                </w:rPr>
              </w:pPr>
              <w:r w:rsidRPr="000B7F85">
                <w:rPr>
                  <w:i/>
                  <w:iCs/>
                </w:rPr>
                <w:t>Grondrechtelijke aspecten</w:t>
              </w:r>
            </w:p>
            <w:p w:rsidR="00E25919" w:rsidP="00E25919" w:rsidRDefault="00042A08" w14:paraId="117B2E14" w14:textId="77777777">
              <w:r>
                <w:t xml:space="preserve">In de context van draagmoederschap spelen diverse rechten en belangen van het kind, de draagmoeder en de wensouders. Deze zijn ten dele in de rechtspraak van het EHRM naar voren gebracht (zie hierover </w:t>
              </w:r>
              <w:r w:rsidRPr="00F90D13">
                <w:t>punt 2c, onder ii</w:t>
              </w:r>
              <w:r>
                <w:t>). In de toelichting zouden met het oog op de te verrichten afwegingen de grondrechtelijke posities van de verschillende actoren zorgvuldig in kaart moeten worden gebracht. Onder meer moet duidelijk worden in welke situaties nu precies sprake is van een beschermwaardig privéleven of familie- en gezinsleven van de draagmoeder of wensouder(s), die genetisch verwant kunnen zijn aan het kind. Een voldoende diepgaande grondrechtelijke analyse ontbreekt echter. De toelichting gaat alleen op hoofdlijnen in op de grondrechtelijke aspecten die in het algemeen zijn verbonden aan draagmoederschap.</w:t>
              </w:r>
              <w:r>
                <w:rPr>
                  <w:rStyle w:val="Voetnootmarkering"/>
                </w:rPr>
                <w:footnoteReference w:id="76"/>
              </w:r>
              <w:r>
                <w:t xml:space="preserve"> </w:t>
              </w:r>
            </w:p>
            <w:p w:rsidR="00E25919" w:rsidP="00E25919" w:rsidRDefault="00E41AAE" w14:paraId="3DA36EE3" w14:textId="77777777"/>
            <w:p w:rsidR="00E25919" w:rsidP="00E25919" w:rsidRDefault="00042A08" w14:paraId="41E1C817" w14:textId="77777777">
              <w:r>
                <w:t xml:space="preserve">De rechten en belangen van het kind, de draagmoeder en de wensouders kunnen met elkaar conflicteren. In een wettelijke regeling moeten deze daarom met elkaar in evenwicht worden gebracht. Dit wordt weliswaar onderkend door de toelichting, maar niet wordt inzichtelijk gemaakt welke conflicten zich precies kunnen voordoen bij de voorgestelde regelingen, welke concrete afwegingen daarbij zijn gemaakt, en welke algemene belangen daarbij zijn meegewogen. Deze analyse zou echter wel voor elk van de afzonderlijke regelingen van het voorstel moeten worden gemaakt. Het gaat achtereenvolgens om de </w:t>
              </w:r>
              <w:r w:rsidRPr="004F29DF">
                <w:t>regelingen aangaande de gerechtelijke procedure voor de toekenning van ouderschap na draagmoederschap in het binnenland, de vereenvoudigde erkenning van buitenlandse beslissingen na draagmoederschap in het buitenland, de eisen aan draagmoederschapsovereenkomsten, en de mogelijkheden voor herroeping van de gerechtelijke toekenning van ouderschap</w:t>
              </w:r>
              <w:r>
                <w:t>.</w:t>
              </w:r>
            </w:p>
            <w:p w:rsidR="00E25919" w:rsidP="00E25919" w:rsidRDefault="00E41AAE" w14:paraId="0DC5FB17" w14:textId="77777777"/>
            <w:p w:rsidR="00E25919" w:rsidP="00E25919" w:rsidRDefault="00042A08" w14:paraId="7F3E67EF" w14:textId="77777777">
              <w:r>
                <w:t xml:space="preserve">Ten gevolge van het ontbreken van de hiervoor genoemde analyse doet zich vervolgens de vraag voor of de verschillende regelingen mede in het licht van de rechtspraak van het EHRM wel voldoende rekening houden met de rechten en belangen van respectievelijk het kind, de draagmoeder en de wensouders. De Afdeling gaat hier in de context van enkele specifieke regelingen nader op in (zie </w:t>
              </w:r>
              <w:r w:rsidRPr="00F90D13">
                <w:t>punt 6a</w:t>
              </w:r>
              <w:r>
                <w:t>).</w:t>
              </w:r>
            </w:p>
            <w:p w:rsidR="00E25919" w:rsidP="00E25919" w:rsidRDefault="00E41AAE" w14:paraId="18264013" w14:textId="77777777"/>
            <w:p w:rsidR="00E25919" w:rsidP="00E25919" w:rsidRDefault="00042A08" w14:paraId="0E74E34F" w14:textId="77777777">
              <w:r>
                <w:t>De Afdeling adviseert, gelet op het voorgaande, om in de toelichting bij de afzonderlijke regelingen aangaande draagmoederschap de grondrechtelijke posities van de betrokken actoren bij draagmoederschap meer systematisch in kaart te brengen, aandacht te besteden aan de conflicten die zich tussen de verschillende rechten en belangen kunnen voordoen, en gelet daarop in te gaan op de afwegingen die bij de wettelijke vormgeving van deze regelingen zijn gemaakt.</w:t>
              </w:r>
            </w:p>
            <w:p w:rsidR="00E25919" w:rsidP="00E25919" w:rsidRDefault="00E41AAE" w14:paraId="35410F56" w14:textId="77777777"/>
            <w:p w:rsidRPr="000B7F85" w:rsidR="00E25919" w:rsidP="00E25919" w:rsidRDefault="00042A08" w14:paraId="1BF63494" w14:textId="77777777">
              <w:pPr>
                <w:pStyle w:val="Lijstalinea"/>
                <w:numPr>
                  <w:ilvl w:val="0"/>
                  <w:numId w:val="38"/>
                </w:numPr>
                <w:ind w:hanging="720"/>
                <w:rPr>
                  <w:i/>
                  <w:iCs/>
                </w:rPr>
              </w:pPr>
              <w:r w:rsidRPr="000B7F85">
                <w:rPr>
                  <w:i/>
                  <w:iCs/>
                </w:rPr>
                <w:t xml:space="preserve">Verhouding tot het Unierecht </w:t>
              </w:r>
            </w:p>
            <w:p w:rsidR="00663757" w:rsidP="00663757" w:rsidRDefault="00042A08" w14:paraId="4F4BDF8A" w14:textId="77777777">
              <w:r>
                <w:t>In opdracht van de Staatscommissie Herijking ouderschap is onderzoek gedaan naar de vraag of de kring van personen die gebruik kan maken van een draagmoederschapsregeling wettelijk beperkt kan worden om draagmoederschapstoerisme te voorkomen, gelet onder meer op het vrij verkeer van diensten. Ook de Adviescommissie Vreemdelingenzaken (ACVZ) heeft onderzocht op welke wijze het vreemdelingenrecht eraan kan bijdragen dat Nederland geen ‘bestemmingsland’ wordt voor internationaal draagmoederschap.</w:t>
              </w:r>
              <w:r>
                <w:rPr>
                  <w:rStyle w:val="Voetnootmarkering"/>
                </w:rPr>
                <w:footnoteReference w:id="77"/>
              </w:r>
              <w:r>
                <w:t xml:space="preserve"> </w:t>
              </w:r>
            </w:p>
            <w:p w:rsidR="00663757" w:rsidP="00663757" w:rsidRDefault="00E41AAE" w14:paraId="2CCB9FCE" w14:textId="77777777"/>
            <w:p w:rsidR="00663757" w:rsidP="00663757" w:rsidRDefault="00042A08" w14:paraId="1ABE602E" w14:textId="77777777">
              <w:r>
                <w:t xml:space="preserve">In die onderzoeken is geconcludeerd dat het vrij verkeer van diensten van toepassing kan zijn op draagmoederschap, tenzij strenge regelgeving wordt aangenomen over de toegestane vergoeding aan de draagmoeder en daarmee geen sprake meer kan zijn van een economische activiteit in de zin van artikel 57 VWEU. Indien eisen aan de nationaliteit en de verblijfplaats van de draagmoeder of de wensouder(s) worden gesteld, is sprake van een beperking van het vrij verkeer van diensten en is een rechtvaardiging geboden. </w:t>
              </w:r>
            </w:p>
            <w:p w:rsidR="00663757" w:rsidP="00663757" w:rsidRDefault="00E41AAE" w14:paraId="147C7CFC" w14:textId="77777777"/>
            <w:p w:rsidR="00663757" w:rsidP="00663757" w:rsidRDefault="00042A08" w14:paraId="06D392D6" w14:textId="77777777">
              <w:r>
                <w:t>In de toelichting wordt geen aandacht besteed aan de verhouding van het wetsvoorstel tot het vrij verkeer van diensten. Daardoor blijft onduidelijk of, naar het oordeel van de regering, bij draagmoederschap sprake is van een vorm van dienstverrichting en, zo ja, of mogelijke beperkingen daarvan kunnen worden gerechtvaardigd.</w:t>
              </w:r>
            </w:p>
            <w:p w:rsidR="00663757" w:rsidP="00663757" w:rsidRDefault="00E41AAE" w14:paraId="7DB4D38F" w14:textId="77777777"/>
            <w:p w:rsidR="00663757" w:rsidP="00663757" w:rsidRDefault="00042A08" w14:paraId="1D252184" w14:textId="77777777">
              <w:r>
                <w:t>Indien het standpunt wordt ingenomen dat geen sprake is van dienstverrichting, dient in het bijzonder te worden uitgelegd hoe het voorstel beoogt te voorkomen dat mogelijke onkostenvergoedingen aan de draagmoeder alsnog een economisch karakter aan het draagmoederschap verlenen (zie ook hierna punt 6c).</w:t>
              </w:r>
              <w:r>
                <w:rPr>
                  <w:rStyle w:val="Voetnootmarkering"/>
                </w:rPr>
                <w:footnoteReference w:id="78"/>
              </w:r>
              <w:r>
                <w:t xml:space="preserve"> </w:t>
              </w:r>
            </w:p>
            <w:p w:rsidR="0066196B" w:rsidRDefault="00042A08" w14:paraId="34839581" w14:textId="77777777">
              <w:r>
                <w:t>Indien wordt aangenomen dat sprake is van dienstverrichting, dient nader te worden toegelicht in hoeverre beperkingen daarvan kunnen worden gerechtvaardigd in het licht van de eisen die de Dienstenrichtlijn daaraan stelt.</w:t>
              </w:r>
              <w:r>
                <w:rPr>
                  <w:rStyle w:val="Voetnootmarkering"/>
                </w:rPr>
                <w:footnoteReference w:id="79"/>
              </w:r>
              <w:r>
                <w:t xml:space="preserve"> </w:t>
              </w:r>
            </w:p>
            <w:p w:rsidR="00AA56D8" w:rsidP="00663757" w:rsidRDefault="00E41AAE" w14:paraId="370B3375" w14:textId="77777777"/>
            <w:p w:rsidR="00663757" w:rsidP="00663757" w:rsidRDefault="00042A08" w14:paraId="43C1CED2" w14:textId="77777777">
              <w:r>
                <w:t>Het voorstel bepaalt dat de draagmoeder en ten minste één van de wensouders de gewone verblijfplaats in Nederland dienen te hebben en deze naar verwachting gedurende de zwangerschap zullen houden. Ook dient ten minste één van de wensouders de Nederlandse nationaliteit dan wel rechtmatig verblijf in Nederland te hebben op grond van artikel 8, onder b, d of e van de Vreemdelingenwet 2000.</w:t>
              </w:r>
              <w:r>
                <w:rPr>
                  <w:rStyle w:val="Voetnootmarkering"/>
                </w:rPr>
                <w:footnoteReference w:id="80"/>
              </w:r>
              <w:r>
                <w:t xml:space="preserve"> De toelichting stelt daarover enkel dat deze eisen beogen te voorkomen dat de regeling de deuren opent voor vormen van draagmoederschapstoerisme in Nederland. </w:t>
              </w:r>
            </w:p>
            <w:p w:rsidR="00663757" w:rsidP="00663757" w:rsidRDefault="00E41AAE" w14:paraId="7D28146B" w14:textId="77777777"/>
            <w:p w:rsidR="00663757" w:rsidP="00663757" w:rsidRDefault="00042A08" w14:paraId="05A44DAD" w14:textId="77777777">
              <w:r>
                <w:t>De Afdeling adviseert, gelet op het voorgaande, in de toelichting aandacht te besteden aan de toepassing van het vrij verkeer van diensten en mogelijke beperkingen daarvan te voorzien van een rechtvaardiging.</w:t>
              </w:r>
            </w:p>
            <w:p w:rsidR="00663757" w:rsidP="00E25919" w:rsidRDefault="00E41AAE" w14:paraId="0B44A29E" w14:textId="77777777"/>
            <w:p w:rsidRPr="000B7F85" w:rsidR="00E25919" w:rsidP="00E25919" w:rsidRDefault="00042A08" w14:paraId="631F46C9" w14:textId="77777777">
              <w:pPr>
                <w:pStyle w:val="Lijstalinea"/>
                <w:numPr>
                  <w:ilvl w:val="0"/>
                  <w:numId w:val="37"/>
                </w:numPr>
                <w:ind w:hanging="720"/>
                <w:rPr>
                  <w:u w:val="single"/>
                </w:rPr>
              </w:pPr>
              <w:r w:rsidRPr="000B7F85">
                <w:rPr>
                  <w:u w:val="single"/>
                </w:rPr>
                <w:t>Regelingen voor binnenlands en buitenlands draagmoederschap</w:t>
              </w:r>
            </w:p>
            <w:p w:rsidR="00E25919" w:rsidP="00E25919" w:rsidRDefault="00E41AAE" w14:paraId="41EB807C" w14:textId="77777777"/>
            <w:p w:rsidRPr="000B7F85" w:rsidR="00E25919" w:rsidP="00E25919" w:rsidRDefault="00042A08" w14:paraId="02ACEB5E" w14:textId="77777777">
              <w:pPr>
                <w:pStyle w:val="Lijstalinea"/>
                <w:numPr>
                  <w:ilvl w:val="0"/>
                  <w:numId w:val="39"/>
                </w:numPr>
                <w:ind w:hanging="720"/>
                <w:rPr>
                  <w:i/>
                  <w:iCs/>
                </w:rPr>
              </w:pPr>
              <w:r w:rsidRPr="000B7F85">
                <w:rPr>
                  <w:i/>
                  <w:iCs/>
                </w:rPr>
                <w:t>Waarborgen voor kind en draagmoeder</w:t>
              </w:r>
            </w:p>
            <w:p w:rsidR="00E25919" w:rsidP="00E25919" w:rsidRDefault="00042A08" w14:paraId="3ECE3237" w14:textId="77777777">
              <w:r>
                <w:t>Over de wenselijkheid van een fenomeen als draagmoederschap en de rol van de wetgever in dat verband kan verschillend worden gedacht.</w:t>
              </w:r>
              <w:r>
                <w:rPr>
                  <w:rStyle w:val="Voetnootmarkering"/>
                </w:rPr>
                <w:footnoteReference w:id="81"/>
              </w:r>
              <w:r>
                <w:t xml:space="preserve"> Indien de wetgever kiest voor regeling van het draagmoederschap dient deze, mede in het licht van de toepasselijke grondrechten, hoe dan ook in toereikende waarborgen voor de direct betrokkenen te voorzien. Naar het oordeel van de Afdeling betreft dat in elk geval waarborgen om te verzekeren dat:</w:t>
              </w:r>
            </w:p>
            <w:p w:rsidR="00E25919" w:rsidP="00E25919" w:rsidRDefault="00E41AAE" w14:paraId="07694340" w14:textId="77777777"/>
            <w:p w:rsidR="00E25919" w:rsidP="00AA56D8" w:rsidRDefault="00042A08" w14:paraId="6C459B81" w14:textId="77777777">
              <w:pPr>
                <w:pStyle w:val="Lijstalinea"/>
                <w:numPr>
                  <w:ilvl w:val="0"/>
                  <w:numId w:val="3"/>
                </w:numPr>
                <w:ind w:left="426" w:hanging="426"/>
              </w:pPr>
              <w:r>
                <w:t xml:space="preserve">het belang van het kind een eerste overweging vormt en mede met het oog daarop voorkomen wordt dat het kind tussen wal en schip terechtkomt; </w:t>
              </w:r>
            </w:p>
            <w:p w:rsidR="00E25919" w:rsidP="00AA56D8" w:rsidRDefault="00042A08" w14:paraId="456B98FA" w14:textId="77777777">
              <w:pPr>
                <w:pStyle w:val="Lijstalinea"/>
                <w:numPr>
                  <w:ilvl w:val="0"/>
                  <w:numId w:val="3"/>
                </w:numPr>
                <w:ind w:left="426" w:hanging="426"/>
              </w:pPr>
              <w:r>
                <w:t>de (potentiële) draagmoeder wordt beschermd tegen ongeoorloofde druk voorafgaand aan en tijdens een zwangerschap, evenals bij de afstand van het kind.</w:t>
              </w:r>
            </w:p>
            <w:p w:rsidR="00E25919" w:rsidP="00E25919" w:rsidRDefault="00E41AAE" w14:paraId="4BD88510" w14:textId="77777777"/>
            <w:p w:rsidR="00E25919" w:rsidP="00E25919" w:rsidRDefault="00042A08" w14:paraId="4C759346" w14:textId="77777777">
              <w:r>
                <w:t xml:space="preserve">Tegen die achtergrond plaatst de Afdeling diverse kanttekeningen bij de voorgestelde regelingen ten aanzien van binnenlands en buitenlands draagmoederschap. </w:t>
              </w:r>
            </w:p>
            <w:p w:rsidR="00E25919" w:rsidP="00E25919" w:rsidRDefault="00E41AAE" w14:paraId="559FC3D0" w14:textId="77777777"/>
            <w:p w:rsidRPr="000B7F85" w:rsidR="00E25919" w:rsidP="00E25919" w:rsidRDefault="00042A08" w14:paraId="6D27E52A" w14:textId="77777777">
              <w:pPr>
                <w:pStyle w:val="Lijstalinea"/>
                <w:numPr>
                  <w:ilvl w:val="0"/>
                  <w:numId w:val="40"/>
                </w:numPr>
                <w:spacing w:line="276" w:lineRule="auto"/>
                <w:ind w:hanging="720"/>
                <w:contextualSpacing/>
                <w:jc w:val="both"/>
                <w:rPr>
                  <w:rFonts w:cstheme="minorHAnsi"/>
                  <w:i/>
                  <w:iCs/>
                  <w:szCs w:val="18"/>
                </w:rPr>
              </w:pPr>
              <w:r w:rsidRPr="000B7F85">
                <w:rPr>
                  <w:rFonts w:cstheme="minorHAnsi"/>
                  <w:i/>
                  <w:iCs/>
                  <w:szCs w:val="18"/>
                </w:rPr>
                <w:t>Regeling voor binnenlands draagmoederschap</w:t>
              </w:r>
            </w:p>
            <w:p w:rsidR="00E25919" w:rsidP="00E25919" w:rsidRDefault="00042A08" w14:paraId="2E8F7DF6" w14:textId="77777777">
              <w:r>
                <w:t>De regeling die ziet op binnenlands draagmoederschap beoogt zoveel mogelijk vooraf te waarborgen dat het draagmoederschapstraject zorgvuldig en transparant verloopt en heeft tot doel rechtszekerheid te bieden aan de betrokkenen.</w:t>
              </w:r>
              <w:r>
                <w:rPr>
                  <w:rStyle w:val="Voetnootmarkering"/>
                </w:rPr>
                <w:footnoteReference w:id="82"/>
              </w:r>
              <w:r>
                <w:t xml:space="preserve"> De kern van deze regeling is dat het draagmoederschapstraject vóór de conceptie wordt getoetst door de rechter. Over deze </w:t>
              </w:r>
              <w:r w:rsidRPr="00C03A03">
                <w:rPr>
                  <w:i/>
                  <w:iCs/>
                </w:rPr>
                <w:t>ex ante</w:t>
              </w:r>
              <w:r>
                <w:t xml:space="preserve"> toetsing merkt de Afdeling het volgende op.</w:t>
              </w:r>
            </w:p>
            <w:p w:rsidR="00E25919" w:rsidP="00E25919" w:rsidRDefault="00E41AAE" w14:paraId="51E00A07" w14:textId="77777777"/>
            <w:p w:rsidR="00E25919" w:rsidP="00E25919" w:rsidRDefault="00042A08" w14:paraId="1AED8935" w14:textId="77777777">
              <w:r>
                <w:t>Het voorgestelde artikel 1:214, derde lid, BW bepaalt dat de rechtbank het verzoek tot toekenning van het ouderschap na draagmoederschap afwijst indien zij dit niet in het belang van het kind acht. Het verzoek wordt bovendien slechts toegewezen indien de vrije instemming van alle betrokkenen blijkt. Tevens moet aan de reeks met voorwaarden uit het voorgestelde artikel 1:215, eerste lid, BW worden voldaan.</w:t>
              </w:r>
              <w:r>
                <w:rPr>
                  <w:rStyle w:val="Voetnootmarkering"/>
                </w:rPr>
                <w:footnoteReference w:id="83"/>
              </w:r>
              <w:r>
                <w:t xml:space="preserve"> Het betreft voorwaarden ten aanzien van de wensouders, draagmoeder en hun onderlinge verhouding.</w:t>
              </w:r>
            </w:p>
            <w:p w:rsidR="00E25919" w:rsidP="00E25919" w:rsidRDefault="00E41AAE" w14:paraId="25B587DA" w14:textId="77777777"/>
            <w:p w:rsidR="00E25919" w:rsidP="00E25919" w:rsidRDefault="00042A08" w14:paraId="4029889E" w14:textId="77777777">
              <w:pPr>
                <w:rPr>
                  <w:rFonts w:cstheme="minorHAnsi"/>
                  <w:szCs w:val="18"/>
                </w:rPr>
              </w:pPr>
              <w:r>
                <w:t xml:space="preserve">De toelichting vermeldt verder dat artikel 1:214, derde lid, BW de ‘centrale toetsingscriteria’ bevat </w:t>
              </w:r>
              <w:r>
                <w:rPr>
                  <w:rFonts w:cstheme="minorHAnsi"/>
                  <w:szCs w:val="18"/>
                </w:rPr>
                <w:t>(belang van het kind en instemming van partijen). Deze criteria worden nader ingevuld door de overige onderdelen van Afdeling 7, waaronder artikel 1:215 BW.</w:t>
              </w:r>
              <w:r>
                <w:rPr>
                  <w:rStyle w:val="Voetnootmarkering"/>
                  <w:rFonts w:cstheme="minorHAnsi"/>
                  <w:szCs w:val="18"/>
                </w:rPr>
                <w:footnoteReference w:id="84"/>
              </w:r>
              <w:r>
                <w:rPr>
                  <w:rFonts w:cstheme="minorHAnsi"/>
                  <w:szCs w:val="18"/>
                </w:rPr>
                <w:t xml:space="preserve"> Ook stelt de toelichting dat artikel 1:214, derde lid, BW een ‘vangnetnorm’ bevat, die de rechter de ruimte biedt om te komen tot een eigen beoordeling.</w:t>
              </w:r>
              <w:r>
                <w:rPr>
                  <w:rStyle w:val="Voetnootmarkering"/>
                  <w:rFonts w:cstheme="minorHAnsi"/>
                  <w:szCs w:val="18"/>
                </w:rPr>
                <w:footnoteReference w:id="85"/>
              </w:r>
              <w:r>
                <w:rPr>
                  <w:rFonts w:cstheme="minorHAnsi"/>
                  <w:szCs w:val="18"/>
                </w:rPr>
                <w:t xml:space="preserve"> Over artikel 1:215, eerste lid, BW vermeldt de toelichting evenwel dat de rechter bij de toepassing daarvan geen beoordelingsruimte toekomt.</w:t>
              </w:r>
              <w:r>
                <w:rPr>
                  <w:rStyle w:val="Voetnootmarkering"/>
                  <w:rFonts w:cstheme="minorHAnsi"/>
                  <w:szCs w:val="18"/>
                </w:rPr>
                <w:footnoteReference w:id="86"/>
              </w:r>
              <w:r>
                <w:rPr>
                  <w:rFonts w:cstheme="minorHAnsi"/>
                  <w:szCs w:val="18"/>
                </w:rPr>
                <w:t xml:space="preserve"> </w:t>
              </w:r>
            </w:p>
            <w:p w:rsidR="00E25919" w:rsidP="00E25919" w:rsidRDefault="00E41AAE" w14:paraId="146AE7BF" w14:textId="77777777">
              <w:pPr>
                <w:rPr>
                  <w:rFonts w:cstheme="minorHAnsi"/>
                  <w:szCs w:val="18"/>
                </w:rPr>
              </w:pPr>
            </w:p>
            <w:p w:rsidR="00E25919" w:rsidP="00E25919" w:rsidRDefault="00042A08" w14:paraId="644955C3" w14:textId="77777777">
              <w:pPr>
                <w:rPr>
                  <w:rFonts w:cstheme="minorHAnsi"/>
                  <w:szCs w:val="18"/>
                </w:rPr>
              </w:pPr>
              <w:r>
                <w:rPr>
                  <w:rFonts w:cstheme="minorHAnsi"/>
                  <w:szCs w:val="18"/>
                </w:rPr>
                <w:t>Gelet op het voorgaande acht de Afdeling de verhouding tussen deze bepalingen en tussen de daarin geregelde voorwaarden onduidelijk. De vraag rijst in het licht van de hiervoor genoemde vereiste waarborgen of, als aan de voorwaarden van artikel 1:215 is voldaan, er wel ruimte is voor de rechter om in het belang van het kind de toekenning van ouderschap na draagmoederschap af te wijzen. Verheldering op dit punt is essentieel, omdat de door de rechter te hanteren toetsingscriteria een kernpunt vormt van de voorgestelde regeling.</w:t>
              </w:r>
            </w:p>
            <w:p w:rsidR="00E25919" w:rsidP="00E25919" w:rsidRDefault="00E41AAE" w14:paraId="6C6C0FB3" w14:textId="77777777">
              <w:pPr>
                <w:rPr>
                  <w:rFonts w:cstheme="minorHAnsi"/>
                  <w:szCs w:val="18"/>
                </w:rPr>
              </w:pPr>
            </w:p>
            <w:p w:rsidRPr="003A5F93" w:rsidR="00E25919" w:rsidP="00E25919" w:rsidRDefault="00042A08" w14:paraId="08A33B85" w14:textId="77777777">
              <w:pPr>
                <w:rPr>
                  <w:rFonts w:cstheme="minorHAnsi"/>
                  <w:i/>
                  <w:iCs/>
                  <w:szCs w:val="18"/>
                </w:rPr>
              </w:pPr>
              <w:r>
                <w:rPr>
                  <w:rFonts w:cstheme="minorHAnsi"/>
                  <w:i/>
                  <w:iCs/>
                  <w:szCs w:val="18"/>
                </w:rPr>
                <w:t>ii.</w:t>
              </w:r>
              <w:r>
                <w:rPr>
                  <w:rFonts w:cstheme="minorHAnsi"/>
                  <w:i/>
                  <w:iCs/>
                  <w:szCs w:val="18"/>
                </w:rPr>
                <w:tab/>
                <w:t>Herroeping</w:t>
              </w:r>
            </w:p>
            <w:p w:rsidR="00E25919" w:rsidP="00E25919" w:rsidRDefault="00042A08" w14:paraId="792F0999" w14:textId="77777777">
              <w:pPr>
                <w:rPr>
                  <w:rFonts w:cstheme="minorHAnsi"/>
                  <w:szCs w:val="18"/>
                </w:rPr>
              </w:pPr>
              <w:r>
                <w:rPr>
                  <w:rFonts w:cstheme="minorHAnsi"/>
                  <w:szCs w:val="18"/>
                </w:rPr>
                <w:t>Daarnaast merkt de Afdeling op dat de rechter de beschikking tot toekenning van het ouderschap na draagmoederschap in de in artikel 1:219 BW omschreven gevallen op verzoek van de draagmoeder of de wensouder(s) kan herroepen. Een dergelijk verzoek dient te worden ingediend voor de geboorte van het kind of binnen zes weken daarna.</w:t>
              </w:r>
              <w:r>
                <w:rPr>
                  <w:rStyle w:val="Voetnootmarkering"/>
                  <w:rFonts w:cstheme="minorHAnsi"/>
                  <w:szCs w:val="18"/>
                </w:rPr>
                <w:footnoteReference w:id="87"/>
              </w:r>
              <w:r>
                <w:rPr>
                  <w:rFonts w:cstheme="minorHAnsi"/>
                  <w:szCs w:val="18"/>
                </w:rPr>
                <w:t xml:space="preserve"> Bovendien dient er sprake te zijn van bedreiging, dwaling of bedrog, of het overlijden van de (wens)ouder.</w:t>
              </w:r>
              <w:r>
                <w:rPr>
                  <w:rStyle w:val="Voetnootmarkering"/>
                  <w:rFonts w:cstheme="minorHAnsi"/>
                  <w:szCs w:val="18"/>
                </w:rPr>
                <w:footnoteReference w:id="88"/>
              </w:r>
              <w:r>
                <w:rPr>
                  <w:rFonts w:cstheme="minorHAnsi"/>
                  <w:szCs w:val="18"/>
                </w:rPr>
                <w:t xml:space="preserve"> Herroeping door de draagmoeder kan tevens plaatsvinden wanneer na de toekenning van het ouderschap de omstandigheden zijn gewijzigd en de rechter herroeping het meest in het belang van het kind oordeelt.</w:t>
              </w:r>
              <w:r>
                <w:rPr>
                  <w:rStyle w:val="Voetnootmarkering"/>
                  <w:rFonts w:cstheme="minorHAnsi"/>
                  <w:szCs w:val="18"/>
                </w:rPr>
                <w:footnoteReference w:id="89"/>
              </w:r>
              <w:r>
                <w:rPr>
                  <w:rFonts w:cstheme="minorHAnsi"/>
                  <w:szCs w:val="18"/>
                </w:rPr>
                <w:t xml:space="preserve"> </w:t>
              </w:r>
            </w:p>
            <w:p w:rsidR="00E25919" w:rsidP="00E25919" w:rsidRDefault="00E41AAE" w14:paraId="1C9019D6" w14:textId="77777777">
              <w:pPr>
                <w:rPr>
                  <w:rFonts w:cstheme="minorHAnsi"/>
                  <w:szCs w:val="18"/>
                </w:rPr>
              </w:pPr>
            </w:p>
            <w:p w:rsidR="00E25919" w:rsidP="00E25919" w:rsidRDefault="00042A08" w14:paraId="5F3BE5E8" w14:textId="77777777">
              <w:pPr>
                <w:rPr>
                  <w:rFonts w:cstheme="minorHAnsi"/>
                  <w:szCs w:val="18"/>
                </w:rPr>
              </w:pPr>
              <w:r>
                <w:rPr>
                  <w:rFonts w:cstheme="minorHAnsi"/>
                  <w:szCs w:val="18"/>
                </w:rPr>
                <w:t>Artikel 1:219 BW lijkt evenwel geen ruimte te bieden voor gewijzigde omstandigheden rondom de wensouders die in het belang van het kind nopen tot herroeping van de gerechtelijke toekenning van het ouderschap. De toelichting biedt hier geen verklaring voor, terwijl de vraag rijst of in uitzonderlijke omstandigheden een dergelijke herroeping wenselijk kan zijn. Ook op dit belangrijke onderdeel van het voorstel acht de Afdeling verheldering essentieel.</w:t>
              </w:r>
            </w:p>
            <w:p w:rsidR="00E25919" w:rsidP="00E25919" w:rsidRDefault="00E41AAE" w14:paraId="17EFD3D8" w14:textId="77777777">
              <w:pPr>
                <w:rPr>
                  <w:rFonts w:cstheme="minorHAnsi"/>
                  <w:szCs w:val="18"/>
                </w:rPr>
              </w:pPr>
            </w:p>
            <w:p w:rsidR="00E25919" w:rsidP="00E25919" w:rsidRDefault="00042A08" w14:paraId="669EC1C9" w14:textId="77777777">
              <w:pPr>
                <w:rPr>
                  <w:rFonts w:cstheme="minorHAnsi"/>
                  <w:szCs w:val="18"/>
                </w:rPr>
              </w:pPr>
              <w:r>
                <w:t>De Afdeling adviseert, mede in het licht van de eerder genoemde waarborgen ter bescherming van het kind en de draagmoeder, in de toelichting nader in te gaan op voornoemde punten en het voorstel aan te passen.</w:t>
              </w:r>
            </w:p>
            <w:p w:rsidR="00E25919" w:rsidP="00E25919" w:rsidRDefault="00E41AAE" w14:paraId="737D1E53" w14:textId="77777777">
              <w:pPr>
                <w:rPr>
                  <w:rFonts w:cstheme="minorHAnsi"/>
                  <w:szCs w:val="18"/>
                </w:rPr>
              </w:pPr>
            </w:p>
            <w:p w:rsidR="0066196B" w:rsidRDefault="00042A08" w14:paraId="22013BFB" w14:textId="77777777">
              <w:pPr>
                <w:rPr>
                  <w:rFonts w:cstheme="minorHAnsi"/>
                  <w:i/>
                  <w:iCs/>
                  <w:szCs w:val="18"/>
                </w:rPr>
              </w:pPr>
              <w:r>
                <w:rPr>
                  <w:rFonts w:cstheme="minorHAnsi"/>
                  <w:i/>
                  <w:iCs/>
                  <w:szCs w:val="18"/>
                </w:rPr>
                <w:t>iii.</w:t>
              </w:r>
              <w:r>
                <w:rPr>
                  <w:rFonts w:cstheme="minorHAnsi"/>
                  <w:i/>
                  <w:iCs/>
                  <w:szCs w:val="18"/>
                </w:rPr>
                <w:tab/>
              </w:r>
              <w:r w:rsidRPr="00746FC0">
                <w:rPr>
                  <w:rFonts w:cstheme="minorHAnsi"/>
                  <w:i/>
                  <w:iCs/>
                  <w:szCs w:val="18"/>
                </w:rPr>
                <w:t>Regeling voor ‘eenvoudige erkenning’ na buitenlands draagmoederschap</w:t>
              </w:r>
            </w:p>
            <w:p w:rsidR="00E25919" w:rsidP="00E25919" w:rsidRDefault="00042A08" w14:paraId="2466E054" w14:textId="77777777">
              <w:pPr>
                <w:rPr>
                  <w:rFonts w:cstheme="minorHAnsi"/>
                  <w:szCs w:val="18"/>
                </w:rPr>
              </w:pPr>
              <w:r>
                <w:rPr>
                  <w:rFonts w:cstheme="minorHAnsi"/>
                  <w:szCs w:val="18"/>
                </w:rPr>
                <w:t>De voorgestelde regeling maakt duidelijk onder welke voorwaarden buitenlandse familierechtelijke betrekkingen na draagmoederschap in aanmerking komen voor erkenning in Nederland. Daarmee geeft het kabinet gevolg aan de aanbeveling van de Staatscommissie Herijking ouderschap hieromtrent.</w:t>
              </w:r>
              <w:r>
                <w:rPr>
                  <w:rStyle w:val="Voetnootmarkering"/>
                  <w:rFonts w:cstheme="minorHAnsi"/>
                  <w:szCs w:val="18"/>
                </w:rPr>
                <w:footnoteReference w:id="90"/>
              </w:r>
              <w:r>
                <w:rPr>
                  <w:rFonts w:cstheme="minorHAnsi"/>
                  <w:szCs w:val="18"/>
                </w:rPr>
                <w:t xml:space="preserve"> </w:t>
              </w:r>
            </w:p>
            <w:p w:rsidR="00E25919" w:rsidP="00E25919" w:rsidRDefault="00E41AAE" w14:paraId="19B8CFAF" w14:textId="77777777">
              <w:pPr>
                <w:rPr>
                  <w:rFonts w:cstheme="minorHAnsi"/>
                  <w:szCs w:val="18"/>
                </w:rPr>
              </w:pPr>
            </w:p>
            <w:p w:rsidR="00E25919" w:rsidP="00E25919" w:rsidRDefault="00042A08" w14:paraId="620425E5" w14:textId="77777777">
              <w:pPr>
                <w:rPr>
                  <w:rFonts w:cstheme="minorHAnsi"/>
                  <w:szCs w:val="18"/>
                </w:rPr>
              </w:pPr>
              <w:r>
                <w:rPr>
                  <w:rFonts w:cstheme="minorHAnsi"/>
                  <w:szCs w:val="18"/>
                </w:rPr>
                <w:t>Op grond van voorgesteld artikel 10:101a, derde lid, onderdeel a, BW is dergelijke ‘eenvoudige erkenning’ aan de orde als:</w:t>
              </w:r>
            </w:p>
            <w:p w:rsidR="00E25919" w:rsidP="00E25919" w:rsidRDefault="00E41AAE" w14:paraId="542E9A4E" w14:textId="77777777">
              <w:pPr>
                <w:rPr>
                  <w:rFonts w:cstheme="minorHAnsi"/>
                  <w:szCs w:val="18"/>
                </w:rPr>
              </w:pPr>
            </w:p>
            <w:p w:rsidR="00E25919" w:rsidP="00E361AD" w:rsidRDefault="00042A08" w14:paraId="1AE2938E" w14:textId="77777777">
              <w:pPr>
                <w:pStyle w:val="Lijstalinea"/>
                <w:numPr>
                  <w:ilvl w:val="0"/>
                  <w:numId w:val="3"/>
                </w:numPr>
                <w:ind w:left="426" w:hanging="426"/>
                <w:rPr>
                  <w:rFonts w:cstheme="minorHAnsi"/>
                  <w:szCs w:val="18"/>
                </w:rPr>
              </w:pPr>
              <w:r>
                <w:rPr>
                  <w:rFonts w:cstheme="minorHAnsi"/>
                  <w:szCs w:val="18"/>
                </w:rPr>
                <w:t>de gegevens over de afstamming voor het kind beschikbaar zijn voor opname in het register;</w:t>
              </w:r>
            </w:p>
            <w:p w:rsidR="00E25919" w:rsidP="00E361AD" w:rsidRDefault="00042A08" w14:paraId="014373AD" w14:textId="77777777">
              <w:pPr>
                <w:pStyle w:val="Lijstalinea"/>
                <w:numPr>
                  <w:ilvl w:val="0"/>
                  <w:numId w:val="3"/>
                </w:numPr>
                <w:ind w:left="426" w:hanging="426"/>
                <w:rPr>
                  <w:rFonts w:cstheme="minorHAnsi"/>
                  <w:szCs w:val="18"/>
                </w:rPr>
              </w:pPr>
              <w:r>
                <w:rPr>
                  <w:rFonts w:cstheme="minorHAnsi"/>
                  <w:szCs w:val="18"/>
                </w:rPr>
                <w:t>vaststaat dat het kind genetisch verwant is aan ten minste één van de wensouders;</w:t>
              </w:r>
            </w:p>
            <w:p w:rsidR="00E25919" w:rsidP="00E361AD" w:rsidRDefault="00042A08" w14:paraId="13B95319" w14:textId="77777777">
              <w:pPr>
                <w:pStyle w:val="Lijstalinea"/>
                <w:numPr>
                  <w:ilvl w:val="0"/>
                  <w:numId w:val="3"/>
                </w:numPr>
                <w:ind w:left="426" w:hanging="426"/>
                <w:rPr>
                  <w:rFonts w:cstheme="minorHAnsi"/>
                  <w:szCs w:val="18"/>
                </w:rPr>
              </w:pPr>
              <w:r>
                <w:rPr>
                  <w:rFonts w:cstheme="minorHAnsi"/>
                  <w:szCs w:val="18"/>
                </w:rPr>
                <w:t>er een rechterlijke beslissing ten grondslag ligt aan de afstamming; en</w:t>
              </w:r>
            </w:p>
            <w:p w:rsidRPr="00701A16" w:rsidR="00E25919" w:rsidP="00E361AD" w:rsidRDefault="00042A08" w14:paraId="47B58FBE" w14:textId="77777777">
              <w:pPr>
                <w:pStyle w:val="Lijstalinea"/>
                <w:numPr>
                  <w:ilvl w:val="0"/>
                  <w:numId w:val="3"/>
                </w:numPr>
                <w:ind w:left="426" w:hanging="426"/>
                <w:rPr>
                  <w:rFonts w:cstheme="minorHAnsi"/>
                  <w:szCs w:val="18"/>
                </w:rPr>
              </w:pPr>
              <w:r>
                <w:rPr>
                  <w:rFonts w:cstheme="minorHAnsi"/>
                  <w:szCs w:val="18"/>
                </w:rPr>
                <w:t>indien de wensouders vanaf de geboorte ouders zijn geweest van het kind, er een mogelijkheid heeft bestaan voor de draagmoeder om dit ouderschap te betwisten.</w:t>
              </w:r>
            </w:p>
            <w:p w:rsidR="00E25919" w:rsidP="00E25919" w:rsidRDefault="00E41AAE" w14:paraId="1B585111" w14:textId="77777777">
              <w:pPr>
                <w:rPr>
                  <w:rFonts w:cstheme="minorHAnsi"/>
                  <w:szCs w:val="18"/>
                </w:rPr>
              </w:pPr>
            </w:p>
            <w:p w:rsidR="00E25919" w:rsidP="00E25919" w:rsidRDefault="00042A08" w14:paraId="262ABDAA" w14:textId="77777777">
              <w:pPr>
                <w:rPr>
                  <w:rFonts w:cstheme="minorHAnsi"/>
                  <w:szCs w:val="18"/>
                </w:rPr>
              </w:pPr>
              <w:r>
                <w:rPr>
                  <w:rFonts w:cstheme="minorHAnsi"/>
                  <w:szCs w:val="18"/>
                </w:rPr>
                <w:t>Daarmee wordt volgens de toelichting voor wensouders een prikkel geboden “om gebruik te maken voor een buitenlandse procedure die voldoet aan de basisvoorwaarden voor zorgvuldig draagmoederschap zoals die in Nederland worden gesteld”.</w:t>
              </w:r>
              <w:r>
                <w:rPr>
                  <w:rStyle w:val="Voetnootmarkering"/>
                  <w:rFonts w:cstheme="minorHAnsi"/>
                  <w:szCs w:val="18"/>
                </w:rPr>
                <w:footnoteReference w:id="91"/>
              </w:r>
              <w:r>
                <w:rPr>
                  <w:rFonts w:cstheme="minorHAnsi"/>
                  <w:szCs w:val="18"/>
                </w:rPr>
                <w:t xml:space="preserve"> </w:t>
              </w:r>
            </w:p>
            <w:p w:rsidR="00E25919" w:rsidP="00E25919" w:rsidRDefault="00E41AAE" w14:paraId="50BAD6FB" w14:textId="77777777">
              <w:pPr>
                <w:rPr>
                  <w:rFonts w:cstheme="minorHAnsi"/>
                  <w:szCs w:val="18"/>
                </w:rPr>
              </w:pPr>
            </w:p>
            <w:p w:rsidR="00E25919" w:rsidP="00E25919" w:rsidRDefault="00042A08" w14:paraId="2AD64C2D" w14:textId="77777777">
              <w:pPr>
                <w:rPr>
                  <w:rFonts w:cstheme="minorHAnsi"/>
                  <w:szCs w:val="18"/>
                </w:rPr>
              </w:pPr>
              <w:r>
                <w:rPr>
                  <w:rFonts w:cstheme="minorHAnsi"/>
                  <w:szCs w:val="18"/>
                </w:rPr>
                <w:t xml:space="preserve">De vraag rijst evenwel wat er gebeurt als niet aan de voorwaarden zoals hierboven gesteld wordt voldaan. Wanneer in dat geval buitenlands draagmoederschap volgens de geldende regels tot stand is gekomen en de wensouders in het buitenland worden beschouwd als de juridische ouders van het kind, is op grond van de jurisprudentie van het EHRM enige vorm van juridische erkenning van de ouder-kindrelatie nodig om in overeenstemming te handelen met het recht op respect voor het privéleven van het kind (zie </w:t>
              </w:r>
              <w:r w:rsidRPr="00F90D13">
                <w:rPr>
                  <w:rFonts w:cstheme="minorHAnsi"/>
                  <w:szCs w:val="18"/>
                </w:rPr>
                <w:t>punt 2c onder ii</w:t>
              </w:r>
              <w:r>
                <w:rPr>
                  <w:rFonts w:cstheme="minorHAnsi"/>
                  <w:szCs w:val="18"/>
                </w:rPr>
                <w:t xml:space="preserve">). Dat betekent dat er alsnog juridische betrekkingen met de wensouders tot stand moeten worden gebracht. Dat zou in dergelijke gevallen bijvoorbeeld via adoptie bewerkstelligd kunnen worden. </w:t>
              </w:r>
            </w:p>
            <w:p w:rsidR="00E25919" w:rsidP="00E25919" w:rsidRDefault="00E41AAE" w14:paraId="7A3530E3" w14:textId="77777777">
              <w:pPr>
                <w:rPr>
                  <w:rFonts w:cstheme="minorHAnsi"/>
                  <w:szCs w:val="18"/>
                </w:rPr>
              </w:pPr>
            </w:p>
            <w:p w:rsidR="00E25919" w:rsidP="00E25919" w:rsidRDefault="00042A08" w14:paraId="65A16CCC" w14:textId="77777777">
              <w:pPr>
                <w:rPr>
                  <w:rFonts w:cstheme="minorHAnsi"/>
                  <w:szCs w:val="18"/>
                </w:rPr>
              </w:pPr>
              <w:r>
                <w:rPr>
                  <w:rFonts w:cstheme="minorHAnsi"/>
                  <w:szCs w:val="18"/>
                </w:rPr>
                <w:t xml:space="preserve">Gelet op het voorgaande voorkomt de voorgestelde derhalve niet de regeling van verkrijging van kinderen uit het buitenland op een naar Nederlandse maatstaven niet geoorloofde wijze. De Afdeling acht een dergelijke gang van zaken kwetsbaar in het licht van de uitkomsten en aanbevelingen van de Commissie Onderzoek interlandelijke adoptie en gelet op de eerder genoemde waarborgen voor het kind en de draagmoeder, die even zo goed in internationale situaties opgeld doen. </w:t>
              </w:r>
            </w:p>
            <w:p w:rsidR="00E25919" w:rsidP="00E25919" w:rsidRDefault="00E41AAE" w14:paraId="7CD7C385" w14:textId="77777777">
              <w:pPr>
                <w:rPr>
                  <w:rFonts w:cstheme="minorHAnsi"/>
                  <w:szCs w:val="18"/>
                </w:rPr>
              </w:pPr>
            </w:p>
            <w:p w:rsidR="00E25919" w:rsidP="00E25919" w:rsidRDefault="00042A08" w14:paraId="7C74B75B" w14:textId="77777777">
              <w:pPr>
                <w:rPr>
                  <w:rFonts w:cstheme="minorHAnsi"/>
                  <w:szCs w:val="18"/>
                </w:rPr>
              </w:pPr>
              <w:r>
                <w:rPr>
                  <w:rFonts w:cstheme="minorHAnsi"/>
                  <w:szCs w:val="18"/>
                </w:rPr>
                <w:t>De Afdeling adviseert in de toelichting op het bovenstaande in te gaan en de voorgestelde regeling ten aanzien van buitenlands draagmoederschap aan te passen.</w:t>
              </w:r>
            </w:p>
            <w:p w:rsidR="00E25919" w:rsidP="00E25919" w:rsidRDefault="00E41AAE" w14:paraId="24AB0995" w14:textId="77777777">
              <w:pPr>
                <w:rPr>
                  <w:i/>
                  <w:iCs/>
                </w:rPr>
              </w:pPr>
            </w:p>
            <w:p w:rsidRPr="00A06DEA" w:rsidR="00E25919" w:rsidP="00E25919" w:rsidRDefault="00042A08" w14:paraId="509B65C8" w14:textId="77777777">
              <w:pPr>
                <w:rPr>
                  <w:i/>
                  <w:iCs/>
                </w:rPr>
              </w:pPr>
              <w:r>
                <w:rPr>
                  <w:i/>
                  <w:iCs/>
                </w:rPr>
                <w:t>b.</w:t>
              </w:r>
              <w:r>
                <w:rPr>
                  <w:i/>
                  <w:iCs/>
                </w:rPr>
                <w:tab/>
              </w:r>
              <w:r w:rsidRPr="00A06DEA">
                <w:rPr>
                  <w:i/>
                  <w:iCs/>
                </w:rPr>
                <w:t>Draagmoederschapsovereenkomst</w:t>
              </w:r>
            </w:p>
            <w:p w:rsidR="00E25919" w:rsidP="00E25919" w:rsidRDefault="00042A08" w14:paraId="749C7C86" w14:textId="77777777">
              <w:r>
                <w:t>Voor de toekenning van ouderschap na binnenlands draagmoederschap dient de rechter te toetsen of de draagmoederschapsovereenkomst enkele verplichte aspecten regelt. Zo moeten onder meer afspraken worden opgenomen over de vergoeding van de kosten die zijn verbonden aan het draagmoederschap, het contact tussen de draagmoeder en het kind na de geboorte en de afdekking van de risico’s die zijn verbonden aan draagmoederschap.</w:t>
              </w:r>
              <w:r>
                <w:rPr>
                  <w:rStyle w:val="Voetnootmarkering"/>
                </w:rPr>
                <w:footnoteReference w:id="92"/>
              </w:r>
              <w:r>
                <w:t xml:space="preserve"> Daarnaast kunnen de draagmoeder en de wensouders andere afspraken over het draagmoederschapstraject opnemen in de draagmoederschapsovereenkomst. </w:t>
              </w:r>
            </w:p>
            <w:p w:rsidR="00E25919" w:rsidP="00E25919" w:rsidRDefault="00E41AAE" w14:paraId="32621CD6" w14:textId="77777777"/>
            <w:p w:rsidR="00E361AD" w:rsidP="00E25919" w:rsidRDefault="00042A08" w14:paraId="78F916D4" w14:textId="77777777">
              <w:r>
                <w:t>De toelichting biedt veel onduidelijkheid over de wijze waarop de draagmoederschapsovereenkomst past binnen de systematiek van het verbintenissenrecht.</w:t>
              </w:r>
              <w:r>
                <w:rPr>
                  <w:rStyle w:val="Voetnootmarkering"/>
                </w:rPr>
                <w:footnoteReference w:id="93"/>
              </w:r>
              <w:r>
                <w:t xml:space="preserve"> Zo rijst de vraag naar de gevolgen die mogen worden verbonden aan niet-naleving van de afspraken uit een draagmoederschapsovereenkomst. De toelichting stelt slechts dat afspraken over dergelijke gevolgen niet van dien aard mogen zijn dat hiermee </w:t>
              </w:r>
              <w:r w:rsidRPr="00544070">
                <w:rPr>
                  <w:i/>
                  <w:iCs/>
                </w:rPr>
                <w:t>de facto</w:t>
              </w:r>
              <w:r>
                <w:t xml:space="preserve"> het zelfbeschikkingsrecht van de draagmoeder in de kern wordt beperkt. In dat verband noemt de toelichting alleen een boetebeding als sanctie op niet-naleving.</w:t>
              </w:r>
              <w:r>
                <w:rPr>
                  <w:rStyle w:val="Voetnootmarkering"/>
                </w:rPr>
                <w:footnoteReference w:id="94"/>
              </w:r>
              <w:r>
                <w:t xml:space="preserve"> </w:t>
              </w:r>
            </w:p>
            <w:p w:rsidR="00E361AD" w:rsidP="00E25919" w:rsidRDefault="00E41AAE" w14:paraId="06EDC219" w14:textId="77777777"/>
            <w:p w:rsidR="00E25919" w:rsidP="00E25919" w:rsidRDefault="00042A08" w14:paraId="6A3BEEF4" w14:textId="77777777">
              <w:r>
                <w:t>Het wettelijk arsenaal aan remedies bij niet-nakoming is evenwel breder (nakoming, schadevergoeding, ontbinding</w:t>
              </w:r>
              <w:r>
                <w:rPr>
                  <w:rStyle w:val="Voetnootmarkering"/>
                </w:rPr>
                <w:footnoteReference w:id="95"/>
              </w:r>
              <w:r>
                <w:t xml:space="preserve">). Dit doet vragen rijzen over de mogelijke toepassing daarvan, juist in relatie tot het zelfbeschikkingsrecht van de draagmoeder. Daarnaast rijzen vragen met betrekking tot de gevolgen van niet-naleving door de wensouders en opzegging van de overeenkomst. Wat is de betekenis van een opzegging van de overeenkomst door de wensouders wegens bijzondere omstandigheden, bijvoorbeeld wanneer een alleenstaande wensouder ernstig ziek is geworden? </w:t>
              </w:r>
            </w:p>
            <w:p w:rsidR="00E25919" w:rsidP="00E25919" w:rsidRDefault="00E41AAE" w14:paraId="184AF77C" w14:textId="77777777"/>
            <w:p w:rsidR="00E25919" w:rsidP="00E25919" w:rsidRDefault="00042A08" w14:paraId="0F0518A8" w14:textId="77777777">
              <w:r>
                <w:t>De Afdeling adviseert de toelichting in het licht van het voorgaande aan te vullen en te voorzien in nadere regels omtrent de draagmoederschapsovereenkomst.</w:t>
              </w:r>
            </w:p>
            <w:p w:rsidR="00E25919" w:rsidP="00E25919" w:rsidRDefault="00E41AAE" w14:paraId="518F98E2" w14:textId="77777777">
              <w:pPr>
                <w:rPr>
                  <w:i/>
                  <w:iCs/>
                </w:rPr>
              </w:pPr>
            </w:p>
            <w:p w:rsidRPr="00820D08" w:rsidR="00E25919" w:rsidP="00E25919" w:rsidRDefault="00042A08" w14:paraId="0CE8E441" w14:textId="77777777">
              <w:pPr>
                <w:rPr>
                  <w:i/>
                  <w:iCs/>
                </w:rPr>
              </w:pPr>
              <w:r>
                <w:rPr>
                  <w:i/>
                  <w:iCs/>
                </w:rPr>
                <w:t>c.</w:t>
              </w:r>
              <w:r>
                <w:rPr>
                  <w:i/>
                  <w:iCs/>
                </w:rPr>
                <w:tab/>
              </w:r>
              <w:r w:rsidRPr="00820D08">
                <w:rPr>
                  <w:i/>
                  <w:iCs/>
                </w:rPr>
                <w:t>Strafbaarstellingen</w:t>
              </w:r>
            </w:p>
            <w:p w:rsidR="00E25919" w:rsidP="00E25919" w:rsidRDefault="00042A08" w14:paraId="5D895665" w14:textId="77777777">
              <w:bookmarkStart w:name="_Hlk72418080" w:id="1"/>
              <w:r>
                <w:t>Het voorstel regelt dat betalingen voor de overdracht van ouderschap een misdrijf zullen vormen.</w:t>
              </w:r>
              <w:r>
                <w:rPr>
                  <w:rStyle w:val="Voetnootmarkering"/>
                </w:rPr>
                <w:footnoteReference w:id="96"/>
              </w:r>
              <w:r>
                <w:t xml:space="preserve"> Met de wettelijke strafbedreiging van ten hoogste vier jaren gevangenisstraf of een geldboete van de vierde categorie, wordt de ernst van dit feit tot uitdrukking gebracht en een passende bestraffing mogelijk gemaakt.</w:t>
              </w:r>
              <w:r>
                <w:rPr>
                  <w:rStyle w:val="Voetnootmarkering"/>
                </w:rPr>
                <w:footnoteReference w:id="97"/>
              </w:r>
              <w:r>
                <w:t xml:space="preserve"> </w:t>
              </w:r>
              <w:bookmarkEnd w:id="1"/>
              <w:r>
                <w:t>Het voorstel stelt tevens onkostenvergoedingen voor het draagmoederschap (in Nederland) die de bij algemene maatregel van bestuur bepaalde maxima te boven gaan strafbaar.</w:t>
              </w:r>
              <w:r>
                <w:rPr>
                  <w:rStyle w:val="Voetnootmarkering"/>
                </w:rPr>
                <w:footnoteReference w:id="98"/>
              </w:r>
              <w:r>
                <w:t xml:space="preserve"> Dit zal kwalificeren als een overtreding waarvoor een geldboete van de derde categorie kan worden opgelegd.</w:t>
              </w:r>
              <w:r>
                <w:rPr>
                  <w:rStyle w:val="Voetnootmarkering"/>
                </w:rPr>
                <w:footnoteReference w:id="99"/>
              </w:r>
            </w:p>
            <w:p w:rsidR="00E25919" w:rsidP="00E25919" w:rsidRDefault="00E41AAE" w14:paraId="78C45726" w14:textId="77777777">
              <w:pPr>
                <w:pStyle w:val="Lijstalinea"/>
                <w:ind w:left="1080"/>
              </w:pPr>
            </w:p>
            <w:p w:rsidR="00E25919" w:rsidP="00E25919" w:rsidRDefault="00042A08" w14:paraId="1F5053AE" w14:textId="77777777">
              <w:r>
                <w:t>Volgens de toelichting moeten onkostenvergoedingen worden onderscheiden van betalingen voor de overdracht van ouderschap van een kind.</w:t>
              </w:r>
              <w:r>
                <w:rPr>
                  <w:rStyle w:val="Voetnootmarkering"/>
                </w:rPr>
                <w:footnoteReference w:id="100"/>
              </w:r>
              <w:r>
                <w:t xml:space="preserve"> De Afdeling betwijfelt echter of dit onderscheid in de praktijk zo duidelijk kan worden gemaakt. Vergoedingen aan de draagmoeder die uitgaan boven daadwerkelijk gemaakte kosten die gepaard gaan met de zwangerschap en bevalling zijn immers vatbaar voor het argument dat sprake is van kinderkoop, zo stelt ook de toelichting.</w:t>
              </w:r>
              <w:r>
                <w:rPr>
                  <w:rStyle w:val="Voetnootmarkering"/>
                </w:rPr>
                <w:footnoteReference w:id="101"/>
              </w:r>
              <w:r>
                <w:t xml:space="preserve"> De Staatscommissie Herijking ouderschap merkt hierover eveneens op dat deze grens ethisch en juridisch onduidelijk is.</w:t>
              </w:r>
              <w:r>
                <w:rPr>
                  <w:rStyle w:val="Voetnootmarkering"/>
                </w:rPr>
                <w:footnoteReference w:id="102"/>
              </w:r>
            </w:p>
            <w:p w:rsidR="00E25919" w:rsidP="00E25919" w:rsidRDefault="00E41AAE" w14:paraId="67A6EBE3" w14:textId="77777777"/>
            <w:p w:rsidR="00E25919" w:rsidP="00E25919" w:rsidRDefault="00042A08" w14:paraId="09B44DB8" w14:textId="77777777">
              <w:r>
                <w:t xml:space="preserve">In dat licht roept de verhouding tussen beide strafbaarstellingen vragen op. Onduidelijk is of er een zekere overlap bestaat en of in dat geval dan sprake is van samenloop of van een </w:t>
              </w:r>
              <w:r w:rsidRPr="00B32651">
                <w:t>lex generalis-specialisverhouding</w:t>
              </w:r>
              <w:r>
                <w:t xml:space="preserve">. Mede in dat verband valt op dat betalingen voor de overdracht van ouderschap een misdrijf vormen waarvoor een strafmaximum van vier jaar gevangenisstraf is gesteld, terwijl het geven en ontvangen van te hoge onkostenvergoedingen slechts een overtreding oplevert waarop een geldboete staat. Gelet op de onscherpe grens tussen beide bepalingen rijst de vraag of dit verschil gerechtvaardigd is. </w:t>
              </w:r>
            </w:p>
            <w:p w:rsidR="00E25919" w:rsidP="00E25919" w:rsidRDefault="00E41AAE" w14:paraId="65162EAF" w14:textId="77777777"/>
            <w:p w:rsidR="00E25919" w:rsidP="00E25919" w:rsidRDefault="00042A08" w14:paraId="1F09DB2C" w14:textId="77777777">
              <w:r>
                <w:t xml:space="preserve">De Afdeling adviseert de verhouding tussen beide strafbaarstellingen en in het bijzonder de daarbij gekozen strafmaxima in het licht van het voorgaande nader te motiveren en het voorstel zo nodig aan te passen. </w:t>
              </w:r>
            </w:p>
            <w:p w:rsidR="00E25919" w:rsidP="00E25919" w:rsidRDefault="00E41AAE" w14:paraId="5829FA87" w14:textId="77777777"/>
            <w:p w:rsidRPr="000B7F85" w:rsidR="00E25919" w:rsidP="00E25919" w:rsidRDefault="00042A08" w14:paraId="5D7CFB30" w14:textId="77777777">
              <w:pPr>
                <w:pStyle w:val="Lijstalinea"/>
                <w:numPr>
                  <w:ilvl w:val="0"/>
                  <w:numId w:val="37"/>
                </w:numPr>
                <w:ind w:hanging="720"/>
                <w:rPr>
                  <w:u w:val="single"/>
                </w:rPr>
              </w:pPr>
              <w:r w:rsidRPr="000B7F85">
                <w:rPr>
                  <w:u w:val="single"/>
                </w:rPr>
                <w:t xml:space="preserve">Versterking recht op afstammingsinformatie </w:t>
              </w:r>
            </w:p>
            <w:p w:rsidR="00E25919" w:rsidP="00E25919" w:rsidRDefault="00E41AAE" w14:paraId="1EBD3ABA" w14:textId="77777777"/>
            <w:p w:rsidRPr="00C76756" w:rsidR="00E25919" w:rsidP="00E25919" w:rsidRDefault="00042A08" w14:paraId="5C82C6B0" w14:textId="77777777">
              <w:r>
                <w:t>Een regeling voor draagmoederschap versterkt de behoefte om gegevens betreffende de biologische afstamming op te slaan zodat deze op termijn voor het betrokken kind te achterhalen is, zo stelt de toelichting.</w:t>
              </w:r>
              <w:r>
                <w:rPr>
                  <w:rStyle w:val="Voetnootmarkering"/>
                </w:rPr>
                <w:footnoteReference w:id="103"/>
              </w:r>
              <w:r>
                <w:t xml:space="preserve"> Daarom wordt een grondslag voor de registratie van afstammingsgegevens bij draagmoederschap voorgesteld. </w:t>
              </w:r>
            </w:p>
            <w:p w:rsidRPr="00C76756" w:rsidR="00E25919" w:rsidP="00E25919" w:rsidRDefault="00E41AAE" w14:paraId="200D34F7" w14:textId="77777777">
              <w:pPr>
                <w:pStyle w:val="Lijstalinea"/>
                <w:ind w:left="1080"/>
              </w:pPr>
            </w:p>
            <w:p w:rsidR="00E25919" w:rsidP="00E25919" w:rsidRDefault="00042A08" w14:paraId="35B5B834" w14:textId="77777777">
              <w:r>
                <w:t>Uit de toelichting blijkt dat daarnaast beoogd wordt om aan kinderen met vragen omtrent afstammingsinformatie in bredere zin centrale toegang tot deze gegevens te bieden, ongeacht de wijze waarop afstammingsrelaties tot stand zijn gekomen.</w:t>
              </w:r>
              <w:r>
                <w:rPr>
                  <w:rStyle w:val="Voetnootmarkering"/>
                </w:rPr>
                <w:footnoteReference w:id="104"/>
              </w:r>
              <w:r>
                <w:t xml:space="preserve"> Het voorstel bevat dan ook een algemenere regeling omtrent de instelling van een register met afstammingsinformatie. Er zou één centraal punt moeten komen waar kinderen en andere betrokkenen terecht moeten kunnen. In dat verband zouden zowel donorgegevens, gegevens over de draagmoeder of de anonieme geboortemoeder, binnenlandse en buitenlandse adoptiegegevens als eventueel andere beschikbare gegevens over afstamming moeten worden opgeslagen. </w:t>
              </w:r>
            </w:p>
            <w:p w:rsidR="00E25919" w:rsidP="00E25919" w:rsidRDefault="00E41AAE" w14:paraId="17687FE1" w14:textId="77777777">
              <w:pPr>
                <w:pStyle w:val="Lijstalinea"/>
                <w:ind w:left="1080"/>
              </w:pPr>
            </w:p>
            <w:p w:rsidR="00E25919" w:rsidP="00E25919" w:rsidRDefault="00042A08" w14:paraId="1EFE9E2D" w14:textId="77777777">
              <w:r>
                <w:t xml:space="preserve">De voorgestelde wettelijke regeling is op dit punt zeer summier. Het regelt niet welke informatie in dit algemenere afstammingsregister wordt opgenomen en wie informatie daarin kan laten opnemen. </w:t>
              </w:r>
              <w:r w:rsidRPr="002A3CEE">
                <w:t>Ook regelt het niet wie en onder welke voorwaarden toegang hebben tot de gegevens, zoals de gegevens die over genetische broer</w:t>
              </w:r>
              <w:r>
                <w:t>s</w:t>
              </w:r>
              <w:r w:rsidRPr="002A3CEE">
                <w:t xml:space="preserve"> en zus</w:t>
              </w:r>
              <w:r>
                <w:t>sen</w:t>
              </w:r>
              <w:r w:rsidRPr="002A3CEE">
                <w:t xml:space="preserve"> worden opgenomen. Hoe de bewaring, verstrekking en verwijdering van de</w:t>
              </w:r>
              <w:r>
                <w:t xml:space="preserve"> gegevens plaatsvindt, wordt evenmin geregeld. Al hetgeen het register of de registers betreft, wordt bij of krachtens algemene maatregel van bestuur bepaald.</w:t>
              </w:r>
              <w:r>
                <w:rPr>
                  <w:rStyle w:val="Voetnootmarkering"/>
                </w:rPr>
                <w:footnoteReference w:id="105"/>
              </w:r>
              <w:r>
                <w:t xml:space="preserve"> </w:t>
              </w:r>
            </w:p>
            <w:p w:rsidR="00E25919" w:rsidP="00E25919" w:rsidRDefault="00E41AAE" w14:paraId="2906EA1C" w14:textId="77777777">
              <w:pPr>
                <w:pStyle w:val="Lijstalinea"/>
                <w:ind w:left="1080"/>
              </w:pPr>
            </w:p>
            <w:p w:rsidR="00E25919" w:rsidP="00E25919" w:rsidRDefault="00042A08" w14:paraId="094FEBC6" w14:textId="77777777">
              <w:r>
                <w:t xml:space="preserve">Omdat dergelijke wezenlijke onderwerpen niet in het wetsvoorstel zijn geregeld, ontstaat spanning met de vereisten van artikel 10 van de Grondwet en het primaat van de wetgever. Het voorstel voorziet in een (mogelijk ingrijpende) inbreuk op het recht op eerbiediging van de persoonlijke levenssfeer. Gegevens over iemands afstamming kunnen gevoelige gegevens vormen en een belangrijk aspect van iemands privéleven prijsgeven. Met dergelijke gegevens dient zeer zorgvuldig te worden omgegaan. Een duidelijke afweging omtrent de instelling van het voorgestelde ruime register ontbreekt echter in de toelichting. Tevens is nog onvoldoende duidelijk welke begrenzingen zullen gelden en welke waarborgen zullen worden geboden voor de bescherming van het grondrecht. </w:t>
              </w:r>
            </w:p>
            <w:p w:rsidR="00E25919" w:rsidP="00E25919" w:rsidRDefault="00E41AAE" w14:paraId="5A14B5DD" w14:textId="77777777"/>
            <w:p w:rsidR="00E25919" w:rsidP="00E25919" w:rsidRDefault="00042A08" w14:paraId="6791BC32" w14:textId="77777777">
              <w:r>
                <w:t>Zoals de Afdeling eerder heeft overwogen, volgt uit a</w:t>
              </w:r>
              <w:r w:rsidRPr="002609AE">
                <w:t xml:space="preserve">rtikel </w:t>
              </w:r>
              <w:r>
                <w:t>10, eerste lid,</w:t>
              </w:r>
              <w:r w:rsidRPr="002609AE">
                <w:t xml:space="preserve"> </w:t>
              </w:r>
              <w:r>
                <w:t xml:space="preserve">van de </w:t>
              </w:r>
              <w:r w:rsidRPr="002609AE">
                <w:t xml:space="preserve">Grondwet </w:t>
              </w:r>
              <w:r>
                <w:t xml:space="preserve">weliswaar </w:t>
              </w:r>
              <w:r w:rsidRPr="002609AE">
                <w:t xml:space="preserve">dat het recht op eerbiediging van de persoonlijke levenssfeer </w:t>
              </w:r>
              <w:r>
                <w:t>bij of krachtens wet in formele zin</w:t>
              </w:r>
              <w:r w:rsidRPr="002609AE">
                <w:t xml:space="preserve"> mag worden beperkt</w:t>
              </w:r>
              <w:r>
                <w:t>, maar d</w:t>
              </w:r>
              <w:r w:rsidRPr="002609AE">
                <w:t xml:space="preserve">e </w:t>
              </w:r>
              <w:r>
                <w:t>grond</w:t>
              </w:r>
              <w:r w:rsidRPr="002609AE">
                <w:t xml:space="preserve">wetgever </w:t>
              </w:r>
              <w:r>
                <w:t xml:space="preserve">geeft in die bepaling de wetgever geen </w:t>
              </w:r>
              <w:r w:rsidRPr="00E571D7">
                <w:rPr>
                  <w:i/>
                  <w:iCs/>
                </w:rPr>
                <w:t>carte blanche</w:t>
              </w:r>
              <w:r>
                <w:t xml:space="preserve"> bij het delegeren van die </w:t>
              </w:r>
              <w:r w:rsidRPr="002609AE">
                <w:t>bevoegdheid aan lagere regelgevers.</w:t>
              </w:r>
              <w:r>
                <w:t xml:space="preserve"> </w:t>
              </w:r>
              <w:r w:rsidRPr="002609AE">
                <w:t>De beperkingen op het grondrecht moeten worden gespecificeerd en er dient, in elk geval op hoofdlijnen, een belangenafweging plaats te vinden in het licht van artikel 10 van de Grondwet op het niveau van de formele wet</w:t>
              </w:r>
              <w:r>
                <w:t>.</w:t>
              </w:r>
              <w:r>
                <w:rPr>
                  <w:rStyle w:val="Voetnootmarkering"/>
                </w:rPr>
                <w:footnoteReference w:id="106"/>
              </w:r>
            </w:p>
            <w:p w:rsidR="00E25919" w:rsidP="00E25919" w:rsidRDefault="00E41AAE" w14:paraId="5CEDACFE" w14:textId="77777777"/>
            <w:p w:rsidR="00E25919" w:rsidP="00E25919" w:rsidRDefault="00042A08" w14:paraId="25127C85" w14:textId="77777777">
              <w:pPr>
                <w:contextualSpacing/>
              </w:pPr>
              <w:r>
                <w:t xml:space="preserve">Het voorliggende voorstel bevat in het geheel geen toelichting op de reden dat de genoemde onderwerpen volledig bij algemene maatregel van bestuur of bij ministeriële regeling zouden moeten en </w:t>
              </w:r>
              <w:r w:rsidRPr="00E571D7">
                <w:rPr>
                  <w:i/>
                  <w:iCs/>
                </w:rPr>
                <w:t>kunnen</w:t>
              </w:r>
              <w:r>
                <w:t xml:space="preserve"> worden geregeld. Voor de regelingen aangaande de registratie van donorgegevens bij kunstmatige bevruchting en met betrekking tot adoptie zijn bij formele wet echter wel de wezenlijke onderdelen bepaald, zoals welke gegevens in het betreffende register worden opgenomen en van wie, wie het register beheert, onder welke voorwaarden verstrekking mogelijk is, en de termijn voor bewaring van deze gegevens.</w:t>
              </w:r>
            </w:p>
            <w:p w:rsidR="00E25919" w:rsidP="00E25919" w:rsidRDefault="00E41AAE" w14:paraId="513FB18A" w14:textId="77777777">
              <w:pPr>
                <w:contextualSpacing/>
              </w:pPr>
            </w:p>
            <w:p w:rsidR="00E25919" w:rsidP="00E25919" w:rsidRDefault="00042A08" w14:paraId="138ACFF4" w14:textId="77777777">
              <w:pPr>
                <w:contextualSpacing/>
                <w:rPr>
                  <w:rFonts w:cstheme="minorHAnsi"/>
                  <w:i/>
                  <w:iCs/>
                  <w:szCs w:val="18"/>
                </w:rPr>
              </w:pPr>
              <w:r>
                <w:t xml:space="preserve">Omdat het voorstel de wezenlijke onderdelen van een regeling voor een afstammingsregister niet bevat en een nadere toelichting op de inhoud van de te treffen regeling ook ontbreekt, is volgens de Afdeling niet voldaan aan de </w:t>
              </w:r>
              <w:r>
                <w:rPr>
                  <w:rFonts w:cstheme="minorHAnsi"/>
                  <w:szCs w:val="18"/>
                </w:rPr>
                <w:t>vereisten van artikel 10 van de Grondwet. Zij adviseert de voorgestelde regeling aan te passen en in de toelichting een nadere afweging op te nemen, mede in het licht van artikel 10 van de Grondwet.</w:t>
              </w:r>
            </w:p>
            <w:p w:rsidR="00E25919" w:rsidP="00E25919" w:rsidRDefault="00E41AAE" w14:paraId="4F588ECB" w14:textId="77777777">
              <w:pPr>
                <w:contextualSpacing/>
                <w:jc w:val="both"/>
                <w:rPr>
                  <w:rFonts w:cstheme="minorHAnsi"/>
                  <w:i/>
                  <w:iCs/>
                  <w:szCs w:val="18"/>
                </w:rPr>
              </w:pPr>
            </w:p>
            <w:p w:rsidRPr="000B7F85" w:rsidR="00E25919" w:rsidP="00E25919" w:rsidRDefault="00042A08" w14:paraId="136AE2B5" w14:textId="77777777">
              <w:pPr>
                <w:pStyle w:val="Lijstalinea"/>
                <w:numPr>
                  <w:ilvl w:val="0"/>
                  <w:numId w:val="37"/>
                </w:numPr>
                <w:ind w:hanging="720"/>
                <w:rPr>
                  <w:u w:val="single"/>
                </w:rPr>
              </w:pPr>
              <w:r w:rsidRPr="000B7F85">
                <w:rPr>
                  <w:u w:val="single"/>
                </w:rPr>
                <w:t>Verruiming mogelijkheden beëindiging ouderschap</w:t>
              </w:r>
            </w:p>
            <w:p w:rsidR="00E25919" w:rsidP="00E25919" w:rsidRDefault="00E41AAE" w14:paraId="0687EEE2" w14:textId="77777777"/>
            <w:p w:rsidR="00E25919" w:rsidP="00E25919" w:rsidRDefault="00042A08" w14:paraId="27E3FF43" w14:textId="77777777">
              <w:r>
                <w:t>In de brief van 12 juli 2019 kondigde het kabinet aan de mogelijkheden om de ouderschapsband te verbreken te zullen verruimen.</w:t>
              </w:r>
              <w:r>
                <w:rPr>
                  <w:rStyle w:val="Voetnootmarkering"/>
                </w:rPr>
                <w:footnoteReference w:id="107"/>
              </w:r>
              <w:r>
                <w:t xml:space="preserve"> Dit voornemen heeft vorm gekregen in voorgesteld artikel 1:222 BW, dat bepaalt dat een verzoek van een meerderjarig kind tot beëindiging van het ouderschap alleen kan worden toegewezen “indien de beëindiging in het kennelijk belang van het kind is en de rechtbank van de redelijkheid van de beëindiging in gemoede overtuigd is”. </w:t>
              </w:r>
            </w:p>
            <w:p w:rsidR="00E25919" w:rsidP="00E25919" w:rsidRDefault="00E41AAE" w14:paraId="70C478CA" w14:textId="77777777"/>
            <w:p w:rsidR="00E25919" w:rsidP="00E25919" w:rsidRDefault="00042A08" w14:paraId="3C5ADA37" w14:textId="77777777">
              <w:pPr>
                <w:contextualSpacing/>
              </w:pPr>
              <w:r>
                <w:t>Met de voorgestelde verruiming geeft het kabinet vorm aan een aanbeveling van de Staatscommissie Herijking ouderschap, die daarbij zeer uitzonderlijke gevallen op het oog had, zoals een situatie waarin uithuisplaatsing na mishandeling of verwaarlozing heeft plaatsgevonden, of waarin de ene ouder de andere ouder om het leven heeft gebracht en het kind geen enkele band meer voelt met de overlevende ouder. Tegen die achtergrond adviseert de Staatscommissie mogelijk te maken dat volwassen geworden kinderen het ouderschap van hun juridische ouders door de rechter ongedaan kunnen laten maken, ook als het een genetische ouder of geboortemoeder betreft.</w:t>
              </w:r>
              <w:r>
                <w:rPr>
                  <w:rStyle w:val="Voetnootmarkering"/>
                </w:rPr>
                <w:footnoteReference w:id="108"/>
              </w:r>
              <w:r>
                <w:t xml:space="preserve"> </w:t>
              </w:r>
            </w:p>
            <w:p w:rsidR="00E25919" w:rsidP="00E25919" w:rsidRDefault="00E41AAE" w14:paraId="04723B23" w14:textId="77777777">
              <w:pPr>
                <w:contextualSpacing/>
              </w:pPr>
            </w:p>
            <w:p w:rsidR="00E361AD" w:rsidP="00E25919" w:rsidRDefault="00042A08" w14:paraId="2D53684F" w14:textId="77777777">
              <w:pPr>
                <w:contextualSpacing/>
              </w:pPr>
              <w:r>
                <w:t>De toelichting gaat evenwel niet in op deze context. Evenmin wordt duidelijk voor welk probleem de voorgestelde verruiming een oplossing beoogt te bieden.</w:t>
              </w:r>
              <w:r w:rsidRPr="00AA5E2C">
                <w:rPr>
                  <w:rStyle w:val="Voetnootmarkering"/>
                </w:rPr>
                <w:footnoteReference w:id="109"/>
              </w:r>
              <w:r>
                <w:t xml:space="preserve"> Daarmee rijst de vraag naar het nut en de noodzaak van de voorgestelde ruime regeling. Daarnaast merkt de Afdeling op dat de toelichting nadere regels stelt, nu daarin wordt opgemerkt dat een verzoek van een meerderjarig kind tot beëindiging van het ouderschap slechts kan worden ingewilligd wanneer sprake is van </w:t>
              </w:r>
            </w:p>
            <w:p w:rsidR="00E361AD" w:rsidP="00E361AD" w:rsidRDefault="00042A08" w14:paraId="73D57A2F" w14:textId="77777777">
              <w:pPr>
                <w:pStyle w:val="Lijstalinea"/>
                <w:numPr>
                  <w:ilvl w:val="0"/>
                  <w:numId w:val="44"/>
                </w:numPr>
                <w:ind w:left="284" w:hanging="284"/>
                <w:contextualSpacing/>
              </w:pPr>
              <w:r>
                <w:t xml:space="preserve">een ernstig verstoorde relatie tussen het kind en diens ouders, waarbij </w:t>
              </w:r>
            </w:p>
            <w:p w:rsidR="00E361AD" w:rsidP="00E361AD" w:rsidRDefault="00042A08" w14:paraId="5FBD54F5" w14:textId="3961983D">
              <w:pPr>
                <w:pStyle w:val="Lijstalinea"/>
                <w:numPr>
                  <w:ilvl w:val="0"/>
                  <w:numId w:val="44"/>
                </w:numPr>
                <w:ind w:left="284" w:hanging="284"/>
                <w:contextualSpacing/>
              </w:pPr>
              <w:r>
                <w:t>het voorbestaan van die relatie evident in strijd komt met het belang van het kind.</w:t>
              </w:r>
              <w:r>
                <w:rPr>
                  <w:rStyle w:val="Voetnootmarkering"/>
                </w:rPr>
                <w:footnoteReference w:id="110"/>
              </w:r>
              <w:r>
                <w:t xml:space="preserve"> </w:t>
              </w:r>
            </w:p>
            <w:p w:rsidR="00E25919" w:rsidP="00E361AD" w:rsidRDefault="00042A08" w14:paraId="7D712CD1" w14:textId="77777777">
              <w:pPr>
                <w:contextualSpacing/>
              </w:pPr>
              <w:r>
                <w:t>Als zodanig bevat de toelichting aanvullende normen, die in de wettelijke regeling zelf dienen te worden vastgelegd.</w:t>
              </w:r>
              <w:r>
                <w:rPr>
                  <w:rStyle w:val="Voetnootmarkering"/>
                </w:rPr>
                <w:footnoteReference w:id="111"/>
              </w:r>
              <w:r>
                <w:t xml:space="preserve"> </w:t>
              </w:r>
            </w:p>
            <w:p w:rsidR="00E25919" w:rsidP="00E25919" w:rsidRDefault="00E41AAE" w14:paraId="79D14AC1" w14:textId="77777777">
              <w:pPr>
                <w:contextualSpacing/>
              </w:pPr>
            </w:p>
            <w:p w:rsidR="00E25919" w:rsidP="00E25919" w:rsidRDefault="00042A08" w14:paraId="6D2DBFA1" w14:textId="77777777">
              <w:pPr>
                <w:contextualSpacing/>
              </w:pPr>
              <w:r>
                <w:t xml:space="preserve">Mede gelet op het ingrijpende karakter van de regeling evenals de onomkeerbaarheid van de regeling en de gevolgen die zij meebrengt, adviseert de Afdeling in de toelichting een dragende motivering te bieden voor de voorgestelde verruiming en, indien deze regeling wordt gehandhaafd, strenge voorwaarden voor inwilliging van het verzoek tot beëindiging van het ouderschap op te nemen in de wettelijke regeling zelf. </w:t>
              </w:r>
            </w:p>
            <w:p w:rsidR="00E25919" w:rsidP="00E25919" w:rsidRDefault="00E41AAE" w14:paraId="0F1D6486" w14:textId="77777777">
              <w:pPr>
                <w:contextualSpacing/>
                <w:rPr>
                  <w:rFonts w:cstheme="minorHAnsi"/>
                  <w:i/>
                  <w:iCs/>
                  <w:szCs w:val="18"/>
                </w:rPr>
              </w:pPr>
            </w:p>
            <w:p w:rsidRPr="000B7F85" w:rsidR="00E25919" w:rsidP="00E25919" w:rsidRDefault="00042A08" w14:paraId="75A624D8" w14:textId="77777777">
              <w:pPr>
                <w:pStyle w:val="Lijstalinea"/>
                <w:numPr>
                  <w:ilvl w:val="0"/>
                  <w:numId w:val="37"/>
                </w:numPr>
                <w:ind w:hanging="720"/>
                <w:rPr>
                  <w:u w:val="single"/>
                </w:rPr>
              </w:pPr>
              <w:r w:rsidRPr="000B7F85">
                <w:rPr>
                  <w:u w:val="single"/>
                </w:rPr>
                <w:t>Afschaffing termijnen</w:t>
              </w:r>
            </w:p>
            <w:p w:rsidR="00E25919" w:rsidP="00E25919" w:rsidRDefault="00E41AAE" w14:paraId="01E06D35" w14:textId="77777777">
              <w:pPr>
                <w:contextualSpacing/>
              </w:pPr>
            </w:p>
            <w:p w:rsidR="00E25919" w:rsidP="00E25919" w:rsidRDefault="00042A08" w14:paraId="19CA2BC0" w14:textId="77777777">
              <w:pPr>
                <w:contextualSpacing/>
              </w:pPr>
              <w:r>
                <w:t>Uit het oogpunt van rechtszekerheid zijn er termijnen gesteld waarbinnen het niet-biologische ouderschap kan worden ontkend of een erkenning kan worden vernietigd.</w:t>
              </w:r>
              <w:r>
                <w:rPr>
                  <w:rStyle w:val="Voetnootmarkering"/>
                </w:rPr>
                <w:footnoteReference w:id="112"/>
              </w:r>
              <w:r>
                <w:t xml:space="preserve"> Deze termijnen zijn relatief kort. Zo kan een verzoek tot gegrondverklaring van de ontkenning van het vaderschap worden ingediend tot drie jaar nadat een kind bekend is geworden met het feit dat zijn vader vermoedelijk niet zijn biologische vader is. </w:t>
              </w:r>
            </w:p>
            <w:p w:rsidR="00E25919" w:rsidP="00E25919" w:rsidRDefault="00E41AAE" w14:paraId="7BFD1FA5" w14:textId="77777777">
              <w:pPr>
                <w:contextualSpacing/>
              </w:pPr>
            </w:p>
            <w:p w:rsidR="00E25919" w:rsidP="00E25919" w:rsidRDefault="00042A08" w14:paraId="38B3E4F1" w14:textId="77777777">
              <w:pPr>
                <w:autoSpaceDE w:val="0"/>
                <w:autoSpaceDN w:val="0"/>
                <w:adjustRightInd w:val="0"/>
              </w:pPr>
              <w:r>
                <w:t>De toelichting suggereert dat de termijnen in strijd zijn met artikel 8 EVRM en daarom dienen te worden afgeschaft.</w:t>
              </w:r>
              <w:r>
                <w:rPr>
                  <w:rStyle w:val="Voetnootmarkering"/>
                </w:rPr>
                <w:footnoteReference w:id="113"/>
              </w:r>
              <w:r>
                <w:t xml:space="preserve"> De Afdeling merkt in dit verband op dat lagere rechtspraak de termijnen weliswaar soms in strijd met artikel 8 EVRM heeft geoordeeld, maar dat de Hoge Raad tot een andere conclusie komt. Volgens de Hoge Raad zijn de termijnen noodzakelijk in een democratische samenleving met het oog op de rechtszekerheid en de bescherming van de belangen van het kind. Daarmee is volgens de Hoge Raad geen sprake van een ongerechtvaardigde inmenging in het familie- en gezinsleven in de zin van artikel 8 EVRM.</w:t>
              </w:r>
              <w:r>
                <w:rPr>
                  <w:rStyle w:val="Voetnootmarkering"/>
                </w:rPr>
                <w:footnoteReference w:id="114"/>
              </w:r>
              <w:r>
                <w:t xml:space="preserve"> Deze rechtspraak sluit aan bij die van het EHRM, dat oordeelde dat het verbinden van termijnen aan de ontkenning van het vaderschap binnen de beleidsvrijheid van verdragsstaten valt en derhalve geen strijd oplevert met artikel 8 EVRM.</w:t>
              </w:r>
              <w:r>
                <w:rPr>
                  <w:rStyle w:val="Voetnootmarkering"/>
                </w:rPr>
                <w:footnoteReference w:id="115"/>
              </w:r>
            </w:p>
            <w:p w:rsidR="00E25919" w:rsidP="00E25919" w:rsidRDefault="00E41AAE" w14:paraId="6862CFE2" w14:textId="77777777">
              <w:pPr>
                <w:contextualSpacing/>
              </w:pPr>
            </w:p>
            <w:p w:rsidR="005E5B84" w:rsidP="00E25919" w:rsidRDefault="00042A08" w14:paraId="31CE053E" w14:textId="77777777">
              <w:pPr>
                <w:contextualSpacing/>
              </w:pPr>
              <w:r>
                <w:t>Daarnaast verdient opmerking dat in de praktijk zo nu en dan al aan de genoemde termijnen voorbij wordt gegaan, bijvoorbeeld als alle belanghebbenden het erover eens zijn dat er een ontkenning of vernietiging van de erkenning kan plaatsvinden en er vervolgens een nieuwe juridische ouder is die het ouderschap op zich neemt.</w:t>
              </w:r>
              <w:r>
                <w:rPr>
                  <w:rStyle w:val="Voetnootmarkering"/>
                </w:rPr>
                <w:footnoteReference w:id="116"/>
              </w:r>
              <w:r>
                <w:t xml:space="preserve"> Een kale schrapping van de termijnen voor het kind om het ouderschap te ontkennen of een erkenning te vernietigen, komt neer op een nieuwe mogelijkheid tot beëindiging van het ouderschap. </w:t>
              </w:r>
            </w:p>
            <w:p w:rsidR="005E5B84" w:rsidP="00E25919" w:rsidRDefault="00E41AAE" w14:paraId="47ABE3D4" w14:textId="77777777">
              <w:pPr>
                <w:contextualSpacing/>
              </w:pPr>
            </w:p>
            <w:p w:rsidR="00E25919" w:rsidP="00E25919" w:rsidRDefault="00042A08" w14:paraId="285020B9" w14:textId="77777777">
              <w:pPr>
                <w:contextualSpacing/>
              </w:pPr>
              <w:r>
                <w:t>De vraag rijst dan ook hoe deze voorstellen zich verhouden tot het voorgestelde artikel 1:222 BW. Daarnaast laat de rechtspraktijk zien dat een ontkenning van het ouderschap of vernietiging van de erkenning die gesteund wordt door de andere ouder, vaak gepaard gaat met een erkenning door de biologische ouder. Het juridische ouderschap van de niet-biologische ouder wordt dan als het ware ingewisseld voor het juridische ouderschap van de biologische ouder.</w:t>
              </w:r>
            </w:p>
            <w:p w:rsidR="00E25919" w:rsidP="00E25919" w:rsidRDefault="00042A08" w14:paraId="2504117B" w14:textId="77777777">
              <w:pPr>
                <w:contextualSpacing/>
              </w:pPr>
              <w:r>
                <w:t xml:space="preserve"> </w:t>
              </w:r>
            </w:p>
            <w:p w:rsidRPr="00C10814" w:rsidR="00E25919" w:rsidP="00E25919" w:rsidRDefault="00042A08" w14:paraId="281F5EF9" w14:textId="77777777">
              <w:pPr>
                <w:contextualSpacing/>
              </w:pPr>
              <w:r>
                <w:t>Gelet op het voorgaande adviseert de Afdeling om bij schrapping van de termijnen de afbakening met de voorgestelde regeling voor beëindiging van het ouderschap te verduidelijken. Zij adviseert om aan de ontkenning van het ouderschap of vernietiging van de erkenning zo nodig nadere voorwaarden te stellen, zoals die in de rechtspraktijk ook aan de orde zijn.</w:t>
              </w:r>
            </w:p>
            <w:p w:rsidR="00E25919" w:rsidP="00E25919" w:rsidRDefault="00E41AAE" w14:paraId="568B2E47" w14:textId="77777777">
              <w:pPr>
                <w:pStyle w:val="Lijstalinea"/>
                <w:ind w:left="0"/>
              </w:pPr>
            </w:p>
            <w:p w:rsidRPr="000B7F85" w:rsidR="00E25919" w:rsidP="00E25919" w:rsidRDefault="00042A08" w14:paraId="347B3FFF" w14:textId="77777777">
              <w:pPr>
                <w:pStyle w:val="Lijstalinea"/>
                <w:numPr>
                  <w:ilvl w:val="0"/>
                  <w:numId w:val="37"/>
                </w:numPr>
                <w:tabs>
                  <w:tab w:val="left" w:pos="709"/>
                </w:tabs>
                <w:ind w:hanging="720"/>
                <w:rPr>
                  <w:u w:val="single"/>
                </w:rPr>
              </w:pPr>
              <w:r w:rsidRPr="000B7F85">
                <w:rPr>
                  <w:u w:val="single"/>
                </w:rPr>
                <w:t>Versterking bescherming minderjarige ouders</w:t>
              </w:r>
            </w:p>
            <w:p w:rsidR="00E25919" w:rsidP="00E25919" w:rsidRDefault="00E41AAE" w14:paraId="7752EA2E" w14:textId="77777777"/>
            <w:p w:rsidR="00E25919" w:rsidP="00E25919" w:rsidRDefault="00042A08" w14:paraId="42EEF107" w14:textId="77777777">
              <w:r>
                <w:t>Momenteel is erkenning van een kind mogelijk door een minderjarige van 16 jaar of ouder. Minderjarige moeders kunnen altijd toestemming geven voor de erkenning, ongeacht de leeftijd van de moeder. Het wetsvoorstel past de huidige regeling aan overeenkomstig het uitgangspunt van de Staatscommissie dat ouderschap een volwassen aangelegenheid is.</w:t>
              </w:r>
              <w:r>
                <w:rPr>
                  <w:rStyle w:val="Voetnootmarkering"/>
                </w:rPr>
                <w:footnoteReference w:id="117"/>
              </w:r>
              <w:r>
                <w:t xml:space="preserve"> </w:t>
              </w:r>
              <w:r w:rsidRPr="008B3D44">
                <w:t xml:space="preserve">Voor erkenning of toestemming voor erkenning </w:t>
              </w:r>
              <w:r>
                <w:t xml:space="preserve">van een kind </w:t>
              </w:r>
              <w:r w:rsidRPr="008B3D44">
                <w:t xml:space="preserve">tijdens de minderjarigheid van de ouder </w:t>
              </w:r>
              <w:r>
                <w:t>wordt geregeld</w:t>
              </w:r>
              <w:r w:rsidRPr="008B3D44">
                <w:t xml:space="preserve"> dat eerst om toestemming van de rechter zal moeten worden verzocht.</w:t>
              </w:r>
              <w:r>
                <w:t xml:space="preserve"> </w:t>
              </w:r>
              <w:r w:rsidRPr="008B3D44">
                <w:t>Een verzoek hiertoe is mogelijk vanaf het bereiken van de leeftijd van 16 jaar</w:t>
              </w:r>
              <w:r>
                <w:t>.</w:t>
              </w:r>
              <w:r>
                <w:rPr>
                  <w:rStyle w:val="Voetnootmarkering"/>
                </w:rPr>
                <w:footnoteReference w:id="118"/>
              </w:r>
              <w:r w:rsidRPr="008B3D44">
                <w:t xml:space="preserve"> </w:t>
              </w:r>
              <w:r>
                <w:t>Naar het oordeel van het kabinet versterkt dit voorstel de positie van de jonge ouder en past dit in de trend van een betere bescherming van minderjarigen.</w:t>
              </w:r>
              <w:r>
                <w:rPr>
                  <w:rStyle w:val="Voetnootmarkering"/>
                </w:rPr>
                <w:footnoteReference w:id="119"/>
              </w:r>
              <w:r>
                <w:t xml:space="preserve"> </w:t>
              </w:r>
            </w:p>
            <w:p w:rsidR="00E25919" w:rsidP="00E25919" w:rsidRDefault="00E41AAE" w14:paraId="63A17F5E" w14:textId="77777777"/>
            <w:p w:rsidR="00E25919" w:rsidP="00E25919" w:rsidRDefault="00042A08" w14:paraId="45A03395" w14:textId="77777777">
              <w:r>
                <w:t>De vraag rijst of deze verhoogde drempel voor minderjarige ouders voor de hand ligt, gelet op andere bevoegdheden die een 16-jarige wel zelfstandig heeft of krijgt en die evenzeer ingrijpend zijn, zoals het recht te beslissen over medische behandelingen die hem aangaan (bijvoorbeeld abortus) en een recht op toegang tot afstammingsinformatie.</w:t>
              </w:r>
            </w:p>
            <w:p w:rsidR="00E25919" w:rsidP="00E25919" w:rsidRDefault="00E41AAE" w14:paraId="2DE7AD54" w14:textId="77777777"/>
            <w:p w:rsidRPr="005613B4" w:rsidR="00E25919" w:rsidP="00E25919" w:rsidRDefault="00042A08" w14:paraId="2BF12CF5" w14:textId="77777777">
              <w:pPr>
                <w:rPr>
                  <w:color w:val="0070C0"/>
                </w:rPr>
              </w:pPr>
              <w:r>
                <w:t>De Afdeling adviseert in de toelichting een nadere motivering te bieden voor de verhoogde drempel voor erkenning van een kind door minderjarige ouders.</w:t>
              </w:r>
              <w:r w:rsidRPr="00E5433C">
                <w:rPr>
                  <w:color w:val="0070C0"/>
                </w:rPr>
                <w:t xml:space="preserve"> </w:t>
              </w:r>
            </w:p>
          </w:sdtContent>
        </w:sdt>
        <w:p w:rsidR="003A1FC7" w:rsidRDefault="003A1FC7" w14:paraId="5E568ABE" w14:textId="77777777"/>
        <w:sdt>
          <w:sdtPr>
            <w:alias w:val="Dictum"/>
            <w:tag w:val="Dictum"/>
            <w:id w:val="1621489950"/>
            <w:lock w:val="sdtContentLocked"/>
            <w:placeholder>
              <w:docPart w:val="DefaultPlaceholder_1082065158"/>
            </w:placeholder>
            <w:text w:multiLine="1"/>
          </w:sdtPr>
          <w:sdtEndPr/>
          <w:sdtContent>
            <w:p w:rsidR="0066196B" w:rsidRDefault="00042A08" w14:paraId="39158FC3"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66196B"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5B41" w14:textId="77777777" w:rsidR="00E25919" w:rsidRDefault="00042A08" w:rsidP="005B3E03">
      <w:r>
        <w:separator/>
      </w:r>
    </w:p>
  </w:endnote>
  <w:endnote w:type="continuationSeparator" w:id="0">
    <w:p w14:paraId="0A56F724" w14:textId="77777777" w:rsidR="00E25919" w:rsidRDefault="00042A0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FiraSans-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75E4"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F139799" wp14:editId="3DABB8D3">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F02B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39799"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34DF02B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94505" w14:textId="77777777" w:rsidR="00E25919" w:rsidRDefault="00042A08" w:rsidP="005B3E03">
      <w:r>
        <w:separator/>
      </w:r>
    </w:p>
  </w:footnote>
  <w:footnote w:type="continuationSeparator" w:id="0">
    <w:p w14:paraId="3E3E75EE" w14:textId="77777777" w:rsidR="00E25919" w:rsidRDefault="00042A08" w:rsidP="005B3E03">
      <w:r>
        <w:continuationSeparator/>
      </w:r>
    </w:p>
  </w:footnote>
  <w:footnote w:id="1">
    <w:p w14:paraId="7FDE543C" w14:textId="77777777" w:rsidR="00E25919" w:rsidRDefault="00042A08" w:rsidP="004B7C93">
      <w:pPr>
        <w:pStyle w:val="Voetnoottekst"/>
        <w:tabs>
          <w:tab w:val="clear" w:pos="227"/>
          <w:tab w:val="left" w:pos="284"/>
        </w:tabs>
        <w:ind w:left="284" w:hanging="284"/>
      </w:pPr>
      <w:r>
        <w:rPr>
          <w:rStyle w:val="Voetnootmarkering"/>
        </w:rPr>
        <w:footnoteRef/>
      </w:r>
      <w:r>
        <w:t xml:space="preserve"> </w:t>
      </w:r>
      <w:r>
        <w:tab/>
        <w:t>Memorie van toelichting, paragraaf 4.1.</w:t>
      </w:r>
    </w:p>
  </w:footnote>
  <w:footnote w:id="2">
    <w:p w14:paraId="0F527CFB" w14:textId="123653EF" w:rsidR="00E25919" w:rsidRDefault="00042A08" w:rsidP="004B7C93">
      <w:pPr>
        <w:pStyle w:val="Voetnoottekst"/>
        <w:tabs>
          <w:tab w:val="clear" w:pos="227"/>
          <w:tab w:val="left" w:pos="284"/>
        </w:tabs>
        <w:ind w:left="284" w:hanging="284"/>
      </w:pPr>
      <w:r>
        <w:rPr>
          <w:rStyle w:val="Voetnootmarkering"/>
        </w:rPr>
        <w:footnoteRef/>
      </w:r>
      <w:r>
        <w:t xml:space="preserve"> </w:t>
      </w:r>
      <w:r>
        <w:tab/>
        <w:t>V</w:t>
      </w:r>
      <w:r w:rsidRPr="0075127C">
        <w:t>oorgesteld art</w:t>
      </w:r>
      <w:r>
        <w:t>ikel</w:t>
      </w:r>
      <w:r w:rsidRPr="0075127C">
        <w:t xml:space="preserve"> 1:214-1:215 BW</w:t>
      </w:r>
      <w:r>
        <w:t xml:space="preserve">; Memorie van </w:t>
      </w:r>
      <w:r w:rsidRPr="0075127C">
        <w:t xml:space="preserve">toelichting, </w:t>
      </w:r>
      <w:r>
        <w:t>paragraaf</w:t>
      </w:r>
      <w:r w:rsidRPr="0075127C">
        <w:t xml:space="preserve"> 4.5</w:t>
      </w:r>
      <w:r>
        <w:t>, en artikelsgewijze toelichting op v</w:t>
      </w:r>
      <w:r w:rsidRPr="0075127C">
        <w:t xml:space="preserve">oorgesteld </w:t>
      </w:r>
      <w:r>
        <w:t xml:space="preserve">artikel </w:t>
      </w:r>
      <w:r w:rsidRPr="0075127C">
        <w:t>1:214-1:215 BW</w:t>
      </w:r>
      <w:r>
        <w:t>.</w:t>
      </w:r>
    </w:p>
  </w:footnote>
  <w:footnote w:id="3">
    <w:p w14:paraId="6A917456" w14:textId="77777777" w:rsidR="00E25919" w:rsidRDefault="00042A08" w:rsidP="004B7C93">
      <w:pPr>
        <w:pStyle w:val="Voetnoottekst"/>
        <w:tabs>
          <w:tab w:val="clear" w:pos="227"/>
          <w:tab w:val="left" w:pos="284"/>
        </w:tabs>
        <w:ind w:left="284" w:hanging="284"/>
      </w:pPr>
      <w:r>
        <w:rPr>
          <w:rStyle w:val="Voetnootmarkering"/>
        </w:rPr>
        <w:footnoteRef/>
      </w:r>
      <w:r>
        <w:t xml:space="preserve"> </w:t>
      </w:r>
      <w:r>
        <w:tab/>
        <w:t>Voorgesteld artikel 1:216 BW en de artikelsgewijze toelichting op die bepaling.</w:t>
      </w:r>
    </w:p>
  </w:footnote>
  <w:footnote w:id="4">
    <w:p w14:paraId="6928E832" w14:textId="493EBF15" w:rsidR="00E25919" w:rsidRDefault="00042A08" w:rsidP="004B7C93">
      <w:pPr>
        <w:pStyle w:val="Voetnoottekst"/>
        <w:tabs>
          <w:tab w:val="clear" w:pos="227"/>
          <w:tab w:val="left" w:pos="284"/>
        </w:tabs>
        <w:ind w:left="284" w:hanging="284"/>
      </w:pPr>
      <w:r>
        <w:rPr>
          <w:rStyle w:val="Voetnootmarkering"/>
        </w:rPr>
        <w:footnoteRef/>
      </w:r>
      <w:r>
        <w:t xml:space="preserve"> </w:t>
      </w:r>
      <w:r>
        <w:tab/>
        <w:t>Voorgestelde w</w:t>
      </w:r>
      <w:r w:rsidRPr="0075127C">
        <w:t>ijzig</w:t>
      </w:r>
      <w:r>
        <w:t>ing van</w:t>
      </w:r>
      <w:r w:rsidRPr="0075127C">
        <w:t xml:space="preserve"> </w:t>
      </w:r>
      <w:r>
        <w:t xml:space="preserve">artikel </w:t>
      </w:r>
      <w:r w:rsidRPr="0075127C">
        <w:t>1:20 BW en</w:t>
      </w:r>
      <w:r>
        <w:t xml:space="preserve"> Memorie van</w:t>
      </w:r>
      <w:r w:rsidRPr="0075127C">
        <w:t xml:space="preserve"> toelichting, </w:t>
      </w:r>
      <w:r>
        <w:t>paragraaf</w:t>
      </w:r>
      <w:r w:rsidRPr="0075127C">
        <w:t xml:space="preserve"> 4.6</w:t>
      </w:r>
      <w:r>
        <w:t>.</w:t>
      </w:r>
    </w:p>
  </w:footnote>
  <w:footnote w:id="5">
    <w:p w14:paraId="6160C803" w14:textId="56F816AA" w:rsidR="00E25919" w:rsidRDefault="00042A08" w:rsidP="004B7C93">
      <w:pPr>
        <w:pStyle w:val="Voetnoottekst"/>
        <w:tabs>
          <w:tab w:val="clear" w:pos="227"/>
          <w:tab w:val="left" w:pos="284"/>
        </w:tabs>
        <w:ind w:left="284" w:hanging="284"/>
      </w:pPr>
      <w:r>
        <w:rPr>
          <w:rStyle w:val="Voetnootmarkering"/>
        </w:rPr>
        <w:footnoteRef/>
      </w:r>
      <w:r>
        <w:t xml:space="preserve"> </w:t>
      </w:r>
      <w:r>
        <w:tab/>
        <w:t xml:space="preserve">Voorgestelde wijziging van artikel </w:t>
      </w:r>
      <w:r w:rsidRPr="0075127C">
        <w:t xml:space="preserve">1:22 BW en </w:t>
      </w:r>
      <w:r>
        <w:t xml:space="preserve">Memorie van </w:t>
      </w:r>
      <w:r w:rsidRPr="0075127C">
        <w:t xml:space="preserve">toelichting, </w:t>
      </w:r>
      <w:r>
        <w:t>paragraaf</w:t>
      </w:r>
      <w:r w:rsidRPr="0075127C">
        <w:t xml:space="preserve"> 4.6</w:t>
      </w:r>
      <w:r>
        <w:t xml:space="preserve">. </w:t>
      </w:r>
    </w:p>
  </w:footnote>
  <w:footnote w:id="6">
    <w:p w14:paraId="58E612F9" w14:textId="41683CFA" w:rsidR="00E25919" w:rsidRDefault="00042A08" w:rsidP="004B7C93">
      <w:pPr>
        <w:pStyle w:val="Voetnoottekst"/>
        <w:tabs>
          <w:tab w:val="clear" w:pos="227"/>
          <w:tab w:val="left" w:pos="284"/>
        </w:tabs>
        <w:ind w:left="284" w:hanging="284"/>
      </w:pPr>
      <w:r>
        <w:rPr>
          <w:rStyle w:val="Voetnootmarkering"/>
        </w:rPr>
        <w:footnoteRef/>
      </w:r>
      <w:r>
        <w:t xml:space="preserve"> </w:t>
      </w:r>
      <w:r>
        <w:tab/>
        <w:t>V</w:t>
      </w:r>
      <w:r w:rsidRPr="0075127C">
        <w:t>oorgesteld</w:t>
      </w:r>
      <w:r>
        <w:t>e wijziging van</w:t>
      </w:r>
      <w:r w:rsidRPr="0075127C">
        <w:t xml:space="preserve"> </w:t>
      </w:r>
      <w:r>
        <w:t xml:space="preserve">artikel </w:t>
      </w:r>
      <w:r w:rsidRPr="0075127C">
        <w:t xml:space="preserve">1:219 BW en </w:t>
      </w:r>
      <w:r>
        <w:t xml:space="preserve">Memorie van </w:t>
      </w:r>
      <w:r w:rsidRPr="0075127C">
        <w:t xml:space="preserve">toelichting, </w:t>
      </w:r>
      <w:r>
        <w:t>paragraaf</w:t>
      </w:r>
      <w:r w:rsidRPr="0075127C">
        <w:t xml:space="preserve"> 4.7</w:t>
      </w:r>
      <w:r>
        <w:t xml:space="preserve">. </w:t>
      </w:r>
    </w:p>
  </w:footnote>
  <w:footnote w:id="7">
    <w:p w14:paraId="0D72CC47" w14:textId="04E1BB51" w:rsidR="00E25919" w:rsidRDefault="00042A08" w:rsidP="004B7C93">
      <w:pPr>
        <w:pStyle w:val="Voetnoottekst"/>
        <w:tabs>
          <w:tab w:val="clear" w:pos="227"/>
          <w:tab w:val="left" w:pos="284"/>
        </w:tabs>
        <w:ind w:left="284" w:hanging="284"/>
      </w:pPr>
      <w:r>
        <w:rPr>
          <w:rStyle w:val="Voetnootmarkering"/>
        </w:rPr>
        <w:footnoteRef/>
      </w:r>
      <w:r>
        <w:t xml:space="preserve"> </w:t>
      </w:r>
      <w:r>
        <w:tab/>
        <w:t>V</w:t>
      </w:r>
      <w:r w:rsidRPr="0075127C">
        <w:t xml:space="preserve">oorgesteld </w:t>
      </w:r>
      <w:r>
        <w:t xml:space="preserve">artikel </w:t>
      </w:r>
      <w:r w:rsidRPr="0075127C">
        <w:t xml:space="preserve">10:101a BW en </w:t>
      </w:r>
      <w:r>
        <w:t xml:space="preserve">Memorie van </w:t>
      </w:r>
      <w:r w:rsidRPr="0075127C">
        <w:t xml:space="preserve">toelichting, </w:t>
      </w:r>
      <w:r>
        <w:t>paragraaf</w:t>
      </w:r>
      <w:r w:rsidRPr="0075127C">
        <w:t xml:space="preserve"> 4.8</w:t>
      </w:r>
      <w:r>
        <w:t xml:space="preserve">. </w:t>
      </w:r>
    </w:p>
  </w:footnote>
  <w:footnote w:id="8">
    <w:p w14:paraId="08136FE7" w14:textId="5AA81864" w:rsidR="00E25919" w:rsidRDefault="00042A08" w:rsidP="004B7C93">
      <w:pPr>
        <w:pStyle w:val="Voetnoottekst"/>
        <w:tabs>
          <w:tab w:val="clear" w:pos="227"/>
          <w:tab w:val="left" w:pos="284"/>
        </w:tabs>
        <w:ind w:left="284" w:hanging="284"/>
      </w:pPr>
      <w:r>
        <w:rPr>
          <w:rStyle w:val="Voetnootmarkering"/>
        </w:rPr>
        <w:footnoteRef/>
      </w:r>
      <w:r>
        <w:t xml:space="preserve"> </w:t>
      </w:r>
      <w:r>
        <w:tab/>
        <w:t>Respectievelijk v</w:t>
      </w:r>
      <w:r w:rsidRPr="0075127C">
        <w:t xml:space="preserve">oorgesteld </w:t>
      </w:r>
      <w:r>
        <w:t xml:space="preserve">artikel </w:t>
      </w:r>
      <w:r w:rsidRPr="0075127C">
        <w:t xml:space="preserve">151d Sr </w:t>
      </w:r>
      <w:r>
        <w:t>v</w:t>
      </w:r>
      <w:r w:rsidRPr="0075127C">
        <w:t xml:space="preserve">oorgesteld </w:t>
      </w:r>
      <w:r>
        <w:t xml:space="preserve">artikel </w:t>
      </w:r>
      <w:r w:rsidRPr="0075127C">
        <w:t>442b Sr</w:t>
      </w:r>
      <w:r>
        <w:t xml:space="preserve">; Memorie van </w:t>
      </w:r>
      <w:r w:rsidRPr="0075127C">
        <w:t xml:space="preserve">toelichting, </w:t>
      </w:r>
      <w:r>
        <w:t>paragraaf</w:t>
      </w:r>
      <w:r w:rsidRPr="0075127C">
        <w:t xml:space="preserve"> 5.1</w:t>
      </w:r>
      <w:r>
        <w:t xml:space="preserve">, </w:t>
      </w:r>
      <w:r w:rsidRPr="0075127C">
        <w:t>5.3</w:t>
      </w:r>
      <w:r>
        <w:t xml:space="preserve"> en</w:t>
      </w:r>
      <w:r w:rsidRPr="0075127C">
        <w:t xml:space="preserve"> 5.</w:t>
      </w:r>
      <w:r>
        <w:t>4</w:t>
      </w:r>
      <w:r w:rsidRPr="0075127C">
        <w:t>.</w:t>
      </w:r>
    </w:p>
  </w:footnote>
  <w:footnote w:id="9">
    <w:p w14:paraId="6CB8958E" w14:textId="48FC92E2" w:rsidR="00E25919" w:rsidRDefault="00042A08" w:rsidP="00D9618D">
      <w:pPr>
        <w:pStyle w:val="Voetnoottekst"/>
        <w:tabs>
          <w:tab w:val="clear" w:pos="227"/>
          <w:tab w:val="left" w:pos="284"/>
        </w:tabs>
        <w:ind w:left="284" w:hanging="284"/>
      </w:pPr>
      <w:r>
        <w:rPr>
          <w:rStyle w:val="Voetnootmarkering"/>
        </w:rPr>
        <w:footnoteRef/>
      </w:r>
      <w:r>
        <w:t xml:space="preserve"> </w:t>
      </w:r>
      <w:r>
        <w:tab/>
        <w:t>V</w:t>
      </w:r>
      <w:r w:rsidRPr="0075127C">
        <w:t xml:space="preserve">oorgesteld </w:t>
      </w:r>
      <w:r>
        <w:t xml:space="preserve">artikel </w:t>
      </w:r>
      <w:r w:rsidRPr="0075127C">
        <w:t xml:space="preserve">151b, vierde lid, Sr en </w:t>
      </w:r>
      <w:r>
        <w:t xml:space="preserve">Memorie van </w:t>
      </w:r>
      <w:r w:rsidRPr="0075127C">
        <w:t xml:space="preserve">toelichting, </w:t>
      </w:r>
      <w:r>
        <w:t>paragraaf</w:t>
      </w:r>
      <w:r w:rsidRPr="0075127C">
        <w:t xml:space="preserve"> 5.</w:t>
      </w:r>
      <w:r>
        <w:t>5.</w:t>
      </w:r>
    </w:p>
  </w:footnote>
  <w:footnote w:id="10">
    <w:p w14:paraId="004E61F9" w14:textId="1EEA8689" w:rsidR="00E25919" w:rsidRDefault="00042A08" w:rsidP="00D9618D">
      <w:pPr>
        <w:pStyle w:val="Voetnoottekst"/>
        <w:tabs>
          <w:tab w:val="clear" w:pos="227"/>
          <w:tab w:val="left" w:pos="284"/>
        </w:tabs>
        <w:ind w:left="284" w:hanging="284"/>
      </w:pPr>
      <w:r>
        <w:rPr>
          <w:rStyle w:val="Voetnootmarkering"/>
        </w:rPr>
        <w:footnoteRef/>
      </w:r>
      <w:r>
        <w:t xml:space="preserve"> </w:t>
      </w:r>
      <w:r>
        <w:tab/>
        <w:t>Z</w:t>
      </w:r>
      <w:r w:rsidRPr="0075127C">
        <w:t xml:space="preserve">ie met name voorgesteld </w:t>
      </w:r>
      <w:r>
        <w:t xml:space="preserve">artikel </w:t>
      </w:r>
      <w:r w:rsidRPr="0075127C">
        <w:t xml:space="preserve">3:2a Wet arbeid en zorg; en </w:t>
      </w:r>
      <w:r>
        <w:t xml:space="preserve">Memorie van </w:t>
      </w:r>
      <w:r w:rsidRPr="0075127C">
        <w:t xml:space="preserve">toelichting, </w:t>
      </w:r>
      <w:r>
        <w:t>paragraaf</w:t>
      </w:r>
      <w:r w:rsidRPr="0075127C">
        <w:t xml:space="preserve"> 6.2</w:t>
      </w:r>
      <w:r>
        <w:t>.</w:t>
      </w:r>
    </w:p>
  </w:footnote>
  <w:footnote w:id="11">
    <w:p w14:paraId="5A114AD2"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Memorie van t</w:t>
      </w:r>
      <w:r w:rsidRPr="00E65B19">
        <w:t xml:space="preserve">oelichting, </w:t>
      </w:r>
      <w:r>
        <w:t>paragraaf</w:t>
      </w:r>
      <w:r w:rsidRPr="00E65B19">
        <w:t xml:space="preserve"> 6.2</w:t>
      </w:r>
      <w:r>
        <w:t>.</w:t>
      </w:r>
    </w:p>
  </w:footnote>
  <w:footnote w:id="12">
    <w:p w14:paraId="6470516D" w14:textId="305CFD01" w:rsidR="00E25919" w:rsidRDefault="00042A08" w:rsidP="00D9618D">
      <w:pPr>
        <w:pStyle w:val="Voetnoottekst"/>
        <w:tabs>
          <w:tab w:val="clear" w:pos="227"/>
          <w:tab w:val="left" w:pos="284"/>
        </w:tabs>
        <w:ind w:left="284" w:hanging="284"/>
      </w:pPr>
      <w:r>
        <w:rPr>
          <w:rStyle w:val="Voetnootmarkering"/>
        </w:rPr>
        <w:footnoteRef/>
      </w:r>
      <w:r>
        <w:t xml:space="preserve"> </w:t>
      </w:r>
      <w:r>
        <w:tab/>
        <w:t>V</w:t>
      </w:r>
      <w:r w:rsidRPr="00E65B19">
        <w:t xml:space="preserve">oorgesteld </w:t>
      </w:r>
      <w:r>
        <w:t xml:space="preserve">artikel </w:t>
      </w:r>
      <w:r w:rsidRPr="00E65B19">
        <w:t xml:space="preserve">1:247 en </w:t>
      </w:r>
      <w:r>
        <w:t xml:space="preserve">artikel </w:t>
      </w:r>
      <w:r w:rsidRPr="00E65B19">
        <w:t xml:space="preserve">1:248 BW. </w:t>
      </w:r>
      <w:r>
        <w:t>Nu is voor erkenning en toestemming tot erkenning door 16- en 17-jarigen geen toestemming van de rechter nodig.</w:t>
      </w:r>
    </w:p>
  </w:footnote>
  <w:footnote w:id="13">
    <w:p w14:paraId="43F0A37B"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Memorie van toelichting, paragraaf 6.1.</w:t>
      </w:r>
    </w:p>
  </w:footnote>
  <w:footnote w:id="14">
    <w:p w14:paraId="01BC7A35" w14:textId="3BC22DCB" w:rsidR="00E25919" w:rsidRDefault="00042A08" w:rsidP="00D9618D">
      <w:pPr>
        <w:pStyle w:val="Voetnoottekst"/>
        <w:tabs>
          <w:tab w:val="clear" w:pos="227"/>
          <w:tab w:val="left" w:pos="284"/>
        </w:tabs>
        <w:ind w:left="284" w:hanging="284"/>
      </w:pPr>
      <w:r>
        <w:rPr>
          <w:rStyle w:val="Voetnootmarkering"/>
        </w:rPr>
        <w:footnoteRef/>
      </w:r>
      <w:r>
        <w:t xml:space="preserve"> </w:t>
      </w:r>
      <w:r>
        <w:tab/>
        <w:t>V</w:t>
      </w:r>
      <w:r w:rsidRPr="00E65B19">
        <w:t xml:space="preserve">oorgesteld </w:t>
      </w:r>
      <w:r>
        <w:t xml:space="preserve">artikel </w:t>
      </w:r>
      <w:r w:rsidRPr="00E65B19">
        <w:t>1:199a BW en</w:t>
      </w:r>
      <w:r>
        <w:t xml:space="preserve"> Memorie van</w:t>
      </w:r>
      <w:r w:rsidRPr="00E65B19">
        <w:t xml:space="preserve"> toelichting, </w:t>
      </w:r>
      <w:r>
        <w:t>paragraaf</w:t>
      </w:r>
      <w:r w:rsidRPr="00E65B19">
        <w:t xml:space="preserve"> 6.1</w:t>
      </w:r>
      <w:r>
        <w:t xml:space="preserve">. </w:t>
      </w:r>
    </w:p>
  </w:footnote>
  <w:footnote w:id="15">
    <w:p w14:paraId="36A8F289" w14:textId="3E354445" w:rsidR="00E25919" w:rsidRDefault="00042A08" w:rsidP="00D9618D">
      <w:pPr>
        <w:pStyle w:val="Voetnoottekst"/>
        <w:tabs>
          <w:tab w:val="clear" w:pos="227"/>
          <w:tab w:val="left" w:pos="284"/>
        </w:tabs>
        <w:ind w:left="284" w:hanging="284"/>
      </w:pPr>
      <w:r>
        <w:rPr>
          <w:rStyle w:val="Voetnootmarkering"/>
        </w:rPr>
        <w:footnoteRef/>
      </w:r>
      <w:r>
        <w:t xml:space="preserve"> </w:t>
      </w:r>
      <w:r>
        <w:tab/>
        <w:t>V</w:t>
      </w:r>
      <w:r w:rsidRPr="00E65B19">
        <w:t xml:space="preserve">oorgesteld </w:t>
      </w:r>
      <w:r>
        <w:t xml:space="preserve">artikel </w:t>
      </w:r>
      <w:r w:rsidRPr="00E65B19">
        <w:t>1:222 BW</w:t>
      </w:r>
      <w:r>
        <w:t xml:space="preserve"> en Memorie van toelichting, paragraaf 6.4. </w:t>
      </w:r>
    </w:p>
  </w:footnote>
  <w:footnote w:id="16">
    <w:p w14:paraId="0A6D3CDB" w14:textId="4AEAA824" w:rsidR="00E25919" w:rsidRDefault="00042A08" w:rsidP="00D9618D">
      <w:pPr>
        <w:pStyle w:val="Voetnoottekst"/>
        <w:tabs>
          <w:tab w:val="clear" w:pos="227"/>
          <w:tab w:val="left" w:pos="284"/>
        </w:tabs>
        <w:ind w:left="284" w:hanging="284"/>
      </w:pPr>
      <w:r>
        <w:rPr>
          <w:rStyle w:val="Voetnootmarkering"/>
        </w:rPr>
        <w:footnoteRef/>
      </w:r>
      <w:r>
        <w:t xml:space="preserve"> </w:t>
      </w:r>
      <w:r>
        <w:tab/>
        <w:t>Voorgestelde wijzigingen van artikel 1:200, 201, 202a, 205 en 231 BW en Memorie van toelichting, paragraaf 6.4.</w:t>
      </w:r>
    </w:p>
  </w:footnote>
  <w:footnote w:id="17">
    <w:p w14:paraId="1BC441D4" w14:textId="111356F9" w:rsidR="00E25919" w:rsidRDefault="00042A08" w:rsidP="00D9618D">
      <w:pPr>
        <w:pStyle w:val="Voetnoottekst"/>
        <w:tabs>
          <w:tab w:val="clear" w:pos="227"/>
          <w:tab w:val="left" w:pos="284"/>
        </w:tabs>
        <w:ind w:left="284" w:hanging="284"/>
      </w:pPr>
      <w:r>
        <w:rPr>
          <w:rStyle w:val="Voetnootmarkering"/>
        </w:rPr>
        <w:footnoteRef/>
      </w:r>
      <w:r>
        <w:t xml:space="preserve"> </w:t>
      </w:r>
      <w:r>
        <w:tab/>
        <w:t>Voorgestelde wijziging van</w:t>
      </w:r>
      <w:r w:rsidRPr="00E65B19">
        <w:t xml:space="preserve"> </w:t>
      </w:r>
      <w:r>
        <w:t xml:space="preserve">artikel </w:t>
      </w:r>
      <w:r w:rsidRPr="00E65B19">
        <w:t>1:204 BW en</w:t>
      </w:r>
      <w:r>
        <w:t xml:space="preserve"> Memorie van</w:t>
      </w:r>
      <w:r w:rsidRPr="00E65B19">
        <w:t xml:space="preserve"> toelichting, </w:t>
      </w:r>
      <w:r>
        <w:t>paragraaf</w:t>
      </w:r>
      <w:r w:rsidRPr="00E65B19">
        <w:t xml:space="preserve"> 6.3</w:t>
      </w:r>
      <w:r>
        <w:t xml:space="preserve">. </w:t>
      </w:r>
    </w:p>
  </w:footnote>
  <w:footnote w:id="18">
    <w:p w14:paraId="531E1232" w14:textId="4379E87A" w:rsidR="00E25919" w:rsidRDefault="00042A08" w:rsidP="00D9618D">
      <w:pPr>
        <w:pStyle w:val="Voetnoottekst"/>
        <w:tabs>
          <w:tab w:val="clear" w:pos="227"/>
          <w:tab w:val="left" w:pos="284"/>
        </w:tabs>
        <w:ind w:left="284" w:hanging="284"/>
      </w:pPr>
      <w:r>
        <w:rPr>
          <w:rStyle w:val="Voetnootmarkering"/>
        </w:rPr>
        <w:footnoteRef/>
      </w:r>
      <w:r>
        <w:t xml:space="preserve"> </w:t>
      </w:r>
      <w:r>
        <w:tab/>
        <w:t>V</w:t>
      </w:r>
      <w:r w:rsidRPr="00E65B19">
        <w:t xml:space="preserve">oorgesteld </w:t>
      </w:r>
      <w:r>
        <w:t xml:space="preserve">artikel </w:t>
      </w:r>
      <w:r w:rsidRPr="00E65B19">
        <w:t xml:space="preserve">1:253ha BW en </w:t>
      </w:r>
      <w:r>
        <w:t xml:space="preserve">Memorie van </w:t>
      </w:r>
      <w:r w:rsidRPr="00E65B19">
        <w:t xml:space="preserve">toelichting, </w:t>
      </w:r>
      <w:r>
        <w:t>paragraaf</w:t>
      </w:r>
      <w:r w:rsidRPr="00E65B19">
        <w:t xml:space="preserve"> 6.3.</w:t>
      </w:r>
    </w:p>
  </w:footnote>
  <w:footnote w:id="19">
    <w:p w14:paraId="43ACDA23"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Memorie van toelichting, paragraaf 2.2.</w:t>
      </w:r>
    </w:p>
  </w:footnote>
  <w:footnote w:id="20">
    <w:p w14:paraId="59393F9D"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Kamerstukken II 2011/12, 33000 VI, nr. 69, p. 2.</w:t>
      </w:r>
    </w:p>
  </w:footnote>
  <w:footnote w:id="21">
    <w:p w14:paraId="044A4E25"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Voor een uitgebreidere beschouwing, zie Staatscommissie Herijking ouderschap, ‘Kind en ouders in de 21</w:t>
      </w:r>
      <w:r w:rsidRPr="00CB651B">
        <w:rPr>
          <w:vertAlign w:val="superscript"/>
        </w:rPr>
        <w:t>e</w:t>
      </w:r>
      <w:r>
        <w:t xml:space="preserve"> eeuw’, bijlage bij </w:t>
      </w:r>
      <w:r w:rsidRPr="00487F5C">
        <w:t>Kamerstukken II, 2016/17, 33836, nr. 18</w:t>
      </w:r>
      <w:r>
        <w:t>, paragraaf 8.6.</w:t>
      </w:r>
    </w:p>
  </w:footnote>
  <w:footnote w:id="22">
    <w:p w14:paraId="31A48855"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Kamerstukken II 1987/88, 20706, nr. 2, p. 30 e.v.</w:t>
      </w:r>
    </w:p>
  </w:footnote>
  <w:footnote w:id="23">
    <w:p w14:paraId="100EE2C6"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w:t>
      </w:r>
    </w:p>
  </w:footnote>
  <w:footnote w:id="24">
    <w:p w14:paraId="261E7AC2"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Artikelen 151b en 151c Sr.</w:t>
      </w:r>
    </w:p>
  </w:footnote>
  <w:footnote w:id="25">
    <w:p w14:paraId="7A581A1F"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Kamerstukken II 1990/91, 21968, nr. 5, p. 8.</w:t>
      </w:r>
    </w:p>
  </w:footnote>
  <w:footnote w:id="26">
    <w:p w14:paraId="20EF1990"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Aanhangsel Handelingen II 1994/95, nr. 622.</w:t>
      </w:r>
    </w:p>
  </w:footnote>
  <w:footnote w:id="27">
    <w:p w14:paraId="0FB47E5C"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Zie Kamerstukken II 2009/10, 32123 XVI, nr. 30, p. 1.</w:t>
      </w:r>
    </w:p>
  </w:footnote>
  <w:footnote w:id="28">
    <w:p w14:paraId="1A60491F"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p. 2.</w:t>
      </w:r>
    </w:p>
  </w:footnote>
  <w:footnote w:id="29">
    <w:p w14:paraId="7AE1D87D"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K. Boele-Woelki e.a., Draagmoederschap en illegale opneming van kinderen, WODC 2011.</w:t>
      </w:r>
    </w:p>
  </w:footnote>
  <w:footnote w:id="30">
    <w:p w14:paraId="453B3663"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p. 88.</w:t>
      </w:r>
    </w:p>
  </w:footnote>
  <w:footnote w:id="31">
    <w:p w14:paraId="0BA23AED"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Kamerstukken II 2011/12, 33000 VI, nr. 69, p. 4.</w:t>
      </w:r>
    </w:p>
  </w:footnote>
  <w:footnote w:id="32">
    <w:p w14:paraId="69BB4A18"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Kamerstukken II 2014/15, 28638, nr. 131.</w:t>
      </w:r>
    </w:p>
  </w:footnote>
  <w:footnote w:id="33">
    <w:p w14:paraId="51167D2B"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De Staatscommissie werd ingesteld naar aanleiding van de Motie Quick-Schuijt c.s., die t</w:t>
      </w:r>
      <w:r w:rsidRPr="002C6501">
        <w:t xml:space="preserve">ijdens de behandeling van </w:t>
      </w:r>
      <w:r>
        <w:t xml:space="preserve">een </w:t>
      </w:r>
      <w:r w:rsidRPr="002C6501">
        <w:t>wetsvoorstel</w:t>
      </w:r>
      <w:r>
        <w:t xml:space="preserve"> over</w:t>
      </w:r>
      <w:r w:rsidRPr="002C6501">
        <w:t xml:space="preserve"> lesbisch ouderschap in de Eerste Kamer </w:t>
      </w:r>
      <w:r>
        <w:t>werd</w:t>
      </w:r>
      <w:r w:rsidRPr="002C6501">
        <w:t xml:space="preserve"> ingediend </w:t>
      </w:r>
      <w:r>
        <w:t>en</w:t>
      </w:r>
      <w:r w:rsidRPr="002C6501">
        <w:t xml:space="preserve"> </w:t>
      </w:r>
      <w:r>
        <w:t>verzocht</w:t>
      </w:r>
      <w:r w:rsidRPr="002C6501">
        <w:t xml:space="preserve"> om het instellen van een </w:t>
      </w:r>
      <w:r>
        <w:t>brede, multidisciplinaire s</w:t>
      </w:r>
      <w:r w:rsidRPr="002C6501">
        <w:t xml:space="preserve">taatscommissie </w:t>
      </w:r>
      <w:r>
        <w:t>‘</w:t>
      </w:r>
      <w:r w:rsidRPr="002C6501">
        <w:t>familierecht</w:t>
      </w:r>
      <w:r>
        <w:t>’. Zie Kamerstukken I 2013/14, 33032/33514 (R1998), G.</w:t>
      </w:r>
    </w:p>
  </w:footnote>
  <w:footnote w:id="34">
    <w:p w14:paraId="66CCBD86"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Staatscommissie Herijking ouderschap, ‘Kind en ouders in de 21</w:t>
      </w:r>
      <w:r w:rsidRPr="00CB651B">
        <w:rPr>
          <w:vertAlign w:val="superscript"/>
        </w:rPr>
        <w:t>e</w:t>
      </w:r>
      <w:r>
        <w:t xml:space="preserve"> eeuw’, bijlage bij </w:t>
      </w:r>
      <w:r w:rsidRPr="00487F5C">
        <w:t>Kamerstukken II, 2016/17, 33836, nr. 18</w:t>
      </w:r>
      <w:r>
        <w:t>, bijlage VI (instellingsbesluit, artikel 2).</w:t>
      </w:r>
    </w:p>
  </w:footnote>
  <w:footnote w:id="35">
    <w:p w14:paraId="578FB4E4"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hoofdstuk 3.</w:t>
      </w:r>
    </w:p>
  </w:footnote>
  <w:footnote w:id="36">
    <w:p w14:paraId="3F1B684B"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hoofdstuk 3-5.</w:t>
      </w:r>
    </w:p>
  </w:footnote>
  <w:footnote w:id="37">
    <w:p w14:paraId="197CDA71"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hoofdstuk 6-10.</w:t>
      </w:r>
    </w:p>
  </w:footnote>
  <w:footnote w:id="38">
    <w:p w14:paraId="65D4E8AE"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hoofdstuk 11.</w:t>
      </w:r>
    </w:p>
  </w:footnote>
  <w:footnote w:id="39">
    <w:p w14:paraId="33EF4DED"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Rapport Commissie Onderzoek interlandelijke adoptie, februari 2021, p. 21.</w:t>
      </w:r>
    </w:p>
  </w:footnote>
  <w:footnote w:id="40">
    <w:p w14:paraId="7E8D5A74"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rsidRPr="00780C25">
        <w:tab/>
        <w:t>Idem, p. 22.</w:t>
      </w:r>
    </w:p>
  </w:footnote>
  <w:footnote w:id="41">
    <w:p w14:paraId="0FD420C9"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p. 5.</w:t>
      </w:r>
    </w:p>
  </w:footnote>
  <w:footnote w:id="42">
    <w:p w14:paraId="57FA703F"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 xml:space="preserve">Kamerstukken II 2021/21, 31265, nr. 79, p. 2. </w:t>
      </w:r>
    </w:p>
  </w:footnote>
  <w:footnote w:id="43">
    <w:p w14:paraId="3DB107B0"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Idem, p. 3.</w:t>
      </w:r>
    </w:p>
  </w:footnote>
  <w:footnote w:id="44">
    <w:p w14:paraId="4B80CCDE"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Artikel 1:198 BW.</w:t>
      </w:r>
    </w:p>
  </w:footnote>
  <w:footnote w:id="45">
    <w:p w14:paraId="27404A00"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Kamerstukken II 2011/12, 33000 VI, nr. 69, p. 2.</w:t>
      </w:r>
    </w:p>
  </w:footnote>
  <w:footnote w:id="46">
    <w:p w14:paraId="6863A44F"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Zie a</w:t>
      </w:r>
      <w:r w:rsidRPr="00D9247C">
        <w:t>rtikel 10:100 BW en artikel 10:101 BW.</w:t>
      </w:r>
    </w:p>
  </w:footnote>
  <w:footnote w:id="47">
    <w:p w14:paraId="51A36163"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r>
      <w:r w:rsidRPr="004F5374">
        <w:t xml:space="preserve">Zie S. Rutten, ‘Het Haagse project over afstamming en internationaal draagmoederschap; the Parentage/Surrogacy Project’, FJR 2019/54. Voor de laatste stand van zaken, zie </w:t>
      </w:r>
      <w:r w:rsidRPr="004F5374">
        <w:rPr>
          <w:szCs w:val="18"/>
        </w:rPr>
        <w:t xml:space="preserve">Hague Conference on Private International Law, The Parentage/Surrogacy Project, </w:t>
      </w:r>
      <w:r w:rsidRPr="004F5374">
        <w:rPr>
          <w:rFonts w:cs="FiraSans-Light"/>
          <w:szCs w:val="18"/>
        </w:rPr>
        <w:t>dreigt.</w:t>
      </w:r>
      <w:r w:rsidRPr="004F5374">
        <w:rPr>
          <w:szCs w:val="18"/>
        </w:rPr>
        <w:t>&lt;</w:t>
      </w:r>
      <w:r w:rsidRPr="001B63A1">
        <w:rPr>
          <w:szCs w:val="18"/>
        </w:rPr>
        <w:t>https://www.hcch.net/en/projects/legislative-projects/parentage-surrogacy&gt;.</w:t>
      </w:r>
    </w:p>
  </w:footnote>
  <w:footnote w:id="48">
    <w:p w14:paraId="03DBE205" w14:textId="77777777" w:rsidR="00E25919" w:rsidRPr="00C210E3" w:rsidRDefault="00042A08" w:rsidP="00D9618D">
      <w:pPr>
        <w:pStyle w:val="Voetnoottekst"/>
        <w:tabs>
          <w:tab w:val="clear" w:pos="227"/>
          <w:tab w:val="left" w:pos="284"/>
        </w:tabs>
        <w:ind w:left="284" w:hanging="284"/>
      </w:pPr>
      <w:r>
        <w:rPr>
          <w:rStyle w:val="Voetnootmarkering"/>
        </w:rPr>
        <w:footnoteRef/>
      </w:r>
      <w:r w:rsidRPr="00C210E3">
        <w:t xml:space="preserve"> </w:t>
      </w:r>
      <w:r w:rsidRPr="00C210E3">
        <w:tab/>
        <w:t>Zie ook het Facultatief Proto</w:t>
      </w:r>
      <w:r>
        <w:t xml:space="preserve">col inzake de verkoop van kinderen, kinderprostitutie en kinderpornografie bij het IVRK, </w:t>
      </w:r>
      <w:r>
        <w:rPr>
          <w:i/>
          <w:iCs/>
        </w:rPr>
        <w:t xml:space="preserve">Trb. </w:t>
      </w:r>
      <w:r>
        <w:t>2001, 36.</w:t>
      </w:r>
    </w:p>
  </w:footnote>
  <w:footnote w:id="49">
    <w:p w14:paraId="257A7F22"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 xml:space="preserve">Zie ook de grondrechtelijke analyse van de </w:t>
      </w:r>
      <w:r w:rsidRPr="00017007">
        <w:t>Staatscommissie Herijking ouderschap, ‘Kind en ouders in de 21</w:t>
      </w:r>
      <w:r w:rsidRPr="00017007">
        <w:rPr>
          <w:vertAlign w:val="superscript"/>
        </w:rPr>
        <w:t>e</w:t>
      </w:r>
      <w:r w:rsidRPr="00017007">
        <w:t xml:space="preserve"> eeuw’, bijlage bij Kamerstukken II, 2016/17 33836, nr. 18, </w:t>
      </w:r>
      <w:r>
        <w:t>paragraaf 1.1-1.3 en 8.2.</w:t>
      </w:r>
    </w:p>
  </w:footnote>
  <w:footnote w:id="50">
    <w:p w14:paraId="676C005C" w14:textId="77777777" w:rsidR="00E25919" w:rsidRPr="0006639A" w:rsidRDefault="00042A08" w:rsidP="00D9618D">
      <w:pPr>
        <w:pStyle w:val="Voetnoottekst"/>
        <w:tabs>
          <w:tab w:val="clear" w:pos="227"/>
          <w:tab w:val="left" w:pos="284"/>
        </w:tabs>
        <w:ind w:left="284" w:hanging="284"/>
      </w:pPr>
      <w:r>
        <w:rPr>
          <w:rStyle w:val="Voetnootmarkering"/>
        </w:rPr>
        <w:footnoteRef/>
      </w:r>
      <w:r w:rsidRPr="00C16A30">
        <w:rPr>
          <w:lang w:val="en-US"/>
        </w:rPr>
        <w:t xml:space="preserve"> </w:t>
      </w:r>
      <w:r>
        <w:rPr>
          <w:lang w:val="en-US"/>
        </w:rPr>
        <w:tab/>
      </w:r>
      <w:r w:rsidRPr="00C16A30">
        <w:rPr>
          <w:lang w:val="en-US"/>
        </w:rPr>
        <w:t>EHRM 26 juni 2014, Mennesson t. Frankrijk, appl. no. 65192/11,</w:t>
      </w:r>
      <w:r>
        <w:rPr>
          <w:lang w:val="en-US"/>
        </w:rPr>
        <w:t xml:space="preserve"> </w:t>
      </w:r>
      <w:r w:rsidRPr="00C16A30">
        <w:rPr>
          <w:lang w:val="en-US"/>
        </w:rPr>
        <w:t xml:space="preserve">ECLI:CE:ECHR:2014:0626JUD006519211; </w:t>
      </w:r>
      <w:r>
        <w:rPr>
          <w:lang w:val="en-US"/>
        </w:rPr>
        <w:t xml:space="preserve">EHRM 26 juni 2014, Labassee t. Frankrijk, appl. no. 65192/11, </w:t>
      </w:r>
      <w:r w:rsidRPr="00C16A30">
        <w:rPr>
          <w:lang w:val="en-US"/>
        </w:rPr>
        <w:t>EHRM 24 januari 2017, Paradiso en Campanelli t. Italië, appl. no. 25358/12, ECLI:CE:ECHR:2017:0124JUD002535812; Labassee t. Frankrijk, EHRM 10 april 2019</w:t>
      </w:r>
      <w:r>
        <w:rPr>
          <w:lang w:val="en-US"/>
        </w:rPr>
        <w:t xml:space="preserve">, Advisory opinion </w:t>
      </w:r>
      <w:r w:rsidRPr="00C16A30">
        <w:rPr>
          <w:lang w:val="en-US"/>
        </w:rPr>
        <w:t xml:space="preserve">concerning the recognition in domestic law of a legal parent-child relationship between a child born through a gestational surrogacy arrangement abroad and the intended mother, request no. </w:t>
      </w:r>
      <w:r w:rsidRPr="0006639A">
        <w:t>P16-2018-001</w:t>
      </w:r>
      <w:r>
        <w:t>; en EHRM 16 juli 2020, D. t. Frankrijk, appl. no. 11288/18, ECLI:CE:ECHR:2020:0716JUD001128818.</w:t>
      </w:r>
    </w:p>
  </w:footnote>
  <w:footnote w:id="51">
    <w:p w14:paraId="3556AE6D" w14:textId="77777777" w:rsidR="00663757" w:rsidRDefault="00042A08" w:rsidP="00663757">
      <w:pPr>
        <w:pStyle w:val="Voetnoottekst"/>
        <w:tabs>
          <w:tab w:val="clear" w:pos="227"/>
          <w:tab w:val="left" w:pos="284"/>
        </w:tabs>
        <w:ind w:left="284" w:hanging="284"/>
      </w:pPr>
      <w:r>
        <w:rPr>
          <w:rStyle w:val="Voetnootmarkering"/>
        </w:rPr>
        <w:footnoteRef/>
      </w:r>
      <w:r>
        <w:t xml:space="preserve"> </w:t>
      </w:r>
      <w:r>
        <w:tab/>
      </w:r>
      <w:r w:rsidRPr="006D58E9">
        <w:t xml:space="preserve">N. Koffeman, </w:t>
      </w:r>
      <w:r w:rsidRPr="006D58E9">
        <w:rPr>
          <w:i/>
          <w:iCs/>
        </w:rPr>
        <w:t>Beperkingen aan draagmoederschap getoetst aan het Europees recht</w:t>
      </w:r>
      <w:r w:rsidRPr="006D58E9">
        <w:t>, Universiteit Leiden 2016</w:t>
      </w:r>
      <w:r>
        <w:t>.</w:t>
      </w:r>
      <w:r w:rsidRPr="006D58E9">
        <w:t xml:space="preserve"> </w:t>
      </w:r>
    </w:p>
  </w:footnote>
  <w:footnote w:id="52">
    <w:p w14:paraId="596E5FBE" w14:textId="77777777" w:rsidR="00663757" w:rsidRDefault="00042A08" w:rsidP="00663757">
      <w:pPr>
        <w:pStyle w:val="Voetnoottekst"/>
        <w:tabs>
          <w:tab w:val="clear" w:pos="227"/>
          <w:tab w:val="left" w:pos="284"/>
        </w:tabs>
        <w:ind w:left="284" w:hanging="284"/>
      </w:pPr>
      <w:r>
        <w:rPr>
          <w:rStyle w:val="Voetnootmarkering"/>
        </w:rPr>
        <w:footnoteRef/>
      </w:r>
      <w:r>
        <w:t xml:space="preserve"> </w:t>
      </w:r>
      <w:r>
        <w:tab/>
        <w:t>Vgl. HvJ 4 oktober 1991, Grogan, C-159/90, ECLI:EU:C:1991:378 (over abortus) en HvJ 20 november 2001, Jany, C-268/99, ECLI:EU:C:2001:616 (over prostitutie). De verkoop van softdrugs, daarentegen, valt niet onder de toepassing van de vrijeverkeersbepalingen, omdat het vanuit het Unierecht bezien gaat om illegale goederen. Zie HvJ 16 december 2010, Josemans, C-137/09, ECLI:EU:C:2010:774.</w:t>
      </w:r>
    </w:p>
  </w:footnote>
  <w:footnote w:id="53">
    <w:p w14:paraId="7A5BD52F"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Staatscommissie Herijking ouderschap, ‘Kind en ouders in de 21</w:t>
      </w:r>
      <w:r w:rsidRPr="00CB651B">
        <w:rPr>
          <w:vertAlign w:val="superscript"/>
        </w:rPr>
        <w:t>e</w:t>
      </w:r>
      <w:r>
        <w:t xml:space="preserve"> eeuw’, bijlage bij </w:t>
      </w:r>
      <w:r w:rsidRPr="00487F5C">
        <w:t>Kamerstukken II, 2016/17 33836, nr. 18</w:t>
      </w:r>
      <w:r>
        <w:t>, paragraaf 4.3.1. Zie ook K. Boele-Woelki e.a., Draagmoederschap en illegale opneming van kinderen, WODC 2011, p. 88.</w:t>
      </w:r>
    </w:p>
  </w:footnote>
  <w:footnote w:id="54">
    <w:p w14:paraId="300E721F" w14:textId="77777777" w:rsidR="00E25919" w:rsidRDefault="00042A08" w:rsidP="00D9618D">
      <w:pPr>
        <w:pStyle w:val="Voetnoottekst"/>
        <w:tabs>
          <w:tab w:val="clear" w:pos="227"/>
          <w:tab w:val="left" w:pos="284"/>
        </w:tabs>
        <w:ind w:left="284" w:hanging="284"/>
      </w:pPr>
      <w:r>
        <w:rPr>
          <w:rStyle w:val="Voetnootmarkering"/>
        </w:rPr>
        <w:footnoteRef/>
      </w:r>
      <w:r>
        <w:t xml:space="preserve"> </w:t>
      </w:r>
      <w:r>
        <w:tab/>
        <w:t>Staatscommissie Herijking ouderschap, ‘Kind en ouders in de 21</w:t>
      </w:r>
      <w:r w:rsidRPr="00CB651B">
        <w:rPr>
          <w:vertAlign w:val="superscript"/>
        </w:rPr>
        <w:t>e</w:t>
      </w:r>
      <w:r>
        <w:t xml:space="preserve"> eeuw’, bijlage bij </w:t>
      </w:r>
      <w:r w:rsidRPr="00487F5C">
        <w:t>Kamerstukken II, 2016/17 33836, nr. 18</w:t>
      </w:r>
      <w:r>
        <w:t xml:space="preserve">, paragraaf 4.3.1. Zie ook Memorie van toelichting, paragraaf 2.3. </w:t>
      </w:r>
    </w:p>
  </w:footnote>
  <w:footnote w:id="55">
    <w:p w14:paraId="353CE774" w14:textId="77777777" w:rsidR="00E25919" w:rsidRPr="001E3E75" w:rsidRDefault="00042A08" w:rsidP="00D9618D">
      <w:pPr>
        <w:pStyle w:val="Voetnoottekst"/>
        <w:tabs>
          <w:tab w:val="clear" w:pos="227"/>
          <w:tab w:val="left" w:pos="284"/>
        </w:tabs>
        <w:ind w:left="284" w:hanging="284"/>
      </w:pPr>
      <w:r>
        <w:rPr>
          <w:rStyle w:val="Voetnootmarkering"/>
        </w:rPr>
        <w:footnoteRef/>
      </w:r>
      <w:r w:rsidRPr="001E3E75">
        <w:t xml:space="preserve"> </w:t>
      </w:r>
      <w:r w:rsidRPr="001E3E75">
        <w:tab/>
      </w:r>
      <w:r>
        <w:t>Staatscommissie Herijking ouderschap, ‘Kind en ouders in de 21</w:t>
      </w:r>
      <w:r w:rsidRPr="00CB651B">
        <w:rPr>
          <w:vertAlign w:val="superscript"/>
        </w:rPr>
        <w:t>e</w:t>
      </w:r>
      <w:r>
        <w:t xml:space="preserve"> eeuw’, bijlage bij </w:t>
      </w:r>
      <w:r w:rsidRPr="00487F5C">
        <w:t>Kamerstukken II, 2016/17 33836, nr. 18</w:t>
      </w:r>
      <w:r w:rsidRPr="001E3E75">
        <w:t>, p. 457.</w:t>
      </w:r>
      <w:r>
        <w:t xml:space="preserve"> </w:t>
      </w:r>
    </w:p>
  </w:footnote>
  <w:footnote w:id="56">
    <w:p w14:paraId="7C881EF5" w14:textId="77777777" w:rsidR="00E25919" w:rsidRPr="00E30D53" w:rsidRDefault="00042A08" w:rsidP="00DE3946">
      <w:pPr>
        <w:pStyle w:val="Voetnoottekst"/>
        <w:tabs>
          <w:tab w:val="clear" w:pos="227"/>
          <w:tab w:val="left" w:pos="284"/>
        </w:tabs>
        <w:ind w:left="284" w:hanging="284"/>
        <w:rPr>
          <w:lang w:val="en-GB"/>
        </w:rPr>
      </w:pPr>
      <w:r>
        <w:rPr>
          <w:rStyle w:val="Voetnootmarkering"/>
        </w:rPr>
        <w:footnoteRef/>
      </w:r>
      <w:r w:rsidRPr="00E30D53">
        <w:rPr>
          <w:lang w:val="en-GB"/>
        </w:rPr>
        <w:t xml:space="preserve"> </w:t>
      </w:r>
      <w:r w:rsidRPr="00E30D53">
        <w:rPr>
          <w:lang w:val="en-GB"/>
        </w:rPr>
        <w:tab/>
        <w:t>Idem.</w:t>
      </w:r>
    </w:p>
  </w:footnote>
  <w:footnote w:id="57">
    <w:p w14:paraId="0D18AAB2" w14:textId="77777777" w:rsidR="00E25919" w:rsidRPr="00355F4B" w:rsidRDefault="00042A08" w:rsidP="00DE3946">
      <w:pPr>
        <w:pStyle w:val="Voetnoottekst"/>
        <w:tabs>
          <w:tab w:val="clear" w:pos="227"/>
          <w:tab w:val="left" w:pos="284"/>
        </w:tabs>
        <w:ind w:left="284" w:hanging="284"/>
        <w:rPr>
          <w:lang w:val="en-US"/>
        </w:rPr>
      </w:pPr>
      <w:r>
        <w:rPr>
          <w:rStyle w:val="Voetnootmarkering"/>
        </w:rPr>
        <w:footnoteRef/>
      </w:r>
      <w:r w:rsidRPr="00355F4B">
        <w:rPr>
          <w:lang w:val="en-US"/>
        </w:rPr>
        <w:t xml:space="preserve"> </w:t>
      </w:r>
      <w:r w:rsidRPr="00355F4B">
        <w:rPr>
          <w:lang w:val="en-US"/>
        </w:rPr>
        <w:tab/>
        <w:t>Idem, p. 458.</w:t>
      </w:r>
    </w:p>
  </w:footnote>
  <w:footnote w:id="58">
    <w:p w14:paraId="065934BA" w14:textId="77777777" w:rsidR="00E25919" w:rsidRPr="005530A4" w:rsidRDefault="00042A08" w:rsidP="00DE3946">
      <w:pPr>
        <w:pStyle w:val="Voetnoottekst"/>
        <w:tabs>
          <w:tab w:val="clear" w:pos="227"/>
          <w:tab w:val="left" w:pos="284"/>
        </w:tabs>
        <w:ind w:left="284" w:hanging="284"/>
        <w:rPr>
          <w:lang w:val="en-GB"/>
        </w:rPr>
      </w:pPr>
      <w:r>
        <w:rPr>
          <w:rStyle w:val="Voetnootmarkering"/>
        </w:rPr>
        <w:footnoteRef/>
      </w:r>
      <w:r w:rsidRPr="005530A4">
        <w:rPr>
          <w:lang w:val="en-GB"/>
        </w:rPr>
        <w:t xml:space="preserve"> </w:t>
      </w:r>
      <w:r w:rsidRPr="005530A4">
        <w:rPr>
          <w:lang w:val="en-GB"/>
        </w:rPr>
        <w:tab/>
        <w:t>HCCH, ‘A study of l</w:t>
      </w:r>
      <w:r>
        <w:rPr>
          <w:lang w:val="en-GB"/>
        </w:rPr>
        <w:t>egal parentage and the issues from international surrogacy arrangements’, Den Haag: 2014, prel. doc. no. 3C, p. 56 e.v..</w:t>
      </w:r>
    </w:p>
  </w:footnote>
  <w:footnote w:id="59">
    <w:p w14:paraId="274870AE"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Staatscommissie Herijking ouderschap, ‘Kind en ouders in de 21</w:t>
      </w:r>
      <w:r w:rsidRPr="00CB651B">
        <w:rPr>
          <w:vertAlign w:val="superscript"/>
        </w:rPr>
        <w:t>e</w:t>
      </w:r>
      <w:r>
        <w:t xml:space="preserve"> eeuw’, bijlage bij </w:t>
      </w:r>
      <w:r w:rsidRPr="00487F5C">
        <w:t>Kamerstukken II, 2016/17 33836, nr. 18</w:t>
      </w:r>
      <w:r>
        <w:t xml:space="preserve">, p. 458. Zie ook Memorie van toelichting, paragraaf 2.5. Voor een schets van rechterlijke uitspraken op het gebied van internationaal draagmoederschap, zie I.J. Pieters, ‘Kroniek draagmoederschap’, </w:t>
      </w:r>
      <w:r w:rsidRPr="00627AAF">
        <w:rPr>
          <w:i/>
          <w:iCs/>
        </w:rPr>
        <w:t>FJR</w:t>
      </w:r>
      <w:r>
        <w:t xml:space="preserve"> 2019/56. </w:t>
      </w:r>
    </w:p>
  </w:footnote>
  <w:footnote w:id="60">
    <w:p w14:paraId="21178407"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Staatscommissie Herijking ouderschap, ‘Kind en ouders in de 21</w:t>
      </w:r>
      <w:r w:rsidRPr="00CB651B">
        <w:rPr>
          <w:vertAlign w:val="superscript"/>
        </w:rPr>
        <w:t>e</w:t>
      </w:r>
      <w:r>
        <w:t xml:space="preserve"> eeuw’, bijlage bij </w:t>
      </w:r>
      <w:r w:rsidRPr="00487F5C">
        <w:t>Kamerstukken II, 2016/17 33836, nr. 18</w:t>
      </w:r>
      <w:r>
        <w:t xml:space="preserve">, paragraaf 8.7 (Draagmoederschap in andere landen, een blik over de grens). Een (mogelijk verouderd) rechtsvergelijkend onderzoek is ook te vinden in K. Boele-Woelki e.a., Draagmoederschap en illegale opneming van kinderen, WODC 2011, deel V. </w:t>
      </w:r>
    </w:p>
  </w:footnote>
  <w:footnote w:id="61">
    <w:p w14:paraId="1E30B897" w14:textId="77777777" w:rsidR="00E25919" w:rsidRPr="00B52CDB" w:rsidRDefault="00042A08" w:rsidP="00DE3946">
      <w:pPr>
        <w:pStyle w:val="Voetnoottekst"/>
        <w:tabs>
          <w:tab w:val="clear" w:pos="227"/>
          <w:tab w:val="left" w:pos="284"/>
        </w:tabs>
        <w:ind w:left="284" w:hanging="284"/>
      </w:pPr>
      <w:r>
        <w:rPr>
          <w:rStyle w:val="Voetnootmarkering"/>
        </w:rPr>
        <w:footnoteRef/>
      </w:r>
      <w:r w:rsidRPr="00F7042C">
        <w:rPr>
          <w:lang w:val="en-US"/>
        </w:rPr>
        <w:t xml:space="preserve"> </w:t>
      </w:r>
      <w:r w:rsidRPr="00F7042C">
        <w:rPr>
          <w:lang w:val="en-US"/>
        </w:rPr>
        <w:tab/>
      </w:r>
      <w:r w:rsidRPr="00833FD3">
        <w:rPr>
          <w:lang w:val="en-GB"/>
        </w:rPr>
        <w:t>In een advies van het EHRM onder Protocol nr. 16 is een rechtsvergelijking uitgevoerd ten aanzien van 43 staten, zie</w:t>
      </w:r>
      <w:r>
        <w:rPr>
          <w:lang w:val="en-US"/>
        </w:rPr>
        <w:t xml:space="preserve"> EHRM 10 </w:t>
      </w:r>
      <w:r w:rsidRPr="00F7042C">
        <w:rPr>
          <w:lang w:val="en-US"/>
        </w:rPr>
        <w:t>April 2019</w:t>
      </w:r>
      <w:r>
        <w:rPr>
          <w:lang w:val="en-US"/>
        </w:rPr>
        <w:t>, Advisory opinion</w:t>
      </w:r>
      <w:r w:rsidRPr="00F7042C">
        <w:rPr>
          <w:lang w:val="en-US"/>
        </w:rPr>
        <w:t xml:space="preserve"> concerning the recognition in domestic law of a legal parent-child relationship between a child born through</w:t>
      </w:r>
      <w:r>
        <w:rPr>
          <w:lang w:val="en-US"/>
        </w:rPr>
        <w:t xml:space="preserve"> a gestational surrogacy </w:t>
      </w:r>
      <w:r w:rsidRPr="00F7042C">
        <w:rPr>
          <w:lang w:val="en-US"/>
        </w:rPr>
        <w:t xml:space="preserve">arrangement abroad and the intended mother, request no. </w:t>
      </w:r>
      <w:r w:rsidRPr="00B52CDB">
        <w:t>P16-2018-001, punten 22-24.</w:t>
      </w:r>
    </w:p>
  </w:footnote>
  <w:footnote w:id="62">
    <w:p w14:paraId="4E264D99"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 xml:space="preserve">Idem, paragraaf 11.4.1. </w:t>
      </w:r>
      <w:r w:rsidRPr="004C48E3">
        <w:t>Overigens ziet de Staatscommissie in dat verband geen rol weggelegd voor de Nederlandse overheid om te bevorderen dat meer vrouwen in Nederland bereid zijn om als draagmoeder op te treden.</w:t>
      </w:r>
    </w:p>
  </w:footnote>
  <w:footnote w:id="63">
    <w:p w14:paraId="2E7BD122"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r>
      <w:r w:rsidRPr="00CB651B">
        <w:t xml:space="preserve">Kamerstukken II 2018/19, 33836, nr. 45. </w:t>
      </w:r>
    </w:p>
  </w:footnote>
  <w:footnote w:id="64">
    <w:p w14:paraId="5F12C411"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Zie ook Aanwijzing 6.4, onderdeel b, van de Aanwijzingen voor de regelgeving.</w:t>
      </w:r>
    </w:p>
  </w:footnote>
  <w:footnote w:id="65">
    <w:p w14:paraId="6DF89B49"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Zie ook Aanwijzing 6.4, onderdeel a, van de Aanwijzingen voor de regelgeving.</w:t>
      </w:r>
    </w:p>
  </w:footnote>
  <w:footnote w:id="66">
    <w:p w14:paraId="756A3AEC" w14:textId="77777777" w:rsidR="00E25919" w:rsidRPr="00BD30C8" w:rsidRDefault="00042A08" w:rsidP="00DE3946">
      <w:pPr>
        <w:pStyle w:val="Voetnoottekst"/>
        <w:tabs>
          <w:tab w:val="clear" w:pos="227"/>
          <w:tab w:val="left" w:pos="284"/>
        </w:tabs>
        <w:ind w:left="284" w:hanging="284"/>
        <w:rPr>
          <w:b/>
          <w:bCs/>
        </w:rPr>
      </w:pPr>
      <w:r>
        <w:rPr>
          <w:rStyle w:val="Voetnootmarkering"/>
        </w:rPr>
        <w:footnoteRef/>
      </w:r>
      <w:r>
        <w:t xml:space="preserve"> </w:t>
      </w:r>
      <w:r>
        <w:tab/>
        <w:t>Zie in dit verband ook eerdere adviezen van de Afdeling, bijvoorbeeld Kamerstukken II 2020/21, 35572, nr. 16 (punt 5)</w:t>
      </w:r>
      <w:r w:rsidRPr="00BD30C8">
        <w:rPr>
          <w:b/>
          <w:bCs/>
        </w:rPr>
        <w:t>.</w:t>
      </w:r>
    </w:p>
  </w:footnote>
  <w:footnote w:id="67">
    <w:p w14:paraId="0763763C"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 xml:space="preserve">Zie nr. 41 van het Draaiboek voor de regelgeving. </w:t>
      </w:r>
    </w:p>
  </w:footnote>
  <w:footnote w:id="68">
    <w:p w14:paraId="0DBB9113"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Zie ook Memorie van toelichting, paragraaf 2.1.</w:t>
      </w:r>
    </w:p>
  </w:footnote>
  <w:footnote w:id="69">
    <w:p w14:paraId="6FB93EFF" w14:textId="77777777" w:rsidR="00E25919" w:rsidRPr="00D821AA" w:rsidRDefault="00042A08" w:rsidP="00DE3946">
      <w:pPr>
        <w:pStyle w:val="Voetnoottekst"/>
        <w:tabs>
          <w:tab w:val="clear" w:pos="227"/>
          <w:tab w:val="left" w:pos="284"/>
        </w:tabs>
        <w:ind w:left="284" w:hanging="284"/>
      </w:pPr>
      <w:r>
        <w:rPr>
          <w:rStyle w:val="Voetnootmarkering"/>
        </w:rPr>
        <w:footnoteRef/>
      </w:r>
      <w:r w:rsidRPr="00D821AA">
        <w:t xml:space="preserve"> </w:t>
      </w:r>
      <w:r w:rsidRPr="00D821AA">
        <w:tab/>
        <w:t>Idem, paragraaf 2.3.</w:t>
      </w:r>
    </w:p>
  </w:footnote>
  <w:footnote w:id="70">
    <w:p w14:paraId="30B2A636" w14:textId="77777777" w:rsidR="00E25919" w:rsidRPr="00D821AA" w:rsidRDefault="00042A08" w:rsidP="00DE3946">
      <w:pPr>
        <w:pStyle w:val="Voetnoottekst"/>
        <w:tabs>
          <w:tab w:val="clear" w:pos="227"/>
          <w:tab w:val="left" w:pos="284"/>
        </w:tabs>
        <w:ind w:left="284" w:hanging="284"/>
      </w:pPr>
      <w:r>
        <w:rPr>
          <w:rStyle w:val="Voetnootmarkering"/>
        </w:rPr>
        <w:footnoteRef/>
      </w:r>
      <w:r w:rsidRPr="00D821AA">
        <w:t xml:space="preserve"> </w:t>
      </w:r>
      <w:r w:rsidRPr="00D821AA">
        <w:tab/>
        <w:t>Idem, paragraaf 4.1.</w:t>
      </w:r>
    </w:p>
  </w:footnote>
  <w:footnote w:id="71">
    <w:p w14:paraId="509F3CE8" w14:textId="77777777" w:rsidR="00E25919" w:rsidRPr="00D821AA" w:rsidRDefault="00042A08" w:rsidP="00DE3946">
      <w:pPr>
        <w:pStyle w:val="Voetnoottekst"/>
        <w:tabs>
          <w:tab w:val="clear" w:pos="227"/>
          <w:tab w:val="left" w:pos="284"/>
        </w:tabs>
        <w:ind w:left="284" w:hanging="284"/>
      </w:pPr>
      <w:r>
        <w:rPr>
          <w:rStyle w:val="Voetnootmarkering"/>
        </w:rPr>
        <w:footnoteRef/>
      </w:r>
      <w:r w:rsidRPr="00D821AA">
        <w:t xml:space="preserve"> </w:t>
      </w:r>
      <w:r w:rsidRPr="00D821AA">
        <w:tab/>
        <w:t>Idem, paragraaf 2.3.</w:t>
      </w:r>
    </w:p>
  </w:footnote>
  <w:footnote w:id="72">
    <w:p w14:paraId="07F08194" w14:textId="77777777" w:rsidR="00E25919" w:rsidRPr="0045624E" w:rsidRDefault="00042A08" w:rsidP="00DE3946">
      <w:pPr>
        <w:pStyle w:val="Voetnoottekst"/>
        <w:tabs>
          <w:tab w:val="clear" w:pos="227"/>
          <w:tab w:val="left" w:pos="284"/>
        </w:tabs>
        <w:ind w:left="284" w:hanging="284"/>
      </w:pPr>
      <w:r>
        <w:rPr>
          <w:rStyle w:val="Voetnootmarkering"/>
        </w:rPr>
        <w:footnoteRef/>
      </w:r>
      <w:r w:rsidRPr="0045624E">
        <w:t xml:space="preserve"> </w:t>
      </w:r>
      <w:r w:rsidRPr="0045624E">
        <w:tab/>
        <w:t xml:space="preserve">Idem, </w:t>
      </w:r>
      <w:r>
        <w:t>paragraaf</w:t>
      </w:r>
      <w:r w:rsidRPr="0045624E">
        <w:t xml:space="preserve"> 2.5.</w:t>
      </w:r>
    </w:p>
  </w:footnote>
  <w:footnote w:id="73">
    <w:p w14:paraId="30A7B075"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Rapport Commissie Onderzoek interlandelijke adoptie, februari 2021, p. 5.</w:t>
      </w:r>
    </w:p>
  </w:footnote>
  <w:footnote w:id="74">
    <w:p w14:paraId="2C2939FE"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Zie idem, p. 22.</w:t>
      </w:r>
    </w:p>
  </w:footnote>
  <w:footnote w:id="75">
    <w:p w14:paraId="44A295AC" w14:textId="77777777" w:rsidR="00E25919" w:rsidRDefault="00042A08" w:rsidP="00DE3946">
      <w:pPr>
        <w:pStyle w:val="Voetnoottekst"/>
        <w:tabs>
          <w:tab w:val="clear" w:pos="227"/>
          <w:tab w:val="left" w:pos="284"/>
        </w:tabs>
        <w:ind w:left="284" w:hanging="284"/>
      </w:pPr>
      <w:r>
        <w:rPr>
          <w:rStyle w:val="Voetnootmarkering"/>
        </w:rPr>
        <w:footnoteRef/>
      </w:r>
      <w:r>
        <w:t xml:space="preserve"> </w:t>
      </w:r>
      <w:r>
        <w:tab/>
        <w:t>Zie in dit verband Aanwijzing 2.2, 2.3 en 2.9 van de Aanwijzingen voor de regelgeving.</w:t>
      </w:r>
    </w:p>
  </w:footnote>
  <w:footnote w:id="76">
    <w:p w14:paraId="2C54BD81" w14:textId="77777777" w:rsidR="00E25919" w:rsidRPr="00F33D73" w:rsidRDefault="00042A08" w:rsidP="00DE3946">
      <w:pPr>
        <w:pStyle w:val="Voetnoottekst"/>
        <w:tabs>
          <w:tab w:val="clear" w:pos="227"/>
          <w:tab w:val="left" w:pos="284"/>
        </w:tabs>
        <w:ind w:left="284" w:hanging="284"/>
      </w:pPr>
      <w:r>
        <w:rPr>
          <w:rStyle w:val="Voetnootmarkering"/>
        </w:rPr>
        <w:footnoteRef/>
      </w:r>
      <w:r w:rsidRPr="00F33D73">
        <w:t xml:space="preserve"> </w:t>
      </w:r>
      <w:r w:rsidRPr="00F33D73">
        <w:tab/>
        <w:t xml:space="preserve">Memorie van toelichting, </w:t>
      </w:r>
      <w:r>
        <w:t>paragraaf</w:t>
      </w:r>
      <w:r w:rsidRPr="00F33D73">
        <w:t xml:space="preserve"> 3.</w:t>
      </w:r>
    </w:p>
  </w:footnote>
  <w:footnote w:id="77">
    <w:p w14:paraId="49F6C56B" w14:textId="77777777" w:rsidR="00663757" w:rsidRDefault="00042A08" w:rsidP="00663757">
      <w:pPr>
        <w:pStyle w:val="Voetnoottekst"/>
        <w:tabs>
          <w:tab w:val="clear" w:pos="227"/>
          <w:tab w:val="left" w:pos="284"/>
        </w:tabs>
        <w:ind w:left="284" w:hanging="284"/>
      </w:pPr>
      <w:r>
        <w:rPr>
          <w:rStyle w:val="Voetnootmarkering"/>
        </w:rPr>
        <w:footnoteRef/>
      </w:r>
      <w:r>
        <w:t xml:space="preserve"> </w:t>
      </w:r>
      <w:r>
        <w:tab/>
        <w:t xml:space="preserve">N. Koffeman, </w:t>
      </w:r>
      <w:r w:rsidRPr="00A86F2B">
        <w:rPr>
          <w:i/>
          <w:iCs/>
        </w:rPr>
        <w:t>Beperkingen aan draagmoederschap getoetst aan het Europees recht</w:t>
      </w:r>
      <w:r>
        <w:t xml:space="preserve">, Universiteit Leiden 2016; ACVZ, </w:t>
      </w:r>
      <w:r>
        <w:rPr>
          <w:i/>
          <w:iCs/>
        </w:rPr>
        <w:t>Veranderd ouderschap en migratie: vreemdelingenrechtelijke aspecten van meerouderschap, meerpersoonsgezag en draagmoederschap</w:t>
      </w:r>
      <w:r>
        <w:t>, 2019.</w:t>
      </w:r>
    </w:p>
  </w:footnote>
  <w:footnote w:id="78">
    <w:p w14:paraId="1B00859F" w14:textId="77777777" w:rsidR="00663757" w:rsidRDefault="00042A08" w:rsidP="00663757">
      <w:pPr>
        <w:pStyle w:val="Voetnoottekst"/>
        <w:ind w:left="284"/>
      </w:pPr>
      <w:r>
        <w:rPr>
          <w:rStyle w:val="Voetnootmarkering"/>
        </w:rPr>
        <w:footnoteRef/>
      </w:r>
      <w:r>
        <w:t xml:space="preserve"> </w:t>
      </w:r>
      <w:r>
        <w:tab/>
        <w:t xml:space="preserve">Een niet-economisch karakter van het draagmoederschap zelf laat overigens onverlet dat draagmoederschapsconstructies gepaard kunnen gaan met andere, bijkomende (medische of juridische) vormen van dienstverrichting als bedoeld in artikel 57 VWEU. Beperkingen van dergelijke diensten behoeven dan mogelijk wel een rechtvaardiging.  </w:t>
      </w:r>
    </w:p>
  </w:footnote>
  <w:footnote w:id="79">
    <w:p w14:paraId="7E12DFE0" w14:textId="77777777" w:rsidR="00663757" w:rsidRDefault="00042A08" w:rsidP="00663757">
      <w:pPr>
        <w:pStyle w:val="Voetnoottekst"/>
      </w:pPr>
      <w:r>
        <w:rPr>
          <w:rStyle w:val="Voetnootmarkering"/>
        </w:rPr>
        <w:footnoteRef/>
      </w:r>
      <w:r>
        <w:t xml:space="preserve"> </w:t>
      </w:r>
      <w:r>
        <w:tab/>
        <w:t xml:space="preserve"> Het relevante toetsingskader betreft hier de Richtlijn 2006/123/EG van het Europees Parlement </w:t>
      </w:r>
    </w:p>
    <w:p w14:paraId="3523A0A4" w14:textId="77777777" w:rsidR="00663757" w:rsidRDefault="00042A08" w:rsidP="00663757">
      <w:pPr>
        <w:pStyle w:val="Voetnoottekst"/>
      </w:pPr>
      <w:r>
        <w:tab/>
        <w:t xml:space="preserve"> en de Raad betreffende diensten op de interne markt, PbEU 2006, L 376. </w:t>
      </w:r>
    </w:p>
  </w:footnote>
  <w:footnote w:id="80">
    <w:p w14:paraId="32D68E9E" w14:textId="77777777" w:rsidR="00663757" w:rsidRDefault="00042A08" w:rsidP="00663757">
      <w:pPr>
        <w:pStyle w:val="Voetnoottekst"/>
        <w:tabs>
          <w:tab w:val="clear" w:pos="227"/>
          <w:tab w:val="left" w:pos="284"/>
        </w:tabs>
        <w:ind w:left="284" w:hanging="284"/>
      </w:pPr>
      <w:r>
        <w:rPr>
          <w:rStyle w:val="Voetnootmarkering"/>
        </w:rPr>
        <w:footnoteRef/>
      </w:r>
      <w:r>
        <w:t xml:space="preserve"> </w:t>
      </w:r>
      <w:r>
        <w:tab/>
        <w:t>Voorgesteld artikel 1:215, eerste lid, onder j en k, BW.</w:t>
      </w:r>
    </w:p>
  </w:footnote>
  <w:footnote w:id="81">
    <w:p w14:paraId="6C2A1179"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 xml:space="preserve">Dit erkent ook de regering. Zie Memorie van toelichting, paragraaf 7.1, onderdeel a. </w:t>
      </w:r>
    </w:p>
  </w:footnote>
  <w:footnote w:id="82">
    <w:p w14:paraId="24ED3323"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paragraaf 4.1.</w:t>
      </w:r>
    </w:p>
  </w:footnote>
  <w:footnote w:id="83">
    <w:p w14:paraId="3ACF9A03"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paragraaf 4.5.</w:t>
      </w:r>
    </w:p>
  </w:footnote>
  <w:footnote w:id="84">
    <w:p w14:paraId="495425D4" w14:textId="26AA015D"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artikelsgewijze toelichting bij artikel 1:214 BW.</w:t>
      </w:r>
    </w:p>
  </w:footnote>
  <w:footnote w:id="85">
    <w:p w14:paraId="3C3C0D75"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Idem.</w:t>
      </w:r>
    </w:p>
  </w:footnote>
  <w:footnote w:id="86">
    <w:p w14:paraId="66DD1A5E" w14:textId="06DD089E"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artikelsgewijze toelichting bij artikel 1:215 BW.</w:t>
      </w:r>
    </w:p>
  </w:footnote>
  <w:footnote w:id="87">
    <w:p w14:paraId="4B497252" w14:textId="67609352" w:rsidR="00E25919" w:rsidRDefault="00042A08" w:rsidP="00B32651">
      <w:pPr>
        <w:pStyle w:val="Voetnoottekst"/>
        <w:tabs>
          <w:tab w:val="clear" w:pos="227"/>
          <w:tab w:val="left" w:pos="284"/>
        </w:tabs>
        <w:ind w:left="284" w:hanging="284"/>
      </w:pPr>
      <w:r>
        <w:rPr>
          <w:rStyle w:val="Voetnootmarkering"/>
        </w:rPr>
        <w:footnoteRef/>
      </w:r>
      <w:r>
        <w:t xml:space="preserve"> </w:t>
      </w:r>
      <w:r>
        <w:tab/>
        <w:t>Voorgesteld artikel 1:219, vierde lid, BW.</w:t>
      </w:r>
    </w:p>
  </w:footnote>
  <w:footnote w:id="88">
    <w:p w14:paraId="5BB39C63" w14:textId="57C99AFF" w:rsidR="00E25919" w:rsidRDefault="00042A08" w:rsidP="00B32651">
      <w:pPr>
        <w:pStyle w:val="Voetnoottekst"/>
        <w:tabs>
          <w:tab w:val="clear" w:pos="227"/>
          <w:tab w:val="left" w:pos="284"/>
        </w:tabs>
        <w:ind w:left="284" w:hanging="284"/>
      </w:pPr>
      <w:r>
        <w:rPr>
          <w:rStyle w:val="Voetnootmarkering"/>
        </w:rPr>
        <w:footnoteRef/>
      </w:r>
      <w:r>
        <w:t xml:space="preserve"> </w:t>
      </w:r>
      <w:r>
        <w:tab/>
        <w:t>Voorgesteld artikel 1:219, tweede, derde en vijfde lid, BW.</w:t>
      </w:r>
    </w:p>
  </w:footnote>
  <w:footnote w:id="89">
    <w:p w14:paraId="148371B0" w14:textId="3DF3325E" w:rsidR="00E25919" w:rsidRDefault="00042A08" w:rsidP="00B32651">
      <w:pPr>
        <w:pStyle w:val="Voetnoottekst"/>
        <w:tabs>
          <w:tab w:val="clear" w:pos="227"/>
          <w:tab w:val="left" w:pos="284"/>
        </w:tabs>
        <w:ind w:left="284" w:hanging="284"/>
      </w:pPr>
      <w:r>
        <w:rPr>
          <w:rStyle w:val="Voetnootmarkering"/>
        </w:rPr>
        <w:footnoteRef/>
      </w:r>
      <w:r>
        <w:t xml:space="preserve"> </w:t>
      </w:r>
      <w:r>
        <w:tab/>
        <w:t>Voorgesteld artikel 1:219, tweede lid, BW.</w:t>
      </w:r>
    </w:p>
  </w:footnote>
  <w:footnote w:id="90">
    <w:p w14:paraId="11AD19BF" w14:textId="71ADCC71" w:rsidR="00E25919" w:rsidRDefault="00042A08" w:rsidP="00B32651">
      <w:pPr>
        <w:pStyle w:val="Voetnoottekst"/>
        <w:tabs>
          <w:tab w:val="clear" w:pos="227"/>
          <w:tab w:val="left" w:pos="284"/>
        </w:tabs>
        <w:ind w:left="284" w:hanging="284"/>
      </w:pPr>
      <w:r>
        <w:rPr>
          <w:rStyle w:val="Voetnootmarkering"/>
        </w:rPr>
        <w:footnoteRef/>
      </w:r>
      <w:r>
        <w:t xml:space="preserve"> </w:t>
      </w:r>
      <w:r>
        <w:tab/>
        <w:t xml:space="preserve">Zie </w:t>
      </w:r>
      <w:r w:rsidRPr="00017007">
        <w:t>Staatscommissie Herijking ouderschap, ‘Kind en ouders in de 21</w:t>
      </w:r>
      <w:r w:rsidRPr="00017007">
        <w:rPr>
          <w:vertAlign w:val="superscript"/>
        </w:rPr>
        <w:t>e</w:t>
      </w:r>
      <w:r w:rsidRPr="00017007">
        <w:t xml:space="preserve"> eeuw’, bijlage bij Kamerstukken II, 2016/17 33836, nr. 18, </w:t>
      </w:r>
      <w:r>
        <w:t xml:space="preserve">paragraaf 11.4.4. Overigens leek de Staatscommissie voor het Internationaal Privaatrecht, die zich op verzoek van de Minister voor Rechtsbescherming boog over de internationaal-privaatrechtelijke aspecten van de aanbevelingen die de Staatscommissie Herijking ouderschap heeft gedaan in haar rapport, een andere opvatting toegedaan. Zie </w:t>
      </w:r>
      <w:r w:rsidRPr="00C00459">
        <w:t>Staatscommissie IPR, Advies over de internationaal privaatrechtelijke aspecten van de aanbevelingen en voorstellen van de Staatscommissie Herijking Ouderschap in haar Rapport «Kind en ouders in de 21ste eeuw», Den Haag: 2019, Kamerstuk</w:t>
      </w:r>
      <w:r>
        <w:t>ken</w:t>
      </w:r>
      <w:r w:rsidRPr="00C00459">
        <w:t xml:space="preserve"> II 2018/19, 33836, nr. 42, bijlage</w:t>
      </w:r>
      <w:r>
        <w:t>, paragraaf 2.5. Zie ook Memorie van toelichting, artikelsgewijze toelichting bij artikel 10:101a, BW.</w:t>
      </w:r>
    </w:p>
  </w:footnote>
  <w:footnote w:id="91">
    <w:p w14:paraId="38C17FB1" w14:textId="28EC6C1B"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artikelsgewijze toelichting bij artikel 10:101a, leden 1 en 2, BW.</w:t>
      </w:r>
    </w:p>
  </w:footnote>
  <w:footnote w:id="92">
    <w:p w14:paraId="724C71D4"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 xml:space="preserve">Voorgesteld artikel 1:216 BW. </w:t>
      </w:r>
    </w:p>
  </w:footnote>
  <w:footnote w:id="93">
    <w:p w14:paraId="79B7CB9F" w14:textId="41D1C67A"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paragraaf 4.5 en artikelsgewijze toelichting bij artikel 1:216 BW.</w:t>
      </w:r>
    </w:p>
  </w:footnote>
  <w:footnote w:id="94">
    <w:p w14:paraId="1B0B8B79" w14:textId="34F5E7ED" w:rsidR="00E25919" w:rsidRDefault="00042A08" w:rsidP="00B32651">
      <w:pPr>
        <w:pStyle w:val="Voetnoottekst"/>
        <w:tabs>
          <w:tab w:val="clear" w:pos="227"/>
          <w:tab w:val="left" w:pos="284"/>
        </w:tabs>
        <w:ind w:left="284" w:hanging="284"/>
      </w:pPr>
      <w:r>
        <w:rPr>
          <w:rStyle w:val="Voetnootmarkering"/>
        </w:rPr>
        <w:footnoteRef/>
      </w:r>
      <w:r>
        <w:t xml:space="preserve"> </w:t>
      </w:r>
      <w:r>
        <w:tab/>
        <w:t xml:space="preserve">Idem. Zie ook paragraaf 7.1, onderdeel c. </w:t>
      </w:r>
    </w:p>
  </w:footnote>
  <w:footnote w:id="95">
    <w:p w14:paraId="24F26C69" w14:textId="7D259C04" w:rsidR="00E25919" w:rsidRDefault="00042A08" w:rsidP="00B32651">
      <w:pPr>
        <w:pStyle w:val="Voetnoottekst"/>
        <w:tabs>
          <w:tab w:val="clear" w:pos="227"/>
          <w:tab w:val="left" w:pos="284"/>
        </w:tabs>
        <w:ind w:left="284" w:hanging="284"/>
      </w:pPr>
      <w:r>
        <w:rPr>
          <w:rStyle w:val="Voetnootmarkering"/>
        </w:rPr>
        <w:footnoteRef/>
      </w:r>
      <w:r>
        <w:t xml:space="preserve"> </w:t>
      </w:r>
      <w:r>
        <w:tab/>
        <w:t>Zie respectievelijk artikel 3:296 BW, artikel 6:74 BW en artikel 6:265 BW.</w:t>
      </w:r>
    </w:p>
  </w:footnote>
  <w:footnote w:id="96">
    <w:p w14:paraId="0335CE9E" w14:textId="5B4CD4B6" w:rsidR="00E25919" w:rsidRDefault="00042A08" w:rsidP="00B32651">
      <w:pPr>
        <w:pStyle w:val="Voetnoottekst"/>
        <w:tabs>
          <w:tab w:val="clear" w:pos="227"/>
          <w:tab w:val="left" w:pos="284"/>
        </w:tabs>
        <w:ind w:left="284" w:hanging="284"/>
      </w:pPr>
      <w:r>
        <w:rPr>
          <w:rStyle w:val="Voetnootmarkering"/>
        </w:rPr>
        <w:footnoteRef/>
      </w:r>
      <w:r>
        <w:t xml:space="preserve"> </w:t>
      </w:r>
      <w:r>
        <w:tab/>
        <w:t>Voorgesteld artikel 151d Sr.</w:t>
      </w:r>
    </w:p>
  </w:footnote>
  <w:footnote w:id="97">
    <w:p w14:paraId="4244280A" w14:textId="010461E1"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artikelsgewijze toelichting bij artikel 151d, eerste lid, Sr.</w:t>
      </w:r>
    </w:p>
  </w:footnote>
  <w:footnote w:id="98">
    <w:p w14:paraId="4BC0DAA8" w14:textId="77777777" w:rsidR="00E25919" w:rsidRPr="00270DCE" w:rsidRDefault="00042A08" w:rsidP="00B32651">
      <w:pPr>
        <w:pStyle w:val="Voetnoottekst"/>
        <w:tabs>
          <w:tab w:val="clear" w:pos="227"/>
          <w:tab w:val="left" w:pos="284"/>
        </w:tabs>
        <w:ind w:left="284" w:hanging="284"/>
      </w:pPr>
      <w:r>
        <w:rPr>
          <w:rStyle w:val="Voetnootmarkering"/>
        </w:rPr>
        <w:footnoteRef/>
      </w:r>
      <w:r>
        <w:t xml:space="preserve"> </w:t>
      </w:r>
      <w:r>
        <w:tab/>
        <w:t>Bij</w:t>
      </w:r>
      <w:r w:rsidRPr="00270DCE">
        <w:t xml:space="preserve"> algemene maatregel van bestuur </w:t>
      </w:r>
      <w:r>
        <w:t xml:space="preserve">zullen </w:t>
      </w:r>
      <w:r w:rsidRPr="00270DCE">
        <w:t>de kostenposten</w:t>
      </w:r>
      <w:r>
        <w:t xml:space="preserve"> worden </w:t>
      </w:r>
      <w:r w:rsidRPr="00270DCE">
        <w:t>aangewezen die bij draagmoederschap voor vergoeding in aanmerking komen en de wijze waarop de hoogte van de maximale vergoeding per kostenpost kan worden vastgesteld. Naast vergoeding van daadwerkelijk gemaakte kosten zal in de AMvB ruimte bestaan voor een beperkte tegemoetkoming als compensatie voor het ongemak, de pijn en de inspanningen tijdens en na de zwangerschap</w:t>
      </w:r>
      <w:r>
        <w:t>. Zie Memorie van toelichting, paragraaf 5.4.</w:t>
      </w:r>
    </w:p>
  </w:footnote>
  <w:footnote w:id="99">
    <w:p w14:paraId="40913367"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Voorgesteld artikel 442b Sr.</w:t>
      </w:r>
    </w:p>
  </w:footnote>
  <w:footnote w:id="100">
    <w:p w14:paraId="1D6DBE20"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paragraaf 5.4.</w:t>
      </w:r>
    </w:p>
  </w:footnote>
  <w:footnote w:id="101">
    <w:p w14:paraId="1623A4F3"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Memorie van toelichting, paragraaf 5.1 en 5.4.</w:t>
      </w:r>
    </w:p>
  </w:footnote>
  <w:footnote w:id="102">
    <w:p w14:paraId="707BB127" w14:textId="77777777" w:rsidR="00E25919" w:rsidRDefault="00042A08" w:rsidP="00E25919">
      <w:pPr>
        <w:pStyle w:val="Voetnoottekst"/>
        <w:tabs>
          <w:tab w:val="clear" w:pos="227"/>
          <w:tab w:val="left" w:pos="284"/>
        </w:tabs>
        <w:ind w:left="284" w:hanging="284"/>
      </w:pPr>
      <w:r>
        <w:rPr>
          <w:rStyle w:val="Voetnootmarkering"/>
        </w:rPr>
        <w:footnoteRef/>
      </w:r>
      <w:r>
        <w:t xml:space="preserve"> </w:t>
      </w:r>
      <w:r w:rsidRPr="00017007">
        <w:t>Staatscommissie Herijking ouderschap, ‘Kind en ouders in de 21</w:t>
      </w:r>
      <w:r w:rsidRPr="00017007">
        <w:rPr>
          <w:vertAlign w:val="superscript"/>
        </w:rPr>
        <w:t>e</w:t>
      </w:r>
      <w:r w:rsidRPr="00017007">
        <w:t xml:space="preserve"> eeuw’, bijlage bij Kamerstukken II, 2016/17 33836, nr. 18, </w:t>
      </w:r>
      <w:r>
        <w:t xml:space="preserve">paragraaf 4.3.2. </w:t>
      </w:r>
    </w:p>
  </w:footnote>
  <w:footnote w:id="103">
    <w:p w14:paraId="54480BD2" w14:textId="77777777" w:rsidR="00E25919" w:rsidRDefault="00042A08" w:rsidP="00E25919">
      <w:pPr>
        <w:pStyle w:val="Voetnoottekst"/>
        <w:tabs>
          <w:tab w:val="clear" w:pos="227"/>
          <w:tab w:val="left" w:pos="284"/>
        </w:tabs>
      </w:pPr>
      <w:r>
        <w:rPr>
          <w:rStyle w:val="Voetnootmarkering"/>
        </w:rPr>
        <w:footnoteRef/>
      </w:r>
      <w:r>
        <w:t xml:space="preserve"> </w:t>
      </w:r>
      <w:r>
        <w:tab/>
        <w:t xml:space="preserve">Memorie van toelichting, paragraaf 6.1. </w:t>
      </w:r>
    </w:p>
  </w:footnote>
  <w:footnote w:id="104">
    <w:p w14:paraId="6AFA4B6E" w14:textId="77777777" w:rsidR="00E25919" w:rsidRDefault="00042A08" w:rsidP="00B32651">
      <w:pPr>
        <w:pStyle w:val="Voetnoottekst"/>
        <w:tabs>
          <w:tab w:val="clear" w:pos="227"/>
          <w:tab w:val="left" w:pos="284"/>
        </w:tabs>
        <w:ind w:left="284" w:hanging="284"/>
      </w:pPr>
      <w:r>
        <w:rPr>
          <w:rStyle w:val="Voetnootmarkering"/>
        </w:rPr>
        <w:footnoteRef/>
      </w:r>
      <w:r>
        <w:t xml:space="preserve"> </w:t>
      </w:r>
      <w:r>
        <w:tab/>
        <w:t>Zie voorgesteld artikel 1:199a, eerste lid, BW; Artikelsgewijze toelichting op voorgesteld artikel 1:199a BW; en Kamerstukken II 2018/19, 33836, nr. 45.</w:t>
      </w:r>
    </w:p>
  </w:footnote>
  <w:footnote w:id="105">
    <w:p w14:paraId="1F2CBA7E" w14:textId="77777777" w:rsidR="00E25919" w:rsidRDefault="00042A08" w:rsidP="00E25919">
      <w:pPr>
        <w:pStyle w:val="Voetnoottekst"/>
        <w:tabs>
          <w:tab w:val="clear" w:pos="227"/>
          <w:tab w:val="left" w:pos="284"/>
        </w:tabs>
        <w:ind w:left="284" w:hanging="284"/>
      </w:pPr>
      <w:r>
        <w:rPr>
          <w:rStyle w:val="Voetnootmarkering"/>
        </w:rPr>
        <w:footnoteRef/>
      </w:r>
      <w:r>
        <w:t xml:space="preserve"> </w:t>
      </w:r>
      <w:r>
        <w:tab/>
        <w:t xml:space="preserve">Voorgesteld artikel 1:199a, tweede lid, BW. </w:t>
      </w:r>
    </w:p>
  </w:footnote>
  <w:footnote w:id="106">
    <w:p w14:paraId="11FB2D3F" w14:textId="77777777" w:rsidR="00E25919" w:rsidRDefault="00042A08" w:rsidP="00E25919">
      <w:pPr>
        <w:pStyle w:val="Voetnoottekst"/>
        <w:tabs>
          <w:tab w:val="clear" w:pos="227"/>
          <w:tab w:val="left" w:pos="284"/>
        </w:tabs>
        <w:ind w:left="284" w:hanging="284"/>
      </w:pPr>
      <w:r>
        <w:rPr>
          <w:rStyle w:val="Voetnootmarkering"/>
        </w:rPr>
        <w:footnoteRef/>
      </w:r>
      <w:r>
        <w:t xml:space="preserve"> </w:t>
      </w:r>
      <w:r>
        <w:tab/>
        <w:t>Advies van 21 november 2019 over het wetsvoorstel gegevensverwerking door samenwerkingsverbanden, Kamerstukken II 2019/20, 35447, nr. 4.</w:t>
      </w:r>
    </w:p>
  </w:footnote>
  <w:footnote w:id="107">
    <w:p w14:paraId="6C038993" w14:textId="77777777" w:rsidR="00E25919" w:rsidRPr="002D45CA" w:rsidRDefault="00042A08" w:rsidP="00E25919">
      <w:pPr>
        <w:pStyle w:val="Voetnoottekst"/>
        <w:tabs>
          <w:tab w:val="clear" w:pos="227"/>
          <w:tab w:val="left" w:pos="284"/>
        </w:tabs>
        <w:rPr>
          <w:szCs w:val="18"/>
        </w:rPr>
      </w:pPr>
      <w:r w:rsidRPr="002D45CA">
        <w:rPr>
          <w:rStyle w:val="Voetnootmarkering"/>
          <w:szCs w:val="18"/>
        </w:rPr>
        <w:footnoteRef/>
      </w:r>
      <w:r w:rsidRPr="002D45CA">
        <w:rPr>
          <w:szCs w:val="18"/>
        </w:rPr>
        <w:t xml:space="preserve"> </w:t>
      </w:r>
      <w:r>
        <w:rPr>
          <w:szCs w:val="18"/>
        </w:rPr>
        <w:tab/>
      </w:r>
      <w:r w:rsidRPr="002D45CA">
        <w:rPr>
          <w:iCs/>
          <w:szCs w:val="18"/>
        </w:rPr>
        <w:t>Kamerstukken II</w:t>
      </w:r>
      <w:r w:rsidRPr="002D45CA">
        <w:rPr>
          <w:szCs w:val="18"/>
        </w:rPr>
        <w:t xml:space="preserve"> 2018/19, 33 836, nr. 45</w:t>
      </w:r>
      <w:r>
        <w:rPr>
          <w:szCs w:val="18"/>
        </w:rPr>
        <w:t>, paragraaf 7</w:t>
      </w:r>
      <w:r w:rsidRPr="002D45CA">
        <w:rPr>
          <w:szCs w:val="18"/>
        </w:rPr>
        <w:t>.</w:t>
      </w:r>
    </w:p>
  </w:footnote>
  <w:footnote w:id="108">
    <w:p w14:paraId="5EC1B560" w14:textId="77777777" w:rsidR="00E25919" w:rsidRDefault="00042A08" w:rsidP="00E25919">
      <w:pPr>
        <w:pStyle w:val="Voetnoottekst"/>
        <w:tabs>
          <w:tab w:val="clear" w:pos="227"/>
          <w:tab w:val="left" w:pos="284"/>
        </w:tabs>
        <w:ind w:left="284" w:hanging="284"/>
      </w:pPr>
      <w:r>
        <w:rPr>
          <w:rStyle w:val="Voetnootmarkering"/>
        </w:rPr>
        <w:footnoteRef/>
      </w:r>
      <w:r>
        <w:t xml:space="preserve"> </w:t>
      </w:r>
      <w:r>
        <w:tab/>
        <w:t>Staatscommissie Herijking ouderschap, ‘Kind en ouders in de 21</w:t>
      </w:r>
      <w:r w:rsidRPr="00CB651B">
        <w:rPr>
          <w:vertAlign w:val="superscript"/>
        </w:rPr>
        <w:t>e</w:t>
      </w:r>
      <w:r>
        <w:t xml:space="preserve"> eeuw’, bijlage bij </w:t>
      </w:r>
      <w:r w:rsidRPr="00487F5C">
        <w:t>Kamerstukken</w:t>
      </w:r>
      <w:r>
        <w:t xml:space="preserve">  </w:t>
      </w:r>
      <w:r w:rsidRPr="00487F5C">
        <w:t>II, 2016/17 33836, nr. 18</w:t>
      </w:r>
      <w:r>
        <w:t>, paragraaf 11.2.4.</w:t>
      </w:r>
    </w:p>
  </w:footnote>
  <w:footnote w:id="109">
    <w:p w14:paraId="48581025" w14:textId="77777777" w:rsidR="00E25919" w:rsidRDefault="00042A08" w:rsidP="00E25919">
      <w:pPr>
        <w:pStyle w:val="Voetnoottekst"/>
        <w:tabs>
          <w:tab w:val="clear" w:pos="227"/>
          <w:tab w:val="left" w:pos="284"/>
        </w:tabs>
      </w:pPr>
      <w:r>
        <w:rPr>
          <w:rStyle w:val="Voetnootmarkering"/>
        </w:rPr>
        <w:footnoteRef/>
      </w:r>
      <w:r>
        <w:t xml:space="preserve"> </w:t>
      </w:r>
      <w:r>
        <w:tab/>
        <w:t>Memorie van toelichting, paragraaf 6.4.</w:t>
      </w:r>
    </w:p>
  </w:footnote>
  <w:footnote w:id="110">
    <w:p w14:paraId="75704756" w14:textId="77777777" w:rsidR="00E25919" w:rsidRDefault="00042A08" w:rsidP="00E25919">
      <w:pPr>
        <w:pStyle w:val="Voetnoottekst"/>
        <w:tabs>
          <w:tab w:val="clear" w:pos="227"/>
          <w:tab w:val="left" w:pos="284"/>
        </w:tabs>
      </w:pPr>
      <w:r>
        <w:rPr>
          <w:rStyle w:val="Voetnootmarkering"/>
        </w:rPr>
        <w:footnoteRef/>
      </w:r>
      <w:r>
        <w:t xml:space="preserve"> </w:t>
      </w:r>
      <w:r>
        <w:tab/>
        <w:t>Idem.</w:t>
      </w:r>
    </w:p>
  </w:footnote>
  <w:footnote w:id="111">
    <w:p w14:paraId="6F6D9DA8" w14:textId="77777777" w:rsidR="00E25919" w:rsidRDefault="00042A08" w:rsidP="00E25919">
      <w:pPr>
        <w:pStyle w:val="Voetnoottekst"/>
        <w:tabs>
          <w:tab w:val="clear" w:pos="227"/>
          <w:tab w:val="left" w:pos="284"/>
        </w:tabs>
      </w:pPr>
      <w:r>
        <w:rPr>
          <w:rStyle w:val="Voetnootmarkering"/>
        </w:rPr>
        <w:footnoteRef/>
      </w:r>
      <w:r>
        <w:t xml:space="preserve"> </w:t>
      </w:r>
      <w:r>
        <w:tab/>
        <w:t>Zie aanwijzing 4.47 van de Aanwijzingen voor de regelgeving.</w:t>
      </w:r>
    </w:p>
  </w:footnote>
  <w:footnote w:id="112">
    <w:p w14:paraId="5B463A21" w14:textId="77777777" w:rsidR="00E25919" w:rsidRDefault="00042A08" w:rsidP="00E25919">
      <w:pPr>
        <w:pStyle w:val="Voetnoottekst"/>
        <w:tabs>
          <w:tab w:val="clear" w:pos="227"/>
          <w:tab w:val="left" w:pos="284"/>
        </w:tabs>
        <w:ind w:left="284" w:hanging="284"/>
      </w:pPr>
      <w:r>
        <w:rPr>
          <w:rStyle w:val="Voetnootmarkering"/>
        </w:rPr>
        <w:footnoteRef/>
      </w:r>
      <w:r>
        <w:t xml:space="preserve"> </w:t>
      </w:r>
      <w:r>
        <w:tab/>
        <w:t>Zie bijvoorbeeld artikel 1:200, vijfde en zesde lid, BW; artikel 1:202a, derde lid, BW; artikel 1:205, derde en vierde lid, BW.</w:t>
      </w:r>
    </w:p>
  </w:footnote>
  <w:footnote w:id="113">
    <w:p w14:paraId="3030E6D2" w14:textId="77777777" w:rsidR="00E25919" w:rsidRDefault="00042A08" w:rsidP="00E25919">
      <w:pPr>
        <w:pStyle w:val="Voetnoottekst"/>
        <w:tabs>
          <w:tab w:val="clear" w:pos="227"/>
          <w:tab w:val="left" w:pos="284"/>
        </w:tabs>
      </w:pPr>
      <w:r>
        <w:rPr>
          <w:rStyle w:val="Voetnootmarkering"/>
        </w:rPr>
        <w:footnoteRef/>
      </w:r>
      <w:r>
        <w:t xml:space="preserve"> </w:t>
      </w:r>
      <w:r>
        <w:tab/>
        <w:t>Memorie van toelichting, paragraaf 6.4.</w:t>
      </w:r>
    </w:p>
  </w:footnote>
  <w:footnote w:id="114">
    <w:p w14:paraId="5F13D02B" w14:textId="77777777" w:rsidR="00E25919" w:rsidRDefault="00042A08" w:rsidP="00E25919">
      <w:pPr>
        <w:tabs>
          <w:tab w:val="left" w:pos="284"/>
        </w:tabs>
        <w:autoSpaceDE w:val="0"/>
        <w:autoSpaceDN w:val="0"/>
        <w:adjustRightInd w:val="0"/>
        <w:ind w:left="284" w:hanging="284"/>
      </w:pPr>
      <w:r w:rsidRPr="00212235">
        <w:rPr>
          <w:rStyle w:val="Voetnootmarkering"/>
          <w:sz w:val="18"/>
          <w:szCs w:val="18"/>
        </w:rPr>
        <w:footnoteRef/>
      </w:r>
      <w:r w:rsidRPr="00212235">
        <w:rPr>
          <w:sz w:val="18"/>
          <w:szCs w:val="18"/>
        </w:rPr>
        <w:t xml:space="preserve"> </w:t>
      </w:r>
      <w:r>
        <w:rPr>
          <w:sz w:val="18"/>
          <w:szCs w:val="18"/>
        </w:rPr>
        <w:tab/>
      </w:r>
      <w:r w:rsidRPr="00212235">
        <w:rPr>
          <w:sz w:val="18"/>
          <w:szCs w:val="18"/>
        </w:rPr>
        <w:t>Zie HR 17 september 1993, ECLI:NL:HR:1993:ZC1064; HR 15 november 2002,</w:t>
      </w:r>
      <w:r>
        <w:rPr>
          <w:sz w:val="18"/>
          <w:szCs w:val="18"/>
        </w:rPr>
        <w:t xml:space="preserve"> </w:t>
      </w:r>
      <w:r w:rsidRPr="00212235">
        <w:rPr>
          <w:sz w:val="18"/>
          <w:szCs w:val="18"/>
        </w:rPr>
        <w:t>ECLI:NL:HR:2002:AE8473</w:t>
      </w:r>
      <w:r>
        <w:rPr>
          <w:sz w:val="18"/>
          <w:szCs w:val="18"/>
        </w:rPr>
        <w:t>.</w:t>
      </w:r>
    </w:p>
  </w:footnote>
  <w:footnote w:id="115">
    <w:p w14:paraId="1625DF36" w14:textId="77777777" w:rsidR="00E25919" w:rsidRPr="00D84CC8" w:rsidRDefault="00042A08" w:rsidP="00E25919">
      <w:pPr>
        <w:tabs>
          <w:tab w:val="left" w:pos="284"/>
        </w:tabs>
        <w:autoSpaceDE w:val="0"/>
        <w:autoSpaceDN w:val="0"/>
        <w:adjustRightInd w:val="0"/>
        <w:ind w:left="284" w:hanging="284"/>
        <w:rPr>
          <w:szCs w:val="18"/>
        </w:rPr>
      </w:pPr>
      <w:r w:rsidRPr="00D84CC8">
        <w:rPr>
          <w:rStyle w:val="Voetnootmarkering"/>
          <w:sz w:val="18"/>
          <w:szCs w:val="18"/>
        </w:rPr>
        <w:footnoteRef/>
      </w:r>
      <w:r w:rsidRPr="00D84CC8">
        <w:rPr>
          <w:sz w:val="18"/>
          <w:szCs w:val="18"/>
        </w:rPr>
        <w:t xml:space="preserve"> </w:t>
      </w:r>
      <w:r>
        <w:rPr>
          <w:sz w:val="18"/>
          <w:szCs w:val="18"/>
        </w:rPr>
        <w:tab/>
      </w:r>
      <w:r w:rsidRPr="00D84CC8">
        <w:rPr>
          <w:sz w:val="18"/>
          <w:szCs w:val="18"/>
        </w:rPr>
        <w:t>Zie bijvoorbeeld</w:t>
      </w:r>
      <w:r>
        <w:t xml:space="preserve"> </w:t>
      </w:r>
      <w:r w:rsidRPr="00D84CC8">
        <w:rPr>
          <w:sz w:val="18"/>
          <w:szCs w:val="18"/>
        </w:rPr>
        <w:t>EHRM 29 november 1984, ECLI:NL:XX:1984:AC8625, NJ 1986/4, m.nt. E.A. Alkema (Rasmussen/Denemarken</w:t>
      </w:r>
      <w:r>
        <w:rPr>
          <w:sz w:val="18"/>
          <w:szCs w:val="18"/>
        </w:rPr>
        <w:t>)</w:t>
      </w:r>
      <w:r w:rsidRPr="00D84CC8">
        <w:rPr>
          <w:sz w:val="18"/>
          <w:szCs w:val="18"/>
        </w:rPr>
        <w:t>.</w:t>
      </w:r>
    </w:p>
  </w:footnote>
  <w:footnote w:id="116">
    <w:p w14:paraId="45F0C913" w14:textId="77777777" w:rsidR="00E25919" w:rsidRDefault="00042A08" w:rsidP="00E25919">
      <w:pPr>
        <w:pStyle w:val="Voetnoottekst"/>
        <w:tabs>
          <w:tab w:val="clear" w:pos="227"/>
          <w:tab w:val="left" w:pos="284"/>
        </w:tabs>
        <w:ind w:left="284" w:hanging="284"/>
      </w:pPr>
      <w:r>
        <w:rPr>
          <w:rStyle w:val="Voetnootmarkering"/>
        </w:rPr>
        <w:footnoteRef/>
      </w:r>
      <w:r>
        <w:t xml:space="preserve"> </w:t>
      </w:r>
      <w:r>
        <w:tab/>
        <w:t>Zie in deze zin ook de Staatscommissie Herijking ouderschap, ‘Kind en ouders in de 21</w:t>
      </w:r>
      <w:r w:rsidRPr="00CB651B">
        <w:rPr>
          <w:vertAlign w:val="superscript"/>
        </w:rPr>
        <w:t>e</w:t>
      </w:r>
      <w:r>
        <w:t xml:space="preserve"> eeuw’, bijlage bij </w:t>
      </w:r>
      <w:r w:rsidRPr="00487F5C">
        <w:t>Kamerstukken II, 2016/17 33836, nr. 18</w:t>
      </w:r>
      <w:r>
        <w:t>, p. 202.</w:t>
      </w:r>
    </w:p>
  </w:footnote>
  <w:footnote w:id="117">
    <w:p w14:paraId="415EA90E" w14:textId="77777777" w:rsidR="00E25919" w:rsidRDefault="00042A08" w:rsidP="00E25919">
      <w:pPr>
        <w:pStyle w:val="Voetnoottekst"/>
        <w:tabs>
          <w:tab w:val="clear" w:pos="227"/>
          <w:tab w:val="left" w:pos="284"/>
        </w:tabs>
        <w:ind w:left="284" w:hanging="284"/>
      </w:pPr>
      <w:r>
        <w:rPr>
          <w:rStyle w:val="Voetnootmarkering"/>
        </w:rPr>
        <w:footnoteRef/>
      </w:r>
      <w:r>
        <w:t xml:space="preserve"> </w:t>
      </w:r>
      <w:r>
        <w:tab/>
        <w:t>Staatscommissie Herijking ouderschap, ‘Kind en ouders in de 21</w:t>
      </w:r>
      <w:r w:rsidRPr="00CB651B">
        <w:rPr>
          <w:vertAlign w:val="superscript"/>
        </w:rPr>
        <w:t>e</w:t>
      </w:r>
      <w:r>
        <w:t xml:space="preserve"> eeuw’, bijlage bij </w:t>
      </w:r>
      <w:r w:rsidRPr="00487F5C">
        <w:t>Kamerstukken II, 2016/17 33836, nr. 18</w:t>
      </w:r>
      <w:r>
        <w:t>, paragraaf 11.2.3.4.</w:t>
      </w:r>
    </w:p>
  </w:footnote>
  <w:footnote w:id="118">
    <w:p w14:paraId="67885F0B" w14:textId="44D003F1" w:rsidR="00E25919" w:rsidRDefault="00042A08" w:rsidP="00E25919">
      <w:pPr>
        <w:pStyle w:val="Voetnoottekst"/>
        <w:tabs>
          <w:tab w:val="clear" w:pos="227"/>
          <w:tab w:val="left" w:pos="284"/>
        </w:tabs>
      </w:pPr>
      <w:r>
        <w:rPr>
          <w:rStyle w:val="Voetnootmarkering"/>
        </w:rPr>
        <w:footnoteRef/>
      </w:r>
      <w:r>
        <w:t xml:space="preserve"> </w:t>
      </w:r>
      <w:r>
        <w:tab/>
        <w:t>Gewijzigd artikel 1:204 BW; memorie van toelichting, paragraaf 6.3.</w:t>
      </w:r>
    </w:p>
  </w:footnote>
  <w:footnote w:id="119">
    <w:p w14:paraId="6FBFDA91" w14:textId="210504BA" w:rsidR="00E25919" w:rsidRDefault="00042A08" w:rsidP="00961972">
      <w:pPr>
        <w:pStyle w:val="Voetnoottekst"/>
        <w:tabs>
          <w:tab w:val="clear" w:pos="227"/>
          <w:tab w:val="left" w:pos="284"/>
        </w:tabs>
      </w:pPr>
      <w:r>
        <w:rPr>
          <w:rStyle w:val="Voetnootmarkering"/>
        </w:rPr>
        <w:footnoteRef/>
      </w:r>
      <w:r>
        <w:t xml:space="preserve"> </w:t>
      </w:r>
      <w:r>
        <w:tab/>
      </w:r>
      <w:r w:rsidRPr="00CB651B">
        <w:t>Kamerstukken II 2018/19, 33836, nr. 45</w:t>
      </w:r>
      <w:r>
        <w:t>, paragraaf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7AD4" w14:textId="526A07F1"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26487">
      <w:rPr>
        <w:rStyle w:val="Paginanummer"/>
        <w:noProof/>
      </w:rPr>
      <w:t>21</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B9"/>
    <w:multiLevelType w:val="hybridMultilevel"/>
    <w:tmpl w:val="F354601C"/>
    <w:lvl w:ilvl="0" w:tplc="EE143A1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025B7"/>
    <w:multiLevelType w:val="hybridMultilevel"/>
    <w:tmpl w:val="95404A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764948"/>
    <w:multiLevelType w:val="hybridMultilevel"/>
    <w:tmpl w:val="2BA60C42"/>
    <w:lvl w:ilvl="0" w:tplc="A4AE4B74">
      <w:start w:val="1"/>
      <w:numFmt w:val="low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A031AF"/>
    <w:multiLevelType w:val="hybridMultilevel"/>
    <w:tmpl w:val="F92EE0EE"/>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B546A9"/>
    <w:multiLevelType w:val="hybridMultilevel"/>
    <w:tmpl w:val="0126699E"/>
    <w:lvl w:ilvl="0" w:tplc="04130019">
      <w:start w:val="2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7B19EC"/>
    <w:multiLevelType w:val="hybridMultilevel"/>
    <w:tmpl w:val="F418EE94"/>
    <w:lvl w:ilvl="0" w:tplc="50346BE0">
      <w:start w:val="3"/>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BA2657"/>
    <w:multiLevelType w:val="hybridMultilevel"/>
    <w:tmpl w:val="64AA414C"/>
    <w:lvl w:ilvl="0" w:tplc="5788973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662EEB"/>
    <w:multiLevelType w:val="hybridMultilevel"/>
    <w:tmpl w:val="341205B0"/>
    <w:lvl w:ilvl="0" w:tplc="67F469D2">
      <w:start w:val="2"/>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7D2299"/>
    <w:multiLevelType w:val="hybridMultilevel"/>
    <w:tmpl w:val="A91876A8"/>
    <w:lvl w:ilvl="0" w:tplc="04130019">
      <w:start w:val="6"/>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CE66D7"/>
    <w:multiLevelType w:val="hybridMultilevel"/>
    <w:tmpl w:val="00366ACE"/>
    <w:lvl w:ilvl="0" w:tplc="D6029F8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0505C2"/>
    <w:multiLevelType w:val="hybridMultilevel"/>
    <w:tmpl w:val="6E809480"/>
    <w:lvl w:ilvl="0" w:tplc="EE528854">
      <w:start w:val="4"/>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E1166A"/>
    <w:multiLevelType w:val="hybridMultilevel"/>
    <w:tmpl w:val="AFE0C2BC"/>
    <w:lvl w:ilvl="0" w:tplc="BD283FD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542F61"/>
    <w:multiLevelType w:val="hybridMultilevel"/>
    <w:tmpl w:val="2B4C6EBC"/>
    <w:lvl w:ilvl="0" w:tplc="FFE0C8D4">
      <w:numFmt w:val="bullet"/>
      <w:lvlText w:val="-"/>
      <w:lvlJc w:val="left"/>
      <w:pPr>
        <w:ind w:left="720" w:hanging="360"/>
      </w:pPr>
      <w:rPr>
        <w:rFonts w:ascii="Univers" w:eastAsia="Times New Roman" w:hAnsi="Univers" w:cs="Times New Roman"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385157"/>
    <w:multiLevelType w:val="hybridMultilevel"/>
    <w:tmpl w:val="D5F6E84E"/>
    <w:lvl w:ilvl="0" w:tplc="E5B050F2">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9F47FF"/>
    <w:multiLevelType w:val="hybridMultilevel"/>
    <w:tmpl w:val="82E613D4"/>
    <w:lvl w:ilvl="0" w:tplc="2850FF7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C26A13"/>
    <w:multiLevelType w:val="hybridMultilevel"/>
    <w:tmpl w:val="E06071EC"/>
    <w:lvl w:ilvl="0" w:tplc="AA1A34A4">
      <w:start w:val="3"/>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637CC2"/>
    <w:multiLevelType w:val="hybridMultilevel"/>
    <w:tmpl w:val="2E14FEA2"/>
    <w:lvl w:ilvl="0" w:tplc="95DA714E">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167AEB"/>
    <w:multiLevelType w:val="hybridMultilevel"/>
    <w:tmpl w:val="DD722228"/>
    <w:lvl w:ilvl="0" w:tplc="0413000F">
      <w:start w:val="1"/>
      <w:numFmt w:val="decimal"/>
      <w:lvlText w:val="%1."/>
      <w:lvlJc w:val="left"/>
      <w:pPr>
        <w:ind w:left="7874"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393D11C3"/>
    <w:multiLevelType w:val="hybridMultilevel"/>
    <w:tmpl w:val="3F3A1FD8"/>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E54CA4"/>
    <w:multiLevelType w:val="hybridMultilevel"/>
    <w:tmpl w:val="AB4879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7B4FBD"/>
    <w:multiLevelType w:val="hybridMultilevel"/>
    <w:tmpl w:val="486CC03A"/>
    <w:lvl w:ilvl="0" w:tplc="A5367204">
      <w:start w:val="3"/>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ED7475"/>
    <w:multiLevelType w:val="hybridMultilevel"/>
    <w:tmpl w:val="06066B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01419C"/>
    <w:multiLevelType w:val="hybridMultilevel"/>
    <w:tmpl w:val="A4000C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17088B"/>
    <w:multiLevelType w:val="hybridMultilevel"/>
    <w:tmpl w:val="942011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FA093C"/>
    <w:multiLevelType w:val="hybridMultilevel"/>
    <w:tmpl w:val="143C9A16"/>
    <w:lvl w:ilvl="0" w:tplc="1506F27C">
      <w:start w:val="1"/>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3E208A"/>
    <w:multiLevelType w:val="hybridMultilevel"/>
    <w:tmpl w:val="1F74150A"/>
    <w:lvl w:ilvl="0" w:tplc="6E88D89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5A4443"/>
    <w:multiLevelType w:val="hybridMultilevel"/>
    <w:tmpl w:val="B22E1F3A"/>
    <w:lvl w:ilvl="0" w:tplc="2EA4C15E">
      <w:start w:val="3"/>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A6157D"/>
    <w:multiLevelType w:val="hybridMultilevel"/>
    <w:tmpl w:val="2C20293A"/>
    <w:lvl w:ilvl="0" w:tplc="070CD3E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4C617C"/>
    <w:multiLevelType w:val="hybridMultilevel"/>
    <w:tmpl w:val="F432C4D2"/>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C47952"/>
    <w:multiLevelType w:val="hybridMultilevel"/>
    <w:tmpl w:val="79CAC8E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155E4A"/>
    <w:multiLevelType w:val="hybridMultilevel"/>
    <w:tmpl w:val="43D47068"/>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45A5028"/>
    <w:multiLevelType w:val="hybridMultilevel"/>
    <w:tmpl w:val="A582E7C0"/>
    <w:lvl w:ilvl="0" w:tplc="0616F0C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5237706"/>
    <w:multiLevelType w:val="hybridMultilevel"/>
    <w:tmpl w:val="F4F289AE"/>
    <w:lvl w:ilvl="0" w:tplc="6F207E1C">
      <w:start w:val="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5A1492"/>
    <w:multiLevelType w:val="hybridMultilevel"/>
    <w:tmpl w:val="ADCE549C"/>
    <w:lvl w:ilvl="0" w:tplc="D2663690">
      <w:start w:val="3"/>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601316C"/>
    <w:multiLevelType w:val="hybridMultilevel"/>
    <w:tmpl w:val="5FFCA5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2E54C6"/>
    <w:multiLevelType w:val="hybridMultilevel"/>
    <w:tmpl w:val="963850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9252DD"/>
    <w:multiLevelType w:val="hybridMultilevel"/>
    <w:tmpl w:val="672C649A"/>
    <w:lvl w:ilvl="0" w:tplc="AAFAC8B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9390D9C"/>
    <w:multiLevelType w:val="hybridMultilevel"/>
    <w:tmpl w:val="DA245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664CFA"/>
    <w:multiLevelType w:val="hybridMultilevel"/>
    <w:tmpl w:val="D5C2F268"/>
    <w:lvl w:ilvl="0" w:tplc="48F4108A">
      <w:start w:val="5"/>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86F0773"/>
    <w:multiLevelType w:val="hybridMultilevel"/>
    <w:tmpl w:val="734E0B1C"/>
    <w:lvl w:ilvl="0" w:tplc="8624A93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94B08C0"/>
    <w:multiLevelType w:val="hybridMultilevel"/>
    <w:tmpl w:val="212C15BA"/>
    <w:lvl w:ilvl="0" w:tplc="35FEDE0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9A87F62"/>
    <w:multiLevelType w:val="hybridMultilevel"/>
    <w:tmpl w:val="F2A2F6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CB231D"/>
    <w:multiLevelType w:val="hybridMultilevel"/>
    <w:tmpl w:val="C7E424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E86F86"/>
    <w:multiLevelType w:val="hybridMultilevel"/>
    <w:tmpl w:val="688056BA"/>
    <w:lvl w:ilvl="0" w:tplc="EAE4B1D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24"/>
  </w:num>
  <w:num w:numId="3">
    <w:abstractNumId w:val="32"/>
  </w:num>
  <w:num w:numId="4">
    <w:abstractNumId w:val="22"/>
  </w:num>
  <w:num w:numId="5">
    <w:abstractNumId w:val="41"/>
  </w:num>
  <w:num w:numId="6">
    <w:abstractNumId w:val="3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7"/>
  </w:num>
  <w:num w:numId="10">
    <w:abstractNumId w:val="0"/>
  </w:num>
  <w:num w:numId="11">
    <w:abstractNumId w:val="36"/>
  </w:num>
  <w:num w:numId="12">
    <w:abstractNumId w:val="25"/>
  </w:num>
  <w:num w:numId="13">
    <w:abstractNumId w:val="2"/>
  </w:num>
  <w:num w:numId="14">
    <w:abstractNumId w:val="18"/>
  </w:num>
  <w:num w:numId="15">
    <w:abstractNumId w:val="7"/>
  </w:num>
  <w:num w:numId="16">
    <w:abstractNumId w:val="14"/>
  </w:num>
  <w:num w:numId="17">
    <w:abstractNumId w:val="20"/>
  </w:num>
  <w:num w:numId="18">
    <w:abstractNumId w:val="28"/>
  </w:num>
  <w:num w:numId="19">
    <w:abstractNumId w:val="30"/>
  </w:num>
  <w:num w:numId="20">
    <w:abstractNumId w:val="8"/>
  </w:num>
  <w:num w:numId="21">
    <w:abstractNumId w:val="5"/>
  </w:num>
  <w:num w:numId="22">
    <w:abstractNumId w:val="1"/>
  </w:num>
  <w:num w:numId="23">
    <w:abstractNumId w:val="16"/>
  </w:num>
  <w:num w:numId="24">
    <w:abstractNumId w:val="10"/>
  </w:num>
  <w:num w:numId="25">
    <w:abstractNumId w:val="12"/>
  </w:num>
  <w:num w:numId="26">
    <w:abstractNumId w:val="40"/>
  </w:num>
  <w:num w:numId="27">
    <w:abstractNumId w:val="33"/>
  </w:num>
  <w:num w:numId="28">
    <w:abstractNumId w:val="38"/>
  </w:num>
  <w:num w:numId="29">
    <w:abstractNumId w:val="37"/>
  </w:num>
  <w:num w:numId="30">
    <w:abstractNumId w:val="6"/>
  </w:num>
  <w:num w:numId="31">
    <w:abstractNumId w:val="43"/>
  </w:num>
  <w:num w:numId="32">
    <w:abstractNumId w:val="31"/>
  </w:num>
  <w:num w:numId="33">
    <w:abstractNumId w:val="9"/>
  </w:num>
  <w:num w:numId="34">
    <w:abstractNumId w:val="26"/>
  </w:num>
  <w:num w:numId="35">
    <w:abstractNumId w:val="15"/>
  </w:num>
  <w:num w:numId="36">
    <w:abstractNumId w:val="13"/>
  </w:num>
  <w:num w:numId="37">
    <w:abstractNumId w:val="29"/>
  </w:num>
  <w:num w:numId="38">
    <w:abstractNumId w:val="21"/>
  </w:num>
  <w:num w:numId="39">
    <w:abstractNumId w:val="23"/>
  </w:num>
  <w:num w:numId="40">
    <w:abstractNumId w:val="3"/>
  </w:num>
  <w:num w:numId="41">
    <w:abstractNumId w:val="4"/>
  </w:num>
  <w:num w:numId="42">
    <w:abstractNumId w:val="35"/>
  </w:num>
  <w:num w:numId="43">
    <w:abstractNumId w:val="1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42A08"/>
    <w:rsid w:val="00156F0B"/>
    <w:rsid w:val="0017188E"/>
    <w:rsid w:val="002656A3"/>
    <w:rsid w:val="0027703A"/>
    <w:rsid w:val="002A16F1"/>
    <w:rsid w:val="002C6867"/>
    <w:rsid w:val="002D0875"/>
    <w:rsid w:val="00303CA7"/>
    <w:rsid w:val="00322CB5"/>
    <w:rsid w:val="003A1FC7"/>
    <w:rsid w:val="004421C1"/>
    <w:rsid w:val="004C120D"/>
    <w:rsid w:val="00503044"/>
    <w:rsid w:val="0066196B"/>
    <w:rsid w:val="006D3E6B"/>
    <w:rsid w:val="0071031E"/>
    <w:rsid w:val="00724C4B"/>
    <w:rsid w:val="00743D19"/>
    <w:rsid w:val="00826487"/>
    <w:rsid w:val="00831756"/>
    <w:rsid w:val="00961972"/>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41AAE"/>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49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9666AA"/>
    <w:rPr>
      <w:vertAlign w:val="superscript"/>
    </w:rPr>
  </w:style>
  <w:style w:type="paragraph" w:styleId="Geenafstand">
    <w:name w:val="No Spacing"/>
    <w:uiPriority w:val="1"/>
    <w:qFormat/>
    <w:rsid w:val="009666AA"/>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38408C"/>
    <w:rPr>
      <w:sz w:val="16"/>
      <w:szCs w:val="16"/>
    </w:rPr>
  </w:style>
  <w:style w:type="paragraph" w:styleId="Tekstopmerking">
    <w:name w:val="annotation text"/>
    <w:basedOn w:val="Standaard"/>
    <w:link w:val="TekstopmerkingChar"/>
    <w:unhideWhenUsed/>
    <w:rsid w:val="0038408C"/>
    <w:rPr>
      <w:sz w:val="20"/>
      <w:szCs w:val="20"/>
    </w:rPr>
  </w:style>
  <w:style w:type="character" w:customStyle="1" w:styleId="TekstopmerkingChar">
    <w:name w:val="Tekst opmerking Char"/>
    <w:basedOn w:val="Standaardalinea-lettertype"/>
    <w:link w:val="Tekstopmerking"/>
    <w:rsid w:val="0038408C"/>
    <w:rPr>
      <w:rFonts w:ascii="Univers" w:hAnsi="Univers"/>
    </w:rPr>
  </w:style>
  <w:style w:type="paragraph" w:styleId="Onderwerpvanopmerking">
    <w:name w:val="annotation subject"/>
    <w:basedOn w:val="Tekstopmerking"/>
    <w:next w:val="Tekstopmerking"/>
    <w:link w:val="OnderwerpvanopmerkingChar"/>
    <w:semiHidden/>
    <w:unhideWhenUsed/>
    <w:rsid w:val="0038408C"/>
    <w:rPr>
      <w:b/>
      <w:bCs/>
    </w:rPr>
  </w:style>
  <w:style w:type="character" w:customStyle="1" w:styleId="OnderwerpvanopmerkingChar">
    <w:name w:val="Onderwerp van opmerking Char"/>
    <w:basedOn w:val="TekstopmerkingChar"/>
    <w:link w:val="Onderwerpvanopmerking"/>
    <w:semiHidden/>
    <w:rsid w:val="0038408C"/>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unhideWhenUsed/>
    <w:rsid w:val="006C5E69"/>
    <w:rPr>
      <w:color w:val="0000FF"/>
      <w:u w:val="single"/>
    </w:rPr>
  </w:style>
  <w:style w:type="character" w:customStyle="1" w:styleId="UnresolvedMention">
    <w:name w:val="Unresolved Mention"/>
    <w:basedOn w:val="Standaardalinea-lettertype"/>
    <w:uiPriority w:val="99"/>
    <w:semiHidden/>
    <w:unhideWhenUsed/>
    <w:rsid w:val="003B725D"/>
    <w:rPr>
      <w:color w:val="605E5C"/>
      <w:shd w:val="clear" w:color="auto" w:fill="E1DFDD"/>
    </w:rPr>
  </w:style>
  <w:style w:type="paragraph" w:styleId="Revisie">
    <w:name w:val="Revision"/>
    <w:hidden/>
    <w:uiPriority w:val="99"/>
    <w:semiHidden/>
    <w:rsid w:val="008B222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FiraSans-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10305</ap:Words>
  <ap:Characters>56683</ap:Characters>
  <ap:DocSecurity>0</ap:DocSecurity>
  <ap:Lines>472</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2023-07-04T08:52:00.0000000Z</dcterms:created>
  <dcterms:modified xsi:type="dcterms:W3CDTF">2023-07-04T08:52:00.0000000Z</dcterms:modified>
  <dc:description>------------------------</dc:description>
  <dc:subject/>
  <dc:title/>
  <keywords/>
  <version/>
  <category/>
</coreProperties>
</file>