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AE15BB" w:rsidTr="00AE15BB" w14:paraId="46FFF017" w14:textId="77777777">
        <w:sdt>
          <w:sdtPr>
            <w:tag w:val="bmZaakNummerAdvies"/>
            <w:id w:val="-785960088"/>
            <w:lock w:val="sdtLocked"/>
            <w:placeholder>
              <w:docPart w:val="DefaultPlaceholder_-1854013440"/>
            </w:placeholder>
          </w:sdtPr>
          <w:sdtEndPr/>
          <w:sdtContent>
            <w:tc>
              <w:tcPr>
                <w:tcW w:w="4251" w:type="dxa"/>
              </w:tcPr>
              <w:p w:rsidR="00AE15BB" w:rsidP="00E04E71" w:rsidRDefault="00AE15BB" w14:paraId="152AD4CA" w14:textId="2C55AB36">
                <w:r>
                  <w:t>No. W18.23.00147/IV</w:t>
                </w:r>
              </w:p>
            </w:tc>
          </w:sdtContent>
        </w:sdt>
        <w:sdt>
          <w:sdtPr>
            <w:tag w:val="bmDatumAdvies"/>
            <w:id w:val="-1361659968"/>
            <w:lock w:val="sdtLocked"/>
            <w:placeholder>
              <w:docPart w:val="DefaultPlaceholder_-1854013440"/>
            </w:placeholder>
          </w:sdtPr>
          <w:sdtEndPr/>
          <w:sdtContent>
            <w:tc>
              <w:tcPr>
                <w:tcW w:w="4252" w:type="dxa"/>
              </w:tcPr>
              <w:p w:rsidR="00AE15BB" w:rsidP="00E04E71" w:rsidRDefault="00AE15BB" w14:paraId="27321297" w14:textId="5F1A5319">
                <w:r>
                  <w:t xml:space="preserve">'s-Gravenhage, </w:t>
                </w:r>
                <w:r w:rsidR="00B51063">
                  <w:t>6</w:t>
                </w:r>
                <w:r>
                  <w:t xml:space="preserve"> september 2023</w:t>
                </w:r>
              </w:p>
            </w:tc>
          </w:sdtContent>
        </w:sdt>
      </w:tr>
    </w:tbl>
    <w:p w:rsidR="00AE15BB" w:rsidP="00E04E71" w:rsidRDefault="00AE15BB" w14:paraId="6463DB34" w14:textId="77777777"/>
    <w:p w:rsidR="00AE15BB" w:rsidP="00E04E71" w:rsidRDefault="00AE15BB" w14:paraId="760FF0D2" w14:textId="77777777"/>
    <w:p w:rsidRPr="00E04E71" w:rsidR="00826443" w:rsidP="00E04E71" w:rsidRDefault="008D13E9" w14:paraId="72BAB234" w14:textId="4D3EF5EC">
      <w:sdt>
        <w:sdtPr>
          <w:tag w:val="bmAanhef"/>
          <w:id w:val="-611671631"/>
          <w:lock w:val="sdtLocked"/>
          <w:placeholder>
            <w:docPart w:val="DefaultPlaceholder_-1854013440"/>
          </w:placeholder>
        </w:sdtPr>
        <w:sdtEndPr/>
        <w:sdtContent>
          <w:r w:rsidR="00AE15BB">
            <w:rPr>
              <w:color w:val="000000"/>
            </w:rPr>
            <w:t>Bij Kabinetsmissive van 27 juni 2023, no.2023001514, heeft Uwe Majesteit, op voordracht van de Minister voor Klimaat en Energie, mede namens de Staatssecretaris van Financiën, bij de Afdeling advisering van de Raad van State ter overweging aanhangig gemaakt het voorstel van wet houdende tijdelijke wet inzake invoering van een heffing op marktinkomsten van inframarginale elektriciteitsproductie overeenkomstig verordening (EU) 2022/1854 van de Raad van 6 oktober 2022 betreffende een noodinterventie in verband met de hoge energieprijzen (PbEU 2022, L 261) (Tijdelijke wet inframarginale elektriciteitsheffing), met memorie van toelichting.</w:t>
          </w:r>
        </w:sdtContent>
      </w:sdt>
    </w:p>
    <w:p w:rsidRPr="00E04E71" w:rsidR="00826443" w:rsidP="00E04E71" w:rsidRDefault="00826443" w14:paraId="72BAB235" w14:textId="77777777"/>
    <w:sdt>
      <w:sdtPr>
        <w:rPr>
          <w:szCs w:val="22"/>
        </w:rPr>
        <w:tag w:val="bmVrijeTekst1"/>
        <w:id w:val="-1895337762"/>
        <w:lock w:val="sdtLocked"/>
        <w:placeholder>
          <w:docPart w:val="DefaultPlaceholder_-1854013440"/>
        </w:placeholder>
      </w:sdtPr>
      <w:sdtEndPr/>
      <w:sdtContent>
        <w:p w:rsidRPr="005660EC" w:rsidR="003852EB" w:rsidP="003852EB" w:rsidRDefault="003852EB" w14:paraId="3AC43A4E" w14:textId="14C33E6E">
          <w:pPr>
            <w:rPr>
              <w:szCs w:val="22"/>
            </w:rPr>
          </w:pPr>
          <w:r w:rsidRPr="005660EC">
            <w:rPr>
              <w:szCs w:val="22"/>
            </w:rPr>
            <w:t xml:space="preserve">Het wetsvoorstel strekt tot uitvoering van het tijdelijk verplichte plafond op </w:t>
          </w:r>
          <w:r w:rsidR="0068699A">
            <w:rPr>
              <w:szCs w:val="22"/>
            </w:rPr>
            <w:t>de</w:t>
          </w:r>
          <w:r w:rsidR="00DE213E">
            <w:rPr>
              <w:szCs w:val="22"/>
            </w:rPr>
            <w:t xml:space="preserve"> </w:t>
          </w:r>
          <w:r w:rsidR="001F2859">
            <w:rPr>
              <w:szCs w:val="22"/>
            </w:rPr>
            <w:t>markt</w:t>
          </w:r>
          <w:r w:rsidRPr="005660EC">
            <w:rPr>
              <w:szCs w:val="22"/>
            </w:rPr>
            <w:t>inkomsten uit</w:t>
          </w:r>
          <w:r w:rsidR="00B67888">
            <w:rPr>
              <w:szCs w:val="22"/>
            </w:rPr>
            <w:t xml:space="preserve"> geproduceerde</w:t>
          </w:r>
          <w:r w:rsidRPr="005660EC">
            <w:rPr>
              <w:szCs w:val="22"/>
            </w:rPr>
            <w:t xml:space="preserve"> </w:t>
          </w:r>
          <w:r w:rsidR="001F2859">
            <w:rPr>
              <w:szCs w:val="22"/>
            </w:rPr>
            <w:t xml:space="preserve">inframarginale </w:t>
          </w:r>
          <w:r w:rsidRPr="005660EC">
            <w:rPr>
              <w:szCs w:val="22"/>
            </w:rPr>
            <w:t>elektriciteit op basis van de Europese verordening betreffende een noodinterventie in verband met de hoge energieprijzen. Dit verplichte plafond gold van 1</w:t>
          </w:r>
          <w:r w:rsidR="00914169">
            <w:rPr>
              <w:szCs w:val="22"/>
            </w:rPr>
            <w:t> </w:t>
          </w:r>
          <w:r w:rsidRPr="005660EC">
            <w:rPr>
              <w:szCs w:val="22"/>
            </w:rPr>
            <w:t>december 2022 tot en met 30</w:t>
          </w:r>
          <w:r w:rsidR="00914169">
            <w:rPr>
              <w:szCs w:val="22"/>
            </w:rPr>
            <w:t> </w:t>
          </w:r>
          <w:r w:rsidRPr="005660EC">
            <w:rPr>
              <w:szCs w:val="22"/>
            </w:rPr>
            <w:t xml:space="preserve">juni 2023. </w:t>
          </w:r>
        </w:p>
        <w:p w:rsidRPr="005660EC" w:rsidR="003852EB" w:rsidP="003852EB" w:rsidRDefault="003852EB" w14:paraId="14FD968F" w14:textId="77777777">
          <w:pPr>
            <w:tabs>
              <w:tab w:val="left" w:pos="2244"/>
            </w:tabs>
            <w:rPr>
              <w:szCs w:val="22"/>
            </w:rPr>
          </w:pPr>
          <w:r w:rsidRPr="005660EC">
            <w:rPr>
              <w:szCs w:val="22"/>
            </w:rPr>
            <w:tab/>
          </w:r>
        </w:p>
        <w:p w:rsidR="00DF09B7" w:rsidP="003852EB" w:rsidRDefault="003852EB" w14:paraId="099FCFD2" w14:textId="77777777">
          <w:pPr>
            <w:rPr>
              <w:szCs w:val="22"/>
            </w:rPr>
          </w:pPr>
          <w:r w:rsidRPr="005660EC">
            <w:rPr>
              <w:szCs w:val="22"/>
            </w:rPr>
            <w:t xml:space="preserve">De Afdeling advisering van de Raad van State neemt in aanmerking dat de verordening onder grote druk en in korte tijd tot stand is gekomen en dat de uitvoerbaarheid in Nederland van dit deel van de verordening complex bleek. Vanwege de lange voorbereidingstijd heeft het wetsvoorstel niet alleen terugwerkende kracht, maar is ook het heffingstijdvak al enige tijd verstreken op het moment van indiening van het voorstel bij de Tweede Kamer. </w:t>
          </w:r>
        </w:p>
        <w:p w:rsidR="00DF09B7" w:rsidP="003852EB" w:rsidRDefault="00DF09B7" w14:paraId="0EABBDE3" w14:textId="77777777">
          <w:pPr>
            <w:rPr>
              <w:szCs w:val="22"/>
            </w:rPr>
          </w:pPr>
        </w:p>
        <w:p w:rsidRPr="005660EC" w:rsidR="003852EB" w:rsidP="003852EB" w:rsidRDefault="003852EB" w14:paraId="3EDFF146" w14:textId="1539299E">
          <w:pPr>
            <w:rPr>
              <w:szCs w:val="22"/>
            </w:rPr>
          </w:pPr>
          <w:r w:rsidRPr="005660EC">
            <w:rPr>
              <w:szCs w:val="22"/>
            </w:rPr>
            <w:t xml:space="preserve">De Afdeling adviseert in de toelichting nader in te gaan op </w:t>
          </w:r>
          <w:r w:rsidR="00906012">
            <w:rPr>
              <w:szCs w:val="22"/>
            </w:rPr>
            <w:t xml:space="preserve">het uitzonderlijke karakter van </w:t>
          </w:r>
          <w:r w:rsidRPr="005660EC">
            <w:rPr>
              <w:szCs w:val="22"/>
            </w:rPr>
            <w:t xml:space="preserve">de terugwerkende kracht van </w:t>
          </w:r>
          <w:r w:rsidR="007A2CDF">
            <w:rPr>
              <w:szCs w:val="22"/>
            </w:rPr>
            <w:t>de wettelijke regeling</w:t>
          </w:r>
          <w:r w:rsidRPr="005660EC">
            <w:rPr>
              <w:szCs w:val="22"/>
            </w:rPr>
            <w:t xml:space="preserve"> en op de gevolgen van het feit dat het heffingstijdvak </w:t>
          </w:r>
          <w:r>
            <w:rPr>
              <w:szCs w:val="22"/>
            </w:rPr>
            <w:t>al</w:t>
          </w:r>
          <w:r w:rsidRPr="005660EC">
            <w:rPr>
              <w:szCs w:val="22"/>
            </w:rPr>
            <w:t xml:space="preserve"> is verstreken. </w:t>
          </w:r>
          <w:r w:rsidR="004C193B">
            <w:rPr>
              <w:szCs w:val="22"/>
            </w:rPr>
            <w:t xml:space="preserve">Zij adviseert ook de toelichting aan te vullen </w:t>
          </w:r>
          <w:r w:rsidR="00375CBF">
            <w:rPr>
              <w:szCs w:val="22"/>
            </w:rPr>
            <w:t>waar het gaat om</w:t>
          </w:r>
          <w:r w:rsidR="00A44E21">
            <w:rPr>
              <w:szCs w:val="22"/>
            </w:rPr>
            <w:t xml:space="preserve"> de verhouding tot het Unierecht.</w:t>
          </w:r>
          <w:r w:rsidR="00DF09B7">
            <w:rPr>
              <w:szCs w:val="22"/>
            </w:rPr>
            <w:t xml:space="preserve"> </w:t>
          </w:r>
          <w:r w:rsidRPr="005660EC">
            <w:rPr>
              <w:szCs w:val="22"/>
            </w:rPr>
            <w:t xml:space="preserve">Daarnaast adviseert de Afdeling in het wetsvoorstel heldere en consistente keuzes te maken bij de vormgeving en inpassing van de tijdelijke belastingheffing. Dit geldt zowel ten aanzien van de taakverdeling in de uitvoering tussen de Nederlandse Emissieautoriteit en de Belastingdienst als ten aanzien van het soort belasting en de heffingssystematiek. </w:t>
          </w:r>
        </w:p>
        <w:p w:rsidRPr="005660EC" w:rsidR="003852EB" w:rsidP="003852EB" w:rsidRDefault="003852EB" w14:paraId="3037D1C3" w14:textId="77777777">
          <w:pPr>
            <w:rPr>
              <w:szCs w:val="22"/>
            </w:rPr>
          </w:pPr>
        </w:p>
        <w:p w:rsidRPr="005660EC" w:rsidR="003852EB" w:rsidP="003852EB" w:rsidRDefault="003852EB" w14:paraId="6876FCAE" w14:textId="7F416DE3">
          <w:pPr>
            <w:rPr>
              <w:szCs w:val="22"/>
            </w:rPr>
          </w:pPr>
          <w:r w:rsidRPr="005660EC">
            <w:rPr>
              <w:szCs w:val="22"/>
            </w:rPr>
            <w:t xml:space="preserve">De Afdeling adviseert verder </w:t>
          </w:r>
          <w:r>
            <w:rPr>
              <w:szCs w:val="22"/>
            </w:rPr>
            <w:t xml:space="preserve">het wetsvoorstel in verband met </w:t>
          </w:r>
          <w:r w:rsidRPr="005660EC">
            <w:rPr>
              <w:szCs w:val="22"/>
            </w:rPr>
            <w:t xml:space="preserve">de voorgestelde geheimhoudingsplicht </w:t>
          </w:r>
          <w:r>
            <w:rPr>
              <w:szCs w:val="22"/>
            </w:rPr>
            <w:t>aan te passen</w:t>
          </w:r>
          <w:r w:rsidRPr="005660EC">
            <w:rPr>
              <w:szCs w:val="22"/>
            </w:rPr>
            <w:t xml:space="preserve">. Tot slot adviseert zij in de toelichting inzicht te verschaffen in de voornemens </w:t>
          </w:r>
          <w:r>
            <w:rPr>
              <w:szCs w:val="22"/>
            </w:rPr>
            <w:t>over</w:t>
          </w:r>
          <w:r w:rsidRPr="005660EC">
            <w:rPr>
              <w:szCs w:val="22"/>
            </w:rPr>
            <w:t xml:space="preserve"> aanvullende verplichtingen </w:t>
          </w:r>
          <w:r>
            <w:rPr>
              <w:szCs w:val="22"/>
            </w:rPr>
            <w:t xml:space="preserve">voor de betrokken bedrijven </w:t>
          </w:r>
          <w:r w:rsidRPr="005660EC">
            <w:rPr>
              <w:szCs w:val="22"/>
            </w:rPr>
            <w:t>en die zoveel mogelijk in het wetsvoorstel zelf te regelen.</w:t>
          </w:r>
        </w:p>
        <w:p w:rsidRPr="005660EC" w:rsidR="003852EB" w:rsidP="003852EB" w:rsidRDefault="003852EB" w14:paraId="37C88D0E" w14:textId="77777777">
          <w:pPr>
            <w:rPr>
              <w:szCs w:val="22"/>
            </w:rPr>
          </w:pPr>
        </w:p>
        <w:p w:rsidRPr="005660EC" w:rsidR="002013E1" w:rsidP="003852EB" w:rsidRDefault="003852EB" w14:paraId="02437BCD" w14:textId="23D836DE">
          <w:pPr>
            <w:rPr>
              <w:szCs w:val="22"/>
            </w:rPr>
          </w:pPr>
          <w:r w:rsidRPr="005660EC">
            <w:rPr>
              <w:szCs w:val="22"/>
            </w:rPr>
            <w:t xml:space="preserve">In verband met deze opmerkingen is aanpassing van het wetsvoorstel en de toelichting </w:t>
          </w:r>
          <w:r>
            <w:rPr>
              <w:szCs w:val="22"/>
            </w:rPr>
            <w:t>nodig</w:t>
          </w:r>
          <w:r w:rsidRPr="005660EC" w:rsidR="002013E1">
            <w:rPr>
              <w:szCs w:val="22"/>
            </w:rPr>
            <w:t>.</w:t>
          </w:r>
        </w:p>
        <w:p w:rsidRPr="005660EC" w:rsidR="00F804E5" w:rsidP="00E04E71" w:rsidRDefault="00F804E5" w14:paraId="56247FF2" w14:textId="77777777">
          <w:pPr>
            <w:rPr>
              <w:szCs w:val="22"/>
            </w:rPr>
          </w:pPr>
        </w:p>
        <w:p w:rsidR="00AE15BB" w:rsidRDefault="00AE15BB" w14:paraId="318637D2" w14:textId="77777777">
          <w:pPr>
            <w:rPr>
              <w:szCs w:val="22"/>
            </w:rPr>
          </w:pPr>
          <w:r>
            <w:rPr>
              <w:szCs w:val="22"/>
            </w:rPr>
            <w:br w:type="page"/>
          </w:r>
        </w:p>
        <w:p w:rsidRPr="005660EC" w:rsidR="00F804E5" w:rsidP="00E04E71" w:rsidRDefault="00F804E5" w14:paraId="514D4A58" w14:textId="04E0721B">
          <w:pPr>
            <w:rPr>
              <w:szCs w:val="22"/>
            </w:rPr>
          </w:pPr>
          <w:r w:rsidRPr="005660EC">
            <w:rPr>
              <w:szCs w:val="22"/>
            </w:rPr>
            <w:lastRenderedPageBreak/>
            <w:t>1.</w:t>
          </w:r>
          <w:r w:rsidRPr="005660EC">
            <w:rPr>
              <w:szCs w:val="22"/>
            </w:rPr>
            <w:tab/>
          </w:r>
          <w:r w:rsidRPr="005660EC">
            <w:rPr>
              <w:szCs w:val="22"/>
              <w:u w:val="single"/>
            </w:rPr>
            <w:t>Inleiding</w:t>
          </w:r>
        </w:p>
        <w:p w:rsidRPr="005660EC" w:rsidR="00F804E5" w:rsidP="00E04E71" w:rsidRDefault="00F804E5" w14:paraId="534790CB" w14:textId="77777777">
          <w:pPr>
            <w:rPr>
              <w:i/>
              <w:szCs w:val="22"/>
            </w:rPr>
          </w:pPr>
        </w:p>
        <w:p w:rsidRPr="005660EC" w:rsidR="002552A1" w:rsidP="002552A1" w:rsidRDefault="002552A1" w14:paraId="4D3A27EB" w14:textId="6889CA7C">
          <w:pPr>
            <w:rPr>
              <w:szCs w:val="22"/>
            </w:rPr>
          </w:pPr>
          <w:r w:rsidRPr="005660EC">
            <w:rPr>
              <w:szCs w:val="22"/>
            </w:rPr>
            <w:t>Op 6</w:t>
          </w:r>
          <w:r w:rsidR="00914169">
            <w:rPr>
              <w:szCs w:val="22"/>
            </w:rPr>
            <w:t> </w:t>
          </w:r>
          <w:r w:rsidRPr="005660EC">
            <w:rPr>
              <w:szCs w:val="22"/>
            </w:rPr>
            <w:t>oktober 2022 heeft de Raad van de Europese Unie een verordening vastgesteld betreffende een noodinterventie in verband met de hoge energieprijzen (hierna: de verordening).</w:t>
          </w:r>
          <w:r w:rsidRPr="005660EC">
            <w:rPr>
              <w:szCs w:val="22"/>
              <w:vertAlign w:val="superscript"/>
            </w:rPr>
            <w:footnoteReference w:id="2"/>
          </w:r>
          <w:r w:rsidRPr="005660EC">
            <w:rPr>
              <w:szCs w:val="22"/>
            </w:rPr>
            <w:t xml:space="preserve"> De verordening heeft tot doel om </w:t>
          </w:r>
          <w:r>
            <w:rPr>
              <w:szCs w:val="22"/>
            </w:rPr>
            <w:t xml:space="preserve">door </w:t>
          </w:r>
          <w:r w:rsidRPr="005660EC">
            <w:rPr>
              <w:szCs w:val="22"/>
            </w:rPr>
            <w:t>middel</w:t>
          </w:r>
          <w:r>
            <w:rPr>
              <w:szCs w:val="22"/>
            </w:rPr>
            <w:t xml:space="preserve"> van</w:t>
          </w:r>
          <w:r w:rsidRPr="005660EC">
            <w:rPr>
              <w:szCs w:val="22"/>
            </w:rPr>
            <w:t xml:space="preserve"> een gecoördineerde respons op Unieniveau de sterke stijging van de elektriciteitsprijzen en de gevolgen daarvan voor huishoudens en industrie aan te pakken. Daartoe bevat de verordening maatregelen voor een vermindering van de vraag naar elektriciteit, een verplicht tijdelijk inkomstenplafond voor producenten van inframarginale elektriciteit en een verplichte tijdelijke solidariteitsbijdrage voor overwinsten in de fossiele energiesector. </w:t>
          </w:r>
        </w:p>
        <w:p w:rsidRPr="005660EC" w:rsidR="002552A1" w:rsidP="002552A1" w:rsidRDefault="002552A1" w14:paraId="4B1A3060" w14:textId="77777777">
          <w:pPr>
            <w:rPr>
              <w:szCs w:val="22"/>
            </w:rPr>
          </w:pPr>
        </w:p>
        <w:p w:rsidRPr="005660EC" w:rsidR="002552A1" w:rsidP="002552A1" w:rsidRDefault="002552A1" w14:paraId="46BEA0BA" w14:textId="4383182B">
          <w:pPr>
            <w:rPr>
              <w:szCs w:val="22"/>
            </w:rPr>
          </w:pPr>
          <w:r w:rsidRPr="005660EC">
            <w:rPr>
              <w:szCs w:val="22"/>
            </w:rPr>
            <w:t>De maatregelen met betrekking tot de verplichte solidariteitsbijdrage moesten op grond van de verordening vóór 31</w:t>
          </w:r>
          <w:r w:rsidR="00D8463C">
            <w:rPr>
              <w:szCs w:val="22"/>
            </w:rPr>
            <w:t> </w:t>
          </w:r>
          <w:r w:rsidRPr="005660EC">
            <w:rPr>
              <w:szCs w:val="22"/>
            </w:rPr>
            <w:t>december 2022 worden vastgesteld en bekendgemaakt.</w:t>
          </w:r>
          <w:r w:rsidRPr="005660EC">
            <w:rPr>
              <w:szCs w:val="22"/>
              <w:vertAlign w:val="superscript"/>
            </w:rPr>
            <w:footnoteReference w:id="3"/>
          </w:r>
          <w:r w:rsidRPr="005660EC">
            <w:rPr>
              <w:szCs w:val="22"/>
            </w:rPr>
            <w:t xml:space="preserve"> De </w:t>
          </w:r>
          <w:r>
            <w:rPr>
              <w:szCs w:val="22"/>
            </w:rPr>
            <w:t>wetgever</w:t>
          </w:r>
          <w:r w:rsidRPr="005660EC">
            <w:rPr>
              <w:szCs w:val="22"/>
            </w:rPr>
            <w:t xml:space="preserve"> heeft hieraan tijdig uitvoering gegeven met de Wet tijdelijke solidariteitsbijdrage van 21</w:t>
          </w:r>
          <w:r w:rsidR="00D8463C">
            <w:rPr>
              <w:szCs w:val="22"/>
            </w:rPr>
            <w:t> </w:t>
          </w:r>
          <w:r w:rsidRPr="005660EC">
            <w:rPr>
              <w:szCs w:val="22"/>
            </w:rPr>
            <w:t>december 2022.</w:t>
          </w:r>
          <w:r w:rsidRPr="005660EC">
            <w:rPr>
              <w:szCs w:val="22"/>
              <w:vertAlign w:val="superscript"/>
            </w:rPr>
            <w:footnoteReference w:id="4"/>
          </w:r>
          <w:r w:rsidRPr="005660EC">
            <w:rPr>
              <w:szCs w:val="22"/>
            </w:rPr>
            <w:t xml:space="preserve"> </w:t>
          </w:r>
        </w:p>
        <w:p w:rsidRPr="005660EC" w:rsidR="002552A1" w:rsidP="002552A1" w:rsidRDefault="002552A1" w14:paraId="1A28CED9" w14:textId="77777777">
          <w:pPr>
            <w:rPr>
              <w:szCs w:val="22"/>
            </w:rPr>
          </w:pPr>
        </w:p>
        <w:p w:rsidRPr="005660EC" w:rsidR="002552A1" w:rsidP="002552A1" w:rsidRDefault="002552A1" w14:paraId="2A94150E" w14:textId="2CC1179F">
          <w:pPr>
            <w:rPr>
              <w:szCs w:val="22"/>
            </w:rPr>
          </w:pPr>
          <w:r w:rsidRPr="005660EC">
            <w:rPr>
              <w:szCs w:val="22"/>
            </w:rPr>
            <w:t>Dit wetsvoorstel strekt tot uitvoering van het verplichte plafond op het surplus aan marktinkomsten uit elektriciteit teneinde verstoringen op de Europese elektriciteitsmarkt door nationale maatregelen te voorkomen.</w:t>
          </w:r>
          <w:r w:rsidRPr="005660EC">
            <w:rPr>
              <w:rStyle w:val="Voetnootmarkering"/>
              <w:szCs w:val="22"/>
            </w:rPr>
            <w:footnoteReference w:id="5"/>
          </w:r>
          <w:r w:rsidRPr="005660EC">
            <w:rPr>
              <w:szCs w:val="22"/>
            </w:rPr>
            <w:t xml:space="preserve"> Het gaat dan om elektriciteit die wordt geproduceerd tegen lagere marginale kosten (‘inframarginale elektriciteit’), zoals hernieuwbare energiebronnen. De verordening bepaalt dat dit verplichte inkomstenplafond van toepassing is van 1</w:t>
          </w:r>
          <w:r w:rsidR="00914169">
            <w:rPr>
              <w:szCs w:val="22"/>
            </w:rPr>
            <w:t> </w:t>
          </w:r>
          <w:r w:rsidRPr="005660EC">
            <w:rPr>
              <w:szCs w:val="22"/>
            </w:rPr>
            <w:t>december 2022 tot en met 30</w:t>
          </w:r>
          <w:r w:rsidR="00D8463C">
            <w:rPr>
              <w:szCs w:val="22"/>
            </w:rPr>
            <w:t> </w:t>
          </w:r>
          <w:r w:rsidRPr="005660EC">
            <w:rPr>
              <w:szCs w:val="22"/>
            </w:rPr>
            <w:t>juni 2023.</w:t>
          </w:r>
          <w:r w:rsidRPr="005660EC">
            <w:rPr>
              <w:szCs w:val="22"/>
              <w:vertAlign w:val="superscript"/>
            </w:rPr>
            <w:footnoteReference w:id="6"/>
          </w:r>
          <w:r w:rsidRPr="005660EC">
            <w:rPr>
              <w:szCs w:val="22"/>
            </w:rPr>
            <w:t xml:space="preserve"> De opbrengst moet worden ingezet ter financiering van nationale maatregelen om eindafnemers van elektriciteit, zoals huishoudens en het midden- en kleinbedrijf, te beschermen tegen extreem hoge energieprijzen.</w:t>
          </w:r>
          <w:r w:rsidRPr="005660EC">
            <w:rPr>
              <w:szCs w:val="22"/>
              <w:vertAlign w:val="superscript"/>
            </w:rPr>
            <w:footnoteReference w:id="7"/>
          </w:r>
          <w:r w:rsidRPr="005660EC">
            <w:rPr>
              <w:szCs w:val="22"/>
            </w:rPr>
            <w:t xml:space="preserve"> </w:t>
          </w:r>
        </w:p>
        <w:p w:rsidRPr="005660EC" w:rsidR="002552A1" w:rsidP="002552A1" w:rsidRDefault="002552A1" w14:paraId="0DF872BC" w14:textId="77777777">
          <w:pPr>
            <w:rPr>
              <w:szCs w:val="22"/>
            </w:rPr>
          </w:pPr>
        </w:p>
        <w:p w:rsidRPr="005660EC" w:rsidR="00C3294B" w:rsidP="002552A1" w:rsidRDefault="002552A1" w14:paraId="2B22528F" w14:textId="549F2F5C">
          <w:pPr>
            <w:rPr>
              <w:szCs w:val="22"/>
            </w:rPr>
          </w:pPr>
          <w:r w:rsidRPr="005660EC">
            <w:rPr>
              <w:szCs w:val="22"/>
            </w:rPr>
            <w:t>In de Kamerbrief van 30</w:t>
          </w:r>
          <w:r w:rsidR="00D8463C">
            <w:rPr>
              <w:szCs w:val="22"/>
            </w:rPr>
            <w:t> </w:t>
          </w:r>
          <w:r w:rsidRPr="005660EC">
            <w:rPr>
              <w:szCs w:val="22"/>
            </w:rPr>
            <w:t>november 2022 maakte het kabinet duidelijk dat de zelfstandige uitvoeringswet voor dit tijdelijk verplichte plafond niet voor 1</w:t>
          </w:r>
          <w:r w:rsidR="00914169">
            <w:rPr>
              <w:szCs w:val="22"/>
            </w:rPr>
            <w:t> </w:t>
          </w:r>
          <w:r w:rsidRPr="005660EC">
            <w:rPr>
              <w:szCs w:val="22"/>
            </w:rPr>
            <w:t>december 2022 van kracht zou zijn en dus terugwerkende kracht zou hebben.</w:t>
          </w:r>
          <w:r w:rsidRPr="005660EC">
            <w:rPr>
              <w:rStyle w:val="Voetnootmarkering"/>
              <w:szCs w:val="22"/>
            </w:rPr>
            <w:footnoteReference w:id="8"/>
          </w:r>
          <w:r w:rsidRPr="005660EC">
            <w:rPr>
              <w:szCs w:val="22"/>
            </w:rPr>
            <w:t xml:space="preserve"> Het kabinet zette in deze brief op hoofdlijnen uiteen hoe de uitvoeringswet vorm zou krijgen. Dit is nader toegelicht in de brief van 27</w:t>
          </w:r>
          <w:r w:rsidR="00914169">
            <w:rPr>
              <w:szCs w:val="22"/>
            </w:rPr>
            <w:t> </w:t>
          </w:r>
          <w:r w:rsidRPr="005660EC">
            <w:rPr>
              <w:szCs w:val="22"/>
            </w:rPr>
            <w:t>februari 2023.</w:t>
          </w:r>
          <w:r w:rsidRPr="005660EC">
            <w:rPr>
              <w:rStyle w:val="Voetnootmarkering"/>
              <w:szCs w:val="22"/>
            </w:rPr>
            <w:footnoteReference w:id="9"/>
          </w:r>
          <w:r w:rsidRPr="005660EC">
            <w:rPr>
              <w:szCs w:val="22"/>
            </w:rPr>
            <w:t xml:space="preserve"> In deze brief heeft het kabinet de geraamde opbrengst fors naar beneden bijgesteld</w:t>
          </w:r>
          <w:r w:rsidRPr="005660EC" w:rsidR="00381380">
            <w:rPr>
              <w:szCs w:val="22"/>
            </w:rPr>
            <w:t>.</w:t>
          </w:r>
        </w:p>
        <w:p w:rsidRPr="005660EC" w:rsidR="00D026CE" w:rsidP="00E04E71" w:rsidRDefault="00D026CE" w14:paraId="006F82E1" w14:textId="77777777">
          <w:pPr>
            <w:rPr>
              <w:szCs w:val="22"/>
            </w:rPr>
          </w:pPr>
        </w:p>
        <w:p w:rsidR="00AE15BB" w:rsidRDefault="00AE15BB" w14:paraId="10791AFB" w14:textId="77777777">
          <w:pPr>
            <w:rPr>
              <w:szCs w:val="22"/>
            </w:rPr>
          </w:pPr>
          <w:r>
            <w:rPr>
              <w:szCs w:val="22"/>
            </w:rPr>
            <w:br w:type="page"/>
          </w:r>
        </w:p>
        <w:p w:rsidRPr="005660EC" w:rsidR="00F804E5" w:rsidP="00E04E71" w:rsidRDefault="00CB4989" w14:paraId="14BE17B5" w14:textId="05184E1B">
          <w:pPr>
            <w:rPr>
              <w:szCs w:val="22"/>
            </w:rPr>
          </w:pPr>
          <w:r w:rsidRPr="005660EC">
            <w:rPr>
              <w:szCs w:val="22"/>
            </w:rPr>
            <w:lastRenderedPageBreak/>
            <w:t>2</w:t>
          </w:r>
          <w:r w:rsidRPr="005660EC" w:rsidR="00AB70CA">
            <w:rPr>
              <w:szCs w:val="22"/>
            </w:rPr>
            <w:t xml:space="preserve">. </w:t>
          </w:r>
          <w:r w:rsidRPr="005660EC" w:rsidR="00AB70CA">
            <w:rPr>
              <w:i/>
              <w:szCs w:val="22"/>
            </w:rPr>
            <w:tab/>
          </w:r>
          <w:r w:rsidRPr="005660EC" w:rsidR="00B041BE">
            <w:rPr>
              <w:szCs w:val="22"/>
              <w:u w:val="single"/>
            </w:rPr>
            <w:t xml:space="preserve">Nederlandse </w:t>
          </w:r>
          <w:r w:rsidRPr="005660EC" w:rsidR="00540D91">
            <w:rPr>
              <w:szCs w:val="22"/>
              <w:u w:val="single"/>
            </w:rPr>
            <w:t>implementatie</w:t>
          </w:r>
        </w:p>
        <w:p w:rsidRPr="005660EC" w:rsidR="00FF57D7" w:rsidP="00E04E71" w:rsidRDefault="00FF57D7" w14:paraId="1C679CDE" w14:textId="2CA82420">
          <w:pPr>
            <w:rPr>
              <w:szCs w:val="22"/>
            </w:rPr>
          </w:pPr>
        </w:p>
        <w:p w:rsidRPr="005660EC" w:rsidR="00B53AD7" w:rsidP="00B53AD7" w:rsidRDefault="00B53AD7" w14:paraId="34AD00A3" w14:textId="5204F176">
          <w:pPr>
            <w:rPr>
              <w:szCs w:val="22"/>
            </w:rPr>
          </w:pPr>
          <w:r w:rsidRPr="005660EC">
            <w:rPr>
              <w:szCs w:val="22"/>
            </w:rPr>
            <w:t>Het wetsvoorstel beoogt een werkbare invulling te geven aan het tijdelijk verplichte plafond op marktinkomsten van elektriciteitsproducenten.</w:t>
          </w:r>
          <w:r w:rsidRPr="005660EC">
            <w:rPr>
              <w:szCs w:val="22"/>
              <w:vertAlign w:val="superscript"/>
            </w:rPr>
            <w:footnoteReference w:id="10"/>
          </w:r>
          <w:r w:rsidRPr="005660EC">
            <w:rPr>
              <w:szCs w:val="22"/>
            </w:rPr>
            <w:t xml:space="preserve"> In beginsel </w:t>
          </w:r>
          <w:r w:rsidR="00873FBB">
            <w:rPr>
              <w:szCs w:val="22"/>
            </w:rPr>
            <w:t>word</w:t>
          </w:r>
          <w:r w:rsidRPr="005660EC" w:rsidR="00873FBB">
            <w:rPr>
              <w:szCs w:val="22"/>
            </w:rPr>
            <w:t xml:space="preserve">en </w:t>
          </w:r>
          <w:r w:rsidRPr="005660EC">
            <w:rPr>
              <w:szCs w:val="22"/>
            </w:rPr>
            <w:t>de inkomsten boven €</w:t>
          </w:r>
          <w:r w:rsidR="00D8463C">
            <w:rPr>
              <w:szCs w:val="22"/>
            </w:rPr>
            <w:t> </w:t>
          </w:r>
          <w:r w:rsidRPr="005660EC">
            <w:rPr>
              <w:szCs w:val="22"/>
            </w:rPr>
            <w:t>130 per MWh geproduceerde inframarginale elektriciteit belast tegen een tarief van 90</w:t>
          </w:r>
          <w:r w:rsidR="00914169">
            <w:rPr>
              <w:szCs w:val="22"/>
            </w:rPr>
            <w:t> </w:t>
          </w:r>
          <w:r w:rsidRPr="005660EC">
            <w:rPr>
              <w:szCs w:val="22"/>
            </w:rPr>
            <w:t>procent.</w:t>
          </w:r>
          <w:r w:rsidRPr="005660EC">
            <w:rPr>
              <w:rStyle w:val="Voetnootmarkering"/>
              <w:szCs w:val="22"/>
            </w:rPr>
            <w:footnoteReference w:id="11"/>
          </w:r>
          <w:r w:rsidRPr="005660EC">
            <w:rPr>
              <w:szCs w:val="22"/>
            </w:rPr>
            <w:t xml:space="preserve"> Het te betalen bedrag bepaalt de producent aan de hand van het marktinkomstenverslag dat hij moet opstellen.</w:t>
          </w:r>
          <w:r w:rsidRPr="005660EC">
            <w:rPr>
              <w:rStyle w:val="Voetnootmarkering"/>
              <w:szCs w:val="22"/>
            </w:rPr>
            <w:footnoteReference w:id="12"/>
          </w:r>
          <w:r w:rsidRPr="005660EC">
            <w:rPr>
              <w:szCs w:val="22"/>
            </w:rPr>
            <w:t xml:space="preserve"> De voorgestelde heffingssystematiek is een aangiftebelasting.</w:t>
          </w:r>
          <w:r w:rsidRPr="005660EC">
            <w:rPr>
              <w:rStyle w:val="Voetnootmarkering"/>
              <w:szCs w:val="22"/>
            </w:rPr>
            <w:footnoteReference w:id="13"/>
          </w:r>
          <w:r w:rsidRPr="005660EC">
            <w:rPr>
              <w:szCs w:val="22"/>
            </w:rPr>
            <w:t xml:space="preserve"> De aangifte en de voldoening van de heffing moeten plaatsvinden voor 1</w:t>
          </w:r>
          <w:r w:rsidR="00D8463C">
            <w:rPr>
              <w:szCs w:val="22"/>
            </w:rPr>
            <w:t> </w:t>
          </w:r>
          <w:r w:rsidRPr="005660EC">
            <w:rPr>
              <w:szCs w:val="22"/>
            </w:rPr>
            <w:t xml:space="preserve">oktober 2024. De uitvoering van het voorstel wordt gedaan door de Nederlandse Emissieautoriteit (NEa), met ondersteuning van de Autoriteit Consument en Markt (ACM), en de Belastingdienst. Blijkens de toelichting is de geschatte opbrengst van de ’inframarginale </w:t>
          </w:r>
          <w:r w:rsidR="00D8396D">
            <w:rPr>
              <w:szCs w:val="22"/>
            </w:rPr>
            <w:t>elektriciteits</w:t>
          </w:r>
          <w:r w:rsidRPr="005660EC">
            <w:rPr>
              <w:szCs w:val="22"/>
            </w:rPr>
            <w:t>heffing’ €</w:t>
          </w:r>
          <w:r w:rsidR="00D8463C">
            <w:rPr>
              <w:szCs w:val="22"/>
            </w:rPr>
            <w:t> </w:t>
          </w:r>
          <w:r w:rsidRPr="005660EC">
            <w:rPr>
              <w:szCs w:val="22"/>
            </w:rPr>
            <w:t>100-200 miljoen.</w:t>
          </w:r>
          <w:r w:rsidRPr="005660EC">
            <w:rPr>
              <w:szCs w:val="22"/>
              <w:vertAlign w:val="superscript"/>
            </w:rPr>
            <w:footnoteReference w:id="14"/>
          </w:r>
          <w:r w:rsidR="00A36FF4">
            <w:rPr>
              <w:szCs w:val="22"/>
            </w:rPr>
            <w:t xml:space="preserve"> Voor </w:t>
          </w:r>
          <w:r w:rsidR="00B50FFD">
            <w:rPr>
              <w:szCs w:val="22"/>
            </w:rPr>
            <w:t xml:space="preserve">de uitvoering </w:t>
          </w:r>
          <w:r w:rsidR="00ED4B23">
            <w:rPr>
              <w:szCs w:val="22"/>
            </w:rPr>
            <w:t>is € 44 miljoen gereserveerd op de EZK-begroting.</w:t>
          </w:r>
        </w:p>
        <w:p w:rsidRPr="005660EC" w:rsidR="00B53AD7" w:rsidP="00B53AD7" w:rsidRDefault="00B53AD7" w14:paraId="6BFE2FF9" w14:textId="77777777">
          <w:pPr>
            <w:rPr>
              <w:szCs w:val="22"/>
            </w:rPr>
          </w:pPr>
        </w:p>
        <w:p w:rsidRPr="005660EC" w:rsidR="00B53AD7" w:rsidP="00B53AD7" w:rsidRDefault="00B53AD7" w14:paraId="11835D98" w14:textId="7A994DF3">
          <w:pPr>
            <w:rPr>
              <w:szCs w:val="22"/>
            </w:rPr>
          </w:pPr>
          <w:r w:rsidRPr="005660EC">
            <w:rPr>
              <w:szCs w:val="22"/>
            </w:rPr>
            <w:t>Bij het maken van haar opmerkingen neemt de Afdeling in aanmerking dat de verordening onder grote druk en in korte tijd tot stand is gekomen. Er was onvoldoende tijd om te doordenken wat de consequenties van de verordening zouden zijn voor de uitvoerbaarheid ervan in de lidstaten, in ieder geval in Nederland.</w:t>
          </w:r>
          <w:r w:rsidRPr="005660EC">
            <w:rPr>
              <w:rStyle w:val="Voetnootmarkering"/>
              <w:szCs w:val="22"/>
            </w:rPr>
            <w:footnoteReference w:id="15"/>
          </w:r>
          <w:r w:rsidRPr="005660EC" w:rsidDel="00E40DBB">
            <w:rPr>
              <w:szCs w:val="22"/>
            </w:rPr>
            <w:t xml:space="preserve"> </w:t>
          </w:r>
          <w:r w:rsidRPr="005660EC">
            <w:rPr>
              <w:szCs w:val="22"/>
            </w:rPr>
            <w:t>Bij de uitwerking van de verordening in Nederland bleek de uitvoerbaarheid van dit deel van de verordening complex.</w:t>
          </w:r>
          <w:r w:rsidRPr="005660EC">
            <w:rPr>
              <w:rStyle w:val="Voetnootmarkering"/>
              <w:szCs w:val="22"/>
            </w:rPr>
            <w:footnoteReference w:id="16"/>
          </w:r>
          <w:r w:rsidRPr="005660EC">
            <w:rPr>
              <w:szCs w:val="22"/>
            </w:rPr>
            <w:t xml:space="preserve"> </w:t>
          </w:r>
          <w:r w:rsidR="005326B5">
            <w:rPr>
              <w:szCs w:val="22"/>
            </w:rPr>
            <w:t>G</w:t>
          </w:r>
          <w:r w:rsidR="008076A5">
            <w:rPr>
              <w:szCs w:val="22"/>
            </w:rPr>
            <w:t>elet op de hoge uitvoeringskosten</w:t>
          </w:r>
          <w:r w:rsidR="007B692F">
            <w:rPr>
              <w:szCs w:val="22"/>
            </w:rPr>
            <w:t xml:space="preserve"> en de</w:t>
          </w:r>
          <w:r w:rsidR="004333D6">
            <w:rPr>
              <w:szCs w:val="22"/>
            </w:rPr>
            <w:t xml:space="preserve"> verwachte</w:t>
          </w:r>
          <w:r w:rsidR="007B692F">
            <w:rPr>
              <w:szCs w:val="22"/>
            </w:rPr>
            <w:t xml:space="preserve"> </w:t>
          </w:r>
          <w:r w:rsidR="009E70D6">
            <w:rPr>
              <w:szCs w:val="22"/>
            </w:rPr>
            <w:t>beperkte</w:t>
          </w:r>
          <w:r w:rsidR="007B692F">
            <w:rPr>
              <w:szCs w:val="22"/>
            </w:rPr>
            <w:t xml:space="preserve"> opbrengst, </w:t>
          </w:r>
          <w:r w:rsidR="009E70D6">
            <w:rPr>
              <w:szCs w:val="22"/>
            </w:rPr>
            <w:t>lijkt het erop dat uitermate veel inspanningen nodig zijn om een beperkte opbrengst te realiseren</w:t>
          </w:r>
          <w:r w:rsidR="008937B3">
            <w:rPr>
              <w:szCs w:val="22"/>
            </w:rPr>
            <w:t xml:space="preserve">. </w:t>
          </w:r>
          <w:r w:rsidRPr="005660EC">
            <w:rPr>
              <w:szCs w:val="22"/>
            </w:rPr>
            <w:t>Te</w:t>
          </w:r>
          <w:r w:rsidR="00270DDA">
            <w:rPr>
              <w:szCs w:val="22"/>
            </w:rPr>
            <w:t>vens</w:t>
          </w:r>
          <w:r w:rsidR="008B095F">
            <w:rPr>
              <w:szCs w:val="22"/>
            </w:rPr>
            <w:t xml:space="preserve"> valt te</w:t>
          </w:r>
          <w:r w:rsidRPr="005660EC">
            <w:rPr>
              <w:szCs w:val="22"/>
            </w:rPr>
            <w:t xml:space="preserve">n opzichte van de tijdelijke solidariteitsbijdrage op dat de uitwerking van het tijdelijk verplichte </w:t>
          </w:r>
          <w:r w:rsidR="0004312D">
            <w:rPr>
              <w:szCs w:val="22"/>
            </w:rPr>
            <w:t>inkomsten</w:t>
          </w:r>
          <w:r w:rsidRPr="005660EC">
            <w:rPr>
              <w:szCs w:val="22"/>
            </w:rPr>
            <w:t xml:space="preserve">plafond lang heeft geduurd. </w:t>
          </w:r>
        </w:p>
        <w:p w:rsidR="00B53AD7" w:rsidP="00B53AD7" w:rsidRDefault="00B53AD7" w14:paraId="77AA46B0" w14:textId="77777777">
          <w:pPr>
            <w:rPr>
              <w:szCs w:val="22"/>
            </w:rPr>
          </w:pPr>
        </w:p>
        <w:p w:rsidRPr="00DB1CD1" w:rsidR="00DB1CD1" w:rsidP="00B53AD7" w:rsidRDefault="00DB1CD1" w14:paraId="5835F937" w14:textId="404C0E2F">
          <w:pPr>
            <w:rPr>
              <w:i/>
              <w:iCs/>
              <w:szCs w:val="22"/>
            </w:rPr>
          </w:pPr>
          <w:r w:rsidRPr="00A27D72">
            <w:rPr>
              <w:szCs w:val="22"/>
            </w:rPr>
            <w:t>a.</w:t>
          </w:r>
          <w:r>
            <w:rPr>
              <w:i/>
              <w:iCs/>
              <w:szCs w:val="22"/>
            </w:rPr>
            <w:t xml:space="preserve"> </w:t>
          </w:r>
          <w:r w:rsidR="00A27D72">
            <w:rPr>
              <w:i/>
              <w:iCs/>
              <w:szCs w:val="22"/>
            </w:rPr>
            <w:tab/>
            <w:t>Terugwerkende kracht en heffingstijdvak verstreken</w:t>
          </w:r>
        </w:p>
        <w:p w:rsidRPr="005660EC" w:rsidR="00B53AD7" w:rsidP="00B53AD7" w:rsidRDefault="00B53AD7" w14:paraId="5A66D029" w14:textId="3F13E221">
          <w:pPr>
            <w:rPr>
              <w:szCs w:val="22"/>
            </w:rPr>
          </w:pPr>
          <w:r w:rsidRPr="005660EC">
            <w:rPr>
              <w:szCs w:val="22"/>
            </w:rPr>
            <w:t xml:space="preserve">Het tijdsverloop leidt er niet alleen toe dat het wetsvoorstel de inframarginale </w:t>
          </w:r>
          <w:r w:rsidR="00D8396D">
            <w:rPr>
              <w:szCs w:val="22"/>
            </w:rPr>
            <w:t>elektriciteits</w:t>
          </w:r>
          <w:r w:rsidRPr="005660EC">
            <w:rPr>
              <w:szCs w:val="22"/>
            </w:rPr>
            <w:t>heffing met terugwerkende kracht invoert, maar dat bovendien bij inwerkingtreding van het wetsvoorstel het heffingstijdvak zelf ruim verstreken z</w:t>
          </w:r>
          <w:r>
            <w:rPr>
              <w:szCs w:val="22"/>
            </w:rPr>
            <w:t>al</w:t>
          </w:r>
          <w:r w:rsidRPr="005660EC">
            <w:rPr>
              <w:szCs w:val="22"/>
            </w:rPr>
            <w:t xml:space="preserve"> zijn. De heffing </w:t>
          </w:r>
          <w:r>
            <w:rPr>
              <w:szCs w:val="22"/>
            </w:rPr>
            <w:t xml:space="preserve">was dus </w:t>
          </w:r>
          <w:r w:rsidRPr="005660EC">
            <w:rPr>
              <w:szCs w:val="22"/>
            </w:rPr>
            <w:t xml:space="preserve">materieel verschuldigd op een </w:t>
          </w:r>
          <w:r>
            <w:rPr>
              <w:szCs w:val="22"/>
            </w:rPr>
            <w:t>al</w:t>
          </w:r>
          <w:r w:rsidRPr="005660EC">
            <w:rPr>
              <w:szCs w:val="22"/>
            </w:rPr>
            <w:t xml:space="preserve"> verstreken tijdstip, namelijk 30</w:t>
          </w:r>
          <w:r w:rsidR="00D8463C">
            <w:rPr>
              <w:szCs w:val="22"/>
            </w:rPr>
            <w:t> </w:t>
          </w:r>
          <w:r w:rsidRPr="005660EC">
            <w:rPr>
              <w:szCs w:val="22"/>
            </w:rPr>
            <w:t>juni 2023,</w:t>
          </w:r>
          <w:r w:rsidRPr="005660EC">
            <w:rPr>
              <w:rStyle w:val="Voetnootmarkering"/>
              <w:szCs w:val="22"/>
            </w:rPr>
            <w:footnoteReference w:id="17"/>
          </w:r>
          <w:r w:rsidRPr="005660EC">
            <w:rPr>
              <w:szCs w:val="22"/>
            </w:rPr>
            <w:t xml:space="preserve"> terwijl hiervoor op dat moment nog geen wettelijke basis bestond. Dat geldt ook voor de voorgestelde verplichting voor producenten om per kalendermaand van het </w:t>
          </w:r>
          <w:r w:rsidR="00205610">
            <w:rPr>
              <w:szCs w:val="22"/>
            </w:rPr>
            <w:t>al</w:t>
          </w:r>
          <w:r w:rsidRPr="005660EC">
            <w:rPr>
              <w:szCs w:val="22"/>
            </w:rPr>
            <w:t xml:space="preserve"> verstreken heffingstijdvak bepaalde gegevens te administreren.</w:t>
          </w:r>
          <w:r w:rsidRPr="005660EC">
            <w:rPr>
              <w:rStyle w:val="Voetnootmarkering"/>
              <w:szCs w:val="22"/>
            </w:rPr>
            <w:footnoteReference w:id="18"/>
          </w:r>
          <w:r w:rsidRPr="005660EC">
            <w:rPr>
              <w:szCs w:val="22"/>
            </w:rPr>
            <w:t xml:space="preserve"> </w:t>
          </w:r>
        </w:p>
        <w:p w:rsidRPr="005660EC" w:rsidR="00B53AD7" w:rsidP="00B53AD7" w:rsidRDefault="00B53AD7" w14:paraId="354CA969" w14:textId="77777777">
          <w:pPr>
            <w:rPr>
              <w:szCs w:val="22"/>
            </w:rPr>
          </w:pPr>
        </w:p>
        <w:p w:rsidRPr="005660EC" w:rsidR="00B53AD7" w:rsidP="00B53AD7" w:rsidRDefault="00B53AD7" w14:paraId="590BE5ED" w14:textId="77777777">
          <w:pPr>
            <w:rPr>
              <w:szCs w:val="22"/>
            </w:rPr>
          </w:pPr>
          <w:r>
            <w:rPr>
              <w:szCs w:val="22"/>
            </w:rPr>
            <w:t>Het gaat in dit geval om een (rijks)belasting die voor de betrokken bedrijven belastend is. H</w:t>
          </w:r>
          <w:r w:rsidRPr="005660EC">
            <w:rPr>
              <w:szCs w:val="22"/>
            </w:rPr>
            <w:t>et legaliteitsbeginsel van artikel 104, eerste volzin, van de Grondwet</w:t>
          </w:r>
          <w:r>
            <w:rPr>
              <w:szCs w:val="22"/>
            </w:rPr>
            <w:t xml:space="preserve"> eist</w:t>
          </w:r>
          <w:r w:rsidRPr="005660EC">
            <w:rPr>
              <w:szCs w:val="22"/>
            </w:rPr>
            <w:t xml:space="preserve"> dat belastingen </w:t>
          </w:r>
          <w:r>
            <w:rPr>
              <w:szCs w:val="22"/>
            </w:rPr>
            <w:t>uit kracht</w:t>
          </w:r>
          <w:r w:rsidRPr="005660EC">
            <w:rPr>
              <w:szCs w:val="22"/>
            </w:rPr>
            <w:t xml:space="preserve"> van een wet worden geheven</w:t>
          </w:r>
          <w:r>
            <w:rPr>
              <w:szCs w:val="22"/>
            </w:rPr>
            <w:t>.</w:t>
          </w:r>
          <w:r w:rsidRPr="005660EC">
            <w:rPr>
              <w:szCs w:val="22"/>
            </w:rPr>
            <w:t xml:space="preserve"> </w:t>
          </w:r>
          <w:r>
            <w:rPr>
              <w:szCs w:val="22"/>
            </w:rPr>
            <w:t>U</w:t>
          </w:r>
          <w:r w:rsidRPr="005660EC">
            <w:rPr>
              <w:szCs w:val="22"/>
            </w:rPr>
            <w:t>itgangspunt is dat aan belastende fiscale maatregelen, behoudens in uitzonderlijke gevallen, geen terugwerkende kracht wordt gegeven</w:t>
          </w:r>
          <w:r>
            <w:rPr>
              <w:szCs w:val="22"/>
            </w:rPr>
            <w:t>. Het beleid</w:t>
          </w:r>
          <w:r w:rsidRPr="005660EC">
            <w:rPr>
              <w:szCs w:val="22"/>
            </w:rPr>
            <w:t xml:space="preserve"> </w:t>
          </w:r>
          <w:r>
            <w:rPr>
              <w:szCs w:val="22"/>
            </w:rPr>
            <w:t xml:space="preserve">is </w:t>
          </w:r>
          <w:r w:rsidRPr="005660EC">
            <w:rPr>
              <w:szCs w:val="22"/>
            </w:rPr>
            <w:t>erop gericht dergelijke uitzonderlijke gevallen te voorkomen.</w:t>
          </w:r>
          <w:r w:rsidRPr="005660EC">
            <w:rPr>
              <w:rStyle w:val="Voetnootmarkering"/>
              <w:szCs w:val="22"/>
            </w:rPr>
            <w:footnoteReference w:id="19"/>
          </w:r>
          <w:r w:rsidRPr="005660EC">
            <w:rPr>
              <w:szCs w:val="22"/>
            </w:rPr>
            <w:t xml:space="preserve"> Daarnaast geldt dat bij het toekennen van terugwerkende kracht de maatregelen voor de belastingplichtigen vóór het tijdstip waarop deze zullen gaan gelden voldoende kenbaar moeten zijn. </w:t>
          </w:r>
          <w:r>
            <w:rPr>
              <w:szCs w:val="22"/>
            </w:rPr>
            <w:t>De gang van zaken wijkt in dit geval van dit alles af. Dat is op zichzelf ongebruikelijk en ongewenst.</w:t>
          </w:r>
        </w:p>
        <w:p w:rsidRPr="005660EC" w:rsidR="00B53AD7" w:rsidP="00B53AD7" w:rsidRDefault="00B53AD7" w14:paraId="3880AB8F" w14:textId="77777777">
          <w:pPr>
            <w:rPr>
              <w:szCs w:val="22"/>
            </w:rPr>
          </w:pPr>
        </w:p>
        <w:p w:rsidRPr="005660EC" w:rsidR="00B53AD7" w:rsidP="00B53AD7" w:rsidRDefault="00B53AD7" w14:paraId="3B426D75" w14:textId="471B9A74">
          <w:pPr>
            <w:rPr>
              <w:szCs w:val="22"/>
            </w:rPr>
          </w:pPr>
          <w:r>
            <w:rPr>
              <w:szCs w:val="22"/>
            </w:rPr>
            <w:t>De Afdeling onderkent dat b</w:t>
          </w:r>
          <w:r w:rsidRPr="005660EC">
            <w:rPr>
              <w:szCs w:val="22"/>
            </w:rPr>
            <w:t xml:space="preserve">ij dit voorstel </w:t>
          </w:r>
          <w:r>
            <w:rPr>
              <w:szCs w:val="22"/>
            </w:rPr>
            <w:t>wel</w:t>
          </w:r>
          <w:r w:rsidRPr="005660EC">
            <w:rPr>
              <w:szCs w:val="22"/>
            </w:rPr>
            <w:t xml:space="preserve"> zeer bijzondere omstandigheden</w:t>
          </w:r>
          <w:r>
            <w:rPr>
              <w:szCs w:val="22"/>
            </w:rPr>
            <w:t xml:space="preserve"> spelen</w:t>
          </w:r>
          <w:r w:rsidRPr="005660EC">
            <w:rPr>
              <w:szCs w:val="22"/>
            </w:rPr>
            <w:t xml:space="preserve">. </w:t>
          </w:r>
          <w:r>
            <w:rPr>
              <w:szCs w:val="22"/>
            </w:rPr>
            <w:t>D</w:t>
          </w:r>
          <w:r w:rsidRPr="005660EC">
            <w:rPr>
              <w:szCs w:val="22"/>
            </w:rPr>
            <w:t>e verordening</w:t>
          </w:r>
          <w:r>
            <w:rPr>
              <w:szCs w:val="22"/>
            </w:rPr>
            <w:t xml:space="preserve"> is </w:t>
          </w:r>
          <w:r w:rsidRPr="005660EC">
            <w:rPr>
              <w:szCs w:val="22"/>
            </w:rPr>
            <w:t>op 6</w:t>
          </w:r>
          <w:r w:rsidR="00D8463C">
            <w:rPr>
              <w:szCs w:val="22"/>
            </w:rPr>
            <w:t> </w:t>
          </w:r>
          <w:r w:rsidRPr="005660EC">
            <w:rPr>
              <w:szCs w:val="22"/>
            </w:rPr>
            <w:t>oktober 2022 vastgesteld en op 8</w:t>
          </w:r>
          <w:r w:rsidR="00D8463C">
            <w:rPr>
              <w:szCs w:val="22"/>
            </w:rPr>
            <w:t> </w:t>
          </w:r>
          <w:r w:rsidRPr="005660EC">
            <w:rPr>
              <w:szCs w:val="22"/>
            </w:rPr>
            <w:t>oktober 2022 in werking getreden</w:t>
          </w:r>
          <w:r>
            <w:rPr>
              <w:szCs w:val="22"/>
            </w:rPr>
            <w:t>. De verordening bepaalt</w:t>
          </w:r>
          <w:r w:rsidRPr="005660EC">
            <w:rPr>
              <w:szCs w:val="22"/>
            </w:rPr>
            <w:t xml:space="preserve"> dat </w:t>
          </w:r>
          <w:r>
            <w:rPr>
              <w:szCs w:val="22"/>
            </w:rPr>
            <w:t xml:space="preserve">het </w:t>
          </w:r>
          <w:r w:rsidR="0004312D">
            <w:rPr>
              <w:szCs w:val="22"/>
            </w:rPr>
            <w:t>tijdelijke inkomsten</w:t>
          </w:r>
          <w:r>
            <w:rPr>
              <w:szCs w:val="22"/>
            </w:rPr>
            <w:t>plafond</w:t>
          </w:r>
          <w:r w:rsidRPr="005660EC">
            <w:rPr>
              <w:szCs w:val="22"/>
            </w:rPr>
            <w:t xml:space="preserve"> vanaf 1</w:t>
          </w:r>
          <w:r w:rsidR="00D8463C">
            <w:rPr>
              <w:szCs w:val="22"/>
            </w:rPr>
            <w:t> </w:t>
          </w:r>
          <w:r w:rsidRPr="005660EC">
            <w:rPr>
              <w:szCs w:val="22"/>
            </w:rPr>
            <w:t>december 2022 van toepassing moe</w:t>
          </w:r>
          <w:r>
            <w:rPr>
              <w:szCs w:val="22"/>
            </w:rPr>
            <w:t>s</w:t>
          </w:r>
          <w:r w:rsidRPr="005660EC">
            <w:rPr>
              <w:szCs w:val="22"/>
            </w:rPr>
            <w:t xml:space="preserve">t zijn. Nederland kan zich als lidstaat niet onttrekken aan de verplichting om </w:t>
          </w:r>
          <w:r>
            <w:rPr>
              <w:szCs w:val="22"/>
            </w:rPr>
            <w:t xml:space="preserve">het </w:t>
          </w:r>
          <w:r w:rsidR="0004312D">
            <w:rPr>
              <w:szCs w:val="22"/>
            </w:rPr>
            <w:t>inkomsten</w:t>
          </w:r>
          <w:r>
            <w:rPr>
              <w:szCs w:val="22"/>
            </w:rPr>
            <w:t>plafond</w:t>
          </w:r>
          <w:r w:rsidRPr="005660EC">
            <w:rPr>
              <w:szCs w:val="22"/>
            </w:rPr>
            <w:t xml:space="preserve"> in te voeren. </w:t>
          </w:r>
          <w:r>
            <w:rPr>
              <w:szCs w:val="22"/>
            </w:rPr>
            <w:t>H</w:t>
          </w:r>
          <w:r w:rsidRPr="005660EC">
            <w:rPr>
              <w:szCs w:val="22"/>
            </w:rPr>
            <w:t xml:space="preserve">et kabinet </w:t>
          </w:r>
          <w:r>
            <w:rPr>
              <w:szCs w:val="22"/>
            </w:rPr>
            <w:t xml:space="preserve">heeft </w:t>
          </w:r>
          <w:r w:rsidRPr="005660EC">
            <w:rPr>
              <w:szCs w:val="22"/>
            </w:rPr>
            <w:t>in zijn brief van 30</w:t>
          </w:r>
          <w:r w:rsidR="00D8463C">
            <w:rPr>
              <w:szCs w:val="22"/>
            </w:rPr>
            <w:t> </w:t>
          </w:r>
          <w:r w:rsidRPr="005660EC">
            <w:rPr>
              <w:szCs w:val="22"/>
            </w:rPr>
            <w:t xml:space="preserve">november 2022 over de inhoud en uitvoering van </w:t>
          </w:r>
          <w:r>
            <w:rPr>
              <w:szCs w:val="22"/>
            </w:rPr>
            <w:t xml:space="preserve">het </w:t>
          </w:r>
          <w:r w:rsidR="0004312D">
            <w:rPr>
              <w:szCs w:val="22"/>
            </w:rPr>
            <w:t>inkomsten</w:t>
          </w:r>
          <w:r>
            <w:rPr>
              <w:szCs w:val="22"/>
            </w:rPr>
            <w:t xml:space="preserve">plafond via </w:t>
          </w:r>
          <w:r w:rsidR="00B212FC">
            <w:rPr>
              <w:szCs w:val="22"/>
            </w:rPr>
            <w:t>een</w:t>
          </w:r>
          <w:r w:rsidRPr="005660EC" w:rsidR="00B212FC">
            <w:rPr>
              <w:szCs w:val="22"/>
            </w:rPr>
            <w:t xml:space="preserve"> </w:t>
          </w:r>
          <w:r w:rsidRPr="005660EC">
            <w:rPr>
              <w:szCs w:val="22"/>
            </w:rPr>
            <w:t>heffing zoveel mogelijk duidelijkheid willen geven aan producenten die hieronder vallen.</w:t>
          </w:r>
          <w:r w:rsidRPr="005660EC">
            <w:rPr>
              <w:rStyle w:val="Voetnootmarkering"/>
              <w:szCs w:val="22"/>
            </w:rPr>
            <w:footnoteReference w:id="20"/>
          </w:r>
          <w:r w:rsidRPr="005660EC">
            <w:rPr>
              <w:szCs w:val="22"/>
            </w:rPr>
            <w:t xml:space="preserve"> Gezien de zeer beperkt</w:t>
          </w:r>
          <w:r>
            <w:rPr>
              <w:szCs w:val="22"/>
            </w:rPr>
            <w:t xml:space="preserve"> beschikbare</w:t>
          </w:r>
          <w:r w:rsidRPr="005660EC">
            <w:rPr>
              <w:szCs w:val="22"/>
            </w:rPr>
            <w:t xml:space="preserve"> t</w:t>
          </w:r>
          <w:r>
            <w:rPr>
              <w:szCs w:val="22"/>
            </w:rPr>
            <w:t xml:space="preserve">ijd en de tijdelijkheid van de heffing, en ook de verplichting de verordening uit te voeren, kan </w:t>
          </w:r>
          <w:r w:rsidRPr="005660EC">
            <w:rPr>
              <w:szCs w:val="22"/>
            </w:rPr>
            <w:t>de Afdeling</w:t>
          </w:r>
          <w:r>
            <w:rPr>
              <w:szCs w:val="22"/>
            </w:rPr>
            <w:t xml:space="preserve"> </w:t>
          </w:r>
          <w:r w:rsidRPr="005660EC">
            <w:rPr>
              <w:szCs w:val="22"/>
            </w:rPr>
            <w:t xml:space="preserve">in dit zeer uitzonderlijke geval </w:t>
          </w:r>
          <w:r>
            <w:rPr>
              <w:szCs w:val="22"/>
            </w:rPr>
            <w:t xml:space="preserve">begrip opbrengen voor </w:t>
          </w:r>
          <w:r w:rsidRPr="005660EC">
            <w:rPr>
              <w:szCs w:val="22"/>
            </w:rPr>
            <w:t xml:space="preserve">de terugwerkende kracht van het voorstel in deze vorm. </w:t>
          </w:r>
        </w:p>
        <w:p w:rsidRPr="005660EC" w:rsidR="00C702D2" w:rsidP="00B53AD7" w:rsidRDefault="00C702D2" w14:paraId="1EFD3A0F" w14:textId="77777777">
          <w:pPr>
            <w:rPr>
              <w:szCs w:val="22"/>
            </w:rPr>
          </w:pPr>
        </w:p>
        <w:p w:rsidRPr="005660EC" w:rsidR="00B53AD7" w:rsidP="00B53AD7" w:rsidRDefault="00B53AD7" w14:paraId="5C0B33BE" w14:textId="6C63F21E">
          <w:pPr>
            <w:rPr>
              <w:szCs w:val="22"/>
            </w:rPr>
          </w:pPr>
          <w:r>
            <w:rPr>
              <w:szCs w:val="22"/>
            </w:rPr>
            <w:t>D</w:t>
          </w:r>
          <w:r w:rsidRPr="005660EC">
            <w:rPr>
              <w:szCs w:val="22"/>
            </w:rPr>
            <w:t>e gevolgen van het verstreken zijn van het heffingstijdvak</w:t>
          </w:r>
          <w:r>
            <w:rPr>
              <w:szCs w:val="22"/>
            </w:rPr>
            <w:t xml:space="preserve"> </w:t>
          </w:r>
          <w:r w:rsidDel="000629B8">
            <w:rPr>
              <w:szCs w:val="22"/>
            </w:rPr>
            <w:t>komen</w:t>
          </w:r>
          <w:r w:rsidRPr="005660EC" w:rsidDel="000629B8">
            <w:rPr>
              <w:szCs w:val="22"/>
            </w:rPr>
            <w:t xml:space="preserve"> </w:t>
          </w:r>
          <w:r w:rsidRPr="005660EC">
            <w:rPr>
              <w:szCs w:val="22"/>
            </w:rPr>
            <w:t xml:space="preserve">in de toelichting maar beperkt tot uitdrukking. </w:t>
          </w:r>
          <w:r>
            <w:rPr>
              <w:szCs w:val="22"/>
            </w:rPr>
            <w:t xml:space="preserve">Zo suggereert de toelichting op diverse plaatsen mogelijke gedragsreacties die zich niet meer voor kunnen doen, nu het heffingstijdvak is verstreken. </w:t>
          </w:r>
          <w:r w:rsidRPr="005660EC">
            <w:rPr>
              <w:szCs w:val="22"/>
            </w:rPr>
            <w:t>Ook is niet duidelijk hoe het ontbreken van een wettelijke basis voor bepaalde administratieve verplichtingen gedurende het – reeds verstreken – heffingstijdvak zich verhoudt tot het kunnen opleggen van in de Algemene wet inzake rijksbelastingen van toepassing (A</w:t>
          </w:r>
          <w:r w:rsidR="00D8463C">
            <w:rPr>
              <w:szCs w:val="22"/>
            </w:rPr>
            <w:t>wr</w:t>
          </w:r>
          <w:r w:rsidRPr="005660EC">
            <w:rPr>
              <w:szCs w:val="22"/>
            </w:rPr>
            <w:t xml:space="preserve">) opgenomen sancties bij het niet voldoen aan dergelijke verplichtingen. </w:t>
          </w:r>
        </w:p>
        <w:p w:rsidRPr="005660EC" w:rsidR="00B53AD7" w:rsidP="00B53AD7" w:rsidRDefault="00B53AD7" w14:paraId="34CCEFBE" w14:textId="77777777">
          <w:pPr>
            <w:rPr>
              <w:szCs w:val="22"/>
            </w:rPr>
          </w:pPr>
        </w:p>
        <w:p w:rsidR="001E21DA" w:rsidP="00B53AD7" w:rsidRDefault="00B53AD7" w14:paraId="7225B18F" w14:textId="192D9A5A">
          <w:pPr>
            <w:rPr>
              <w:szCs w:val="22"/>
            </w:rPr>
          </w:pPr>
          <w:r>
            <w:rPr>
              <w:szCs w:val="22"/>
            </w:rPr>
            <w:t xml:space="preserve">In het licht van al het voorgaande </w:t>
          </w:r>
          <w:r w:rsidRPr="005660EC">
            <w:rPr>
              <w:szCs w:val="22"/>
            </w:rPr>
            <w:t>adviseert</w:t>
          </w:r>
          <w:r>
            <w:rPr>
              <w:szCs w:val="22"/>
            </w:rPr>
            <w:t xml:space="preserve"> de Afdeling</w:t>
          </w:r>
          <w:r w:rsidRPr="005660EC">
            <w:rPr>
              <w:szCs w:val="22"/>
            </w:rPr>
            <w:t xml:space="preserve"> in de toelichting nader in te gaan op </w:t>
          </w:r>
          <w:r w:rsidR="004F31CF">
            <w:rPr>
              <w:szCs w:val="22"/>
            </w:rPr>
            <w:t xml:space="preserve">het uitzonderlijke karakter van </w:t>
          </w:r>
          <w:r w:rsidRPr="005660EC">
            <w:rPr>
              <w:szCs w:val="22"/>
            </w:rPr>
            <w:t xml:space="preserve">de terugwerkende kracht van </w:t>
          </w:r>
          <w:r w:rsidR="002226F2">
            <w:rPr>
              <w:szCs w:val="22"/>
            </w:rPr>
            <w:t>de wettelijke regeling</w:t>
          </w:r>
          <w:r w:rsidRPr="005660EC">
            <w:rPr>
              <w:szCs w:val="22"/>
            </w:rPr>
            <w:t xml:space="preserve"> en op de gevolgen van het feit dat het heffingstijdvak </w:t>
          </w:r>
          <w:r w:rsidR="00205610">
            <w:rPr>
              <w:szCs w:val="22"/>
            </w:rPr>
            <w:t>al</w:t>
          </w:r>
          <w:r w:rsidRPr="005660EC">
            <w:rPr>
              <w:szCs w:val="22"/>
            </w:rPr>
            <w:t xml:space="preserve"> verstreken is</w:t>
          </w:r>
          <w:r w:rsidRPr="005660EC" w:rsidR="00C92DB2">
            <w:rPr>
              <w:szCs w:val="22"/>
            </w:rPr>
            <w:t>.</w:t>
          </w:r>
          <w:r w:rsidRPr="005660EC" w:rsidR="00DA1C0E">
            <w:rPr>
              <w:szCs w:val="22"/>
            </w:rPr>
            <w:t xml:space="preserve"> </w:t>
          </w:r>
        </w:p>
        <w:p w:rsidR="003F56C7" w:rsidP="00B53AD7" w:rsidRDefault="003F56C7" w14:paraId="38C0C39B" w14:textId="77777777">
          <w:pPr>
            <w:rPr>
              <w:szCs w:val="22"/>
            </w:rPr>
          </w:pPr>
        </w:p>
        <w:p w:rsidR="00E335B0" w:rsidP="00E335B0" w:rsidRDefault="00E335B0" w14:paraId="4447495F" w14:textId="77777777">
          <w:pPr>
            <w:rPr>
              <w:i/>
              <w:iCs/>
              <w:szCs w:val="22"/>
            </w:rPr>
          </w:pPr>
          <w:r>
            <w:rPr>
              <w:szCs w:val="22"/>
            </w:rPr>
            <w:t xml:space="preserve">b. </w:t>
          </w:r>
          <w:r>
            <w:rPr>
              <w:szCs w:val="22"/>
            </w:rPr>
            <w:tab/>
          </w:r>
          <w:r>
            <w:rPr>
              <w:i/>
              <w:iCs/>
              <w:szCs w:val="22"/>
            </w:rPr>
            <w:t>Verhouding tot het Unierecht</w:t>
          </w:r>
        </w:p>
        <w:p w:rsidR="00E335B0" w:rsidP="00E335B0" w:rsidRDefault="00E335B0" w14:paraId="7DD6A131" w14:textId="77777777">
          <w:pPr>
            <w:rPr>
              <w:szCs w:val="22"/>
            </w:rPr>
          </w:pPr>
          <w:r>
            <w:rPr>
              <w:szCs w:val="22"/>
            </w:rPr>
            <w:t xml:space="preserve">Hoewel het tijdelijk plafonneren van marktinkomsten van producenten van inframarginale elektriciteit een verplichting is die uit het Unierecht voortvloeit, moet het wetsvoorstel op onderdelen aan het Unierecht worden getoetst. Dat geldt in het bijzonder voor het eigendomsrecht en de specifieke inkomstenplafonds waarvoor lidstaten in aanvulling op de verordening kunnen kiezen. </w:t>
          </w:r>
        </w:p>
        <w:p w:rsidR="00E335B0" w:rsidP="00E335B0" w:rsidRDefault="00E335B0" w14:paraId="2DF2D348" w14:textId="77777777">
          <w:pPr>
            <w:rPr>
              <w:szCs w:val="22"/>
            </w:rPr>
          </w:pPr>
        </w:p>
        <w:p w:rsidR="00E335B0" w:rsidP="00E335B0" w:rsidRDefault="00E335B0" w14:paraId="57A03C02" w14:textId="77777777">
          <w:pPr>
            <w:rPr>
              <w:szCs w:val="22"/>
            </w:rPr>
          </w:pPr>
          <w:r>
            <w:rPr>
              <w:szCs w:val="22"/>
            </w:rPr>
            <w:t xml:space="preserve">De toelichting gaat met betrekking tot het eigendomsrecht alleen in op artikel 1 van het </w:t>
          </w:r>
          <w:r w:rsidRPr="00460D92">
            <w:rPr>
              <w:szCs w:val="22"/>
            </w:rPr>
            <w:t xml:space="preserve">Eerste Protocol bij het Europees Verdrag tot bescherming van de </w:t>
          </w:r>
          <w:r>
            <w:rPr>
              <w:szCs w:val="22"/>
            </w:rPr>
            <w:t>R</w:t>
          </w:r>
          <w:r w:rsidRPr="00460D92">
            <w:rPr>
              <w:szCs w:val="22"/>
            </w:rPr>
            <w:t xml:space="preserve">echten van de </w:t>
          </w:r>
          <w:r>
            <w:rPr>
              <w:szCs w:val="22"/>
            </w:rPr>
            <w:t>M</w:t>
          </w:r>
          <w:r w:rsidRPr="00460D92">
            <w:rPr>
              <w:szCs w:val="22"/>
            </w:rPr>
            <w:t>en</w:t>
          </w:r>
          <w:r>
            <w:rPr>
              <w:szCs w:val="22"/>
            </w:rPr>
            <w:t>s,</w:t>
          </w:r>
          <w:r>
            <w:rPr>
              <w:rStyle w:val="Voetnootmarkering"/>
              <w:szCs w:val="22"/>
            </w:rPr>
            <w:footnoteReference w:id="21"/>
          </w:r>
          <w:r>
            <w:rPr>
              <w:szCs w:val="22"/>
            </w:rPr>
            <w:t xml:space="preserve"> terwijl hier primair artikel 17 van het Handvest van de grondrechten van de Europese Unie het relevante kader vormt. Wat betreft het specifieke plafond voor marktinkomsten uit de verkoop van elektriciteit uit steenkool</w:t>
          </w:r>
          <w:r>
            <w:rPr>
              <w:rStyle w:val="Voetnootmarkering"/>
              <w:szCs w:val="22"/>
            </w:rPr>
            <w:footnoteReference w:id="22"/>
          </w:r>
          <w:r>
            <w:rPr>
              <w:szCs w:val="22"/>
            </w:rPr>
            <w:t xml:space="preserve"> merkt de Afdeling op dat dit plafond niet alleen in overeenstemming moet zijn met de voorwaarden van de verordening, maar ook met het primaire Unierecht, zoals de staatssteunregels.</w:t>
          </w:r>
          <w:r>
            <w:rPr>
              <w:rStyle w:val="Voetnootmarkering"/>
              <w:szCs w:val="22"/>
            </w:rPr>
            <w:footnoteReference w:id="23"/>
          </w:r>
          <w:r>
            <w:rPr>
              <w:szCs w:val="22"/>
            </w:rPr>
            <w:t xml:space="preserve"> De toelichting onderkent dit niet en gaat niet in op de verhouding tot het Unierecht. </w:t>
          </w:r>
        </w:p>
        <w:p w:rsidR="00E335B0" w:rsidP="00E335B0" w:rsidRDefault="00E335B0" w14:paraId="392B042D" w14:textId="77777777">
          <w:pPr>
            <w:rPr>
              <w:szCs w:val="22"/>
            </w:rPr>
          </w:pPr>
        </w:p>
        <w:p w:rsidRPr="006246B8" w:rsidR="002452D4" w:rsidP="00E335B0" w:rsidRDefault="00E335B0" w14:paraId="7D810CCC" w14:textId="424BF7F5">
          <w:pPr>
            <w:rPr>
              <w:szCs w:val="22"/>
            </w:rPr>
          </w:pPr>
          <w:r>
            <w:rPr>
              <w:szCs w:val="22"/>
            </w:rPr>
            <w:t>De Afdeling adviseert de toelichting op de betreffende punten aan te vullen</w:t>
          </w:r>
          <w:r w:rsidR="002452D4">
            <w:rPr>
              <w:szCs w:val="22"/>
            </w:rPr>
            <w:t xml:space="preserve">. </w:t>
          </w:r>
        </w:p>
        <w:p w:rsidRPr="005660EC" w:rsidR="005426E8" w:rsidP="00E04E71" w:rsidRDefault="005426E8" w14:paraId="2F4DF8A7" w14:textId="77777777">
          <w:pPr>
            <w:rPr>
              <w:szCs w:val="22"/>
            </w:rPr>
          </w:pPr>
        </w:p>
        <w:p w:rsidRPr="005660EC" w:rsidR="00F804E5" w:rsidP="00E04E71" w:rsidRDefault="00AF2587" w14:paraId="1A503C86" w14:textId="31693112">
          <w:pPr>
            <w:rPr>
              <w:szCs w:val="22"/>
            </w:rPr>
          </w:pPr>
          <w:r w:rsidRPr="005660EC">
            <w:rPr>
              <w:szCs w:val="22"/>
            </w:rPr>
            <w:t>3</w:t>
          </w:r>
          <w:r w:rsidRPr="005660EC" w:rsidR="00C071F1">
            <w:rPr>
              <w:szCs w:val="22"/>
            </w:rPr>
            <w:t>.</w:t>
          </w:r>
          <w:r w:rsidRPr="005660EC" w:rsidR="00C071F1">
            <w:rPr>
              <w:szCs w:val="22"/>
            </w:rPr>
            <w:tab/>
          </w:r>
          <w:r w:rsidRPr="005660EC" w:rsidR="00F804E5">
            <w:rPr>
              <w:szCs w:val="22"/>
              <w:u w:val="single"/>
            </w:rPr>
            <w:t xml:space="preserve">Vormgeving </w:t>
          </w:r>
          <w:r w:rsidRPr="005660EC" w:rsidR="0097402E">
            <w:rPr>
              <w:szCs w:val="22"/>
              <w:u w:val="single"/>
            </w:rPr>
            <w:t>en inpassing in de bestaande fiscale systematiek</w:t>
          </w:r>
        </w:p>
        <w:p w:rsidRPr="005660EC" w:rsidR="00F804E5" w:rsidP="00E04E71" w:rsidRDefault="00F804E5" w14:paraId="132EA0AC" w14:textId="77777777">
          <w:pPr>
            <w:rPr>
              <w:szCs w:val="22"/>
            </w:rPr>
          </w:pPr>
        </w:p>
        <w:p w:rsidRPr="005660EC" w:rsidR="00384D83" w:rsidP="00384D83" w:rsidRDefault="00384D83" w14:paraId="71D84453" w14:textId="77777777">
          <w:pPr>
            <w:rPr>
              <w:szCs w:val="22"/>
            </w:rPr>
          </w:pPr>
          <w:r w:rsidRPr="005660EC">
            <w:rPr>
              <w:szCs w:val="22"/>
            </w:rPr>
            <w:t xml:space="preserve">Het voorstel strekt, evenals eerder de Wet tijdelijke solidariteitsbijdrage, tot invoering van een tijdelijke belastingheffing naast de bestaande belastingheffing. De uitvoering van deze heffing </w:t>
          </w:r>
          <w:r>
            <w:rPr>
              <w:szCs w:val="22"/>
            </w:rPr>
            <w:t>gebeurt door</w:t>
          </w:r>
          <w:r w:rsidRPr="005660EC">
            <w:rPr>
              <w:szCs w:val="22"/>
            </w:rPr>
            <w:t xml:space="preserve"> de NEa en de Belastingdienst.</w:t>
          </w:r>
          <w:r>
            <w:rPr>
              <w:szCs w:val="22"/>
            </w:rPr>
            <w:t xml:space="preserve"> De Afdeling maakt de volgende opmerkingen.</w:t>
          </w:r>
          <w:r w:rsidRPr="005660EC">
            <w:rPr>
              <w:szCs w:val="22"/>
            </w:rPr>
            <w:t xml:space="preserve"> </w:t>
          </w:r>
        </w:p>
        <w:p w:rsidR="00BA18FC" w:rsidP="00BA18FC" w:rsidRDefault="00BA18FC" w14:paraId="6091B35E" w14:textId="23F147A7">
          <w:pPr>
            <w:rPr>
              <w:szCs w:val="22"/>
            </w:rPr>
          </w:pPr>
        </w:p>
        <w:p w:rsidRPr="009A6497" w:rsidR="00BA18FC" w:rsidP="009A6497" w:rsidRDefault="00BA18FC" w14:paraId="509B054C" w14:textId="56F9173B">
          <w:pPr>
            <w:rPr>
              <w:i/>
              <w:iCs/>
              <w:szCs w:val="22"/>
            </w:rPr>
          </w:pPr>
          <w:r w:rsidRPr="009A6497">
            <w:rPr>
              <w:szCs w:val="22"/>
            </w:rPr>
            <w:t xml:space="preserve">a. </w:t>
          </w:r>
          <w:r w:rsidRPr="009A6497">
            <w:rPr>
              <w:szCs w:val="22"/>
            </w:rPr>
            <w:tab/>
          </w:r>
          <w:r w:rsidRPr="009A6497">
            <w:rPr>
              <w:i/>
              <w:iCs/>
              <w:szCs w:val="22"/>
            </w:rPr>
            <w:t>Rijksbelasting of heffing</w:t>
          </w:r>
        </w:p>
        <w:p w:rsidRPr="005660EC" w:rsidR="00BA18FC" w:rsidP="00BA18FC" w:rsidRDefault="00BA18FC" w14:paraId="662720E1" w14:textId="04914580">
          <w:pPr>
            <w:rPr>
              <w:szCs w:val="22"/>
            </w:rPr>
          </w:pPr>
          <w:r w:rsidRPr="005660EC">
            <w:rPr>
              <w:szCs w:val="22"/>
            </w:rPr>
            <w:t>In het wetsvoorstel wordt het begrip ‘inframarginale elektriciteitsheffing’ ge</w:t>
          </w:r>
          <w:r>
            <w:rPr>
              <w:szCs w:val="22"/>
            </w:rPr>
            <w:t>bruikt.</w:t>
          </w:r>
          <w:r w:rsidRPr="005660EC">
            <w:rPr>
              <w:szCs w:val="22"/>
            </w:rPr>
            <w:t xml:space="preserve"> </w:t>
          </w:r>
          <w:r>
            <w:rPr>
              <w:szCs w:val="22"/>
            </w:rPr>
            <w:t>Dit begrip</w:t>
          </w:r>
          <w:r w:rsidRPr="005660EC">
            <w:rPr>
              <w:szCs w:val="22"/>
            </w:rPr>
            <w:t xml:space="preserve"> wordt gedefinieerd als een heffing ter zake van marktinkomsten uit inframarginale elektriciteit die in Nederland is opgewekt.</w:t>
          </w:r>
          <w:r w:rsidRPr="005660EC">
            <w:rPr>
              <w:szCs w:val="22"/>
              <w:vertAlign w:val="superscript"/>
            </w:rPr>
            <w:footnoteReference w:id="24"/>
          </w:r>
          <w:r w:rsidRPr="005660EC">
            <w:rPr>
              <w:szCs w:val="22"/>
            </w:rPr>
            <w:t xml:space="preserve"> Het wetsvoorstel regelt dat op de heffing en invordering van de ‘inframarginale elektriciteitsheffing’ de A</w:t>
          </w:r>
          <w:r w:rsidR="00D8463C">
            <w:rPr>
              <w:szCs w:val="22"/>
            </w:rPr>
            <w:t>wr</w:t>
          </w:r>
          <w:r w:rsidRPr="005660EC">
            <w:rPr>
              <w:szCs w:val="22"/>
            </w:rPr>
            <w:t xml:space="preserve"> en de Invorderingswet 1990 (IW 1990) van toepassing zijn.</w:t>
          </w:r>
          <w:r w:rsidRPr="005660EC">
            <w:rPr>
              <w:szCs w:val="22"/>
              <w:vertAlign w:val="superscript"/>
            </w:rPr>
            <w:footnoteReference w:id="25"/>
          </w:r>
          <w:r w:rsidRPr="005660EC">
            <w:rPr>
              <w:szCs w:val="22"/>
            </w:rPr>
            <w:t xml:space="preserve"> De toelichting vermeldt dat de ‘inframarginale elektriciteitsheffing’ een rijksbelasting is in de zin van artikel 1, tweede lid, </w:t>
          </w:r>
          <w:r>
            <w:rPr>
              <w:szCs w:val="22"/>
            </w:rPr>
            <w:t>A</w:t>
          </w:r>
          <w:r w:rsidR="00D8463C">
            <w:rPr>
              <w:szCs w:val="22"/>
            </w:rPr>
            <w:t>wr</w:t>
          </w:r>
          <w:r w:rsidRPr="005660EC">
            <w:rPr>
              <w:szCs w:val="22"/>
            </w:rPr>
            <w:t>.</w:t>
          </w:r>
          <w:r w:rsidRPr="005660EC">
            <w:rPr>
              <w:szCs w:val="22"/>
              <w:vertAlign w:val="superscript"/>
            </w:rPr>
            <w:footnoteReference w:id="26"/>
          </w:r>
          <w:r w:rsidRPr="005660EC">
            <w:rPr>
              <w:szCs w:val="22"/>
            </w:rPr>
            <w:t xml:space="preserve"> Dit artikel bepaalt dat onder rijksbelastingen worden verstaan </w:t>
          </w:r>
          <w:r w:rsidRPr="00884758">
            <w:rPr>
              <w:i/>
              <w:iCs/>
              <w:szCs w:val="22"/>
            </w:rPr>
            <w:t>belastingen</w:t>
          </w:r>
          <w:r w:rsidRPr="005660EC">
            <w:rPr>
              <w:szCs w:val="22"/>
            </w:rPr>
            <w:t xml:space="preserve"> die van rijkswege door de rijksbelastingdienst worden geheven. </w:t>
          </w:r>
        </w:p>
        <w:p w:rsidRPr="005660EC" w:rsidR="00BA18FC" w:rsidP="00BA18FC" w:rsidRDefault="00BA18FC" w14:paraId="062543A4" w14:textId="77777777">
          <w:pPr>
            <w:rPr>
              <w:szCs w:val="22"/>
            </w:rPr>
          </w:pPr>
        </w:p>
        <w:p w:rsidRPr="005660EC" w:rsidR="00BA18FC" w:rsidP="00BA18FC" w:rsidRDefault="00BA18FC" w14:paraId="6B76545B" w14:textId="3A5F6FA6">
          <w:pPr>
            <w:rPr>
              <w:szCs w:val="22"/>
            </w:rPr>
          </w:pPr>
          <w:r w:rsidRPr="005660EC">
            <w:rPr>
              <w:szCs w:val="22"/>
            </w:rPr>
            <w:t xml:space="preserve">De Afdeling merkt op dat een heffing niet hetzelfde is als een rijksbelasting in de zin van de </w:t>
          </w:r>
          <w:r>
            <w:rPr>
              <w:szCs w:val="22"/>
            </w:rPr>
            <w:t>A</w:t>
          </w:r>
          <w:r w:rsidR="00D8463C">
            <w:rPr>
              <w:szCs w:val="22"/>
            </w:rPr>
            <w:t>wr</w:t>
          </w:r>
          <w:r w:rsidRPr="005660EC">
            <w:rPr>
              <w:szCs w:val="22"/>
            </w:rPr>
            <w:t xml:space="preserve">. Als het de bedoeling is dat de ‘inframarginale elektriciteitsheffing’ een rijksbelasting is, dan </w:t>
          </w:r>
          <w:r>
            <w:rPr>
              <w:szCs w:val="22"/>
            </w:rPr>
            <w:t>moet</w:t>
          </w:r>
          <w:r w:rsidRPr="005660EC">
            <w:rPr>
              <w:szCs w:val="22"/>
            </w:rPr>
            <w:t xml:space="preserve"> in de wet zelf word</w:t>
          </w:r>
          <w:r>
            <w:rPr>
              <w:szCs w:val="22"/>
            </w:rPr>
            <w:t>en</w:t>
          </w:r>
          <w:r w:rsidRPr="005660EC">
            <w:rPr>
              <w:szCs w:val="22"/>
            </w:rPr>
            <w:t xml:space="preserve"> </w:t>
          </w:r>
          <w:r>
            <w:rPr>
              <w:szCs w:val="22"/>
            </w:rPr>
            <w:t>bepaald</w:t>
          </w:r>
          <w:r w:rsidRPr="005660EC">
            <w:rPr>
              <w:szCs w:val="22"/>
            </w:rPr>
            <w:t xml:space="preserve"> dat </w:t>
          </w:r>
          <w:r>
            <w:rPr>
              <w:szCs w:val="22"/>
            </w:rPr>
            <w:t xml:space="preserve">sprake is van </w:t>
          </w:r>
          <w:r w:rsidRPr="005660EC">
            <w:rPr>
              <w:szCs w:val="22"/>
            </w:rPr>
            <w:t>een (rijks)belasting.</w:t>
          </w:r>
          <w:r w:rsidRPr="005660EC">
            <w:rPr>
              <w:szCs w:val="22"/>
              <w:vertAlign w:val="superscript"/>
            </w:rPr>
            <w:footnoteReference w:id="27"/>
          </w:r>
          <w:r w:rsidRPr="005660EC">
            <w:rPr>
              <w:szCs w:val="22"/>
            </w:rPr>
            <w:t xml:space="preserve"> </w:t>
          </w:r>
          <w:r>
            <w:rPr>
              <w:szCs w:val="22"/>
            </w:rPr>
            <w:t>Op</w:t>
          </w:r>
          <w:r w:rsidRPr="005660EC">
            <w:rPr>
              <w:szCs w:val="22"/>
            </w:rPr>
            <w:t xml:space="preserve"> een rijksbelasting zijn de </w:t>
          </w:r>
          <w:r>
            <w:rPr>
              <w:szCs w:val="22"/>
            </w:rPr>
            <w:t>A</w:t>
          </w:r>
          <w:r w:rsidR="00D8463C">
            <w:rPr>
              <w:szCs w:val="22"/>
            </w:rPr>
            <w:t>wr</w:t>
          </w:r>
          <w:r w:rsidRPr="005660EC">
            <w:rPr>
              <w:szCs w:val="22"/>
            </w:rPr>
            <w:t xml:space="preserve"> en de IW 1990 automatisch van toepassing</w:t>
          </w:r>
          <w:r>
            <w:rPr>
              <w:szCs w:val="22"/>
            </w:rPr>
            <w:t>. De</w:t>
          </w:r>
          <w:r w:rsidRPr="005660EC">
            <w:rPr>
              <w:szCs w:val="22"/>
            </w:rPr>
            <w:t xml:space="preserve"> </w:t>
          </w:r>
          <w:r>
            <w:rPr>
              <w:szCs w:val="22"/>
            </w:rPr>
            <w:t>van toepassing verklaring van deze wetten is bij een rijksbelasting overbodig</w:t>
          </w:r>
          <w:r w:rsidRPr="005660EC">
            <w:rPr>
              <w:szCs w:val="22"/>
            </w:rPr>
            <w:t>.</w:t>
          </w:r>
          <w:r w:rsidRPr="005660EC">
            <w:rPr>
              <w:szCs w:val="22"/>
              <w:vertAlign w:val="superscript"/>
            </w:rPr>
            <w:footnoteReference w:id="28"/>
          </w:r>
          <w:r w:rsidRPr="005660EC">
            <w:rPr>
              <w:szCs w:val="22"/>
            </w:rPr>
            <w:t xml:space="preserve"> </w:t>
          </w:r>
          <w:r>
            <w:rPr>
              <w:szCs w:val="18"/>
            </w:rPr>
            <w:t>Tevens</w:t>
          </w:r>
          <w:r w:rsidRPr="0098270E">
            <w:rPr>
              <w:szCs w:val="18"/>
            </w:rPr>
            <w:t xml:space="preserve"> valt op dat de gebruikte terminologie in het wetsvoorstel afwijkt van hetgeen gebruikelijk is bij een belasting. </w:t>
          </w:r>
          <w:r>
            <w:rPr>
              <w:szCs w:val="18"/>
            </w:rPr>
            <w:t>Als sprake is van een rijksbelasting, moet</w:t>
          </w:r>
          <w:r w:rsidR="004526A2">
            <w:rPr>
              <w:szCs w:val="18"/>
            </w:rPr>
            <w:t xml:space="preserve"> </w:t>
          </w:r>
          <w:r w:rsidR="003C0D9D">
            <w:rPr>
              <w:szCs w:val="18"/>
            </w:rPr>
            <w:t xml:space="preserve">ook </w:t>
          </w:r>
          <w:r w:rsidR="004526A2">
            <w:rPr>
              <w:szCs w:val="18"/>
            </w:rPr>
            <w:t>de</w:t>
          </w:r>
          <w:r>
            <w:rPr>
              <w:szCs w:val="18"/>
            </w:rPr>
            <w:t xml:space="preserve"> term</w:t>
          </w:r>
          <w:r w:rsidR="004526A2">
            <w:rPr>
              <w:szCs w:val="18"/>
            </w:rPr>
            <w:t>inologi</w:t>
          </w:r>
          <w:r>
            <w:rPr>
              <w:szCs w:val="18"/>
            </w:rPr>
            <w:t xml:space="preserve">e </w:t>
          </w:r>
          <w:r w:rsidRPr="005660EC">
            <w:rPr>
              <w:szCs w:val="22"/>
            </w:rPr>
            <w:t xml:space="preserve">worden aangepast naar de gebruikelijke terminologie </w:t>
          </w:r>
          <w:r w:rsidR="00F96E4D">
            <w:rPr>
              <w:szCs w:val="22"/>
            </w:rPr>
            <w:t>bij</w:t>
          </w:r>
          <w:r w:rsidRPr="005660EC" w:rsidR="00F96E4D">
            <w:rPr>
              <w:szCs w:val="22"/>
            </w:rPr>
            <w:t xml:space="preserve"> </w:t>
          </w:r>
          <w:r w:rsidR="00D6687B">
            <w:rPr>
              <w:szCs w:val="22"/>
            </w:rPr>
            <w:t>rijks</w:t>
          </w:r>
          <w:r w:rsidRPr="005660EC">
            <w:rPr>
              <w:szCs w:val="22"/>
            </w:rPr>
            <w:t>belastingen.</w:t>
          </w:r>
        </w:p>
        <w:p w:rsidRPr="005660EC" w:rsidR="00BA18FC" w:rsidP="00BA18FC" w:rsidRDefault="00BA18FC" w14:paraId="358F1474" w14:textId="77777777">
          <w:pPr>
            <w:rPr>
              <w:szCs w:val="22"/>
            </w:rPr>
          </w:pPr>
        </w:p>
        <w:p w:rsidRPr="005660EC" w:rsidR="00BA18FC" w:rsidP="00BA18FC" w:rsidRDefault="00BA18FC" w14:paraId="4D108779" w14:textId="29C19B4B">
          <w:pPr>
            <w:rPr>
              <w:szCs w:val="22"/>
            </w:rPr>
          </w:pPr>
          <w:r w:rsidRPr="005660EC">
            <w:rPr>
              <w:szCs w:val="22"/>
            </w:rPr>
            <w:t xml:space="preserve">Als ervoor wordt gekozen om de ‘inframarginale elektriciteitsheffing’ niet vorm te geven als een rijksbelasting, maar als een </w:t>
          </w:r>
          <w:r w:rsidRPr="00EE2210">
            <w:rPr>
              <w:szCs w:val="22"/>
            </w:rPr>
            <w:t>andere heffing van het Rijk, wijst</w:t>
          </w:r>
          <w:r w:rsidRPr="005660EC">
            <w:rPr>
              <w:szCs w:val="22"/>
            </w:rPr>
            <w:t xml:space="preserve"> de Afdeling erop dat het voorstel en de toelichting hierop aangepast moeten worden. </w:t>
          </w:r>
          <w:r>
            <w:rPr>
              <w:szCs w:val="22"/>
            </w:rPr>
            <w:t>Als het wenselijk wordt gevonden om</w:t>
          </w:r>
          <w:r w:rsidRPr="005660EC">
            <w:rPr>
              <w:szCs w:val="22"/>
            </w:rPr>
            <w:t xml:space="preserve"> delen van de </w:t>
          </w:r>
          <w:r>
            <w:rPr>
              <w:szCs w:val="22"/>
            </w:rPr>
            <w:t>A</w:t>
          </w:r>
          <w:r w:rsidR="00D8463C">
            <w:rPr>
              <w:szCs w:val="22"/>
            </w:rPr>
            <w:t xml:space="preserve">wr </w:t>
          </w:r>
          <w:r w:rsidRPr="005660EC">
            <w:rPr>
              <w:szCs w:val="22"/>
            </w:rPr>
            <w:t xml:space="preserve">of de IW 1990 van toepassing te laten zijn op de taken die de Belastingdienst uitvoert, </w:t>
          </w:r>
          <w:r>
            <w:rPr>
              <w:szCs w:val="22"/>
            </w:rPr>
            <w:t xml:space="preserve">moeten </w:t>
          </w:r>
          <w:r w:rsidRPr="005660EC">
            <w:rPr>
              <w:szCs w:val="22"/>
            </w:rPr>
            <w:t xml:space="preserve">de desbetreffende onderdelen van de </w:t>
          </w:r>
          <w:r>
            <w:rPr>
              <w:szCs w:val="22"/>
            </w:rPr>
            <w:t>A</w:t>
          </w:r>
          <w:r w:rsidR="00D8463C">
            <w:rPr>
              <w:szCs w:val="22"/>
            </w:rPr>
            <w:t>wr</w:t>
          </w:r>
          <w:r w:rsidRPr="005660EC">
            <w:rPr>
              <w:szCs w:val="22"/>
            </w:rPr>
            <w:t xml:space="preserve"> of de IW 1990</w:t>
          </w:r>
          <w:r>
            <w:rPr>
              <w:szCs w:val="22"/>
            </w:rPr>
            <w:t xml:space="preserve"> </w:t>
          </w:r>
          <w:r w:rsidRPr="005660EC">
            <w:rPr>
              <w:szCs w:val="22"/>
            </w:rPr>
            <w:t xml:space="preserve">van </w:t>
          </w:r>
          <w:r w:rsidRPr="005660EC">
            <w:rPr>
              <w:i/>
              <w:iCs/>
              <w:szCs w:val="22"/>
            </w:rPr>
            <w:t>overeenkomstige</w:t>
          </w:r>
          <w:r w:rsidRPr="005660EC">
            <w:rPr>
              <w:szCs w:val="22"/>
            </w:rPr>
            <w:t xml:space="preserve"> toepassing worden verklaard. </w:t>
          </w:r>
        </w:p>
        <w:p w:rsidRPr="005660EC" w:rsidR="00BA18FC" w:rsidP="00BA18FC" w:rsidRDefault="00BA18FC" w14:paraId="0E2A04ED" w14:textId="77777777">
          <w:pPr>
            <w:rPr>
              <w:szCs w:val="22"/>
            </w:rPr>
          </w:pPr>
        </w:p>
        <w:p w:rsidR="00BA18FC" w:rsidP="00BA18FC" w:rsidRDefault="00BA18FC" w14:paraId="4EF7F7E3" w14:textId="60098A77">
          <w:pPr>
            <w:rPr>
              <w:szCs w:val="22"/>
            </w:rPr>
          </w:pPr>
          <w:r w:rsidRPr="005660EC">
            <w:rPr>
              <w:szCs w:val="22"/>
            </w:rPr>
            <w:t xml:space="preserve">De Afdeling adviseert de vormgeving van de ‘inframarginale elektriciteitsheffing’ te bezien en het </w:t>
          </w:r>
          <w:r w:rsidR="00D97742">
            <w:rPr>
              <w:szCs w:val="22"/>
            </w:rPr>
            <w:t>wets</w:t>
          </w:r>
          <w:r w:rsidRPr="005660EC">
            <w:rPr>
              <w:szCs w:val="22"/>
            </w:rPr>
            <w:t>voorstel en de toelichting daarop aan te passen</w:t>
          </w:r>
          <w:r>
            <w:rPr>
              <w:szCs w:val="22"/>
            </w:rPr>
            <w:t>.</w:t>
          </w:r>
        </w:p>
        <w:p w:rsidRPr="005660EC" w:rsidR="00BA18FC" w:rsidP="00BA18FC" w:rsidRDefault="00BA18FC" w14:paraId="051BD4F9" w14:textId="77777777">
          <w:pPr>
            <w:rPr>
              <w:szCs w:val="22"/>
            </w:rPr>
          </w:pPr>
        </w:p>
        <w:p w:rsidRPr="005660EC" w:rsidR="0056233B" w:rsidP="0056233B" w:rsidRDefault="0056233B" w14:paraId="5243AF77" w14:textId="77777777">
          <w:pPr>
            <w:rPr>
              <w:i/>
              <w:iCs/>
              <w:szCs w:val="22"/>
            </w:rPr>
          </w:pPr>
          <w:r>
            <w:rPr>
              <w:szCs w:val="22"/>
            </w:rPr>
            <w:t>b</w:t>
          </w:r>
          <w:r w:rsidRPr="005660EC">
            <w:rPr>
              <w:szCs w:val="22"/>
            </w:rPr>
            <w:t xml:space="preserve">. </w:t>
          </w:r>
          <w:r w:rsidRPr="005660EC">
            <w:rPr>
              <w:szCs w:val="22"/>
            </w:rPr>
            <w:tab/>
          </w:r>
          <w:r w:rsidRPr="005660EC">
            <w:rPr>
              <w:i/>
              <w:iCs/>
              <w:szCs w:val="22"/>
            </w:rPr>
            <w:t xml:space="preserve">Taakverdeling </w:t>
          </w:r>
        </w:p>
        <w:p w:rsidRPr="005660EC" w:rsidR="0056233B" w:rsidP="0056233B" w:rsidRDefault="0056233B" w14:paraId="09AF4AFD" w14:textId="1A5275CF">
          <w:pPr>
            <w:rPr>
              <w:szCs w:val="22"/>
            </w:rPr>
          </w:pPr>
          <w:r w:rsidRPr="005660EC">
            <w:rPr>
              <w:szCs w:val="22"/>
            </w:rPr>
            <w:t>Volgens de toelichting is de NEa verantwoordelijk voor de correcte vaststelling van de belastbare marktinkomsten.</w:t>
          </w:r>
          <w:r w:rsidRPr="005660EC">
            <w:rPr>
              <w:szCs w:val="22"/>
              <w:vertAlign w:val="superscript"/>
            </w:rPr>
            <w:footnoteReference w:id="29"/>
          </w:r>
          <w:r w:rsidRPr="005660EC">
            <w:rPr>
              <w:szCs w:val="22"/>
            </w:rPr>
            <w:t xml:space="preserve"> Zo kan de NEa bij onvolkomenheden een bindende aanwijzing geven aan producenten om een nieuw marktinkomstenverslag in te dienen. Ook kan de NEa zo nodig ambtshalve het marktinkomstenverslag voor een producent vaststellen. De Belastingdienst is</w:t>
          </w:r>
          <w:r>
            <w:rPr>
              <w:szCs w:val="22"/>
            </w:rPr>
            <w:t xml:space="preserve"> volgens</w:t>
          </w:r>
          <w:r w:rsidRPr="005660EC">
            <w:rPr>
              <w:szCs w:val="22"/>
            </w:rPr>
            <w:t xml:space="preserve"> de toelichting verantwoordelijk voor de uitnodiging tot het doen van aangifte, voor de ontvangst van aangiften en betalingen en voor de invordering van</w:t>
          </w:r>
          <w:r>
            <w:rPr>
              <w:szCs w:val="22"/>
            </w:rPr>
            <w:t xml:space="preserve"> de</w:t>
          </w:r>
          <w:r w:rsidRPr="005660EC">
            <w:rPr>
              <w:szCs w:val="22"/>
            </w:rPr>
            <w:t xml:space="preserve"> inframarginale </w:t>
          </w:r>
          <w:r w:rsidR="00737776">
            <w:rPr>
              <w:szCs w:val="22"/>
            </w:rPr>
            <w:t>elektriciteits</w:t>
          </w:r>
          <w:r w:rsidRPr="005660EC">
            <w:rPr>
              <w:szCs w:val="22"/>
            </w:rPr>
            <w:t>heffing.</w:t>
          </w:r>
          <w:r w:rsidRPr="005660EC">
            <w:rPr>
              <w:szCs w:val="22"/>
              <w:vertAlign w:val="superscript"/>
            </w:rPr>
            <w:footnoteReference w:id="30"/>
          </w:r>
          <w:r w:rsidRPr="005660EC">
            <w:rPr>
              <w:szCs w:val="22"/>
            </w:rPr>
            <w:t xml:space="preserve"> Toegelicht wordt dat de Belastingdienst geen rol heeft bij het bepalen van de kring van heffingsplichtigen en van de belastbare marktinkomsten. </w:t>
          </w:r>
        </w:p>
        <w:p w:rsidRPr="005660EC" w:rsidR="0056233B" w:rsidP="0056233B" w:rsidRDefault="0056233B" w14:paraId="24DC8ED3" w14:textId="77777777">
          <w:pPr>
            <w:rPr>
              <w:szCs w:val="22"/>
            </w:rPr>
          </w:pPr>
        </w:p>
        <w:p w:rsidRPr="005660EC" w:rsidR="0056233B" w:rsidP="0056233B" w:rsidRDefault="0056233B" w14:paraId="3C5FEFFF" w14:textId="1511A575">
          <w:pPr>
            <w:rPr>
              <w:szCs w:val="22"/>
            </w:rPr>
          </w:pPr>
          <w:r w:rsidRPr="005660EC">
            <w:rPr>
              <w:szCs w:val="22"/>
            </w:rPr>
            <w:t xml:space="preserve">Begrijpt de Afdeling het goed, dan wordt bij de inframarginale </w:t>
          </w:r>
          <w:r w:rsidR="00737776">
            <w:rPr>
              <w:szCs w:val="22"/>
            </w:rPr>
            <w:t>elektriciteits</w:t>
          </w:r>
          <w:r w:rsidRPr="005660EC">
            <w:rPr>
              <w:szCs w:val="22"/>
            </w:rPr>
            <w:t>heffing feitelijk de volgende uitvoeringspraktijk beoogd. De NEa is verantwoordelijk voor de bepaling van de doelgroep die onder de belasting valt en – via het toezicht op het marktinkomstenverslag – voor het vaststellen van de hoogte van de belastingplicht.</w:t>
          </w:r>
          <w:r w:rsidRPr="005660EC">
            <w:rPr>
              <w:rStyle w:val="Voetnootmarkering"/>
              <w:szCs w:val="22"/>
            </w:rPr>
            <w:footnoteReference w:id="31"/>
          </w:r>
          <w:r w:rsidRPr="005660EC">
            <w:rPr>
              <w:szCs w:val="22"/>
            </w:rPr>
            <w:t xml:space="preserve"> De Belastingdienst draagt </w:t>
          </w:r>
          <w:r w:rsidR="00D20FB9">
            <w:rPr>
              <w:szCs w:val="22"/>
            </w:rPr>
            <w:t>in feite</w:t>
          </w:r>
          <w:r>
            <w:rPr>
              <w:szCs w:val="22"/>
            </w:rPr>
            <w:t xml:space="preserve"> alleen </w:t>
          </w:r>
          <w:r w:rsidRPr="005660EC">
            <w:rPr>
              <w:szCs w:val="22"/>
            </w:rPr>
            <w:t>verantwoordelijkheid voor het invorderen van de verschuldigde belasting, zoals vastgesteld door de NEa. Over de heffingsgrondslag wordt de Belastingdienst door de NEa geïnformeerd.</w:t>
          </w:r>
          <w:r w:rsidRPr="005660EC">
            <w:rPr>
              <w:szCs w:val="22"/>
              <w:vertAlign w:val="superscript"/>
            </w:rPr>
            <w:footnoteReference w:id="32"/>
          </w:r>
          <w:r w:rsidRPr="005660EC">
            <w:rPr>
              <w:szCs w:val="22"/>
            </w:rPr>
            <w:t xml:space="preserve"> </w:t>
          </w:r>
        </w:p>
        <w:p w:rsidRPr="005660EC" w:rsidR="0056233B" w:rsidP="0056233B" w:rsidRDefault="0056233B" w14:paraId="4786DE15" w14:textId="77777777">
          <w:pPr>
            <w:rPr>
              <w:szCs w:val="22"/>
            </w:rPr>
          </w:pPr>
        </w:p>
        <w:p w:rsidR="0056233B" w:rsidP="0056233B" w:rsidRDefault="0056233B" w14:paraId="1C029A4E" w14:textId="3983D5A6">
          <w:pPr>
            <w:rPr>
              <w:szCs w:val="22"/>
            </w:rPr>
          </w:pPr>
          <w:r w:rsidRPr="005660EC">
            <w:rPr>
              <w:szCs w:val="22"/>
            </w:rPr>
            <w:t xml:space="preserve">De Afdeling merkt op dat het voorstel onvoldoende aansluit bij de feitelijk beoogde uitvoeringspraktijk. Zo brengt de voorgestelde </w:t>
          </w:r>
          <w:r>
            <w:rPr>
              <w:szCs w:val="22"/>
            </w:rPr>
            <w:t>toepasselijkheid</w:t>
          </w:r>
          <w:r w:rsidRPr="005660EC">
            <w:rPr>
              <w:szCs w:val="22"/>
            </w:rPr>
            <w:t xml:space="preserve"> van de A</w:t>
          </w:r>
          <w:r w:rsidR="00D8463C">
            <w:rPr>
              <w:szCs w:val="22"/>
            </w:rPr>
            <w:t>wr</w:t>
          </w:r>
          <w:r w:rsidRPr="005660EC">
            <w:rPr>
              <w:szCs w:val="22"/>
            </w:rPr>
            <w:t xml:space="preserve"> mee dat de reguliere aangifte- en informatieverplichtingen (ook) </w:t>
          </w:r>
          <w:r>
            <w:rPr>
              <w:szCs w:val="22"/>
            </w:rPr>
            <w:t>gelden</w:t>
          </w:r>
          <w:r w:rsidRPr="005660EC">
            <w:rPr>
              <w:szCs w:val="22"/>
            </w:rPr>
            <w:t xml:space="preserve"> bij de heffing en voldoening.</w:t>
          </w:r>
          <w:r w:rsidRPr="005660EC">
            <w:rPr>
              <w:szCs w:val="22"/>
              <w:vertAlign w:val="superscript"/>
            </w:rPr>
            <w:footnoteReference w:id="33"/>
          </w:r>
          <w:r w:rsidRPr="005660EC">
            <w:rPr>
              <w:szCs w:val="22"/>
            </w:rPr>
            <w:t xml:space="preserve"> De Belastingdienst krijgt hierdoor taken en verantwoordelijkheden die niet worden beoogd en die bovendien overlappen met de taken en verantwoordelijkheden van de NEa. </w:t>
          </w:r>
        </w:p>
        <w:p w:rsidR="0056233B" w:rsidP="0056233B" w:rsidRDefault="0056233B" w14:paraId="2AE67189" w14:textId="77777777">
          <w:pPr>
            <w:rPr>
              <w:szCs w:val="22"/>
            </w:rPr>
          </w:pPr>
        </w:p>
        <w:p w:rsidRPr="005660EC" w:rsidR="0056233B" w:rsidP="0056233B" w:rsidRDefault="0056233B" w14:paraId="659E6E62" w14:textId="06CC1F84">
          <w:pPr>
            <w:rPr>
              <w:szCs w:val="22"/>
            </w:rPr>
          </w:pPr>
          <w:r w:rsidRPr="005660EC">
            <w:rPr>
              <w:szCs w:val="22"/>
            </w:rPr>
            <w:t>Gelet op de gewenste afbakening van de verantwoordelijkheden van de NEa en de Belastingdienst is van belang dat alleen die onderdelen van de A</w:t>
          </w:r>
          <w:r w:rsidR="00D8463C">
            <w:rPr>
              <w:szCs w:val="22"/>
            </w:rPr>
            <w:t>wr</w:t>
          </w:r>
          <w:r w:rsidRPr="005660EC">
            <w:rPr>
              <w:szCs w:val="22"/>
            </w:rPr>
            <w:t xml:space="preserve"> van toepassing zijn die nodig zijn voor de taken van de Belastingdienst.</w:t>
          </w:r>
        </w:p>
        <w:p w:rsidRPr="005660EC" w:rsidR="0056233B" w:rsidP="0056233B" w:rsidRDefault="0056233B" w14:paraId="09FD88BC" w14:textId="77777777">
          <w:pPr>
            <w:rPr>
              <w:szCs w:val="22"/>
            </w:rPr>
          </w:pPr>
        </w:p>
        <w:p w:rsidRPr="005660EC" w:rsidR="00E04E71" w:rsidP="0056233B" w:rsidRDefault="0056233B" w14:paraId="74B874D8" w14:textId="2FCE3E60">
          <w:pPr>
            <w:rPr>
              <w:szCs w:val="22"/>
            </w:rPr>
          </w:pPr>
          <w:r w:rsidRPr="005660EC">
            <w:rPr>
              <w:szCs w:val="22"/>
            </w:rPr>
            <w:t xml:space="preserve">De Afdeling adviseert het </w:t>
          </w:r>
          <w:r w:rsidR="00D97742">
            <w:rPr>
              <w:szCs w:val="22"/>
            </w:rPr>
            <w:t>wets</w:t>
          </w:r>
          <w:r w:rsidRPr="005660EC">
            <w:rPr>
              <w:szCs w:val="22"/>
            </w:rPr>
            <w:t>voorstel en de toelichting aan te passen met inachtneming van het voorgaande</w:t>
          </w:r>
          <w:r w:rsidRPr="005660EC" w:rsidR="00E04E71">
            <w:rPr>
              <w:szCs w:val="22"/>
            </w:rPr>
            <w:t xml:space="preserve">. </w:t>
          </w:r>
        </w:p>
        <w:p w:rsidRPr="005660EC" w:rsidR="00E04E71" w:rsidP="00E04E71" w:rsidRDefault="00E04E71" w14:paraId="1A77C85F" w14:textId="77777777">
          <w:pPr>
            <w:rPr>
              <w:szCs w:val="22"/>
            </w:rPr>
          </w:pPr>
        </w:p>
        <w:p w:rsidRPr="005660EC" w:rsidR="00D23BC8" w:rsidP="00D23BC8" w:rsidRDefault="00D23BC8" w14:paraId="0A95FFCF" w14:textId="77777777">
          <w:pPr>
            <w:rPr>
              <w:i/>
              <w:iCs/>
              <w:szCs w:val="22"/>
            </w:rPr>
          </w:pPr>
          <w:r w:rsidRPr="005660EC">
            <w:rPr>
              <w:szCs w:val="22"/>
            </w:rPr>
            <w:t xml:space="preserve">c. </w:t>
          </w:r>
          <w:r w:rsidRPr="005660EC">
            <w:rPr>
              <w:szCs w:val="22"/>
            </w:rPr>
            <w:tab/>
          </w:r>
          <w:r w:rsidRPr="005660EC">
            <w:rPr>
              <w:i/>
              <w:iCs/>
              <w:szCs w:val="22"/>
            </w:rPr>
            <w:t>Heffingssystematiek</w:t>
          </w:r>
        </w:p>
        <w:p w:rsidRPr="005660EC" w:rsidR="00D23BC8" w:rsidP="00D23BC8" w:rsidRDefault="00D23BC8" w14:paraId="378361F8" w14:textId="77777777">
          <w:pPr>
            <w:rPr>
              <w:szCs w:val="22"/>
            </w:rPr>
          </w:pPr>
          <w:r w:rsidRPr="005660EC">
            <w:rPr>
              <w:szCs w:val="22"/>
            </w:rPr>
            <w:t>Het wetsvoorstel bepaalt dat de verschuldigde heffing op aangifte moet worden voldaan.</w:t>
          </w:r>
          <w:r w:rsidRPr="005660EC">
            <w:rPr>
              <w:szCs w:val="22"/>
              <w:vertAlign w:val="superscript"/>
            </w:rPr>
            <w:footnoteReference w:id="34"/>
          </w:r>
          <w:r w:rsidRPr="005660EC">
            <w:rPr>
              <w:szCs w:val="22"/>
            </w:rPr>
            <w:t xml:space="preserve"> Volgens de toelichting is een belangrijke reden voor een aangiftebelasting dat bij deze heffingssystematiek de verantwoordelijkheid voor het bepalen en betalen van de verschuldigde heffing primair bij de elektriciteitsproducenten ligt.</w:t>
          </w:r>
          <w:r w:rsidRPr="005660EC">
            <w:rPr>
              <w:szCs w:val="22"/>
              <w:vertAlign w:val="superscript"/>
            </w:rPr>
            <w:footnoteReference w:id="35"/>
          </w:r>
          <w:r w:rsidRPr="005660EC">
            <w:rPr>
              <w:szCs w:val="22"/>
            </w:rPr>
            <w:t xml:space="preserve"> </w:t>
          </w:r>
        </w:p>
        <w:p w:rsidRPr="005660EC" w:rsidR="00D23BC8" w:rsidP="00D23BC8" w:rsidRDefault="00D23BC8" w14:paraId="465242A8" w14:textId="77777777">
          <w:pPr>
            <w:rPr>
              <w:szCs w:val="22"/>
            </w:rPr>
          </w:pPr>
        </w:p>
        <w:p w:rsidRPr="005660EC" w:rsidR="00D23BC8" w:rsidP="00D23BC8" w:rsidRDefault="00D23BC8" w14:paraId="5CD3FF85" w14:textId="416E0232">
          <w:pPr>
            <w:rPr>
              <w:szCs w:val="22"/>
            </w:rPr>
          </w:pPr>
          <w:r w:rsidRPr="005660EC">
            <w:rPr>
              <w:szCs w:val="22"/>
            </w:rPr>
            <w:t xml:space="preserve">De Afdeling merkt op dat, gelet op de feitelijk beoogde uitvoeringspraktijk, de </w:t>
          </w:r>
          <w:r>
            <w:rPr>
              <w:szCs w:val="22"/>
            </w:rPr>
            <w:t xml:space="preserve">NEa over </w:t>
          </w:r>
          <w:r w:rsidRPr="005660EC">
            <w:rPr>
              <w:szCs w:val="22"/>
            </w:rPr>
            <w:t xml:space="preserve">inhoudelijke geschilpunten over de belastingplicht en de hoogte van de te betalen belasting </w:t>
          </w:r>
          <w:r>
            <w:rPr>
              <w:szCs w:val="22"/>
            </w:rPr>
            <w:t xml:space="preserve">zal beslissen en </w:t>
          </w:r>
          <w:r w:rsidRPr="005660EC">
            <w:rPr>
              <w:szCs w:val="22"/>
            </w:rPr>
            <w:t>niet de inspecteur.</w:t>
          </w:r>
          <w:r w:rsidRPr="005660EC">
            <w:rPr>
              <w:szCs w:val="22"/>
              <w:vertAlign w:val="superscript"/>
            </w:rPr>
            <w:footnoteReference w:id="36"/>
          </w:r>
          <w:r w:rsidRPr="005660EC">
            <w:rPr>
              <w:szCs w:val="22"/>
            </w:rPr>
            <w:t xml:space="preserve"> De Belastingdienst int alleen de verschuldigde belasting. </w:t>
          </w:r>
        </w:p>
        <w:p w:rsidRPr="005660EC" w:rsidR="00D23BC8" w:rsidP="00D23BC8" w:rsidRDefault="00D23BC8" w14:paraId="4BFE7F03" w14:textId="77777777">
          <w:pPr>
            <w:rPr>
              <w:szCs w:val="22"/>
            </w:rPr>
          </w:pPr>
        </w:p>
        <w:p w:rsidRPr="005660EC" w:rsidR="00D23BC8" w:rsidP="00D23BC8" w:rsidRDefault="00D23BC8" w14:paraId="7D5B6CEE" w14:textId="3A622201">
          <w:pPr>
            <w:rPr>
              <w:szCs w:val="22"/>
            </w:rPr>
          </w:pPr>
          <w:r w:rsidRPr="005660EC">
            <w:rPr>
              <w:szCs w:val="22"/>
            </w:rPr>
            <w:t xml:space="preserve">De heffingenmethodes in de </w:t>
          </w:r>
          <w:r>
            <w:rPr>
              <w:szCs w:val="22"/>
            </w:rPr>
            <w:t>A</w:t>
          </w:r>
          <w:r w:rsidR="00D8463C">
            <w:rPr>
              <w:szCs w:val="22"/>
            </w:rPr>
            <w:t>wr</w:t>
          </w:r>
          <w:r w:rsidRPr="005660EC">
            <w:rPr>
              <w:szCs w:val="22"/>
            </w:rPr>
            <w:t>, zoals neergelegd in de hoofdstukken II, III en IV, zijn bij uitstek gericht op het bepalen van de belastingplicht en de hoogte van de te betalen belasting, ongeacht of de verantwoordelijkheid voor het formaliseren van de belastingschuld primair bij de belastingplichtige (aangiftebelasting) of bij de inspecteur (aanslagbelasting) ligt. De voorgestelde heffingssystematiek leidt d</w:t>
          </w:r>
          <w:r>
            <w:rPr>
              <w:szCs w:val="22"/>
            </w:rPr>
            <w:t>aarom</w:t>
          </w:r>
          <w:r w:rsidRPr="005660EC">
            <w:rPr>
              <w:szCs w:val="22"/>
            </w:rPr>
            <w:t xml:space="preserve"> tot dubbelingen </w:t>
          </w:r>
          <w:r>
            <w:rPr>
              <w:szCs w:val="22"/>
            </w:rPr>
            <w:t>met</w:t>
          </w:r>
          <w:r w:rsidRPr="005660EC">
            <w:rPr>
              <w:szCs w:val="22"/>
            </w:rPr>
            <w:t xml:space="preserve"> het proces inzake het marktinkomstenverslag, waarv</w:t>
          </w:r>
          <w:r>
            <w:rPr>
              <w:szCs w:val="22"/>
            </w:rPr>
            <w:t>oor</w:t>
          </w:r>
          <w:r w:rsidRPr="005660EC">
            <w:rPr>
              <w:szCs w:val="22"/>
            </w:rPr>
            <w:t xml:space="preserve"> de NEa de bevoegde instantie is. Dit kan worden voorkomen door alleen die onderdelen van de </w:t>
          </w:r>
          <w:r>
            <w:rPr>
              <w:szCs w:val="22"/>
            </w:rPr>
            <w:t>A</w:t>
          </w:r>
          <w:r w:rsidR="00D8463C">
            <w:rPr>
              <w:szCs w:val="22"/>
            </w:rPr>
            <w:t>wr</w:t>
          </w:r>
          <w:r w:rsidRPr="005660EC">
            <w:rPr>
              <w:szCs w:val="22"/>
            </w:rPr>
            <w:t xml:space="preserve"> en de IW 1990 van (overeenkomstige) toepassing te laten zijn die nodig zijn voor de taken van de Belastingdienst. </w:t>
          </w:r>
        </w:p>
        <w:p w:rsidRPr="005660EC" w:rsidR="00D23BC8" w:rsidP="00D23BC8" w:rsidRDefault="00D23BC8" w14:paraId="376ED44F" w14:textId="77777777">
          <w:pPr>
            <w:rPr>
              <w:szCs w:val="22"/>
            </w:rPr>
          </w:pPr>
          <w:r w:rsidRPr="005660EC">
            <w:rPr>
              <w:szCs w:val="22"/>
            </w:rPr>
            <w:t xml:space="preserve"> </w:t>
          </w:r>
        </w:p>
        <w:p w:rsidRPr="005660EC" w:rsidR="00D23BC8" w:rsidP="00D23BC8" w:rsidRDefault="008E3814" w14:paraId="31D39944" w14:textId="42E86CE2">
          <w:pPr>
            <w:rPr>
              <w:szCs w:val="22"/>
            </w:rPr>
          </w:pPr>
          <w:r>
            <w:rPr>
              <w:szCs w:val="22"/>
            </w:rPr>
            <w:t>Verder</w:t>
          </w:r>
          <w:r w:rsidRPr="005660EC">
            <w:rPr>
              <w:szCs w:val="22"/>
            </w:rPr>
            <w:t xml:space="preserve"> </w:t>
          </w:r>
          <w:r w:rsidRPr="005660EC" w:rsidR="00D23BC8">
            <w:rPr>
              <w:szCs w:val="22"/>
            </w:rPr>
            <w:t xml:space="preserve">merkt de Afdeling op </w:t>
          </w:r>
          <w:r w:rsidR="00D23BC8">
            <w:t xml:space="preserve">dat </w:t>
          </w:r>
          <w:r w:rsidR="00287499">
            <w:t>d</w:t>
          </w:r>
          <w:r w:rsidRPr="005660EC" w:rsidR="00D23BC8">
            <w:rPr>
              <w:szCs w:val="22"/>
            </w:rPr>
            <w:t xml:space="preserve">e keuze </w:t>
          </w:r>
          <w:r w:rsidR="00D23BC8">
            <w:rPr>
              <w:szCs w:val="22"/>
            </w:rPr>
            <w:t xml:space="preserve">in dit voorstel </w:t>
          </w:r>
          <w:r w:rsidRPr="005660EC" w:rsidR="00D23BC8">
            <w:rPr>
              <w:szCs w:val="22"/>
            </w:rPr>
            <w:t>voor een aangiftebelasting tot gevolg</w:t>
          </w:r>
          <w:r w:rsidR="002E1339">
            <w:rPr>
              <w:szCs w:val="22"/>
            </w:rPr>
            <w:t xml:space="preserve"> </w:t>
          </w:r>
          <w:r w:rsidDel="006123C2" w:rsidR="00D23BC8">
            <w:rPr>
              <w:szCs w:val="22"/>
            </w:rPr>
            <w:t xml:space="preserve">heeft </w:t>
          </w:r>
          <w:r w:rsidRPr="005660EC" w:rsidR="00D23BC8">
            <w:rPr>
              <w:szCs w:val="22"/>
            </w:rPr>
            <w:t xml:space="preserve">dat de belastingplichtige minder </w:t>
          </w:r>
          <w:r w:rsidR="00DC2097">
            <w:rPr>
              <w:szCs w:val="22"/>
            </w:rPr>
            <w:t>waarborgen</w:t>
          </w:r>
          <w:r w:rsidRPr="005660EC" w:rsidR="00DC2097">
            <w:rPr>
              <w:szCs w:val="22"/>
            </w:rPr>
            <w:t xml:space="preserve"> </w:t>
          </w:r>
          <w:r w:rsidRPr="005660EC" w:rsidDel="006123C2" w:rsidR="00D23BC8">
            <w:rPr>
              <w:szCs w:val="22"/>
            </w:rPr>
            <w:t>heeft</w:t>
          </w:r>
          <w:r w:rsidDel="006123C2" w:rsidR="00D23BC8">
            <w:rPr>
              <w:szCs w:val="22"/>
            </w:rPr>
            <w:t xml:space="preserve"> </w:t>
          </w:r>
          <w:r w:rsidR="00D23BC8">
            <w:rPr>
              <w:szCs w:val="22"/>
            </w:rPr>
            <w:t xml:space="preserve">dan </w:t>
          </w:r>
          <w:r w:rsidDel="006123C2" w:rsidR="00D23BC8">
            <w:rPr>
              <w:szCs w:val="22"/>
            </w:rPr>
            <w:t>wanneer voor</w:t>
          </w:r>
          <w:r w:rsidR="00D23BC8">
            <w:rPr>
              <w:szCs w:val="22"/>
            </w:rPr>
            <w:t xml:space="preserve"> een aanslagbelasting</w:t>
          </w:r>
          <w:r w:rsidDel="002024FC" w:rsidR="00D23BC8">
            <w:rPr>
              <w:szCs w:val="22"/>
            </w:rPr>
            <w:t xml:space="preserve"> zou zijn gekozen</w:t>
          </w:r>
          <w:r w:rsidR="00FC53B9">
            <w:rPr>
              <w:szCs w:val="22"/>
            </w:rPr>
            <w:t>. V</w:t>
          </w:r>
          <w:r w:rsidRPr="005660EC" w:rsidR="00D23BC8">
            <w:rPr>
              <w:szCs w:val="22"/>
            </w:rPr>
            <w:t xml:space="preserve">oor naheffing </w:t>
          </w:r>
          <w:r w:rsidR="00D23BC8">
            <w:rPr>
              <w:szCs w:val="22"/>
            </w:rPr>
            <w:t xml:space="preserve">bij een </w:t>
          </w:r>
          <w:r w:rsidRPr="00A94F29" w:rsidR="00D23BC8">
            <w:rPr>
              <w:szCs w:val="22"/>
            </w:rPr>
            <w:t xml:space="preserve">aangiftebelasting </w:t>
          </w:r>
          <w:r w:rsidRPr="00A94F29" w:rsidR="00FC53B9">
            <w:t>is</w:t>
          </w:r>
          <w:r w:rsidRPr="00A94F29" w:rsidR="00250928">
            <w:t xml:space="preserve"> namelijk</w:t>
          </w:r>
          <w:r w:rsidRPr="00A94F29" w:rsidR="00FC53B9">
            <w:t xml:space="preserve">, anders dan </w:t>
          </w:r>
          <w:r w:rsidRPr="00A94F29" w:rsidR="00C30EEC">
            <w:t>voor</w:t>
          </w:r>
          <w:r w:rsidRPr="00A94F29" w:rsidR="00FC53B9">
            <w:t xml:space="preserve"> navordering bij een aanslagbelasting, </w:t>
          </w:r>
          <w:r w:rsidRPr="00A94F29" w:rsidR="00D23BC8">
            <w:rPr>
              <w:szCs w:val="22"/>
            </w:rPr>
            <w:t xml:space="preserve">geen nieuw </w:t>
          </w:r>
          <w:r w:rsidRPr="005660EC" w:rsidR="00D23BC8">
            <w:rPr>
              <w:szCs w:val="22"/>
            </w:rPr>
            <w:t xml:space="preserve">feit, kwader trouw of een redelijkerwijs kenbare fout vereist. </w:t>
          </w:r>
          <w:r w:rsidR="00D23BC8">
            <w:rPr>
              <w:szCs w:val="22"/>
            </w:rPr>
            <w:t xml:space="preserve">Die waarborgen gelden wel </w:t>
          </w:r>
          <w:r w:rsidR="0093012B">
            <w:rPr>
              <w:szCs w:val="22"/>
            </w:rPr>
            <w:t xml:space="preserve">bij </w:t>
          </w:r>
          <w:r w:rsidR="00D23BC8">
            <w:rPr>
              <w:szCs w:val="22"/>
            </w:rPr>
            <w:t xml:space="preserve">een aanslagbelasting. </w:t>
          </w:r>
          <w:r w:rsidRPr="005660EC" w:rsidR="00D23BC8">
            <w:rPr>
              <w:szCs w:val="22"/>
            </w:rPr>
            <w:t xml:space="preserve">De toelichting besteedt aan dit punt geen aandacht. </w:t>
          </w:r>
        </w:p>
        <w:p w:rsidRPr="005660EC" w:rsidR="00D23BC8" w:rsidP="00D23BC8" w:rsidRDefault="00D23BC8" w14:paraId="1DAB92E2" w14:textId="77777777">
          <w:pPr>
            <w:rPr>
              <w:szCs w:val="22"/>
            </w:rPr>
          </w:pPr>
        </w:p>
        <w:p w:rsidRPr="005660EC" w:rsidR="00E04E71" w:rsidP="00D23BC8" w:rsidRDefault="00D23BC8" w14:paraId="323AF5F6" w14:textId="69A5FEE1">
          <w:pPr>
            <w:rPr>
              <w:szCs w:val="22"/>
            </w:rPr>
          </w:pPr>
          <w:r w:rsidRPr="005660EC">
            <w:rPr>
              <w:szCs w:val="22"/>
            </w:rPr>
            <w:t>De Afdeling adviseert om het wetsvoorstel en de toelichting aan te passen met inachtneming van het voorgaande</w:t>
          </w:r>
          <w:r>
            <w:rPr>
              <w:szCs w:val="22"/>
            </w:rPr>
            <w:t>.</w:t>
          </w:r>
        </w:p>
        <w:p w:rsidRPr="005660EC" w:rsidR="00CE56A1" w:rsidP="00E04E71" w:rsidRDefault="00CE56A1" w14:paraId="1E1F7CCC" w14:textId="77777777">
          <w:pPr>
            <w:rPr>
              <w:szCs w:val="22"/>
            </w:rPr>
          </w:pPr>
        </w:p>
        <w:p w:rsidRPr="005660EC" w:rsidR="00B17797" w:rsidP="00E04E71" w:rsidRDefault="0028411A" w14:paraId="1466A31B" w14:textId="38DA246E">
          <w:pPr>
            <w:rPr>
              <w:szCs w:val="22"/>
            </w:rPr>
          </w:pPr>
          <w:r w:rsidRPr="005660EC">
            <w:rPr>
              <w:szCs w:val="22"/>
            </w:rPr>
            <w:t>4</w:t>
          </w:r>
          <w:r w:rsidRPr="005660EC" w:rsidR="00B17797">
            <w:rPr>
              <w:szCs w:val="22"/>
            </w:rPr>
            <w:t>.</w:t>
          </w:r>
          <w:r w:rsidRPr="005660EC" w:rsidR="00B17797">
            <w:rPr>
              <w:szCs w:val="22"/>
            </w:rPr>
            <w:tab/>
          </w:r>
          <w:r w:rsidRPr="005660EC" w:rsidR="00B17797">
            <w:rPr>
              <w:szCs w:val="22"/>
              <w:u w:val="single"/>
            </w:rPr>
            <w:t>Geheimhoudingsplicht</w:t>
          </w:r>
        </w:p>
        <w:p w:rsidRPr="005660EC" w:rsidR="0028411A" w:rsidP="00E04E71" w:rsidRDefault="0028411A" w14:paraId="2F5411BC" w14:textId="77777777">
          <w:pPr>
            <w:rPr>
              <w:szCs w:val="22"/>
            </w:rPr>
          </w:pPr>
        </w:p>
        <w:p w:rsidRPr="005660EC" w:rsidR="002030B9" w:rsidP="002030B9" w:rsidRDefault="002030B9" w14:paraId="22465CCA" w14:textId="77777777">
          <w:pPr>
            <w:rPr>
              <w:szCs w:val="22"/>
            </w:rPr>
          </w:pPr>
          <w:r w:rsidRPr="005660EC">
            <w:rPr>
              <w:szCs w:val="22"/>
            </w:rPr>
            <w:t>Het voorstel bevat een geheimhoudingsplicht voor de Minister van Klimaat en Energie, de ACM en de Belastingdienst ten aanzien van de gegevens die zij in het kader van de uitvoering ontvangen.</w:t>
          </w:r>
          <w:r w:rsidRPr="005660EC">
            <w:rPr>
              <w:rStyle w:val="Voetnootmarkering"/>
              <w:szCs w:val="22"/>
            </w:rPr>
            <w:footnoteReference w:id="37"/>
          </w:r>
          <w:r w:rsidRPr="005660EC">
            <w:rPr>
              <w:szCs w:val="22"/>
            </w:rPr>
            <w:t xml:space="preserve"> Volgens de toelichting op deze bepaling zijn de gegevens namelijk over het algemeen niet openbaar en hebben zij een vertrouwelijk karakter.</w:t>
          </w:r>
          <w:r w:rsidRPr="005660EC">
            <w:rPr>
              <w:rStyle w:val="Voetnootmarkering"/>
              <w:szCs w:val="22"/>
            </w:rPr>
            <w:footnoteReference w:id="38"/>
          </w:r>
          <w:r w:rsidRPr="005660EC">
            <w:rPr>
              <w:szCs w:val="22"/>
            </w:rPr>
            <w:t xml:space="preserve"> De betreffende instanties kunnen elkaar op verzoek wel de gegevens verstrekken die nodig zijn voor de uitvoering van de wet.</w:t>
          </w:r>
          <w:r w:rsidRPr="005660EC">
            <w:rPr>
              <w:rStyle w:val="Voetnootmarkering"/>
              <w:szCs w:val="22"/>
            </w:rPr>
            <w:footnoteReference w:id="39"/>
          </w:r>
        </w:p>
        <w:p w:rsidRPr="005660EC" w:rsidR="002030B9" w:rsidP="002030B9" w:rsidRDefault="002030B9" w14:paraId="006266E3" w14:textId="77777777">
          <w:pPr>
            <w:rPr>
              <w:szCs w:val="22"/>
            </w:rPr>
          </w:pPr>
        </w:p>
        <w:p w:rsidRPr="005660EC" w:rsidR="002030B9" w:rsidP="002030B9" w:rsidRDefault="002030B9" w14:paraId="5A11BA1A" w14:textId="416B09F3">
          <w:pPr>
            <w:rPr>
              <w:szCs w:val="22"/>
            </w:rPr>
          </w:pPr>
          <w:r w:rsidRPr="005660EC">
            <w:rPr>
              <w:szCs w:val="22"/>
            </w:rPr>
            <w:t xml:space="preserve">De Afdeling merkt op dat geheimhouding ten aanzien van de gegevens die de uitvoerende instanties ontvangen al is geregeld in artikel 2:5 van de Algemene wet bestuursrecht (Awb) en in artikel 67 van de </w:t>
          </w:r>
          <w:r>
            <w:rPr>
              <w:szCs w:val="22"/>
            </w:rPr>
            <w:t>A</w:t>
          </w:r>
          <w:r w:rsidR="00D8463C">
            <w:rPr>
              <w:szCs w:val="22"/>
            </w:rPr>
            <w:t>wr</w:t>
          </w:r>
          <w:r w:rsidRPr="005660EC">
            <w:rPr>
              <w:szCs w:val="22"/>
            </w:rPr>
            <w:t>.</w:t>
          </w:r>
          <w:r w:rsidRPr="005660EC">
            <w:rPr>
              <w:rStyle w:val="Voetnootmarkering"/>
              <w:szCs w:val="22"/>
            </w:rPr>
            <w:footnoteReference w:id="40"/>
          </w:r>
          <w:r w:rsidRPr="005660EC">
            <w:rPr>
              <w:szCs w:val="22"/>
            </w:rPr>
            <w:t xml:space="preserve"> Ten aanzien van deze beide geheimhoudingsbepalingen geldt bovendien dat de verhouding tot de Wet open overheid (Woo) geregeld is. De voorgestelde geheimhoudingsplicht, die een vrijwel absoluut karakter heeft, overlapt niet alleen met de betreffende geheimhoudingsbepalingen in de Awb en de </w:t>
          </w:r>
          <w:r>
            <w:rPr>
              <w:szCs w:val="22"/>
            </w:rPr>
            <w:t>A</w:t>
          </w:r>
          <w:r w:rsidR="00D8463C">
            <w:rPr>
              <w:szCs w:val="22"/>
            </w:rPr>
            <w:t>wr</w:t>
          </w:r>
          <w:r w:rsidRPr="005660EC">
            <w:rPr>
              <w:szCs w:val="22"/>
            </w:rPr>
            <w:t xml:space="preserve">, maar past bovendien niet in het stelsel van de Awb en de </w:t>
          </w:r>
          <w:r>
            <w:rPr>
              <w:szCs w:val="22"/>
            </w:rPr>
            <w:t>A</w:t>
          </w:r>
          <w:r w:rsidR="00D8463C">
            <w:rPr>
              <w:szCs w:val="22"/>
            </w:rPr>
            <w:t>wr</w:t>
          </w:r>
          <w:r w:rsidRPr="005660EC">
            <w:rPr>
              <w:szCs w:val="22"/>
            </w:rPr>
            <w:t xml:space="preserve"> in combinatie met de Woo. </w:t>
          </w:r>
        </w:p>
        <w:p w:rsidRPr="005660EC" w:rsidR="002030B9" w:rsidP="002030B9" w:rsidRDefault="002030B9" w14:paraId="751D54A8" w14:textId="77777777">
          <w:pPr>
            <w:rPr>
              <w:szCs w:val="22"/>
            </w:rPr>
          </w:pPr>
        </w:p>
        <w:p w:rsidRPr="005660EC" w:rsidR="00820288" w:rsidP="002030B9" w:rsidRDefault="002030B9" w14:paraId="209359D8" w14:textId="36380F2B">
          <w:pPr>
            <w:rPr>
              <w:szCs w:val="22"/>
            </w:rPr>
          </w:pPr>
          <w:r w:rsidRPr="005660EC">
            <w:rPr>
              <w:szCs w:val="22"/>
            </w:rPr>
            <w:t xml:space="preserve">De Afdeling adviseert </w:t>
          </w:r>
          <w:r>
            <w:rPr>
              <w:szCs w:val="22"/>
            </w:rPr>
            <w:t xml:space="preserve">het wetsvoorstel </w:t>
          </w:r>
          <w:r w:rsidR="00D47A5E">
            <w:rPr>
              <w:szCs w:val="22"/>
            </w:rPr>
            <w:t xml:space="preserve">op dit punt </w:t>
          </w:r>
          <w:r>
            <w:rPr>
              <w:szCs w:val="22"/>
            </w:rPr>
            <w:t>aan te passen</w:t>
          </w:r>
          <w:r w:rsidRPr="005660EC" w:rsidR="00FC6519">
            <w:rPr>
              <w:szCs w:val="22"/>
            </w:rPr>
            <w:t>.</w:t>
          </w:r>
        </w:p>
        <w:p w:rsidRPr="005660EC" w:rsidR="001F66BC" w:rsidP="00E04E71" w:rsidRDefault="001F66BC" w14:paraId="24986B7E" w14:textId="77777777">
          <w:pPr>
            <w:rPr>
              <w:szCs w:val="22"/>
            </w:rPr>
          </w:pPr>
        </w:p>
        <w:p w:rsidRPr="005660EC" w:rsidR="00C17439" w:rsidP="00C17439" w:rsidRDefault="00C17439" w14:paraId="6B7635D6" w14:textId="77777777">
          <w:pPr>
            <w:rPr>
              <w:szCs w:val="22"/>
            </w:rPr>
          </w:pPr>
          <w:r w:rsidRPr="005660EC">
            <w:rPr>
              <w:szCs w:val="22"/>
            </w:rPr>
            <w:t xml:space="preserve">5. </w:t>
          </w:r>
          <w:r w:rsidRPr="005660EC">
            <w:rPr>
              <w:szCs w:val="22"/>
            </w:rPr>
            <w:tab/>
          </w:r>
          <w:r>
            <w:rPr>
              <w:szCs w:val="22"/>
              <w:u w:val="single"/>
            </w:rPr>
            <w:t>Ministeriële regelingen</w:t>
          </w:r>
        </w:p>
        <w:p w:rsidRPr="005660EC" w:rsidR="0028411A" w:rsidP="00E04E71" w:rsidRDefault="0028411A" w14:paraId="7180561B" w14:textId="77777777">
          <w:pPr>
            <w:rPr>
              <w:szCs w:val="22"/>
            </w:rPr>
          </w:pPr>
        </w:p>
        <w:p w:rsidRPr="005660EC" w:rsidR="002B2B51" w:rsidP="002B2B51" w:rsidRDefault="002B2B51" w14:paraId="1B80BA8D" w14:textId="29891CEB">
          <w:pPr>
            <w:rPr>
              <w:szCs w:val="22"/>
            </w:rPr>
          </w:pPr>
          <w:r w:rsidRPr="005660EC">
            <w:rPr>
              <w:szCs w:val="22"/>
            </w:rPr>
            <w:t>Het voorstel bevat verschillende delegatiegrondslagen voor een nadere uitwerking van de normstelling bij ministeriële regeling. Daarbij kan onder meer worden bepaald in welke gevallen de getrouwheid van het marktinkomstenverslag moet worden geverifieerd door een accountant of andere verificateur en welke regels daarbij gelden.</w:t>
          </w:r>
          <w:r w:rsidRPr="005660EC">
            <w:rPr>
              <w:szCs w:val="22"/>
              <w:vertAlign w:val="superscript"/>
            </w:rPr>
            <w:footnoteReference w:id="41"/>
          </w:r>
          <w:r w:rsidRPr="005660EC">
            <w:rPr>
              <w:szCs w:val="22"/>
            </w:rPr>
            <w:t xml:space="preserve"> </w:t>
          </w:r>
          <w:r>
            <w:rPr>
              <w:szCs w:val="22"/>
            </w:rPr>
            <w:t>D</w:t>
          </w:r>
          <w:r w:rsidRPr="005660EC">
            <w:rPr>
              <w:szCs w:val="22"/>
            </w:rPr>
            <w:t xml:space="preserve">e toelichting </w:t>
          </w:r>
          <w:r>
            <w:rPr>
              <w:szCs w:val="22"/>
            </w:rPr>
            <w:t>stelt</w:t>
          </w:r>
          <w:r w:rsidRPr="005660EC">
            <w:rPr>
              <w:szCs w:val="22"/>
            </w:rPr>
            <w:t xml:space="preserve"> dat een dergelijke verificatie de lasten van het toezicht en de handhaving door de NEa zou beperken.</w:t>
          </w:r>
          <w:r w:rsidRPr="005660EC">
            <w:rPr>
              <w:szCs w:val="22"/>
              <w:vertAlign w:val="superscript"/>
            </w:rPr>
            <w:footnoteReference w:id="42"/>
          </w:r>
          <w:r w:rsidRPr="005660EC">
            <w:rPr>
              <w:szCs w:val="22"/>
            </w:rPr>
            <w:t xml:space="preserve"> Uit de toelichting blijkt niet of en, zo ja, op welke wijze van deze grondslag gebruik zal worden gemaakt. </w:t>
          </w:r>
        </w:p>
        <w:p w:rsidRPr="005660EC" w:rsidR="002B2B51" w:rsidP="002B2B51" w:rsidRDefault="002B2B51" w14:paraId="348172C3" w14:textId="77777777">
          <w:pPr>
            <w:rPr>
              <w:szCs w:val="22"/>
            </w:rPr>
          </w:pPr>
        </w:p>
        <w:p w:rsidRPr="005660EC" w:rsidR="002B2B51" w:rsidP="002B2B51" w:rsidRDefault="002B2B51" w14:paraId="651C7DE0" w14:textId="762C34ED">
          <w:pPr>
            <w:rPr>
              <w:szCs w:val="22"/>
            </w:rPr>
          </w:pPr>
          <w:r w:rsidRPr="005660EC">
            <w:rPr>
              <w:szCs w:val="22"/>
            </w:rPr>
            <w:t>De Afdeling merkt op dat het van belang is dat voor de doelgroep duidelijk is welke verplichtingen op hen van toepassing zijn</w:t>
          </w:r>
          <w:r w:rsidR="00D8463C">
            <w:rPr>
              <w:szCs w:val="22"/>
            </w:rPr>
            <w:t xml:space="preserve"> </w:t>
          </w:r>
          <w:r>
            <w:rPr>
              <w:szCs w:val="22"/>
            </w:rPr>
            <w:t>dan wel waren</w:t>
          </w:r>
          <w:r w:rsidRPr="005660EC">
            <w:rPr>
              <w:szCs w:val="22"/>
            </w:rPr>
            <w:t xml:space="preserve">. Dit geldt in het bijzonder ten aanzien van de mogelijke verplichting om het marktinkomstenverslag te laten controleren door een accountant of andere verificateur. Wanneer deze verificatie voorgeschreven wordt, betekent dit een aanzienlijke lasten- en kostenverzwaring voor de heffingsplichtigen. </w:t>
          </w:r>
        </w:p>
        <w:p w:rsidRPr="005660EC" w:rsidR="002B2B51" w:rsidP="002B2B51" w:rsidRDefault="002B2B51" w14:paraId="1115EED1" w14:textId="77777777">
          <w:pPr>
            <w:rPr>
              <w:szCs w:val="22"/>
            </w:rPr>
          </w:pPr>
        </w:p>
        <w:p w:rsidR="00826443" w:rsidP="002B2B51" w:rsidRDefault="002B2B51" w14:paraId="72BAB236" w14:textId="117785BF">
          <w:pPr>
            <w:rPr>
              <w:szCs w:val="22"/>
            </w:rPr>
          </w:pPr>
          <w:r w:rsidRPr="005660EC">
            <w:rPr>
              <w:szCs w:val="22"/>
            </w:rPr>
            <w:t>De Afdeling adviseert in de toelichting bij het wetsvoorstel inzicht te verschaffen in de voornemens met betrekking tot aanvullende verplichtingen en die zoveel mogelijk in het wetsvoorstel zelf te regelen</w:t>
          </w:r>
          <w:r w:rsidRPr="005660EC" w:rsidR="00553896">
            <w:rPr>
              <w:szCs w:val="22"/>
            </w:rPr>
            <w:t>.</w:t>
          </w:r>
        </w:p>
      </w:sdtContent>
    </w:sdt>
    <w:p w:rsidR="00BC570B" w:rsidP="00E04E71" w:rsidRDefault="00BC570B" w14:paraId="1351E45E" w14:textId="77777777"/>
    <w:sdt>
      <w:sdtPr>
        <w:tag w:val="bmDictum"/>
        <w:id w:val="-969437950"/>
        <w:lock w:val="sdtLocked"/>
        <w:placeholder>
          <w:docPart w:val="DefaultPlaceholder_-1854013440"/>
        </w:placeholder>
      </w:sdtPr>
      <w:sdtEndPr/>
      <w:sdtContent>
        <w:p w:rsidR="00BC570B" w:rsidP="00E04E71" w:rsidRDefault="00BC570B" w14:paraId="2B24CB7D" w14:textId="126011F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00870511" w:rsidP="00E04E71" w:rsidRDefault="00870511" w14:paraId="6D13183E" w14:textId="2A9D00AD"/>
    <w:p w:rsidRPr="00E04E71" w:rsidR="008A3BA7" w:rsidP="00E04E71" w:rsidRDefault="008A3BA7" w14:paraId="642FC7BC" w14:textId="77777777"/>
    <w:sectPr w:rsidRPr="00E04E71" w:rsidR="008A3BA7" w:rsidSect="00AE15BB">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1E53" w14:textId="77777777" w:rsidR="00C40F89" w:rsidRDefault="00C40F89">
      <w:r>
        <w:separator/>
      </w:r>
    </w:p>
  </w:endnote>
  <w:endnote w:type="continuationSeparator" w:id="0">
    <w:p w14:paraId="042E7A95" w14:textId="77777777" w:rsidR="00C40F89" w:rsidRDefault="00C40F89">
      <w:r>
        <w:continuationSeparator/>
      </w:r>
    </w:p>
  </w:endnote>
  <w:endnote w:type="continuationNotice" w:id="1">
    <w:p w14:paraId="49E4708E" w14:textId="77777777" w:rsidR="00C40F89" w:rsidRDefault="00C40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B23B" w14:textId="35737804" w:rsidR="00826443" w:rsidRDefault="008D13E9">
    <w:pPr>
      <w:pStyle w:val="Voettekst"/>
    </w:pPr>
    <w:r>
      <w:rPr>
        <w:noProof/>
      </w:rPr>
      <mc:AlternateContent>
        <mc:Choice Requires="wps">
          <w:drawing>
            <wp:anchor distT="0" distB="0" distL="0" distR="0" simplePos="0" relativeHeight="251660288" behindDoc="0" locked="0" layoutInCell="1" allowOverlap="1" wp14:anchorId="29D010FD" wp14:editId="292336DD">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88DB79" w14:textId="0658A3FA" w:rsidR="008D13E9" w:rsidRPr="008D13E9" w:rsidRDefault="008D13E9" w:rsidP="008D13E9">
                          <w:pPr>
                            <w:rPr>
                              <w:rFonts w:ascii="Calibri" w:eastAsia="Calibri" w:hAnsi="Calibri" w:cs="Calibri"/>
                              <w:noProof/>
                              <w:color w:val="000000"/>
                              <w:sz w:val="20"/>
                              <w:szCs w:val="20"/>
                            </w:rPr>
                          </w:pPr>
                          <w:r w:rsidRPr="008D13E9">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D010FD"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D88DB79" w14:textId="0658A3FA" w:rsidR="008D13E9" w:rsidRPr="008D13E9" w:rsidRDefault="008D13E9" w:rsidP="008D13E9">
                    <w:pPr>
                      <w:rPr>
                        <w:rFonts w:ascii="Calibri" w:eastAsia="Calibri" w:hAnsi="Calibri" w:cs="Calibri"/>
                        <w:noProof/>
                        <w:color w:val="000000"/>
                        <w:sz w:val="20"/>
                        <w:szCs w:val="20"/>
                      </w:rPr>
                    </w:pPr>
                    <w:r w:rsidRPr="008D13E9">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CC37E4" w14:paraId="72BAB23E" w14:textId="77777777" w:rsidTr="00826443">
      <w:tc>
        <w:tcPr>
          <w:tcW w:w="4815" w:type="dxa"/>
        </w:tcPr>
        <w:p w14:paraId="72BAB23C" w14:textId="61632EF4" w:rsidR="00826443" w:rsidRDefault="008D13E9" w:rsidP="00826443">
          <w:pPr>
            <w:pStyle w:val="Voettekst"/>
          </w:pPr>
          <w:r>
            <w:rPr>
              <w:noProof/>
            </w:rPr>
            <mc:AlternateContent>
              <mc:Choice Requires="wps">
                <w:drawing>
                  <wp:anchor distT="0" distB="0" distL="0" distR="0" simplePos="0" relativeHeight="251661312" behindDoc="0" locked="0" layoutInCell="1" allowOverlap="1" wp14:anchorId="350D2C9E" wp14:editId="1960B149">
                    <wp:simplePos x="1329690" y="9896475"/>
                    <wp:positionH relativeFrom="page">
                      <wp:align>left</wp:align>
                    </wp:positionH>
                    <wp:positionV relativeFrom="page">
                      <wp:align>bottom</wp:align>
                    </wp:positionV>
                    <wp:extent cx="443865" cy="443865"/>
                    <wp:effectExtent l="0" t="0" r="4445" b="0"/>
                    <wp:wrapNone/>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7AB6DA" w14:textId="3EC599E5" w:rsidR="008D13E9" w:rsidRPr="008D13E9" w:rsidRDefault="008D13E9" w:rsidP="008D13E9">
                                <w:pPr>
                                  <w:rPr>
                                    <w:rFonts w:ascii="Calibri" w:eastAsia="Calibri" w:hAnsi="Calibri" w:cs="Calibri"/>
                                    <w:noProof/>
                                    <w:color w:val="000000"/>
                                    <w:sz w:val="20"/>
                                    <w:szCs w:val="20"/>
                                  </w:rPr>
                                </w:pPr>
                                <w:r w:rsidRPr="008D13E9">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0D2C9E" id="_x0000_t202" coordsize="21600,21600" o:spt="202" path="m,l,21600r21600,l21600,xe">
                    <v:stroke joinstyle="miter"/>
                    <v:path gradientshapeok="t" o:connecttype="rect"/>
                  </v:shapetype>
                  <v:shape id="Tekstvak 3" o:spid="_x0000_s1027" type="#_x0000_t202" alt="Intern gebruik"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07AB6DA" w14:textId="3EC599E5" w:rsidR="008D13E9" w:rsidRPr="008D13E9" w:rsidRDefault="008D13E9" w:rsidP="008D13E9">
                          <w:pPr>
                            <w:rPr>
                              <w:rFonts w:ascii="Calibri" w:eastAsia="Calibri" w:hAnsi="Calibri" w:cs="Calibri"/>
                              <w:noProof/>
                              <w:color w:val="000000"/>
                              <w:sz w:val="20"/>
                              <w:szCs w:val="20"/>
                            </w:rPr>
                          </w:pPr>
                          <w:r w:rsidRPr="008D13E9">
                            <w:rPr>
                              <w:rFonts w:ascii="Calibri" w:eastAsia="Calibri" w:hAnsi="Calibri" w:cs="Calibri"/>
                              <w:noProof/>
                              <w:color w:val="000000"/>
                              <w:sz w:val="20"/>
                              <w:szCs w:val="20"/>
                            </w:rPr>
                            <w:t>Intern gebruik</w:t>
                          </w:r>
                        </w:p>
                      </w:txbxContent>
                    </v:textbox>
                    <w10:wrap anchorx="page" anchory="page"/>
                  </v:shape>
                </w:pict>
              </mc:Fallback>
            </mc:AlternateContent>
          </w:r>
        </w:p>
      </w:tc>
      <w:tc>
        <w:tcPr>
          <w:tcW w:w="4247" w:type="dxa"/>
        </w:tcPr>
        <w:p w14:paraId="72BAB23D" w14:textId="77777777" w:rsidR="00826443" w:rsidRDefault="00826443" w:rsidP="00826443">
          <w:pPr>
            <w:pStyle w:val="Voettekst"/>
            <w:jc w:val="right"/>
          </w:pPr>
        </w:p>
      </w:tc>
    </w:tr>
  </w:tbl>
  <w:p w14:paraId="72BAB23F" w14:textId="77777777" w:rsidR="00826443" w:rsidRDefault="008264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902C" w14:textId="0C37DF5B" w:rsidR="00AE15BB" w:rsidRPr="00AE15BB" w:rsidRDefault="008D13E9">
    <w:pPr>
      <w:pStyle w:val="Voettekst"/>
      <w:rPr>
        <w:rFonts w:ascii="Bembo" w:hAnsi="Bembo"/>
        <w:sz w:val="32"/>
      </w:rPr>
    </w:pPr>
    <w:r>
      <w:rPr>
        <w:rFonts w:ascii="Bembo" w:hAnsi="Bembo"/>
        <w:noProof/>
        <w:sz w:val="32"/>
      </w:rPr>
      <mc:AlternateContent>
        <mc:Choice Requires="wps">
          <w:drawing>
            <wp:anchor distT="0" distB="0" distL="0" distR="0" simplePos="0" relativeHeight="251659264" behindDoc="0" locked="0" layoutInCell="1" allowOverlap="1" wp14:anchorId="56806DFD" wp14:editId="125EF9B5">
              <wp:simplePos x="1263650" y="9842500"/>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EE8AA3" w14:textId="42493248" w:rsidR="008D13E9" w:rsidRPr="008D13E9" w:rsidRDefault="008D13E9" w:rsidP="008D13E9">
                          <w:pPr>
                            <w:rPr>
                              <w:rFonts w:ascii="Calibri" w:eastAsia="Calibri" w:hAnsi="Calibri" w:cs="Calibri"/>
                              <w:noProof/>
                              <w:color w:val="000000"/>
                              <w:sz w:val="20"/>
                              <w:szCs w:val="20"/>
                            </w:rPr>
                          </w:pPr>
                          <w:r w:rsidRPr="008D13E9">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806DFD" id="_x0000_t202" coordsize="21600,21600" o:spt="202" path="m,l,21600r21600,l21600,xe">
              <v:stroke joinstyle="miter"/>
              <v:path gradientshapeok="t" o:connecttype="rect"/>
            </v:shapetype>
            <v:shape id="Tekstvak 1" o:spid="_x0000_s1028"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8EE8AA3" w14:textId="42493248" w:rsidR="008D13E9" w:rsidRPr="008D13E9" w:rsidRDefault="008D13E9" w:rsidP="008D13E9">
                    <w:pPr>
                      <w:rPr>
                        <w:rFonts w:ascii="Calibri" w:eastAsia="Calibri" w:hAnsi="Calibri" w:cs="Calibri"/>
                        <w:noProof/>
                        <w:color w:val="000000"/>
                        <w:sz w:val="20"/>
                        <w:szCs w:val="20"/>
                      </w:rPr>
                    </w:pPr>
                    <w:r w:rsidRPr="008D13E9">
                      <w:rPr>
                        <w:rFonts w:ascii="Calibri" w:eastAsia="Calibri" w:hAnsi="Calibri" w:cs="Calibri"/>
                        <w:noProof/>
                        <w:color w:val="000000"/>
                        <w:sz w:val="20"/>
                        <w:szCs w:val="20"/>
                      </w:rPr>
                      <w:t>Intern gebruik</w:t>
                    </w:r>
                  </w:p>
                </w:txbxContent>
              </v:textbox>
              <w10:wrap anchorx="page" anchory="page"/>
            </v:shape>
          </w:pict>
        </mc:Fallback>
      </mc:AlternateContent>
    </w:r>
    <w:r w:rsidR="00AE15BB" w:rsidRPr="00AE15BB">
      <w:rPr>
        <w:rFonts w:ascii="Bembo" w:hAnsi="Bembo"/>
        <w:sz w:val="32"/>
      </w:rPr>
      <w:t>AAN DE KONING</w:t>
    </w:r>
  </w:p>
  <w:p w14:paraId="3CE8B08F" w14:textId="77777777" w:rsidR="00AE15BB" w:rsidRDefault="00AE15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44FB" w14:textId="77777777" w:rsidR="00C40F89" w:rsidRDefault="00C40F89">
      <w:r>
        <w:separator/>
      </w:r>
    </w:p>
  </w:footnote>
  <w:footnote w:type="continuationSeparator" w:id="0">
    <w:p w14:paraId="3CC3ADD1" w14:textId="77777777" w:rsidR="00C40F89" w:rsidRDefault="00C40F89">
      <w:r>
        <w:continuationSeparator/>
      </w:r>
    </w:p>
  </w:footnote>
  <w:footnote w:type="continuationNotice" w:id="1">
    <w:p w14:paraId="45E59C8B" w14:textId="77777777" w:rsidR="00C40F89" w:rsidRDefault="00C40F89"/>
  </w:footnote>
  <w:footnote w:id="2">
    <w:p w14:paraId="7E306D63" w14:textId="77777777" w:rsidR="002552A1" w:rsidRPr="00F75D6E" w:rsidRDefault="002552A1" w:rsidP="002552A1">
      <w:pPr>
        <w:pStyle w:val="Voetnoottekst"/>
        <w:rPr>
          <w:rFonts w:ascii="Univers" w:hAnsi="Univers"/>
        </w:rPr>
      </w:pPr>
      <w:r w:rsidRPr="00F75D6E">
        <w:rPr>
          <w:rStyle w:val="Voetnootmarkering"/>
          <w:rFonts w:ascii="Univers" w:hAnsi="Univers"/>
        </w:rPr>
        <w:footnoteRef/>
      </w:r>
      <w:r w:rsidRPr="005660EC">
        <w:rPr>
          <w:rFonts w:ascii="Univers" w:hAnsi="Univers"/>
        </w:rPr>
        <w:t xml:space="preserve"> Verordening (EU) 2022/1854 van de Raad van 6 oktober 2022 betreffende een noodinterventie in verband met de hoge energieprijzen (PbEU 2022, L 261I). Deze verordening is op 8 oktober 2022 in werking getreden.</w:t>
      </w:r>
    </w:p>
  </w:footnote>
  <w:footnote w:id="3">
    <w:p w14:paraId="22E17D68" w14:textId="77777777" w:rsidR="002552A1" w:rsidRPr="00F75D6E" w:rsidRDefault="002552A1" w:rsidP="002552A1">
      <w:pPr>
        <w:pStyle w:val="Voetnoottekst"/>
        <w:rPr>
          <w:rFonts w:ascii="Univers" w:hAnsi="Univers"/>
        </w:rPr>
      </w:pPr>
      <w:r w:rsidRPr="00F75D6E">
        <w:rPr>
          <w:rStyle w:val="Voetnootmarkering"/>
          <w:rFonts w:ascii="Univers" w:hAnsi="Univers"/>
        </w:rPr>
        <w:footnoteRef/>
      </w:r>
      <w:r w:rsidRPr="00F75D6E">
        <w:rPr>
          <w:rFonts w:ascii="Univers" w:hAnsi="Univers"/>
        </w:rPr>
        <w:t xml:space="preserve"> Artikel 14, derde lid, van de verordening. </w:t>
      </w:r>
    </w:p>
  </w:footnote>
  <w:footnote w:id="4">
    <w:p w14:paraId="3F94BDCC" w14:textId="77777777" w:rsidR="002552A1" w:rsidRPr="00F75D6E" w:rsidRDefault="002552A1" w:rsidP="002552A1">
      <w:pPr>
        <w:pStyle w:val="Voetnoottekst"/>
        <w:rPr>
          <w:rFonts w:ascii="Univers" w:hAnsi="Univers"/>
        </w:rPr>
      </w:pPr>
      <w:r w:rsidRPr="00F75D6E">
        <w:rPr>
          <w:rStyle w:val="Voetnootmarkering"/>
          <w:rFonts w:ascii="Univers" w:hAnsi="Univers"/>
        </w:rPr>
        <w:footnoteRef/>
      </w:r>
      <w:r w:rsidRPr="00F75D6E">
        <w:rPr>
          <w:rFonts w:ascii="Univers" w:hAnsi="Univers"/>
        </w:rPr>
        <w:t xml:space="preserve"> </w:t>
      </w:r>
      <w:r w:rsidRPr="00F75D6E">
        <w:rPr>
          <w:rFonts w:ascii="Univers" w:hAnsi="Univers"/>
          <w:i/>
          <w:iCs/>
        </w:rPr>
        <w:t>Stb.</w:t>
      </w:r>
      <w:r w:rsidRPr="00F75D6E">
        <w:rPr>
          <w:rFonts w:ascii="Univers" w:hAnsi="Univers"/>
        </w:rPr>
        <w:t xml:space="preserve"> 2022, 537. </w:t>
      </w:r>
    </w:p>
  </w:footnote>
  <w:footnote w:id="5">
    <w:p w14:paraId="48420BBB" w14:textId="77777777" w:rsidR="002552A1" w:rsidRPr="005660EC" w:rsidRDefault="002552A1" w:rsidP="002552A1">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Artikel 6 van de verordening. Zie ook preambule 11 van de verordening.</w:t>
      </w:r>
    </w:p>
  </w:footnote>
  <w:footnote w:id="6">
    <w:p w14:paraId="28C8EFDC" w14:textId="77777777" w:rsidR="002552A1" w:rsidRPr="005660EC" w:rsidRDefault="002552A1" w:rsidP="002552A1">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Artikel 22, tweede lid, onder c, van de verordening. </w:t>
      </w:r>
    </w:p>
  </w:footnote>
  <w:footnote w:id="7">
    <w:p w14:paraId="3FA6861E" w14:textId="77777777" w:rsidR="002552A1" w:rsidRPr="005660EC" w:rsidRDefault="002552A1" w:rsidP="002552A1">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Preambules 11 en 25 van de verordening. Zie ook artikel 10, eerste lid, van de verordening.</w:t>
      </w:r>
    </w:p>
  </w:footnote>
  <w:footnote w:id="8">
    <w:p w14:paraId="7273F367" w14:textId="77777777" w:rsidR="002552A1" w:rsidRPr="005660EC" w:rsidRDefault="002552A1" w:rsidP="002552A1">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Kamerstukken II 2022/23, 29023, nr. 361.</w:t>
      </w:r>
    </w:p>
  </w:footnote>
  <w:footnote w:id="9">
    <w:p w14:paraId="654DB3B2" w14:textId="77777777" w:rsidR="002552A1" w:rsidRPr="005660EC" w:rsidRDefault="002552A1" w:rsidP="002552A1">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Kamerstukken II 2022/23, 29023, nr. 395.</w:t>
      </w:r>
    </w:p>
  </w:footnote>
  <w:footnote w:id="10">
    <w:p w14:paraId="2CB78C78" w14:textId="77777777" w:rsidR="00B53AD7" w:rsidRPr="00F75D6E" w:rsidRDefault="00B53AD7" w:rsidP="00B53AD7">
      <w:pPr>
        <w:pStyle w:val="Voetnoottekst"/>
        <w:rPr>
          <w:rFonts w:ascii="Univers" w:hAnsi="Univers"/>
        </w:rPr>
      </w:pPr>
      <w:r w:rsidRPr="00F75D6E">
        <w:rPr>
          <w:rStyle w:val="Voetnootmarkering"/>
          <w:rFonts w:ascii="Univers" w:hAnsi="Univers"/>
        </w:rPr>
        <w:footnoteRef/>
      </w:r>
      <w:r w:rsidRPr="00F75D6E">
        <w:rPr>
          <w:rFonts w:ascii="Univers" w:hAnsi="Univers"/>
        </w:rPr>
        <w:t xml:space="preserve"> Memorie van toelichting, paragraaf 2. </w:t>
      </w:r>
    </w:p>
  </w:footnote>
  <w:footnote w:id="11">
    <w:p w14:paraId="1894A021" w14:textId="77777777" w:rsidR="00B53AD7" w:rsidRPr="005660EC" w:rsidRDefault="00B53AD7" w:rsidP="00B53AD7">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Voorgestelde artikelen 6 tot en met 10. </w:t>
      </w:r>
    </w:p>
  </w:footnote>
  <w:footnote w:id="12">
    <w:p w14:paraId="18CFBEE0" w14:textId="77777777" w:rsidR="00B53AD7" w:rsidRPr="00F75D6E" w:rsidRDefault="00B53AD7" w:rsidP="00B53AD7">
      <w:pPr>
        <w:pStyle w:val="Voetnoottekst"/>
        <w:rPr>
          <w:rFonts w:ascii="Univers" w:hAnsi="Univers"/>
        </w:rPr>
      </w:pPr>
      <w:r w:rsidRPr="00F75D6E">
        <w:rPr>
          <w:rStyle w:val="Voetnootmarkering"/>
          <w:rFonts w:ascii="Univers" w:hAnsi="Univers"/>
        </w:rPr>
        <w:footnoteRef/>
      </w:r>
      <w:r w:rsidRPr="00F75D6E">
        <w:rPr>
          <w:rFonts w:ascii="Univers" w:hAnsi="Univers"/>
        </w:rPr>
        <w:t xml:space="preserve"> Voorgesteld artikel 11. </w:t>
      </w:r>
    </w:p>
  </w:footnote>
  <w:footnote w:id="13">
    <w:p w14:paraId="74DA4348" w14:textId="77777777" w:rsidR="00B53AD7" w:rsidRPr="00F75D6E" w:rsidRDefault="00B53AD7" w:rsidP="00B53AD7">
      <w:pPr>
        <w:pStyle w:val="Voetnoottekst"/>
        <w:rPr>
          <w:rFonts w:ascii="Univers" w:hAnsi="Univers"/>
        </w:rPr>
      </w:pPr>
      <w:r w:rsidRPr="00F75D6E">
        <w:rPr>
          <w:rStyle w:val="Voetnootmarkering"/>
          <w:rFonts w:ascii="Univers" w:hAnsi="Univers"/>
        </w:rPr>
        <w:footnoteRef/>
      </w:r>
      <w:r w:rsidRPr="00F75D6E">
        <w:rPr>
          <w:rFonts w:ascii="Univers" w:hAnsi="Univers"/>
        </w:rPr>
        <w:t xml:space="preserve"> Voorgesteld artikel 20.</w:t>
      </w:r>
    </w:p>
  </w:footnote>
  <w:footnote w:id="14">
    <w:p w14:paraId="74540BED" w14:textId="77777777" w:rsidR="00B53AD7" w:rsidRPr="00F75D6E" w:rsidRDefault="00B53AD7" w:rsidP="00B53AD7">
      <w:pPr>
        <w:pStyle w:val="Voetnoottekst"/>
        <w:rPr>
          <w:rFonts w:ascii="Univers" w:hAnsi="Univers"/>
        </w:rPr>
      </w:pPr>
      <w:r w:rsidRPr="00F75D6E">
        <w:rPr>
          <w:rStyle w:val="Voetnootmarkering"/>
          <w:rFonts w:ascii="Univers" w:hAnsi="Univers"/>
        </w:rPr>
        <w:footnoteRef/>
      </w:r>
      <w:r w:rsidRPr="00F75D6E">
        <w:rPr>
          <w:rFonts w:ascii="Univers" w:hAnsi="Univers"/>
        </w:rPr>
        <w:t xml:space="preserve"> Memorie van toelichting, paragraaf 4.</w:t>
      </w:r>
    </w:p>
  </w:footnote>
  <w:footnote w:id="15">
    <w:p w14:paraId="575A7D28" w14:textId="77777777" w:rsidR="00B53AD7" w:rsidRPr="005660EC" w:rsidRDefault="00B53AD7" w:rsidP="00B53AD7">
      <w:pPr>
        <w:pStyle w:val="Voetnoottekst"/>
        <w:rPr>
          <w:rFonts w:ascii="Univers" w:hAnsi="Univers"/>
          <w:lang w:val="en-GB"/>
        </w:rPr>
      </w:pPr>
      <w:r w:rsidRPr="005660EC">
        <w:rPr>
          <w:rStyle w:val="Voetnootmarkering"/>
          <w:rFonts w:ascii="Univers" w:hAnsi="Univers"/>
        </w:rPr>
        <w:footnoteRef/>
      </w:r>
      <w:r w:rsidRPr="005660EC">
        <w:rPr>
          <w:rFonts w:ascii="Univers" w:hAnsi="Univers"/>
          <w:lang w:val="en-GB"/>
        </w:rPr>
        <w:t xml:space="preserve"> Zie ook Report from the commission to the European Parliament and the Council on the review of emergency interventions to address high energy prices in accordance with Council Regulation (EU) 2022/1854, COM/2023/302 final, p. 16-17.</w:t>
      </w:r>
    </w:p>
  </w:footnote>
  <w:footnote w:id="16">
    <w:p w14:paraId="45803D53" w14:textId="77777777" w:rsidR="00B53AD7" w:rsidRPr="005660EC" w:rsidRDefault="00B53AD7" w:rsidP="00B53AD7">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Memorie van toelichting, paragraaf 7.4. Zie ook Kamerstukken II 2022/23, 29023, nr. 361, p. 2-3. </w:t>
      </w:r>
    </w:p>
  </w:footnote>
  <w:footnote w:id="17">
    <w:p w14:paraId="63BD722A" w14:textId="77777777" w:rsidR="00B53AD7" w:rsidRPr="005660EC" w:rsidRDefault="00B53AD7" w:rsidP="00B53AD7">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Voorgesteld artikel 4, tweede lid.</w:t>
      </w:r>
    </w:p>
  </w:footnote>
  <w:footnote w:id="18">
    <w:p w14:paraId="75D1AD5D" w14:textId="77777777" w:rsidR="00B53AD7" w:rsidRPr="005660EC" w:rsidRDefault="00B53AD7" w:rsidP="00B53AD7">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Voorgesteld artikel 12, eerste lid. </w:t>
      </w:r>
    </w:p>
  </w:footnote>
  <w:footnote w:id="19">
    <w:p w14:paraId="07F4CF83" w14:textId="77777777" w:rsidR="00B53AD7" w:rsidRPr="005660EC" w:rsidRDefault="00B53AD7" w:rsidP="00B53AD7">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Kamerstukken II 1996/97, 25212, nr. 2. </w:t>
      </w:r>
    </w:p>
  </w:footnote>
  <w:footnote w:id="20">
    <w:p w14:paraId="55C9787B" w14:textId="77777777" w:rsidR="00B53AD7" w:rsidRPr="005660EC" w:rsidRDefault="00B53AD7" w:rsidP="00B53AD7">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Zie Kamerstukken II 2022/23, 29023, nr. 361. De Kamerbrief van 27 februari 2023 doet hieraan niet af, aangezien daarin slechts een begunstigende aanpassing op een zeer specifiek onderdeel wordt meegedeeld (zie Kamerstukken II 2022/23, 29023, nr. 395).</w:t>
      </w:r>
    </w:p>
  </w:footnote>
  <w:footnote w:id="21">
    <w:p w14:paraId="77744206" w14:textId="77777777" w:rsidR="00E335B0" w:rsidRPr="00340A8A" w:rsidRDefault="00E335B0" w:rsidP="00E335B0">
      <w:pPr>
        <w:pStyle w:val="Voetnoottekst"/>
        <w:rPr>
          <w:rFonts w:ascii="Univers" w:hAnsi="Univers"/>
        </w:rPr>
      </w:pPr>
      <w:r w:rsidRPr="00340A8A">
        <w:rPr>
          <w:rStyle w:val="Voetnootmarkering"/>
          <w:rFonts w:ascii="Univers" w:hAnsi="Univers"/>
        </w:rPr>
        <w:footnoteRef/>
      </w:r>
      <w:r w:rsidRPr="00340A8A">
        <w:rPr>
          <w:rFonts w:ascii="Univers" w:hAnsi="Univers"/>
        </w:rPr>
        <w:t xml:space="preserve"> Memorie van toelichting, paragraaf 5.</w:t>
      </w:r>
    </w:p>
  </w:footnote>
  <w:footnote w:id="22">
    <w:p w14:paraId="4215E015" w14:textId="77777777" w:rsidR="00E335B0" w:rsidRPr="00977C53" w:rsidRDefault="00E335B0" w:rsidP="00E335B0">
      <w:pPr>
        <w:pStyle w:val="Voetnoottekst"/>
        <w:rPr>
          <w:rFonts w:ascii="Univers" w:hAnsi="Univers"/>
        </w:rPr>
      </w:pPr>
      <w:r w:rsidRPr="00977C53">
        <w:rPr>
          <w:rStyle w:val="Voetnootmarkering"/>
          <w:rFonts w:ascii="Univers" w:hAnsi="Univers"/>
        </w:rPr>
        <w:footnoteRef/>
      </w:r>
      <w:r w:rsidRPr="00977C53">
        <w:rPr>
          <w:rFonts w:ascii="Univers" w:hAnsi="Univers"/>
        </w:rPr>
        <w:t xml:space="preserve"> Artikel 8, eerste lid, onder d, van de verordening. </w:t>
      </w:r>
    </w:p>
  </w:footnote>
  <w:footnote w:id="23">
    <w:p w14:paraId="5C4261DD" w14:textId="77777777" w:rsidR="00E335B0" w:rsidRPr="00977C53" w:rsidRDefault="00E335B0" w:rsidP="00E335B0">
      <w:pPr>
        <w:pStyle w:val="Voetnoottekst"/>
        <w:rPr>
          <w:rFonts w:ascii="Univers" w:hAnsi="Univers"/>
        </w:rPr>
      </w:pPr>
      <w:r w:rsidRPr="00977C53">
        <w:rPr>
          <w:rStyle w:val="Voetnootmarkering"/>
          <w:rFonts w:ascii="Univers" w:hAnsi="Univers"/>
        </w:rPr>
        <w:footnoteRef/>
      </w:r>
      <w:r w:rsidRPr="00977C53">
        <w:rPr>
          <w:rFonts w:ascii="Univers" w:hAnsi="Univers"/>
        </w:rPr>
        <w:t xml:space="preserve"> </w:t>
      </w:r>
      <w:r>
        <w:rPr>
          <w:rFonts w:ascii="Univers" w:hAnsi="Univers"/>
        </w:rPr>
        <w:t>In a</w:t>
      </w:r>
      <w:r w:rsidRPr="00977C53">
        <w:rPr>
          <w:rFonts w:ascii="Univers" w:hAnsi="Univers"/>
        </w:rPr>
        <w:t>rtikel 8, tweede lid, van de verordening</w:t>
      </w:r>
      <w:r>
        <w:rPr>
          <w:rFonts w:ascii="Univers" w:hAnsi="Univers"/>
        </w:rPr>
        <w:t xml:space="preserve"> wordt dit ook als één van de voorwaarden genoemd.</w:t>
      </w:r>
    </w:p>
  </w:footnote>
  <w:footnote w:id="24">
    <w:p w14:paraId="452C27C7" w14:textId="77777777" w:rsidR="00BA18FC" w:rsidRPr="005660EC" w:rsidRDefault="00BA18FC" w:rsidP="00BA18FC">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Voorgesteld artikel 2. </w:t>
      </w:r>
    </w:p>
  </w:footnote>
  <w:footnote w:id="25">
    <w:p w14:paraId="49FEE884" w14:textId="77777777" w:rsidR="00BA18FC" w:rsidRPr="005660EC" w:rsidRDefault="00BA18FC" w:rsidP="00BA18FC">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Voorgesteld artikel 19. </w:t>
      </w:r>
    </w:p>
  </w:footnote>
  <w:footnote w:id="26">
    <w:p w14:paraId="532AE705" w14:textId="77777777" w:rsidR="00BA18FC" w:rsidRPr="005660EC" w:rsidRDefault="00BA18FC" w:rsidP="00BA18FC">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Memorie van toelichting, paragraaf 7.6.</w:t>
      </w:r>
    </w:p>
  </w:footnote>
  <w:footnote w:id="27">
    <w:p w14:paraId="2FED8734" w14:textId="77777777" w:rsidR="00BA18FC" w:rsidRPr="005660EC" w:rsidRDefault="00BA18FC" w:rsidP="00BA18FC">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Zie bijvoorbeeld artikel 1.1 van de Wet tijdelijke solidariteitsbijdrage. Dit kan </w:t>
      </w:r>
      <w:r>
        <w:rPr>
          <w:rFonts w:ascii="Univers" w:hAnsi="Univers"/>
        </w:rPr>
        <w:t xml:space="preserve">in het onderhavige voorstel </w:t>
      </w:r>
      <w:r w:rsidRPr="005660EC">
        <w:rPr>
          <w:rFonts w:ascii="Univers" w:hAnsi="Univers"/>
        </w:rPr>
        <w:t xml:space="preserve">eenvoudig worden </w:t>
      </w:r>
      <w:r>
        <w:rPr>
          <w:rFonts w:ascii="Univers" w:hAnsi="Univers"/>
        </w:rPr>
        <w:t>bewerkstelligd</w:t>
      </w:r>
      <w:r w:rsidRPr="005660EC">
        <w:rPr>
          <w:rFonts w:ascii="Univers" w:hAnsi="Univers"/>
        </w:rPr>
        <w:t xml:space="preserve"> door in het voorgestelde artikel 2, eerste lid, het woord heffing te vervangen door ‘belasting’. </w:t>
      </w:r>
    </w:p>
  </w:footnote>
  <w:footnote w:id="28">
    <w:p w14:paraId="4668AE4E" w14:textId="77777777" w:rsidR="00BA18FC" w:rsidRPr="005660EC" w:rsidRDefault="00BA18FC" w:rsidP="00BA18FC">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Volstaan kan worden met het desgewenst uitsluiten van enkele bepalingen van de Awr en de IW 1990.</w:t>
      </w:r>
    </w:p>
  </w:footnote>
  <w:footnote w:id="29">
    <w:p w14:paraId="095E540B" w14:textId="77777777" w:rsidR="0056233B" w:rsidRPr="005660EC" w:rsidRDefault="0056233B" w:rsidP="0056233B">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Memorie van toelichting, paragraaf 7.1-7.2.</w:t>
      </w:r>
    </w:p>
  </w:footnote>
  <w:footnote w:id="30">
    <w:p w14:paraId="02CAD9F4" w14:textId="77777777" w:rsidR="0056233B" w:rsidRPr="005660EC" w:rsidRDefault="0056233B" w:rsidP="0056233B">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Memorie van toelichting, paragraaf 7.3.</w:t>
      </w:r>
    </w:p>
  </w:footnote>
  <w:footnote w:id="31">
    <w:p w14:paraId="3B1822B5" w14:textId="77777777" w:rsidR="0056233B" w:rsidRPr="005660EC" w:rsidRDefault="0056233B" w:rsidP="0056233B">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Zie voorgesteld artikel 5, tweede lid, waarin geregeld wordt dat de heffingsgrondslag aangepast wordt door aanpassing van het marktinkomstenverslag. </w:t>
      </w:r>
    </w:p>
  </w:footnote>
  <w:footnote w:id="32">
    <w:p w14:paraId="27F85505" w14:textId="77777777" w:rsidR="0056233B" w:rsidRPr="005660EC" w:rsidRDefault="0056233B" w:rsidP="0056233B">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Zie de memorie van toelichting, paragraaf 7.3.</w:t>
      </w:r>
    </w:p>
  </w:footnote>
  <w:footnote w:id="33">
    <w:p w14:paraId="7CE2746F" w14:textId="77777777" w:rsidR="0056233B" w:rsidRPr="005660EC" w:rsidRDefault="0056233B" w:rsidP="0056233B">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Zie voorgesteld artikel 19.</w:t>
      </w:r>
    </w:p>
  </w:footnote>
  <w:footnote w:id="34">
    <w:p w14:paraId="4997887D" w14:textId="77777777" w:rsidR="00D23BC8" w:rsidRPr="005660EC" w:rsidRDefault="00D23BC8" w:rsidP="00D23BC8">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Voorgesteld artikel 20.</w:t>
      </w:r>
    </w:p>
  </w:footnote>
  <w:footnote w:id="35">
    <w:p w14:paraId="555BFF0C" w14:textId="77777777" w:rsidR="00D23BC8" w:rsidRPr="005660EC" w:rsidRDefault="00D23BC8" w:rsidP="00D23BC8">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Memorie van toelichting, paragraaf 2 en 7.3.</w:t>
      </w:r>
    </w:p>
  </w:footnote>
  <w:footnote w:id="36">
    <w:p w14:paraId="45544ED1" w14:textId="77777777" w:rsidR="00D23BC8" w:rsidRPr="005660EC" w:rsidRDefault="00D23BC8" w:rsidP="00D23BC8">
      <w:pPr>
        <w:pStyle w:val="Voetnoottekst"/>
        <w:rPr>
          <w:rFonts w:ascii="Univers" w:hAnsi="Univers"/>
        </w:rPr>
      </w:pPr>
      <w:r w:rsidRPr="005660EC">
        <w:rPr>
          <w:rStyle w:val="Voetnootmarkering"/>
          <w:rFonts w:ascii="Univers" w:hAnsi="Univers"/>
        </w:rPr>
        <w:footnoteRef/>
      </w:r>
      <w:r w:rsidRPr="005660EC">
        <w:rPr>
          <w:rFonts w:ascii="Univers" w:hAnsi="Univers"/>
        </w:rPr>
        <w:t xml:space="preserve"> Zie ook memorie van toelichting, paragraaf 7.3.</w:t>
      </w:r>
    </w:p>
  </w:footnote>
  <w:footnote w:id="37">
    <w:p w14:paraId="65DBC883" w14:textId="77777777" w:rsidR="002030B9" w:rsidRPr="00F75D6E" w:rsidRDefault="002030B9" w:rsidP="002030B9">
      <w:pPr>
        <w:pStyle w:val="Voetnoottekst"/>
        <w:rPr>
          <w:rFonts w:ascii="Univers" w:hAnsi="Univers"/>
        </w:rPr>
      </w:pPr>
      <w:r w:rsidRPr="00F75D6E">
        <w:rPr>
          <w:rStyle w:val="Voetnootmarkering"/>
          <w:rFonts w:ascii="Univers" w:hAnsi="Univers"/>
        </w:rPr>
        <w:footnoteRef/>
      </w:r>
      <w:r w:rsidRPr="00F75D6E">
        <w:rPr>
          <w:rFonts w:ascii="Univers" w:hAnsi="Univers"/>
        </w:rPr>
        <w:t xml:space="preserve"> Voorgesteld artikel 22, eerste lid.</w:t>
      </w:r>
    </w:p>
  </w:footnote>
  <w:footnote w:id="38">
    <w:p w14:paraId="3BA83E08" w14:textId="77777777" w:rsidR="002030B9" w:rsidRPr="00F75D6E" w:rsidRDefault="002030B9" w:rsidP="002030B9">
      <w:pPr>
        <w:pStyle w:val="Voetnoottekst"/>
        <w:rPr>
          <w:rFonts w:ascii="Univers" w:hAnsi="Univers"/>
        </w:rPr>
      </w:pPr>
      <w:r w:rsidRPr="00F75D6E">
        <w:rPr>
          <w:rStyle w:val="Voetnootmarkering"/>
          <w:rFonts w:ascii="Univers" w:hAnsi="Univers"/>
        </w:rPr>
        <w:footnoteRef/>
      </w:r>
      <w:r w:rsidRPr="00F75D6E">
        <w:rPr>
          <w:rFonts w:ascii="Univers" w:hAnsi="Univers"/>
        </w:rPr>
        <w:t xml:space="preserve"> Memorie van toelichting, artikelsgewijze toelichting op artikel 22.</w:t>
      </w:r>
    </w:p>
  </w:footnote>
  <w:footnote w:id="39">
    <w:p w14:paraId="40608230" w14:textId="77777777" w:rsidR="002030B9" w:rsidRPr="00F75D6E" w:rsidRDefault="002030B9" w:rsidP="002030B9">
      <w:pPr>
        <w:pStyle w:val="Voetnoottekst"/>
        <w:rPr>
          <w:rFonts w:ascii="Univers" w:hAnsi="Univers"/>
        </w:rPr>
      </w:pPr>
      <w:r w:rsidRPr="00F75D6E">
        <w:rPr>
          <w:rStyle w:val="Voetnootmarkering"/>
          <w:rFonts w:ascii="Univers" w:hAnsi="Univers"/>
        </w:rPr>
        <w:footnoteRef/>
      </w:r>
      <w:r w:rsidRPr="00F75D6E">
        <w:rPr>
          <w:rFonts w:ascii="Univers" w:hAnsi="Univers"/>
        </w:rPr>
        <w:t xml:space="preserve"> Voorgesteld artikel 22, tweede lid.</w:t>
      </w:r>
    </w:p>
  </w:footnote>
  <w:footnote w:id="40">
    <w:p w14:paraId="516F37A4" w14:textId="77777777" w:rsidR="002030B9" w:rsidRPr="00F75D6E" w:rsidRDefault="002030B9" w:rsidP="002030B9">
      <w:pPr>
        <w:pStyle w:val="Voetnoottekst"/>
        <w:rPr>
          <w:rFonts w:ascii="Univers" w:hAnsi="Univers"/>
        </w:rPr>
      </w:pPr>
      <w:r w:rsidRPr="00F75D6E">
        <w:rPr>
          <w:rStyle w:val="Voetnootmarkering"/>
          <w:rFonts w:ascii="Univers" w:hAnsi="Univers"/>
        </w:rPr>
        <w:footnoteRef/>
      </w:r>
      <w:r w:rsidRPr="00F75D6E">
        <w:rPr>
          <w:rFonts w:ascii="Univers" w:hAnsi="Univers"/>
        </w:rPr>
        <w:t xml:space="preserve"> Zie ook de memorie van toelichting, paragraaf 7.5.</w:t>
      </w:r>
    </w:p>
  </w:footnote>
  <w:footnote w:id="41">
    <w:p w14:paraId="498D90A8" w14:textId="77777777" w:rsidR="002B2B51" w:rsidRPr="00F75D6E" w:rsidRDefault="002B2B51" w:rsidP="002B2B51">
      <w:pPr>
        <w:pStyle w:val="Voetnoottekst"/>
        <w:rPr>
          <w:rFonts w:ascii="Univers" w:hAnsi="Univers"/>
        </w:rPr>
      </w:pPr>
      <w:r w:rsidRPr="00F75D6E">
        <w:rPr>
          <w:rStyle w:val="Voetnootmarkering"/>
          <w:rFonts w:ascii="Univers" w:hAnsi="Univers"/>
        </w:rPr>
        <w:footnoteRef/>
      </w:r>
      <w:r w:rsidRPr="00F75D6E">
        <w:rPr>
          <w:rFonts w:ascii="Univers" w:hAnsi="Univers"/>
        </w:rPr>
        <w:t xml:space="preserve"> Voorgesteld artikel 11, vijfde lid, onder c.</w:t>
      </w:r>
    </w:p>
  </w:footnote>
  <w:footnote w:id="42">
    <w:p w14:paraId="56F35898" w14:textId="77777777" w:rsidR="002B2B51" w:rsidRPr="00F75D6E" w:rsidRDefault="002B2B51" w:rsidP="002B2B51">
      <w:pPr>
        <w:pStyle w:val="Voetnoottekst"/>
        <w:rPr>
          <w:rFonts w:ascii="Univers" w:hAnsi="Univers"/>
        </w:rPr>
      </w:pPr>
      <w:r w:rsidRPr="00F75D6E">
        <w:rPr>
          <w:rStyle w:val="Voetnootmarkering"/>
          <w:rFonts w:ascii="Univers" w:hAnsi="Univers"/>
        </w:rPr>
        <w:footnoteRef/>
      </w:r>
      <w:r w:rsidRPr="00F75D6E">
        <w:rPr>
          <w:rFonts w:ascii="Univers" w:hAnsi="Univers"/>
        </w:rPr>
        <w:t xml:space="preserve"> Memorie van toelichting, paragraaf 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B239" w14:textId="77777777" w:rsidR="00826443" w:rsidRDefault="008264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B23A" w14:textId="77777777" w:rsidR="00826443" w:rsidRDefault="00497C7B" w:rsidP="00826443">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B240" w14:textId="77777777" w:rsidR="00826443" w:rsidRDefault="00497C7B" w:rsidP="00826443">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2BAB241" w14:textId="77777777" w:rsidR="00826443" w:rsidRDefault="00497C7B">
    <w:pPr>
      <w:pStyle w:val="Koptekst"/>
    </w:pPr>
    <w:r>
      <w:rPr>
        <w:noProof/>
      </w:rPr>
      <w:drawing>
        <wp:anchor distT="0" distB="0" distL="114300" distR="114300" simplePos="0" relativeHeight="251658240" behindDoc="1" locked="0" layoutInCell="1" allowOverlap="1" wp14:anchorId="72BAB24C" wp14:editId="72BAB24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90BC9"/>
    <w:multiLevelType w:val="hybridMultilevel"/>
    <w:tmpl w:val="73D066AA"/>
    <w:lvl w:ilvl="0" w:tplc="634E26BC">
      <w:start w:val="4"/>
      <w:numFmt w:val="decimal"/>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A532337"/>
    <w:multiLevelType w:val="hybridMultilevel"/>
    <w:tmpl w:val="65224AC8"/>
    <w:lvl w:ilvl="0" w:tplc="7B7A9A00">
      <w:start w:val="2"/>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DBD14A9"/>
    <w:multiLevelType w:val="hybridMultilevel"/>
    <w:tmpl w:val="533A67BE"/>
    <w:lvl w:ilvl="0" w:tplc="208855FE">
      <w:start w:val="2"/>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1589456">
    <w:abstractNumId w:val="2"/>
  </w:num>
  <w:num w:numId="2" w16cid:durableId="1917468680">
    <w:abstractNumId w:val="1"/>
  </w:num>
  <w:num w:numId="3" w16cid:durableId="203407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E4"/>
    <w:rsid w:val="0000015D"/>
    <w:rsid w:val="00000C39"/>
    <w:rsid w:val="00001BE2"/>
    <w:rsid w:val="000024E2"/>
    <w:rsid w:val="000029E6"/>
    <w:rsid w:val="00003254"/>
    <w:rsid w:val="00003419"/>
    <w:rsid w:val="00003750"/>
    <w:rsid w:val="00004494"/>
    <w:rsid w:val="000056A1"/>
    <w:rsid w:val="00007324"/>
    <w:rsid w:val="00007F65"/>
    <w:rsid w:val="00011BC7"/>
    <w:rsid w:val="000137FC"/>
    <w:rsid w:val="00013C71"/>
    <w:rsid w:val="00013CB9"/>
    <w:rsid w:val="00016C62"/>
    <w:rsid w:val="0001758D"/>
    <w:rsid w:val="00017821"/>
    <w:rsid w:val="00020020"/>
    <w:rsid w:val="0002361B"/>
    <w:rsid w:val="00023974"/>
    <w:rsid w:val="0002558D"/>
    <w:rsid w:val="0002589B"/>
    <w:rsid w:val="000258D5"/>
    <w:rsid w:val="00025AE7"/>
    <w:rsid w:val="00025C01"/>
    <w:rsid w:val="000264CE"/>
    <w:rsid w:val="00026533"/>
    <w:rsid w:val="00027746"/>
    <w:rsid w:val="000277CC"/>
    <w:rsid w:val="000321FD"/>
    <w:rsid w:val="000326D7"/>
    <w:rsid w:val="0003427D"/>
    <w:rsid w:val="000354EC"/>
    <w:rsid w:val="00035537"/>
    <w:rsid w:val="00035BA2"/>
    <w:rsid w:val="00037281"/>
    <w:rsid w:val="00037901"/>
    <w:rsid w:val="00042E14"/>
    <w:rsid w:val="0004312D"/>
    <w:rsid w:val="00045482"/>
    <w:rsid w:val="000454BD"/>
    <w:rsid w:val="000462D2"/>
    <w:rsid w:val="000465DE"/>
    <w:rsid w:val="000473B5"/>
    <w:rsid w:val="00050566"/>
    <w:rsid w:val="00050CC3"/>
    <w:rsid w:val="00051ED1"/>
    <w:rsid w:val="00051F7B"/>
    <w:rsid w:val="000528BF"/>
    <w:rsid w:val="00053643"/>
    <w:rsid w:val="00056CB7"/>
    <w:rsid w:val="000618BD"/>
    <w:rsid w:val="000629B8"/>
    <w:rsid w:val="00063635"/>
    <w:rsid w:val="00064070"/>
    <w:rsid w:val="00065792"/>
    <w:rsid w:val="000659D4"/>
    <w:rsid w:val="00065B13"/>
    <w:rsid w:val="00066237"/>
    <w:rsid w:val="00066623"/>
    <w:rsid w:val="0007025B"/>
    <w:rsid w:val="00077A67"/>
    <w:rsid w:val="00077D72"/>
    <w:rsid w:val="00081B25"/>
    <w:rsid w:val="00081E15"/>
    <w:rsid w:val="00082E39"/>
    <w:rsid w:val="0008362C"/>
    <w:rsid w:val="00083BC3"/>
    <w:rsid w:val="0008490C"/>
    <w:rsid w:val="00084F08"/>
    <w:rsid w:val="00085DC2"/>
    <w:rsid w:val="00085FE6"/>
    <w:rsid w:val="00090B97"/>
    <w:rsid w:val="000919E0"/>
    <w:rsid w:val="00091EDA"/>
    <w:rsid w:val="0009232F"/>
    <w:rsid w:val="00093E58"/>
    <w:rsid w:val="0009493C"/>
    <w:rsid w:val="00095769"/>
    <w:rsid w:val="0009645B"/>
    <w:rsid w:val="00097AF0"/>
    <w:rsid w:val="000A0D2E"/>
    <w:rsid w:val="000A287C"/>
    <w:rsid w:val="000A5CAC"/>
    <w:rsid w:val="000A6A79"/>
    <w:rsid w:val="000A7378"/>
    <w:rsid w:val="000A77CC"/>
    <w:rsid w:val="000B03CB"/>
    <w:rsid w:val="000B057C"/>
    <w:rsid w:val="000B1584"/>
    <w:rsid w:val="000B210C"/>
    <w:rsid w:val="000B2587"/>
    <w:rsid w:val="000B35DE"/>
    <w:rsid w:val="000B3CC9"/>
    <w:rsid w:val="000B4E84"/>
    <w:rsid w:val="000B6E47"/>
    <w:rsid w:val="000C1B4A"/>
    <w:rsid w:val="000C42FA"/>
    <w:rsid w:val="000C456B"/>
    <w:rsid w:val="000C5002"/>
    <w:rsid w:val="000C512A"/>
    <w:rsid w:val="000C630E"/>
    <w:rsid w:val="000C6B6E"/>
    <w:rsid w:val="000C7B8B"/>
    <w:rsid w:val="000D0846"/>
    <w:rsid w:val="000D1F63"/>
    <w:rsid w:val="000D2A5B"/>
    <w:rsid w:val="000D4483"/>
    <w:rsid w:val="000D44B5"/>
    <w:rsid w:val="000D6173"/>
    <w:rsid w:val="000D6C9A"/>
    <w:rsid w:val="000D7C2B"/>
    <w:rsid w:val="000E0535"/>
    <w:rsid w:val="000E2663"/>
    <w:rsid w:val="000E573B"/>
    <w:rsid w:val="000E7907"/>
    <w:rsid w:val="000E7E40"/>
    <w:rsid w:val="000F5E3A"/>
    <w:rsid w:val="000F6461"/>
    <w:rsid w:val="000F6FA7"/>
    <w:rsid w:val="000F7381"/>
    <w:rsid w:val="000F74CC"/>
    <w:rsid w:val="00101AD0"/>
    <w:rsid w:val="001025C9"/>
    <w:rsid w:val="0010281B"/>
    <w:rsid w:val="00102EBB"/>
    <w:rsid w:val="00102F6B"/>
    <w:rsid w:val="00103383"/>
    <w:rsid w:val="0010403A"/>
    <w:rsid w:val="001056A0"/>
    <w:rsid w:val="00110338"/>
    <w:rsid w:val="00110364"/>
    <w:rsid w:val="001106C5"/>
    <w:rsid w:val="00110761"/>
    <w:rsid w:val="001132C9"/>
    <w:rsid w:val="0011446C"/>
    <w:rsid w:val="00115F74"/>
    <w:rsid w:val="0012135B"/>
    <w:rsid w:val="00121783"/>
    <w:rsid w:val="00121DB6"/>
    <w:rsid w:val="00121F58"/>
    <w:rsid w:val="001228F1"/>
    <w:rsid w:val="00123C83"/>
    <w:rsid w:val="001243BC"/>
    <w:rsid w:val="0012520B"/>
    <w:rsid w:val="001275D1"/>
    <w:rsid w:val="00127739"/>
    <w:rsid w:val="001305D7"/>
    <w:rsid w:val="00130A2E"/>
    <w:rsid w:val="00131BFB"/>
    <w:rsid w:val="00134283"/>
    <w:rsid w:val="00136AAA"/>
    <w:rsid w:val="001377DB"/>
    <w:rsid w:val="00137AF4"/>
    <w:rsid w:val="00137CCA"/>
    <w:rsid w:val="00141077"/>
    <w:rsid w:val="0014122F"/>
    <w:rsid w:val="0014181D"/>
    <w:rsid w:val="00141881"/>
    <w:rsid w:val="001425B9"/>
    <w:rsid w:val="0014305D"/>
    <w:rsid w:val="00146594"/>
    <w:rsid w:val="0014666A"/>
    <w:rsid w:val="00147197"/>
    <w:rsid w:val="00147CA7"/>
    <w:rsid w:val="00147FDE"/>
    <w:rsid w:val="00152A5B"/>
    <w:rsid w:val="00153F7B"/>
    <w:rsid w:val="001542A8"/>
    <w:rsid w:val="001544C7"/>
    <w:rsid w:val="001544EF"/>
    <w:rsid w:val="0015604F"/>
    <w:rsid w:val="0016035D"/>
    <w:rsid w:val="00160974"/>
    <w:rsid w:val="001669BE"/>
    <w:rsid w:val="001670C7"/>
    <w:rsid w:val="00170310"/>
    <w:rsid w:val="00172AC7"/>
    <w:rsid w:val="00175123"/>
    <w:rsid w:val="00175259"/>
    <w:rsid w:val="001777D5"/>
    <w:rsid w:val="00180170"/>
    <w:rsid w:val="0018035B"/>
    <w:rsid w:val="00182637"/>
    <w:rsid w:val="001828A8"/>
    <w:rsid w:val="00184787"/>
    <w:rsid w:val="00184AF3"/>
    <w:rsid w:val="001869E8"/>
    <w:rsid w:val="00186B12"/>
    <w:rsid w:val="00186E96"/>
    <w:rsid w:val="00187763"/>
    <w:rsid w:val="00187F51"/>
    <w:rsid w:val="00190EAA"/>
    <w:rsid w:val="00191515"/>
    <w:rsid w:val="00191BA2"/>
    <w:rsid w:val="00193B77"/>
    <w:rsid w:val="00193E9B"/>
    <w:rsid w:val="0019451D"/>
    <w:rsid w:val="00195EE1"/>
    <w:rsid w:val="001A2C2F"/>
    <w:rsid w:val="001A314C"/>
    <w:rsid w:val="001A3791"/>
    <w:rsid w:val="001A412E"/>
    <w:rsid w:val="001A4E2C"/>
    <w:rsid w:val="001A6954"/>
    <w:rsid w:val="001A6D3D"/>
    <w:rsid w:val="001A7E05"/>
    <w:rsid w:val="001B01B5"/>
    <w:rsid w:val="001B0E19"/>
    <w:rsid w:val="001B1628"/>
    <w:rsid w:val="001B2BE8"/>
    <w:rsid w:val="001B3619"/>
    <w:rsid w:val="001B43AC"/>
    <w:rsid w:val="001B5D3D"/>
    <w:rsid w:val="001B76F3"/>
    <w:rsid w:val="001B7E50"/>
    <w:rsid w:val="001B7E63"/>
    <w:rsid w:val="001C0DFC"/>
    <w:rsid w:val="001C1023"/>
    <w:rsid w:val="001C2C10"/>
    <w:rsid w:val="001C3325"/>
    <w:rsid w:val="001C46E7"/>
    <w:rsid w:val="001C4A1F"/>
    <w:rsid w:val="001C5043"/>
    <w:rsid w:val="001C6F1E"/>
    <w:rsid w:val="001D00B1"/>
    <w:rsid w:val="001D0B70"/>
    <w:rsid w:val="001D2C96"/>
    <w:rsid w:val="001D4119"/>
    <w:rsid w:val="001D5554"/>
    <w:rsid w:val="001D5EF6"/>
    <w:rsid w:val="001D745A"/>
    <w:rsid w:val="001D745D"/>
    <w:rsid w:val="001E1A1D"/>
    <w:rsid w:val="001E21DA"/>
    <w:rsid w:val="001E343B"/>
    <w:rsid w:val="001E381A"/>
    <w:rsid w:val="001E46B3"/>
    <w:rsid w:val="001F1457"/>
    <w:rsid w:val="001F1CDF"/>
    <w:rsid w:val="001F2257"/>
    <w:rsid w:val="001F2859"/>
    <w:rsid w:val="001F2FD0"/>
    <w:rsid w:val="001F37B6"/>
    <w:rsid w:val="001F37E6"/>
    <w:rsid w:val="001F3C0C"/>
    <w:rsid w:val="001F4721"/>
    <w:rsid w:val="001F66BC"/>
    <w:rsid w:val="001F7D9D"/>
    <w:rsid w:val="001F7EBE"/>
    <w:rsid w:val="001F7FA3"/>
    <w:rsid w:val="002013E1"/>
    <w:rsid w:val="002024FC"/>
    <w:rsid w:val="002030B9"/>
    <w:rsid w:val="002038E0"/>
    <w:rsid w:val="0020414E"/>
    <w:rsid w:val="00205610"/>
    <w:rsid w:val="00205C76"/>
    <w:rsid w:val="00206789"/>
    <w:rsid w:val="00206FBC"/>
    <w:rsid w:val="0020740E"/>
    <w:rsid w:val="00210919"/>
    <w:rsid w:val="00211B96"/>
    <w:rsid w:val="002124CE"/>
    <w:rsid w:val="0021273A"/>
    <w:rsid w:val="002131E1"/>
    <w:rsid w:val="002134DF"/>
    <w:rsid w:val="00213C40"/>
    <w:rsid w:val="002148F3"/>
    <w:rsid w:val="00215041"/>
    <w:rsid w:val="0021522D"/>
    <w:rsid w:val="002156B4"/>
    <w:rsid w:val="002164B0"/>
    <w:rsid w:val="00216A96"/>
    <w:rsid w:val="00217124"/>
    <w:rsid w:val="00220CD2"/>
    <w:rsid w:val="00221096"/>
    <w:rsid w:val="00221155"/>
    <w:rsid w:val="002212D3"/>
    <w:rsid w:val="00221870"/>
    <w:rsid w:val="00221F74"/>
    <w:rsid w:val="002222E6"/>
    <w:rsid w:val="002226F2"/>
    <w:rsid w:val="00223D8C"/>
    <w:rsid w:val="002242F5"/>
    <w:rsid w:val="00224EE9"/>
    <w:rsid w:val="00225562"/>
    <w:rsid w:val="00227CD6"/>
    <w:rsid w:val="00230236"/>
    <w:rsid w:val="00230574"/>
    <w:rsid w:val="0023378A"/>
    <w:rsid w:val="00233B5D"/>
    <w:rsid w:val="00234F24"/>
    <w:rsid w:val="00235B32"/>
    <w:rsid w:val="0024387E"/>
    <w:rsid w:val="00243F9A"/>
    <w:rsid w:val="002450BE"/>
    <w:rsid w:val="00245225"/>
    <w:rsid w:val="002452D4"/>
    <w:rsid w:val="00245676"/>
    <w:rsid w:val="00245B18"/>
    <w:rsid w:val="00247648"/>
    <w:rsid w:val="00250928"/>
    <w:rsid w:val="002509D7"/>
    <w:rsid w:val="002537BD"/>
    <w:rsid w:val="00254417"/>
    <w:rsid w:val="00254D5C"/>
    <w:rsid w:val="002552A1"/>
    <w:rsid w:val="002553C1"/>
    <w:rsid w:val="00256B96"/>
    <w:rsid w:val="00256FE3"/>
    <w:rsid w:val="002575DC"/>
    <w:rsid w:val="00257D91"/>
    <w:rsid w:val="00261309"/>
    <w:rsid w:val="00261677"/>
    <w:rsid w:val="00261723"/>
    <w:rsid w:val="00262225"/>
    <w:rsid w:val="00263960"/>
    <w:rsid w:val="00263AAD"/>
    <w:rsid w:val="00263F3A"/>
    <w:rsid w:val="0026483A"/>
    <w:rsid w:val="002649C5"/>
    <w:rsid w:val="00265E3C"/>
    <w:rsid w:val="002674CD"/>
    <w:rsid w:val="00270345"/>
    <w:rsid w:val="00270DDA"/>
    <w:rsid w:val="00272C5D"/>
    <w:rsid w:val="00277691"/>
    <w:rsid w:val="002777FF"/>
    <w:rsid w:val="0028025A"/>
    <w:rsid w:val="002805E5"/>
    <w:rsid w:val="002817FC"/>
    <w:rsid w:val="0028208B"/>
    <w:rsid w:val="00283DFC"/>
    <w:rsid w:val="0028411A"/>
    <w:rsid w:val="002848BB"/>
    <w:rsid w:val="00287201"/>
    <w:rsid w:val="00287499"/>
    <w:rsid w:val="00297D52"/>
    <w:rsid w:val="002A1610"/>
    <w:rsid w:val="002A37E8"/>
    <w:rsid w:val="002A4E92"/>
    <w:rsid w:val="002A5462"/>
    <w:rsid w:val="002A583B"/>
    <w:rsid w:val="002A5A24"/>
    <w:rsid w:val="002A5E5A"/>
    <w:rsid w:val="002A75E0"/>
    <w:rsid w:val="002A792C"/>
    <w:rsid w:val="002B0444"/>
    <w:rsid w:val="002B0D82"/>
    <w:rsid w:val="002B23E6"/>
    <w:rsid w:val="002B2B51"/>
    <w:rsid w:val="002B31DD"/>
    <w:rsid w:val="002B5455"/>
    <w:rsid w:val="002B5A60"/>
    <w:rsid w:val="002B5CE9"/>
    <w:rsid w:val="002B6380"/>
    <w:rsid w:val="002B6619"/>
    <w:rsid w:val="002C008B"/>
    <w:rsid w:val="002C18BB"/>
    <w:rsid w:val="002C2308"/>
    <w:rsid w:val="002C4825"/>
    <w:rsid w:val="002C5653"/>
    <w:rsid w:val="002C70E4"/>
    <w:rsid w:val="002C71DB"/>
    <w:rsid w:val="002C7D7D"/>
    <w:rsid w:val="002D1F97"/>
    <w:rsid w:val="002D339B"/>
    <w:rsid w:val="002D4297"/>
    <w:rsid w:val="002D5999"/>
    <w:rsid w:val="002D5F47"/>
    <w:rsid w:val="002D6DB0"/>
    <w:rsid w:val="002D73EC"/>
    <w:rsid w:val="002E023A"/>
    <w:rsid w:val="002E1339"/>
    <w:rsid w:val="002E42E9"/>
    <w:rsid w:val="002E4715"/>
    <w:rsid w:val="002E4EFD"/>
    <w:rsid w:val="002E540D"/>
    <w:rsid w:val="002E594B"/>
    <w:rsid w:val="002E67F7"/>
    <w:rsid w:val="002E7318"/>
    <w:rsid w:val="002E77A6"/>
    <w:rsid w:val="002F0256"/>
    <w:rsid w:val="002F15B6"/>
    <w:rsid w:val="002F3692"/>
    <w:rsid w:val="002F3B0B"/>
    <w:rsid w:val="002F46F7"/>
    <w:rsid w:val="002F5641"/>
    <w:rsid w:val="002F5844"/>
    <w:rsid w:val="002F5CBA"/>
    <w:rsid w:val="002F612F"/>
    <w:rsid w:val="002F739A"/>
    <w:rsid w:val="00301043"/>
    <w:rsid w:val="003011C9"/>
    <w:rsid w:val="00302554"/>
    <w:rsid w:val="00302858"/>
    <w:rsid w:val="003028D6"/>
    <w:rsid w:val="0030496A"/>
    <w:rsid w:val="003066ED"/>
    <w:rsid w:val="003073AD"/>
    <w:rsid w:val="00310107"/>
    <w:rsid w:val="00310706"/>
    <w:rsid w:val="00313725"/>
    <w:rsid w:val="0031626C"/>
    <w:rsid w:val="00316906"/>
    <w:rsid w:val="00320004"/>
    <w:rsid w:val="00322D5E"/>
    <w:rsid w:val="00322E73"/>
    <w:rsid w:val="0032321E"/>
    <w:rsid w:val="00323E06"/>
    <w:rsid w:val="00325B56"/>
    <w:rsid w:val="00327921"/>
    <w:rsid w:val="00327CAA"/>
    <w:rsid w:val="00327E05"/>
    <w:rsid w:val="00331CCE"/>
    <w:rsid w:val="00332C79"/>
    <w:rsid w:val="0033443D"/>
    <w:rsid w:val="003353DA"/>
    <w:rsid w:val="0034083F"/>
    <w:rsid w:val="00340A8A"/>
    <w:rsid w:val="003427DD"/>
    <w:rsid w:val="00342959"/>
    <w:rsid w:val="0034515C"/>
    <w:rsid w:val="00346829"/>
    <w:rsid w:val="00350308"/>
    <w:rsid w:val="003523AF"/>
    <w:rsid w:val="00352641"/>
    <w:rsid w:val="003574F1"/>
    <w:rsid w:val="003608B8"/>
    <w:rsid w:val="00360A6C"/>
    <w:rsid w:val="00361205"/>
    <w:rsid w:val="0036172E"/>
    <w:rsid w:val="0036274C"/>
    <w:rsid w:val="00364F0E"/>
    <w:rsid w:val="00366497"/>
    <w:rsid w:val="00367DCA"/>
    <w:rsid w:val="003701AE"/>
    <w:rsid w:val="003717F8"/>
    <w:rsid w:val="003722C0"/>
    <w:rsid w:val="003730D2"/>
    <w:rsid w:val="00373877"/>
    <w:rsid w:val="003744FF"/>
    <w:rsid w:val="00374775"/>
    <w:rsid w:val="003749B1"/>
    <w:rsid w:val="003758E7"/>
    <w:rsid w:val="00375CBF"/>
    <w:rsid w:val="00377382"/>
    <w:rsid w:val="00377861"/>
    <w:rsid w:val="00380981"/>
    <w:rsid w:val="00380A6B"/>
    <w:rsid w:val="00381380"/>
    <w:rsid w:val="00383641"/>
    <w:rsid w:val="00383CA5"/>
    <w:rsid w:val="00384AA5"/>
    <w:rsid w:val="00384D83"/>
    <w:rsid w:val="003852EB"/>
    <w:rsid w:val="00386178"/>
    <w:rsid w:val="003866A3"/>
    <w:rsid w:val="0038692E"/>
    <w:rsid w:val="00387C0E"/>
    <w:rsid w:val="0039072C"/>
    <w:rsid w:val="0039095E"/>
    <w:rsid w:val="003913EC"/>
    <w:rsid w:val="003920BC"/>
    <w:rsid w:val="00392B06"/>
    <w:rsid w:val="0039405B"/>
    <w:rsid w:val="00394433"/>
    <w:rsid w:val="00394B82"/>
    <w:rsid w:val="003950D6"/>
    <w:rsid w:val="003952A7"/>
    <w:rsid w:val="003961A4"/>
    <w:rsid w:val="0039725D"/>
    <w:rsid w:val="00397AEC"/>
    <w:rsid w:val="00397E54"/>
    <w:rsid w:val="003A12AF"/>
    <w:rsid w:val="003A2772"/>
    <w:rsid w:val="003A5BFD"/>
    <w:rsid w:val="003A618A"/>
    <w:rsid w:val="003A77CF"/>
    <w:rsid w:val="003B0263"/>
    <w:rsid w:val="003B09E7"/>
    <w:rsid w:val="003B1C2D"/>
    <w:rsid w:val="003B219E"/>
    <w:rsid w:val="003B2269"/>
    <w:rsid w:val="003B22BE"/>
    <w:rsid w:val="003B24B5"/>
    <w:rsid w:val="003B2DA0"/>
    <w:rsid w:val="003B3898"/>
    <w:rsid w:val="003B6FE3"/>
    <w:rsid w:val="003C0542"/>
    <w:rsid w:val="003C0D9D"/>
    <w:rsid w:val="003C3EC8"/>
    <w:rsid w:val="003C40AE"/>
    <w:rsid w:val="003C6200"/>
    <w:rsid w:val="003C676F"/>
    <w:rsid w:val="003C67A1"/>
    <w:rsid w:val="003C7C43"/>
    <w:rsid w:val="003D1583"/>
    <w:rsid w:val="003D1772"/>
    <w:rsid w:val="003D2951"/>
    <w:rsid w:val="003D3A98"/>
    <w:rsid w:val="003D436E"/>
    <w:rsid w:val="003D4644"/>
    <w:rsid w:val="003D47AE"/>
    <w:rsid w:val="003D4B17"/>
    <w:rsid w:val="003D6362"/>
    <w:rsid w:val="003E026F"/>
    <w:rsid w:val="003E03BF"/>
    <w:rsid w:val="003E3057"/>
    <w:rsid w:val="003E374D"/>
    <w:rsid w:val="003E4D87"/>
    <w:rsid w:val="003E4F83"/>
    <w:rsid w:val="003E5952"/>
    <w:rsid w:val="003F0693"/>
    <w:rsid w:val="003F56C7"/>
    <w:rsid w:val="003F6852"/>
    <w:rsid w:val="004028E5"/>
    <w:rsid w:val="00404B2F"/>
    <w:rsid w:val="00405559"/>
    <w:rsid w:val="00405896"/>
    <w:rsid w:val="00406390"/>
    <w:rsid w:val="00407E91"/>
    <w:rsid w:val="00410777"/>
    <w:rsid w:val="00410B21"/>
    <w:rsid w:val="00411277"/>
    <w:rsid w:val="00412453"/>
    <w:rsid w:val="0042055E"/>
    <w:rsid w:val="004219EF"/>
    <w:rsid w:val="00422868"/>
    <w:rsid w:val="0042301F"/>
    <w:rsid w:val="004239F8"/>
    <w:rsid w:val="00423F40"/>
    <w:rsid w:val="00424140"/>
    <w:rsid w:val="0042750C"/>
    <w:rsid w:val="00430E1C"/>
    <w:rsid w:val="004333D6"/>
    <w:rsid w:val="00434D17"/>
    <w:rsid w:val="00435C98"/>
    <w:rsid w:val="004361D9"/>
    <w:rsid w:val="00440D08"/>
    <w:rsid w:val="00441D78"/>
    <w:rsid w:val="00441D7A"/>
    <w:rsid w:val="00442BB3"/>
    <w:rsid w:val="00443033"/>
    <w:rsid w:val="004430CD"/>
    <w:rsid w:val="0044387A"/>
    <w:rsid w:val="00443F92"/>
    <w:rsid w:val="00445108"/>
    <w:rsid w:val="00445690"/>
    <w:rsid w:val="004459C2"/>
    <w:rsid w:val="004526A2"/>
    <w:rsid w:val="0045379D"/>
    <w:rsid w:val="00455056"/>
    <w:rsid w:val="0045532C"/>
    <w:rsid w:val="004560FB"/>
    <w:rsid w:val="00456E1E"/>
    <w:rsid w:val="004571EB"/>
    <w:rsid w:val="00457982"/>
    <w:rsid w:val="00457D48"/>
    <w:rsid w:val="00460C98"/>
    <w:rsid w:val="00460D7B"/>
    <w:rsid w:val="00460D92"/>
    <w:rsid w:val="0046156A"/>
    <w:rsid w:val="004632A8"/>
    <w:rsid w:val="00463635"/>
    <w:rsid w:val="00464030"/>
    <w:rsid w:val="00464372"/>
    <w:rsid w:val="004646FB"/>
    <w:rsid w:val="00464AAA"/>
    <w:rsid w:val="00466634"/>
    <w:rsid w:val="0047067A"/>
    <w:rsid w:val="004758B6"/>
    <w:rsid w:val="0047764C"/>
    <w:rsid w:val="0048069A"/>
    <w:rsid w:val="00482C87"/>
    <w:rsid w:val="00483A45"/>
    <w:rsid w:val="00483E06"/>
    <w:rsid w:val="00484929"/>
    <w:rsid w:val="00486430"/>
    <w:rsid w:val="004866AA"/>
    <w:rsid w:val="00487FB8"/>
    <w:rsid w:val="00491291"/>
    <w:rsid w:val="00492EFE"/>
    <w:rsid w:val="00493485"/>
    <w:rsid w:val="0049421C"/>
    <w:rsid w:val="0049637E"/>
    <w:rsid w:val="004963E7"/>
    <w:rsid w:val="00496E7B"/>
    <w:rsid w:val="00496F79"/>
    <w:rsid w:val="00497C7B"/>
    <w:rsid w:val="00497D16"/>
    <w:rsid w:val="00497DF7"/>
    <w:rsid w:val="004A059E"/>
    <w:rsid w:val="004A0E54"/>
    <w:rsid w:val="004A28F3"/>
    <w:rsid w:val="004A2D8D"/>
    <w:rsid w:val="004A2EC0"/>
    <w:rsid w:val="004A3CFA"/>
    <w:rsid w:val="004A4375"/>
    <w:rsid w:val="004A4842"/>
    <w:rsid w:val="004A4C91"/>
    <w:rsid w:val="004A5554"/>
    <w:rsid w:val="004A5EC0"/>
    <w:rsid w:val="004A6D7A"/>
    <w:rsid w:val="004B2FDA"/>
    <w:rsid w:val="004B31E1"/>
    <w:rsid w:val="004B4510"/>
    <w:rsid w:val="004B5A6E"/>
    <w:rsid w:val="004B6EA8"/>
    <w:rsid w:val="004B7B02"/>
    <w:rsid w:val="004B7BF8"/>
    <w:rsid w:val="004C0B3F"/>
    <w:rsid w:val="004C0EC9"/>
    <w:rsid w:val="004C193B"/>
    <w:rsid w:val="004C1B91"/>
    <w:rsid w:val="004C2A7F"/>
    <w:rsid w:val="004C4125"/>
    <w:rsid w:val="004C4548"/>
    <w:rsid w:val="004C4FEA"/>
    <w:rsid w:val="004C5302"/>
    <w:rsid w:val="004C61A8"/>
    <w:rsid w:val="004D205D"/>
    <w:rsid w:val="004D309A"/>
    <w:rsid w:val="004D627F"/>
    <w:rsid w:val="004D6D93"/>
    <w:rsid w:val="004E17C5"/>
    <w:rsid w:val="004E232E"/>
    <w:rsid w:val="004E2446"/>
    <w:rsid w:val="004E4000"/>
    <w:rsid w:val="004E5E6F"/>
    <w:rsid w:val="004E6614"/>
    <w:rsid w:val="004E6D0D"/>
    <w:rsid w:val="004E73E3"/>
    <w:rsid w:val="004E7EB0"/>
    <w:rsid w:val="004F009C"/>
    <w:rsid w:val="004F127F"/>
    <w:rsid w:val="004F1796"/>
    <w:rsid w:val="004F3047"/>
    <w:rsid w:val="004F31CF"/>
    <w:rsid w:val="004F3AB4"/>
    <w:rsid w:val="004F5688"/>
    <w:rsid w:val="004F60BD"/>
    <w:rsid w:val="004F6588"/>
    <w:rsid w:val="00500821"/>
    <w:rsid w:val="00500C7B"/>
    <w:rsid w:val="0050314F"/>
    <w:rsid w:val="005035EE"/>
    <w:rsid w:val="00504F68"/>
    <w:rsid w:val="005065DB"/>
    <w:rsid w:val="00506F89"/>
    <w:rsid w:val="0050704D"/>
    <w:rsid w:val="00507969"/>
    <w:rsid w:val="00510042"/>
    <w:rsid w:val="00510A63"/>
    <w:rsid w:val="00513C38"/>
    <w:rsid w:val="00514014"/>
    <w:rsid w:val="00517E30"/>
    <w:rsid w:val="00520B3A"/>
    <w:rsid w:val="00521127"/>
    <w:rsid w:val="005223D8"/>
    <w:rsid w:val="00522EFD"/>
    <w:rsid w:val="005262C5"/>
    <w:rsid w:val="00527DAC"/>
    <w:rsid w:val="005326B5"/>
    <w:rsid w:val="00533447"/>
    <w:rsid w:val="00534124"/>
    <w:rsid w:val="005345B9"/>
    <w:rsid w:val="00534BFF"/>
    <w:rsid w:val="00535EA1"/>
    <w:rsid w:val="005371DF"/>
    <w:rsid w:val="005402D2"/>
    <w:rsid w:val="00540D91"/>
    <w:rsid w:val="00540DC0"/>
    <w:rsid w:val="005426E8"/>
    <w:rsid w:val="00543E91"/>
    <w:rsid w:val="00544166"/>
    <w:rsid w:val="00544608"/>
    <w:rsid w:val="0054467B"/>
    <w:rsid w:val="005446BE"/>
    <w:rsid w:val="00546DB2"/>
    <w:rsid w:val="005475A6"/>
    <w:rsid w:val="00550E8A"/>
    <w:rsid w:val="0055127E"/>
    <w:rsid w:val="005534FD"/>
    <w:rsid w:val="00553896"/>
    <w:rsid w:val="005548CC"/>
    <w:rsid w:val="00554C3A"/>
    <w:rsid w:val="00555F9E"/>
    <w:rsid w:val="00556F16"/>
    <w:rsid w:val="00561DE2"/>
    <w:rsid w:val="0056233B"/>
    <w:rsid w:val="0056276A"/>
    <w:rsid w:val="005629F8"/>
    <w:rsid w:val="0056326E"/>
    <w:rsid w:val="00563D1F"/>
    <w:rsid w:val="005660EC"/>
    <w:rsid w:val="0056671E"/>
    <w:rsid w:val="00567908"/>
    <w:rsid w:val="0057019D"/>
    <w:rsid w:val="00570E5B"/>
    <w:rsid w:val="00571058"/>
    <w:rsid w:val="005731B2"/>
    <w:rsid w:val="00573AC8"/>
    <w:rsid w:val="00576F67"/>
    <w:rsid w:val="00580010"/>
    <w:rsid w:val="005804EC"/>
    <w:rsid w:val="0058178F"/>
    <w:rsid w:val="00583298"/>
    <w:rsid w:val="00585428"/>
    <w:rsid w:val="00586160"/>
    <w:rsid w:val="00586862"/>
    <w:rsid w:val="0058695B"/>
    <w:rsid w:val="00586BBF"/>
    <w:rsid w:val="00592C29"/>
    <w:rsid w:val="0059309F"/>
    <w:rsid w:val="00596E6E"/>
    <w:rsid w:val="005970A8"/>
    <w:rsid w:val="005A0A07"/>
    <w:rsid w:val="005A1F1B"/>
    <w:rsid w:val="005A392F"/>
    <w:rsid w:val="005A3C3F"/>
    <w:rsid w:val="005A3FB6"/>
    <w:rsid w:val="005A571E"/>
    <w:rsid w:val="005A602C"/>
    <w:rsid w:val="005B1883"/>
    <w:rsid w:val="005B1A2F"/>
    <w:rsid w:val="005B40D3"/>
    <w:rsid w:val="005B5EE6"/>
    <w:rsid w:val="005B6A2F"/>
    <w:rsid w:val="005B7820"/>
    <w:rsid w:val="005B7F7D"/>
    <w:rsid w:val="005C0C7C"/>
    <w:rsid w:val="005C14C0"/>
    <w:rsid w:val="005C16D4"/>
    <w:rsid w:val="005C2552"/>
    <w:rsid w:val="005C316D"/>
    <w:rsid w:val="005C4F7B"/>
    <w:rsid w:val="005D0005"/>
    <w:rsid w:val="005D2B0C"/>
    <w:rsid w:val="005D2DB5"/>
    <w:rsid w:val="005D481D"/>
    <w:rsid w:val="005D4E86"/>
    <w:rsid w:val="005D66C9"/>
    <w:rsid w:val="005E263C"/>
    <w:rsid w:val="005E3B83"/>
    <w:rsid w:val="005E4474"/>
    <w:rsid w:val="005E5B0D"/>
    <w:rsid w:val="005E739D"/>
    <w:rsid w:val="005E783B"/>
    <w:rsid w:val="005F214A"/>
    <w:rsid w:val="005F2A15"/>
    <w:rsid w:val="005F2F0E"/>
    <w:rsid w:val="005F30C0"/>
    <w:rsid w:val="005F35F1"/>
    <w:rsid w:val="005F57CA"/>
    <w:rsid w:val="005F58EB"/>
    <w:rsid w:val="005F7100"/>
    <w:rsid w:val="00600087"/>
    <w:rsid w:val="00602279"/>
    <w:rsid w:val="00602769"/>
    <w:rsid w:val="0060298A"/>
    <w:rsid w:val="006046CA"/>
    <w:rsid w:val="006066C3"/>
    <w:rsid w:val="00606910"/>
    <w:rsid w:val="00607960"/>
    <w:rsid w:val="00610139"/>
    <w:rsid w:val="00610801"/>
    <w:rsid w:val="006123C2"/>
    <w:rsid w:val="0061376C"/>
    <w:rsid w:val="00615E1A"/>
    <w:rsid w:val="00617B75"/>
    <w:rsid w:val="00621BD8"/>
    <w:rsid w:val="00622A98"/>
    <w:rsid w:val="00623AEE"/>
    <w:rsid w:val="00623E66"/>
    <w:rsid w:val="006246B8"/>
    <w:rsid w:val="00625632"/>
    <w:rsid w:val="006257C3"/>
    <w:rsid w:val="006261A7"/>
    <w:rsid w:val="00626E3F"/>
    <w:rsid w:val="00627480"/>
    <w:rsid w:val="00627A3A"/>
    <w:rsid w:val="006308EB"/>
    <w:rsid w:val="00630AC4"/>
    <w:rsid w:val="0063135D"/>
    <w:rsid w:val="00631CCB"/>
    <w:rsid w:val="00631DDD"/>
    <w:rsid w:val="00633336"/>
    <w:rsid w:val="006342B8"/>
    <w:rsid w:val="00635492"/>
    <w:rsid w:val="0063596E"/>
    <w:rsid w:val="006400FF"/>
    <w:rsid w:val="00640504"/>
    <w:rsid w:val="00640D7B"/>
    <w:rsid w:val="0064240F"/>
    <w:rsid w:val="006424E1"/>
    <w:rsid w:val="006432C9"/>
    <w:rsid w:val="00643CA9"/>
    <w:rsid w:val="0064495D"/>
    <w:rsid w:val="006476C7"/>
    <w:rsid w:val="006507B0"/>
    <w:rsid w:val="00650FA8"/>
    <w:rsid w:val="006512A0"/>
    <w:rsid w:val="006516E0"/>
    <w:rsid w:val="006528C4"/>
    <w:rsid w:val="00652DD9"/>
    <w:rsid w:val="00653382"/>
    <w:rsid w:val="0065488A"/>
    <w:rsid w:val="00654BF3"/>
    <w:rsid w:val="006550C0"/>
    <w:rsid w:val="00656FB4"/>
    <w:rsid w:val="006578CB"/>
    <w:rsid w:val="006605E0"/>
    <w:rsid w:val="00661548"/>
    <w:rsid w:val="006629CC"/>
    <w:rsid w:val="00662C6E"/>
    <w:rsid w:val="00663900"/>
    <w:rsid w:val="0066492C"/>
    <w:rsid w:val="006723CE"/>
    <w:rsid w:val="0067287A"/>
    <w:rsid w:val="00673947"/>
    <w:rsid w:val="006748D8"/>
    <w:rsid w:val="00675260"/>
    <w:rsid w:val="0067579E"/>
    <w:rsid w:val="00675DBE"/>
    <w:rsid w:val="00677096"/>
    <w:rsid w:val="0068020E"/>
    <w:rsid w:val="00680780"/>
    <w:rsid w:val="006826DF"/>
    <w:rsid w:val="00684B29"/>
    <w:rsid w:val="0068699A"/>
    <w:rsid w:val="00686A6A"/>
    <w:rsid w:val="00686AF9"/>
    <w:rsid w:val="00687512"/>
    <w:rsid w:val="00687805"/>
    <w:rsid w:val="00690356"/>
    <w:rsid w:val="006911E4"/>
    <w:rsid w:val="00692514"/>
    <w:rsid w:val="00692532"/>
    <w:rsid w:val="0069293D"/>
    <w:rsid w:val="00692E0A"/>
    <w:rsid w:val="00693FB9"/>
    <w:rsid w:val="006951AE"/>
    <w:rsid w:val="006958E9"/>
    <w:rsid w:val="00696AA5"/>
    <w:rsid w:val="0069720B"/>
    <w:rsid w:val="0069760C"/>
    <w:rsid w:val="006A0A2A"/>
    <w:rsid w:val="006A0D29"/>
    <w:rsid w:val="006A290F"/>
    <w:rsid w:val="006A3422"/>
    <w:rsid w:val="006A389C"/>
    <w:rsid w:val="006A4BC0"/>
    <w:rsid w:val="006A5B40"/>
    <w:rsid w:val="006A6BB5"/>
    <w:rsid w:val="006A6CC9"/>
    <w:rsid w:val="006A6DA5"/>
    <w:rsid w:val="006B0662"/>
    <w:rsid w:val="006B0973"/>
    <w:rsid w:val="006B1DE4"/>
    <w:rsid w:val="006B2A44"/>
    <w:rsid w:val="006B3A0F"/>
    <w:rsid w:val="006B5441"/>
    <w:rsid w:val="006B5B77"/>
    <w:rsid w:val="006B628D"/>
    <w:rsid w:val="006B79FB"/>
    <w:rsid w:val="006C0959"/>
    <w:rsid w:val="006C29AF"/>
    <w:rsid w:val="006C33A6"/>
    <w:rsid w:val="006C4911"/>
    <w:rsid w:val="006C49FC"/>
    <w:rsid w:val="006C59BD"/>
    <w:rsid w:val="006C60B4"/>
    <w:rsid w:val="006C635E"/>
    <w:rsid w:val="006D1D24"/>
    <w:rsid w:val="006D1D97"/>
    <w:rsid w:val="006D2F67"/>
    <w:rsid w:val="006D741A"/>
    <w:rsid w:val="006E0720"/>
    <w:rsid w:val="006E0F00"/>
    <w:rsid w:val="006E128C"/>
    <w:rsid w:val="006E16D4"/>
    <w:rsid w:val="006E1D4D"/>
    <w:rsid w:val="006E1D4F"/>
    <w:rsid w:val="006E2F9C"/>
    <w:rsid w:val="006E359D"/>
    <w:rsid w:val="006E5499"/>
    <w:rsid w:val="006E613F"/>
    <w:rsid w:val="006E76A1"/>
    <w:rsid w:val="006F036C"/>
    <w:rsid w:val="006F134F"/>
    <w:rsid w:val="006F159F"/>
    <w:rsid w:val="006F1ABE"/>
    <w:rsid w:val="006F22FB"/>
    <w:rsid w:val="006F3477"/>
    <w:rsid w:val="006F5D34"/>
    <w:rsid w:val="006F6AE8"/>
    <w:rsid w:val="007025FF"/>
    <w:rsid w:val="00702815"/>
    <w:rsid w:val="0070356D"/>
    <w:rsid w:val="00703C92"/>
    <w:rsid w:val="00704226"/>
    <w:rsid w:val="007042D1"/>
    <w:rsid w:val="007046B5"/>
    <w:rsid w:val="007063F6"/>
    <w:rsid w:val="00706475"/>
    <w:rsid w:val="00706A81"/>
    <w:rsid w:val="007077C4"/>
    <w:rsid w:val="007117E1"/>
    <w:rsid w:val="00714005"/>
    <w:rsid w:val="00715344"/>
    <w:rsid w:val="0071537D"/>
    <w:rsid w:val="00715F43"/>
    <w:rsid w:val="00716110"/>
    <w:rsid w:val="0071632A"/>
    <w:rsid w:val="007204D7"/>
    <w:rsid w:val="00720DD3"/>
    <w:rsid w:val="007233C3"/>
    <w:rsid w:val="0072429F"/>
    <w:rsid w:val="00725277"/>
    <w:rsid w:val="0072554D"/>
    <w:rsid w:val="007256E3"/>
    <w:rsid w:val="00725964"/>
    <w:rsid w:val="00725E44"/>
    <w:rsid w:val="00726418"/>
    <w:rsid w:val="0073083C"/>
    <w:rsid w:val="007331A5"/>
    <w:rsid w:val="0073448B"/>
    <w:rsid w:val="007352BF"/>
    <w:rsid w:val="00736275"/>
    <w:rsid w:val="007365A9"/>
    <w:rsid w:val="00737776"/>
    <w:rsid w:val="00741378"/>
    <w:rsid w:val="00743E1C"/>
    <w:rsid w:val="00743E2D"/>
    <w:rsid w:val="00743FA4"/>
    <w:rsid w:val="00745AFB"/>
    <w:rsid w:val="00747E49"/>
    <w:rsid w:val="00751634"/>
    <w:rsid w:val="00752B32"/>
    <w:rsid w:val="007559C0"/>
    <w:rsid w:val="00757A3E"/>
    <w:rsid w:val="0076157C"/>
    <w:rsid w:val="007631CE"/>
    <w:rsid w:val="007660DB"/>
    <w:rsid w:val="00766727"/>
    <w:rsid w:val="007704A5"/>
    <w:rsid w:val="00771CB5"/>
    <w:rsid w:val="00772A5C"/>
    <w:rsid w:val="00772A73"/>
    <w:rsid w:val="00773CC6"/>
    <w:rsid w:val="00774467"/>
    <w:rsid w:val="00775A75"/>
    <w:rsid w:val="00775FBA"/>
    <w:rsid w:val="00782782"/>
    <w:rsid w:val="0078324B"/>
    <w:rsid w:val="0078336A"/>
    <w:rsid w:val="00785A5A"/>
    <w:rsid w:val="00786523"/>
    <w:rsid w:val="00786BEC"/>
    <w:rsid w:val="00790AA2"/>
    <w:rsid w:val="00794D6D"/>
    <w:rsid w:val="00795369"/>
    <w:rsid w:val="00796AE5"/>
    <w:rsid w:val="00797F2B"/>
    <w:rsid w:val="007A1E8A"/>
    <w:rsid w:val="007A1E96"/>
    <w:rsid w:val="007A2CDF"/>
    <w:rsid w:val="007A473C"/>
    <w:rsid w:val="007A5592"/>
    <w:rsid w:val="007A73C0"/>
    <w:rsid w:val="007A776B"/>
    <w:rsid w:val="007A7899"/>
    <w:rsid w:val="007A7EFB"/>
    <w:rsid w:val="007B18DD"/>
    <w:rsid w:val="007B3356"/>
    <w:rsid w:val="007B3DFB"/>
    <w:rsid w:val="007B692F"/>
    <w:rsid w:val="007B7727"/>
    <w:rsid w:val="007C184F"/>
    <w:rsid w:val="007C1F7F"/>
    <w:rsid w:val="007C220B"/>
    <w:rsid w:val="007C296D"/>
    <w:rsid w:val="007C5B57"/>
    <w:rsid w:val="007D2EEA"/>
    <w:rsid w:val="007D3A85"/>
    <w:rsid w:val="007D496F"/>
    <w:rsid w:val="007D50FD"/>
    <w:rsid w:val="007D572B"/>
    <w:rsid w:val="007D5ED8"/>
    <w:rsid w:val="007D5FC1"/>
    <w:rsid w:val="007D6809"/>
    <w:rsid w:val="007D7998"/>
    <w:rsid w:val="007E0C44"/>
    <w:rsid w:val="007E1135"/>
    <w:rsid w:val="007E413A"/>
    <w:rsid w:val="007E4C50"/>
    <w:rsid w:val="007E4F0E"/>
    <w:rsid w:val="007E598E"/>
    <w:rsid w:val="007E5BF1"/>
    <w:rsid w:val="007E64A7"/>
    <w:rsid w:val="007F229B"/>
    <w:rsid w:val="007F3D8D"/>
    <w:rsid w:val="007F44E9"/>
    <w:rsid w:val="007F56AB"/>
    <w:rsid w:val="007F715C"/>
    <w:rsid w:val="007F71D2"/>
    <w:rsid w:val="007F72E2"/>
    <w:rsid w:val="00801ADE"/>
    <w:rsid w:val="0080326D"/>
    <w:rsid w:val="0080459D"/>
    <w:rsid w:val="008059CC"/>
    <w:rsid w:val="0080738B"/>
    <w:rsid w:val="008076A5"/>
    <w:rsid w:val="00807E97"/>
    <w:rsid w:val="00810308"/>
    <w:rsid w:val="0081319A"/>
    <w:rsid w:val="008134DC"/>
    <w:rsid w:val="00814504"/>
    <w:rsid w:val="00815581"/>
    <w:rsid w:val="00815715"/>
    <w:rsid w:val="00816CC8"/>
    <w:rsid w:val="00817E73"/>
    <w:rsid w:val="00820288"/>
    <w:rsid w:val="00820661"/>
    <w:rsid w:val="00820859"/>
    <w:rsid w:val="008208DD"/>
    <w:rsid w:val="00820ED7"/>
    <w:rsid w:val="0082368A"/>
    <w:rsid w:val="00824558"/>
    <w:rsid w:val="0082471A"/>
    <w:rsid w:val="00825326"/>
    <w:rsid w:val="00826443"/>
    <w:rsid w:val="00826949"/>
    <w:rsid w:val="00827E54"/>
    <w:rsid w:val="00827EEE"/>
    <w:rsid w:val="008313F1"/>
    <w:rsid w:val="00833123"/>
    <w:rsid w:val="00834BEB"/>
    <w:rsid w:val="00834D72"/>
    <w:rsid w:val="008350D1"/>
    <w:rsid w:val="00835B3D"/>
    <w:rsid w:val="00836101"/>
    <w:rsid w:val="00836957"/>
    <w:rsid w:val="0084135C"/>
    <w:rsid w:val="008436F9"/>
    <w:rsid w:val="00843FA4"/>
    <w:rsid w:val="00844583"/>
    <w:rsid w:val="00845373"/>
    <w:rsid w:val="008468B8"/>
    <w:rsid w:val="008478EC"/>
    <w:rsid w:val="00850B94"/>
    <w:rsid w:val="00850BFD"/>
    <w:rsid w:val="008518F2"/>
    <w:rsid w:val="00852A60"/>
    <w:rsid w:val="00861A5F"/>
    <w:rsid w:val="0086289E"/>
    <w:rsid w:val="0086300A"/>
    <w:rsid w:val="00865047"/>
    <w:rsid w:val="00865DD7"/>
    <w:rsid w:val="00865F77"/>
    <w:rsid w:val="00866005"/>
    <w:rsid w:val="0086691E"/>
    <w:rsid w:val="00870511"/>
    <w:rsid w:val="00871CA4"/>
    <w:rsid w:val="008720C7"/>
    <w:rsid w:val="008735F3"/>
    <w:rsid w:val="00873FBB"/>
    <w:rsid w:val="008754A9"/>
    <w:rsid w:val="00875BB4"/>
    <w:rsid w:val="0087600F"/>
    <w:rsid w:val="00876F83"/>
    <w:rsid w:val="00877145"/>
    <w:rsid w:val="008800BE"/>
    <w:rsid w:val="0088031E"/>
    <w:rsid w:val="00881135"/>
    <w:rsid w:val="00881C84"/>
    <w:rsid w:val="00881E7E"/>
    <w:rsid w:val="00882681"/>
    <w:rsid w:val="0088486A"/>
    <w:rsid w:val="00884F30"/>
    <w:rsid w:val="0088525B"/>
    <w:rsid w:val="00885FC5"/>
    <w:rsid w:val="00886B3C"/>
    <w:rsid w:val="008876A6"/>
    <w:rsid w:val="00887982"/>
    <w:rsid w:val="00890128"/>
    <w:rsid w:val="008905B3"/>
    <w:rsid w:val="0089281E"/>
    <w:rsid w:val="0089317E"/>
    <w:rsid w:val="008937B3"/>
    <w:rsid w:val="0089667F"/>
    <w:rsid w:val="008A0122"/>
    <w:rsid w:val="008A12BD"/>
    <w:rsid w:val="008A1701"/>
    <w:rsid w:val="008A2150"/>
    <w:rsid w:val="008A3BA7"/>
    <w:rsid w:val="008A4B1E"/>
    <w:rsid w:val="008A4CBF"/>
    <w:rsid w:val="008A525F"/>
    <w:rsid w:val="008A6795"/>
    <w:rsid w:val="008B0806"/>
    <w:rsid w:val="008B095F"/>
    <w:rsid w:val="008B0F69"/>
    <w:rsid w:val="008B19BC"/>
    <w:rsid w:val="008B25AF"/>
    <w:rsid w:val="008B292A"/>
    <w:rsid w:val="008B4B01"/>
    <w:rsid w:val="008B594B"/>
    <w:rsid w:val="008B5B71"/>
    <w:rsid w:val="008B638D"/>
    <w:rsid w:val="008B66F4"/>
    <w:rsid w:val="008B6A31"/>
    <w:rsid w:val="008B7A59"/>
    <w:rsid w:val="008C0721"/>
    <w:rsid w:val="008C14EA"/>
    <w:rsid w:val="008C1553"/>
    <w:rsid w:val="008C32C6"/>
    <w:rsid w:val="008C33D0"/>
    <w:rsid w:val="008C501E"/>
    <w:rsid w:val="008C7325"/>
    <w:rsid w:val="008C7513"/>
    <w:rsid w:val="008C7B88"/>
    <w:rsid w:val="008C7DB5"/>
    <w:rsid w:val="008D0BD7"/>
    <w:rsid w:val="008D13E9"/>
    <w:rsid w:val="008D19CF"/>
    <w:rsid w:val="008D3B80"/>
    <w:rsid w:val="008D4B7B"/>
    <w:rsid w:val="008D518A"/>
    <w:rsid w:val="008D77FC"/>
    <w:rsid w:val="008E2EC8"/>
    <w:rsid w:val="008E3814"/>
    <w:rsid w:val="008E4688"/>
    <w:rsid w:val="008E487D"/>
    <w:rsid w:val="008E6158"/>
    <w:rsid w:val="008E7571"/>
    <w:rsid w:val="008E7944"/>
    <w:rsid w:val="008F04AC"/>
    <w:rsid w:val="008F070D"/>
    <w:rsid w:val="008F147D"/>
    <w:rsid w:val="008F5235"/>
    <w:rsid w:val="008F5E4A"/>
    <w:rsid w:val="008F5F4F"/>
    <w:rsid w:val="008F60D5"/>
    <w:rsid w:val="008F6356"/>
    <w:rsid w:val="008F7978"/>
    <w:rsid w:val="00900953"/>
    <w:rsid w:val="00902B68"/>
    <w:rsid w:val="009058DD"/>
    <w:rsid w:val="00906012"/>
    <w:rsid w:val="00912071"/>
    <w:rsid w:val="00912916"/>
    <w:rsid w:val="00912D36"/>
    <w:rsid w:val="00913F4D"/>
    <w:rsid w:val="00914169"/>
    <w:rsid w:val="009143E9"/>
    <w:rsid w:val="009144E0"/>
    <w:rsid w:val="00915ABF"/>
    <w:rsid w:val="0091734A"/>
    <w:rsid w:val="0091742C"/>
    <w:rsid w:val="00917BBC"/>
    <w:rsid w:val="00921900"/>
    <w:rsid w:val="00921CB6"/>
    <w:rsid w:val="00922E43"/>
    <w:rsid w:val="009243CA"/>
    <w:rsid w:val="00924BDE"/>
    <w:rsid w:val="00925CBC"/>
    <w:rsid w:val="00926244"/>
    <w:rsid w:val="00927686"/>
    <w:rsid w:val="0093012B"/>
    <w:rsid w:val="0093241C"/>
    <w:rsid w:val="0093304F"/>
    <w:rsid w:val="009339C0"/>
    <w:rsid w:val="00934904"/>
    <w:rsid w:val="00934D76"/>
    <w:rsid w:val="009350B3"/>
    <w:rsid w:val="00935286"/>
    <w:rsid w:val="00935319"/>
    <w:rsid w:val="00942446"/>
    <w:rsid w:val="009429CE"/>
    <w:rsid w:val="0094359F"/>
    <w:rsid w:val="00944063"/>
    <w:rsid w:val="00944FCF"/>
    <w:rsid w:val="009459A4"/>
    <w:rsid w:val="0095040A"/>
    <w:rsid w:val="0095126F"/>
    <w:rsid w:val="00951701"/>
    <w:rsid w:val="00951768"/>
    <w:rsid w:val="009517E9"/>
    <w:rsid w:val="009536C7"/>
    <w:rsid w:val="00954421"/>
    <w:rsid w:val="00954528"/>
    <w:rsid w:val="009555F7"/>
    <w:rsid w:val="009557FF"/>
    <w:rsid w:val="009562E0"/>
    <w:rsid w:val="00957201"/>
    <w:rsid w:val="0096174A"/>
    <w:rsid w:val="00961DD8"/>
    <w:rsid w:val="009626B7"/>
    <w:rsid w:val="00962E83"/>
    <w:rsid w:val="00964228"/>
    <w:rsid w:val="00964AE0"/>
    <w:rsid w:val="00965B1D"/>
    <w:rsid w:val="00965EF0"/>
    <w:rsid w:val="00966A4E"/>
    <w:rsid w:val="00970BCD"/>
    <w:rsid w:val="009718F1"/>
    <w:rsid w:val="0097211D"/>
    <w:rsid w:val="00972BCF"/>
    <w:rsid w:val="00973A26"/>
    <w:rsid w:val="0097402E"/>
    <w:rsid w:val="00974CEE"/>
    <w:rsid w:val="009752F8"/>
    <w:rsid w:val="0097612D"/>
    <w:rsid w:val="00977989"/>
    <w:rsid w:val="00977C53"/>
    <w:rsid w:val="00982CDB"/>
    <w:rsid w:val="00982F62"/>
    <w:rsid w:val="0098498B"/>
    <w:rsid w:val="00986397"/>
    <w:rsid w:val="00987D0E"/>
    <w:rsid w:val="0099019F"/>
    <w:rsid w:val="0099281B"/>
    <w:rsid w:val="00993BA0"/>
    <w:rsid w:val="00994521"/>
    <w:rsid w:val="009947D9"/>
    <w:rsid w:val="009964C4"/>
    <w:rsid w:val="00997D5D"/>
    <w:rsid w:val="009A030D"/>
    <w:rsid w:val="009A0960"/>
    <w:rsid w:val="009A0ACB"/>
    <w:rsid w:val="009A1567"/>
    <w:rsid w:val="009A2E76"/>
    <w:rsid w:val="009A4C76"/>
    <w:rsid w:val="009A6497"/>
    <w:rsid w:val="009A66B4"/>
    <w:rsid w:val="009A696F"/>
    <w:rsid w:val="009B2971"/>
    <w:rsid w:val="009B47AE"/>
    <w:rsid w:val="009B483A"/>
    <w:rsid w:val="009B4977"/>
    <w:rsid w:val="009B6673"/>
    <w:rsid w:val="009B6A61"/>
    <w:rsid w:val="009B7180"/>
    <w:rsid w:val="009B718F"/>
    <w:rsid w:val="009C0B20"/>
    <w:rsid w:val="009C1AF1"/>
    <w:rsid w:val="009C1B1B"/>
    <w:rsid w:val="009C1DA4"/>
    <w:rsid w:val="009C21CB"/>
    <w:rsid w:val="009C54EA"/>
    <w:rsid w:val="009C6BA0"/>
    <w:rsid w:val="009C77C0"/>
    <w:rsid w:val="009C7AF8"/>
    <w:rsid w:val="009D001C"/>
    <w:rsid w:val="009D1576"/>
    <w:rsid w:val="009D17C9"/>
    <w:rsid w:val="009D2095"/>
    <w:rsid w:val="009D273B"/>
    <w:rsid w:val="009D45E8"/>
    <w:rsid w:val="009D7C42"/>
    <w:rsid w:val="009E1E1C"/>
    <w:rsid w:val="009E337A"/>
    <w:rsid w:val="009E5591"/>
    <w:rsid w:val="009E5694"/>
    <w:rsid w:val="009E5EF0"/>
    <w:rsid w:val="009E70D6"/>
    <w:rsid w:val="009F00D9"/>
    <w:rsid w:val="009F09D7"/>
    <w:rsid w:val="009F0C7B"/>
    <w:rsid w:val="009F1090"/>
    <w:rsid w:val="009F2ACE"/>
    <w:rsid w:val="009F3144"/>
    <w:rsid w:val="009F3922"/>
    <w:rsid w:val="009F396F"/>
    <w:rsid w:val="009F6A49"/>
    <w:rsid w:val="009F7BD1"/>
    <w:rsid w:val="00A006D1"/>
    <w:rsid w:val="00A00CE0"/>
    <w:rsid w:val="00A0104D"/>
    <w:rsid w:val="00A02FF2"/>
    <w:rsid w:val="00A04704"/>
    <w:rsid w:val="00A04B4C"/>
    <w:rsid w:val="00A0715F"/>
    <w:rsid w:val="00A105AC"/>
    <w:rsid w:val="00A120B1"/>
    <w:rsid w:val="00A123EE"/>
    <w:rsid w:val="00A13C70"/>
    <w:rsid w:val="00A13DF7"/>
    <w:rsid w:val="00A1474B"/>
    <w:rsid w:val="00A21F42"/>
    <w:rsid w:val="00A23630"/>
    <w:rsid w:val="00A24856"/>
    <w:rsid w:val="00A251DF"/>
    <w:rsid w:val="00A264DF"/>
    <w:rsid w:val="00A26EED"/>
    <w:rsid w:val="00A27D72"/>
    <w:rsid w:val="00A30040"/>
    <w:rsid w:val="00A303BD"/>
    <w:rsid w:val="00A316CD"/>
    <w:rsid w:val="00A328D7"/>
    <w:rsid w:val="00A332EF"/>
    <w:rsid w:val="00A356B8"/>
    <w:rsid w:val="00A35A67"/>
    <w:rsid w:val="00A35FA6"/>
    <w:rsid w:val="00A36B96"/>
    <w:rsid w:val="00A36DBB"/>
    <w:rsid w:val="00A36FF4"/>
    <w:rsid w:val="00A417FF"/>
    <w:rsid w:val="00A427BE"/>
    <w:rsid w:val="00A431AB"/>
    <w:rsid w:val="00A44E21"/>
    <w:rsid w:val="00A4539B"/>
    <w:rsid w:val="00A45E85"/>
    <w:rsid w:val="00A4664E"/>
    <w:rsid w:val="00A469BE"/>
    <w:rsid w:val="00A476EA"/>
    <w:rsid w:val="00A4793B"/>
    <w:rsid w:val="00A506BD"/>
    <w:rsid w:val="00A5106F"/>
    <w:rsid w:val="00A51398"/>
    <w:rsid w:val="00A516C3"/>
    <w:rsid w:val="00A51A2D"/>
    <w:rsid w:val="00A51B22"/>
    <w:rsid w:val="00A51C62"/>
    <w:rsid w:val="00A534D3"/>
    <w:rsid w:val="00A54D5C"/>
    <w:rsid w:val="00A55E4C"/>
    <w:rsid w:val="00A57844"/>
    <w:rsid w:val="00A60F6F"/>
    <w:rsid w:val="00A60FE9"/>
    <w:rsid w:val="00A62C5E"/>
    <w:rsid w:val="00A634E8"/>
    <w:rsid w:val="00A647FE"/>
    <w:rsid w:val="00A65303"/>
    <w:rsid w:val="00A6577D"/>
    <w:rsid w:val="00A67724"/>
    <w:rsid w:val="00A67DC7"/>
    <w:rsid w:val="00A67E21"/>
    <w:rsid w:val="00A70EE7"/>
    <w:rsid w:val="00A7163E"/>
    <w:rsid w:val="00A71796"/>
    <w:rsid w:val="00A729AD"/>
    <w:rsid w:val="00A73729"/>
    <w:rsid w:val="00A739F8"/>
    <w:rsid w:val="00A75140"/>
    <w:rsid w:val="00A75AF5"/>
    <w:rsid w:val="00A75B32"/>
    <w:rsid w:val="00A7689D"/>
    <w:rsid w:val="00A77606"/>
    <w:rsid w:val="00A81A36"/>
    <w:rsid w:val="00A821C1"/>
    <w:rsid w:val="00A839D7"/>
    <w:rsid w:val="00A83C51"/>
    <w:rsid w:val="00A857A1"/>
    <w:rsid w:val="00A87003"/>
    <w:rsid w:val="00A9026F"/>
    <w:rsid w:val="00A90A2A"/>
    <w:rsid w:val="00A91125"/>
    <w:rsid w:val="00A914C0"/>
    <w:rsid w:val="00A91EA0"/>
    <w:rsid w:val="00A92EBC"/>
    <w:rsid w:val="00A937F7"/>
    <w:rsid w:val="00A945D1"/>
    <w:rsid w:val="00A94F29"/>
    <w:rsid w:val="00A95252"/>
    <w:rsid w:val="00A95B42"/>
    <w:rsid w:val="00AA056A"/>
    <w:rsid w:val="00AA2AC5"/>
    <w:rsid w:val="00AA4562"/>
    <w:rsid w:val="00AA494B"/>
    <w:rsid w:val="00AA51C7"/>
    <w:rsid w:val="00AA5268"/>
    <w:rsid w:val="00AA65F3"/>
    <w:rsid w:val="00AA74B5"/>
    <w:rsid w:val="00AB1D2B"/>
    <w:rsid w:val="00AB1D7F"/>
    <w:rsid w:val="00AB27DB"/>
    <w:rsid w:val="00AB2A84"/>
    <w:rsid w:val="00AB302C"/>
    <w:rsid w:val="00AB3777"/>
    <w:rsid w:val="00AB4218"/>
    <w:rsid w:val="00AB4DBC"/>
    <w:rsid w:val="00AB5FF6"/>
    <w:rsid w:val="00AB70CA"/>
    <w:rsid w:val="00AC1C7F"/>
    <w:rsid w:val="00AC26DB"/>
    <w:rsid w:val="00AC3080"/>
    <w:rsid w:val="00AC315C"/>
    <w:rsid w:val="00AC3419"/>
    <w:rsid w:val="00AC4E3D"/>
    <w:rsid w:val="00AC51C7"/>
    <w:rsid w:val="00AC531E"/>
    <w:rsid w:val="00AC6CC6"/>
    <w:rsid w:val="00AC79FF"/>
    <w:rsid w:val="00AD10E6"/>
    <w:rsid w:val="00AD10F3"/>
    <w:rsid w:val="00AD1723"/>
    <w:rsid w:val="00AD4524"/>
    <w:rsid w:val="00AD56CB"/>
    <w:rsid w:val="00AD6E28"/>
    <w:rsid w:val="00AE0021"/>
    <w:rsid w:val="00AE0ADB"/>
    <w:rsid w:val="00AE1119"/>
    <w:rsid w:val="00AE15BB"/>
    <w:rsid w:val="00AE497C"/>
    <w:rsid w:val="00AE522D"/>
    <w:rsid w:val="00AE5A11"/>
    <w:rsid w:val="00AE5D66"/>
    <w:rsid w:val="00AE6DEE"/>
    <w:rsid w:val="00AF00A1"/>
    <w:rsid w:val="00AF0700"/>
    <w:rsid w:val="00AF0A32"/>
    <w:rsid w:val="00AF1898"/>
    <w:rsid w:val="00AF2543"/>
    <w:rsid w:val="00AF2587"/>
    <w:rsid w:val="00AF29CD"/>
    <w:rsid w:val="00AF334C"/>
    <w:rsid w:val="00AF4285"/>
    <w:rsid w:val="00AF5BCD"/>
    <w:rsid w:val="00AF5C0F"/>
    <w:rsid w:val="00AF6071"/>
    <w:rsid w:val="00AF64F3"/>
    <w:rsid w:val="00B01A3D"/>
    <w:rsid w:val="00B041BE"/>
    <w:rsid w:val="00B10CC5"/>
    <w:rsid w:val="00B10F70"/>
    <w:rsid w:val="00B11331"/>
    <w:rsid w:val="00B11523"/>
    <w:rsid w:val="00B13EB5"/>
    <w:rsid w:val="00B15757"/>
    <w:rsid w:val="00B15C45"/>
    <w:rsid w:val="00B17797"/>
    <w:rsid w:val="00B212FC"/>
    <w:rsid w:val="00B225FF"/>
    <w:rsid w:val="00B2292D"/>
    <w:rsid w:val="00B23541"/>
    <w:rsid w:val="00B2361B"/>
    <w:rsid w:val="00B244BD"/>
    <w:rsid w:val="00B25192"/>
    <w:rsid w:val="00B25938"/>
    <w:rsid w:val="00B25D43"/>
    <w:rsid w:val="00B26F7C"/>
    <w:rsid w:val="00B27D98"/>
    <w:rsid w:val="00B30174"/>
    <w:rsid w:val="00B319EF"/>
    <w:rsid w:val="00B31D08"/>
    <w:rsid w:val="00B332F7"/>
    <w:rsid w:val="00B33949"/>
    <w:rsid w:val="00B34153"/>
    <w:rsid w:val="00B351AA"/>
    <w:rsid w:val="00B35C6C"/>
    <w:rsid w:val="00B36F33"/>
    <w:rsid w:val="00B40386"/>
    <w:rsid w:val="00B40F21"/>
    <w:rsid w:val="00B431B8"/>
    <w:rsid w:val="00B43591"/>
    <w:rsid w:val="00B4417A"/>
    <w:rsid w:val="00B447FB"/>
    <w:rsid w:val="00B44880"/>
    <w:rsid w:val="00B4504D"/>
    <w:rsid w:val="00B4533C"/>
    <w:rsid w:val="00B45F43"/>
    <w:rsid w:val="00B467DC"/>
    <w:rsid w:val="00B469C5"/>
    <w:rsid w:val="00B4778C"/>
    <w:rsid w:val="00B50FFD"/>
    <w:rsid w:val="00B51063"/>
    <w:rsid w:val="00B53239"/>
    <w:rsid w:val="00B53AD7"/>
    <w:rsid w:val="00B53C11"/>
    <w:rsid w:val="00B540E8"/>
    <w:rsid w:val="00B54B77"/>
    <w:rsid w:val="00B5513E"/>
    <w:rsid w:val="00B55E1C"/>
    <w:rsid w:val="00B56B10"/>
    <w:rsid w:val="00B57735"/>
    <w:rsid w:val="00B608F2"/>
    <w:rsid w:val="00B60F73"/>
    <w:rsid w:val="00B61591"/>
    <w:rsid w:val="00B65132"/>
    <w:rsid w:val="00B65AEF"/>
    <w:rsid w:val="00B66326"/>
    <w:rsid w:val="00B6639B"/>
    <w:rsid w:val="00B665C7"/>
    <w:rsid w:val="00B667F9"/>
    <w:rsid w:val="00B66C39"/>
    <w:rsid w:val="00B67888"/>
    <w:rsid w:val="00B67EE1"/>
    <w:rsid w:val="00B67F8E"/>
    <w:rsid w:val="00B7163B"/>
    <w:rsid w:val="00B71788"/>
    <w:rsid w:val="00B71E6B"/>
    <w:rsid w:val="00B7254C"/>
    <w:rsid w:val="00B72578"/>
    <w:rsid w:val="00B73241"/>
    <w:rsid w:val="00B74531"/>
    <w:rsid w:val="00B745AD"/>
    <w:rsid w:val="00B746DC"/>
    <w:rsid w:val="00B76103"/>
    <w:rsid w:val="00B773E5"/>
    <w:rsid w:val="00B77A8F"/>
    <w:rsid w:val="00B77FF4"/>
    <w:rsid w:val="00B80ED1"/>
    <w:rsid w:val="00B81BAE"/>
    <w:rsid w:val="00B81F5A"/>
    <w:rsid w:val="00B84FCF"/>
    <w:rsid w:val="00B87B44"/>
    <w:rsid w:val="00B907C0"/>
    <w:rsid w:val="00B92573"/>
    <w:rsid w:val="00B9411E"/>
    <w:rsid w:val="00B94EFA"/>
    <w:rsid w:val="00B94FEF"/>
    <w:rsid w:val="00B96191"/>
    <w:rsid w:val="00B967F3"/>
    <w:rsid w:val="00BA071E"/>
    <w:rsid w:val="00BA18FC"/>
    <w:rsid w:val="00BA25E0"/>
    <w:rsid w:val="00BA5226"/>
    <w:rsid w:val="00BA533C"/>
    <w:rsid w:val="00BA5AB0"/>
    <w:rsid w:val="00BA6FC0"/>
    <w:rsid w:val="00BB0210"/>
    <w:rsid w:val="00BB0C23"/>
    <w:rsid w:val="00BB17D2"/>
    <w:rsid w:val="00BB4105"/>
    <w:rsid w:val="00BB4D1B"/>
    <w:rsid w:val="00BB56D5"/>
    <w:rsid w:val="00BB70CF"/>
    <w:rsid w:val="00BB7739"/>
    <w:rsid w:val="00BC2583"/>
    <w:rsid w:val="00BC570B"/>
    <w:rsid w:val="00BC6ED2"/>
    <w:rsid w:val="00BD04A5"/>
    <w:rsid w:val="00BD0D0A"/>
    <w:rsid w:val="00BD13A0"/>
    <w:rsid w:val="00BD1E64"/>
    <w:rsid w:val="00BD3B5B"/>
    <w:rsid w:val="00BD4F77"/>
    <w:rsid w:val="00BD57A4"/>
    <w:rsid w:val="00BD5833"/>
    <w:rsid w:val="00BD5DBC"/>
    <w:rsid w:val="00BD6C3F"/>
    <w:rsid w:val="00BD70F4"/>
    <w:rsid w:val="00BD714E"/>
    <w:rsid w:val="00BD747A"/>
    <w:rsid w:val="00BE0F14"/>
    <w:rsid w:val="00BE4057"/>
    <w:rsid w:val="00BE45DF"/>
    <w:rsid w:val="00BE5CF1"/>
    <w:rsid w:val="00BE66B8"/>
    <w:rsid w:val="00BE7BC0"/>
    <w:rsid w:val="00BF000D"/>
    <w:rsid w:val="00BF1FC6"/>
    <w:rsid w:val="00BF20B1"/>
    <w:rsid w:val="00BF29F7"/>
    <w:rsid w:val="00BF3A19"/>
    <w:rsid w:val="00BF448F"/>
    <w:rsid w:val="00BF66F7"/>
    <w:rsid w:val="00BF6884"/>
    <w:rsid w:val="00BF6F73"/>
    <w:rsid w:val="00BF7BE5"/>
    <w:rsid w:val="00C00E64"/>
    <w:rsid w:val="00C00E95"/>
    <w:rsid w:val="00C01274"/>
    <w:rsid w:val="00C01645"/>
    <w:rsid w:val="00C0262B"/>
    <w:rsid w:val="00C027DD"/>
    <w:rsid w:val="00C02A34"/>
    <w:rsid w:val="00C03348"/>
    <w:rsid w:val="00C03BF0"/>
    <w:rsid w:val="00C049F3"/>
    <w:rsid w:val="00C04A8E"/>
    <w:rsid w:val="00C05D81"/>
    <w:rsid w:val="00C06548"/>
    <w:rsid w:val="00C071F1"/>
    <w:rsid w:val="00C10242"/>
    <w:rsid w:val="00C1154D"/>
    <w:rsid w:val="00C13A3C"/>
    <w:rsid w:val="00C140AA"/>
    <w:rsid w:val="00C17439"/>
    <w:rsid w:val="00C209EA"/>
    <w:rsid w:val="00C219CB"/>
    <w:rsid w:val="00C2222F"/>
    <w:rsid w:val="00C22E23"/>
    <w:rsid w:val="00C23B85"/>
    <w:rsid w:val="00C24E1F"/>
    <w:rsid w:val="00C2602A"/>
    <w:rsid w:val="00C27227"/>
    <w:rsid w:val="00C30014"/>
    <w:rsid w:val="00C300C1"/>
    <w:rsid w:val="00C305D2"/>
    <w:rsid w:val="00C30C3C"/>
    <w:rsid w:val="00C30EEC"/>
    <w:rsid w:val="00C30FA7"/>
    <w:rsid w:val="00C31699"/>
    <w:rsid w:val="00C32181"/>
    <w:rsid w:val="00C32469"/>
    <w:rsid w:val="00C3294B"/>
    <w:rsid w:val="00C32EA4"/>
    <w:rsid w:val="00C3435A"/>
    <w:rsid w:val="00C364C9"/>
    <w:rsid w:val="00C37101"/>
    <w:rsid w:val="00C37BFD"/>
    <w:rsid w:val="00C37EFD"/>
    <w:rsid w:val="00C40CA9"/>
    <w:rsid w:val="00C40F89"/>
    <w:rsid w:val="00C422A5"/>
    <w:rsid w:val="00C42565"/>
    <w:rsid w:val="00C42C26"/>
    <w:rsid w:val="00C43AC1"/>
    <w:rsid w:val="00C44F5E"/>
    <w:rsid w:val="00C46815"/>
    <w:rsid w:val="00C4791C"/>
    <w:rsid w:val="00C53390"/>
    <w:rsid w:val="00C535DD"/>
    <w:rsid w:val="00C5378F"/>
    <w:rsid w:val="00C53DBD"/>
    <w:rsid w:val="00C5404E"/>
    <w:rsid w:val="00C56963"/>
    <w:rsid w:val="00C5727C"/>
    <w:rsid w:val="00C6038E"/>
    <w:rsid w:val="00C61FB0"/>
    <w:rsid w:val="00C66196"/>
    <w:rsid w:val="00C66852"/>
    <w:rsid w:val="00C67499"/>
    <w:rsid w:val="00C702D2"/>
    <w:rsid w:val="00C720FF"/>
    <w:rsid w:val="00C72301"/>
    <w:rsid w:val="00C72347"/>
    <w:rsid w:val="00C74F2B"/>
    <w:rsid w:val="00C75C67"/>
    <w:rsid w:val="00C76FBE"/>
    <w:rsid w:val="00C7741B"/>
    <w:rsid w:val="00C77905"/>
    <w:rsid w:val="00C8122C"/>
    <w:rsid w:val="00C82A69"/>
    <w:rsid w:val="00C82FDC"/>
    <w:rsid w:val="00C8397A"/>
    <w:rsid w:val="00C8414D"/>
    <w:rsid w:val="00C854CB"/>
    <w:rsid w:val="00C85B6D"/>
    <w:rsid w:val="00C85D6E"/>
    <w:rsid w:val="00C92298"/>
    <w:rsid w:val="00C92DB2"/>
    <w:rsid w:val="00C93370"/>
    <w:rsid w:val="00C9415E"/>
    <w:rsid w:val="00CA1601"/>
    <w:rsid w:val="00CA24BA"/>
    <w:rsid w:val="00CA4829"/>
    <w:rsid w:val="00CA4AF9"/>
    <w:rsid w:val="00CA4B23"/>
    <w:rsid w:val="00CA618C"/>
    <w:rsid w:val="00CA6A46"/>
    <w:rsid w:val="00CA6A4F"/>
    <w:rsid w:val="00CA6F27"/>
    <w:rsid w:val="00CB067E"/>
    <w:rsid w:val="00CB0896"/>
    <w:rsid w:val="00CB09CC"/>
    <w:rsid w:val="00CB1FDE"/>
    <w:rsid w:val="00CB260C"/>
    <w:rsid w:val="00CB30F4"/>
    <w:rsid w:val="00CB32FF"/>
    <w:rsid w:val="00CB37DE"/>
    <w:rsid w:val="00CB3FC7"/>
    <w:rsid w:val="00CB43B9"/>
    <w:rsid w:val="00CB4817"/>
    <w:rsid w:val="00CB4989"/>
    <w:rsid w:val="00CB6052"/>
    <w:rsid w:val="00CB6C23"/>
    <w:rsid w:val="00CB7335"/>
    <w:rsid w:val="00CC323D"/>
    <w:rsid w:val="00CC37E4"/>
    <w:rsid w:val="00CC39F7"/>
    <w:rsid w:val="00CC3A69"/>
    <w:rsid w:val="00CC3E20"/>
    <w:rsid w:val="00CC47BF"/>
    <w:rsid w:val="00CC5556"/>
    <w:rsid w:val="00CC6BF5"/>
    <w:rsid w:val="00CC6DAE"/>
    <w:rsid w:val="00CD318C"/>
    <w:rsid w:val="00CD4CBF"/>
    <w:rsid w:val="00CD4D3D"/>
    <w:rsid w:val="00CD606C"/>
    <w:rsid w:val="00CE0BB1"/>
    <w:rsid w:val="00CE1183"/>
    <w:rsid w:val="00CE174C"/>
    <w:rsid w:val="00CE351D"/>
    <w:rsid w:val="00CE56A1"/>
    <w:rsid w:val="00CE7A46"/>
    <w:rsid w:val="00CE7B46"/>
    <w:rsid w:val="00CF0EBA"/>
    <w:rsid w:val="00CF10C4"/>
    <w:rsid w:val="00CF18E7"/>
    <w:rsid w:val="00CF1E82"/>
    <w:rsid w:val="00CF24D8"/>
    <w:rsid w:val="00CF424B"/>
    <w:rsid w:val="00CF4C03"/>
    <w:rsid w:val="00CF6E18"/>
    <w:rsid w:val="00CF70F2"/>
    <w:rsid w:val="00CF7351"/>
    <w:rsid w:val="00CF74F4"/>
    <w:rsid w:val="00CF7854"/>
    <w:rsid w:val="00D00861"/>
    <w:rsid w:val="00D00D84"/>
    <w:rsid w:val="00D00E4C"/>
    <w:rsid w:val="00D00E88"/>
    <w:rsid w:val="00D026CE"/>
    <w:rsid w:val="00D031F6"/>
    <w:rsid w:val="00D03D3D"/>
    <w:rsid w:val="00D05288"/>
    <w:rsid w:val="00D121DC"/>
    <w:rsid w:val="00D13777"/>
    <w:rsid w:val="00D149B3"/>
    <w:rsid w:val="00D154D7"/>
    <w:rsid w:val="00D16BC6"/>
    <w:rsid w:val="00D17A10"/>
    <w:rsid w:val="00D17AA8"/>
    <w:rsid w:val="00D20FB9"/>
    <w:rsid w:val="00D2175D"/>
    <w:rsid w:val="00D21801"/>
    <w:rsid w:val="00D233EF"/>
    <w:rsid w:val="00D238CE"/>
    <w:rsid w:val="00D23BC8"/>
    <w:rsid w:val="00D23BD7"/>
    <w:rsid w:val="00D24BAA"/>
    <w:rsid w:val="00D24D9E"/>
    <w:rsid w:val="00D24F81"/>
    <w:rsid w:val="00D276A5"/>
    <w:rsid w:val="00D30678"/>
    <w:rsid w:val="00D31916"/>
    <w:rsid w:val="00D31E94"/>
    <w:rsid w:val="00D3250C"/>
    <w:rsid w:val="00D32CAA"/>
    <w:rsid w:val="00D3537C"/>
    <w:rsid w:val="00D35DF8"/>
    <w:rsid w:val="00D3677B"/>
    <w:rsid w:val="00D3679B"/>
    <w:rsid w:val="00D400E1"/>
    <w:rsid w:val="00D460C8"/>
    <w:rsid w:val="00D46102"/>
    <w:rsid w:val="00D47A5E"/>
    <w:rsid w:val="00D50C41"/>
    <w:rsid w:val="00D514E2"/>
    <w:rsid w:val="00D5225D"/>
    <w:rsid w:val="00D52BE2"/>
    <w:rsid w:val="00D557B1"/>
    <w:rsid w:val="00D55B1A"/>
    <w:rsid w:val="00D56BB8"/>
    <w:rsid w:val="00D5702D"/>
    <w:rsid w:val="00D57BCC"/>
    <w:rsid w:val="00D60227"/>
    <w:rsid w:val="00D6125E"/>
    <w:rsid w:val="00D6482B"/>
    <w:rsid w:val="00D65E4D"/>
    <w:rsid w:val="00D6687B"/>
    <w:rsid w:val="00D73297"/>
    <w:rsid w:val="00D7356E"/>
    <w:rsid w:val="00D74340"/>
    <w:rsid w:val="00D74AC7"/>
    <w:rsid w:val="00D75980"/>
    <w:rsid w:val="00D75E97"/>
    <w:rsid w:val="00D77AEB"/>
    <w:rsid w:val="00D8299A"/>
    <w:rsid w:val="00D83482"/>
    <w:rsid w:val="00D8396D"/>
    <w:rsid w:val="00D8463C"/>
    <w:rsid w:val="00D8470B"/>
    <w:rsid w:val="00D86F83"/>
    <w:rsid w:val="00D9029C"/>
    <w:rsid w:val="00D903B5"/>
    <w:rsid w:val="00D9208C"/>
    <w:rsid w:val="00D92BE6"/>
    <w:rsid w:val="00D94645"/>
    <w:rsid w:val="00D95291"/>
    <w:rsid w:val="00D96225"/>
    <w:rsid w:val="00D969FF"/>
    <w:rsid w:val="00D96A70"/>
    <w:rsid w:val="00D97742"/>
    <w:rsid w:val="00DA0B73"/>
    <w:rsid w:val="00DA1087"/>
    <w:rsid w:val="00DA1C0E"/>
    <w:rsid w:val="00DA309E"/>
    <w:rsid w:val="00DA3220"/>
    <w:rsid w:val="00DA452D"/>
    <w:rsid w:val="00DA50F0"/>
    <w:rsid w:val="00DA52BE"/>
    <w:rsid w:val="00DA5961"/>
    <w:rsid w:val="00DB0D59"/>
    <w:rsid w:val="00DB1589"/>
    <w:rsid w:val="00DB15C7"/>
    <w:rsid w:val="00DB179C"/>
    <w:rsid w:val="00DB1CD1"/>
    <w:rsid w:val="00DB221D"/>
    <w:rsid w:val="00DB3579"/>
    <w:rsid w:val="00DB52AF"/>
    <w:rsid w:val="00DB6D58"/>
    <w:rsid w:val="00DB7603"/>
    <w:rsid w:val="00DC02DA"/>
    <w:rsid w:val="00DC1890"/>
    <w:rsid w:val="00DC1DE9"/>
    <w:rsid w:val="00DC2097"/>
    <w:rsid w:val="00DC30DC"/>
    <w:rsid w:val="00DC3A0A"/>
    <w:rsid w:val="00DC3C22"/>
    <w:rsid w:val="00DC61E5"/>
    <w:rsid w:val="00DC64AA"/>
    <w:rsid w:val="00DC771F"/>
    <w:rsid w:val="00DD099A"/>
    <w:rsid w:val="00DD0A46"/>
    <w:rsid w:val="00DD1BEA"/>
    <w:rsid w:val="00DD240E"/>
    <w:rsid w:val="00DD5E74"/>
    <w:rsid w:val="00DD74C6"/>
    <w:rsid w:val="00DE005A"/>
    <w:rsid w:val="00DE201C"/>
    <w:rsid w:val="00DE2076"/>
    <w:rsid w:val="00DE213E"/>
    <w:rsid w:val="00DE43E8"/>
    <w:rsid w:val="00DE5C24"/>
    <w:rsid w:val="00DE5EB8"/>
    <w:rsid w:val="00DE6278"/>
    <w:rsid w:val="00DE76D9"/>
    <w:rsid w:val="00DF09B7"/>
    <w:rsid w:val="00DF09FD"/>
    <w:rsid w:val="00DF2CEF"/>
    <w:rsid w:val="00DF3C61"/>
    <w:rsid w:val="00DF5717"/>
    <w:rsid w:val="00DF680C"/>
    <w:rsid w:val="00DF6E75"/>
    <w:rsid w:val="00E00B4D"/>
    <w:rsid w:val="00E01CEB"/>
    <w:rsid w:val="00E04E71"/>
    <w:rsid w:val="00E10651"/>
    <w:rsid w:val="00E10841"/>
    <w:rsid w:val="00E1356B"/>
    <w:rsid w:val="00E13799"/>
    <w:rsid w:val="00E137A7"/>
    <w:rsid w:val="00E14C06"/>
    <w:rsid w:val="00E15649"/>
    <w:rsid w:val="00E15F96"/>
    <w:rsid w:val="00E162C4"/>
    <w:rsid w:val="00E17E6A"/>
    <w:rsid w:val="00E20214"/>
    <w:rsid w:val="00E20FAA"/>
    <w:rsid w:val="00E22606"/>
    <w:rsid w:val="00E24783"/>
    <w:rsid w:val="00E25449"/>
    <w:rsid w:val="00E254D9"/>
    <w:rsid w:val="00E272FF"/>
    <w:rsid w:val="00E31233"/>
    <w:rsid w:val="00E31849"/>
    <w:rsid w:val="00E32026"/>
    <w:rsid w:val="00E32550"/>
    <w:rsid w:val="00E32924"/>
    <w:rsid w:val="00E335B0"/>
    <w:rsid w:val="00E33B24"/>
    <w:rsid w:val="00E352D2"/>
    <w:rsid w:val="00E35EE1"/>
    <w:rsid w:val="00E35F76"/>
    <w:rsid w:val="00E363EB"/>
    <w:rsid w:val="00E37541"/>
    <w:rsid w:val="00E40DBB"/>
    <w:rsid w:val="00E422BE"/>
    <w:rsid w:val="00E42910"/>
    <w:rsid w:val="00E432FA"/>
    <w:rsid w:val="00E43D42"/>
    <w:rsid w:val="00E43D63"/>
    <w:rsid w:val="00E43E3D"/>
    <w:rsid w:val="00E44CD1"/>
    <w:rsid w:val="00E45557"/>
    <w:rsid w:val="00E46146"/>
    <w:rsid w:val="00E46BBC"/>
    <w:rsid w:val="00E47F2D"/>
    <w:rsid w:val="00E50B65"/>
    <w:rsid w:val="00E51090"/>
    <w:rsid w:val="00E51BBC"/>
    <w:rsid w:val="00E520C3"/>
    <w:rsid w:val="00E532F1"/>
    <w:rsid w:val="00E5342F"/>
    <w:rsid w:val="00E54AC3"/>
    <w:rsid w:val="00E55A06"/>
    <w:rsid w:val="00E55AB9"/>
    <w:rsid w:val="00E55BF0"/>
    <w:rsid w:val="00E5621E"/>
    <w:rsid w:val="00E57692"/>
    <w:rsid w:val="00E57B00"/>
    <w:rsid w:val="00E61BA1"/>
    <w:rsid w:val="00E6300D"/>
    <w:rsid w:val="00E63AE8"/>
    <w:rsid w:val="00E66640"/>
    <w:rsid w:val="00E66BB6"/>
    <w:rsid w:val="00E6748E"/>
    <w:rsid w:val="00E676F9"/>
    <w:rsid w:val="00E71523"/>
    <w:rsid w:val="00E71F1C"/>
    <w:rsid w:val="00E730B0"/>
    <w:rsid w:val="00E73650"/>
    <w:rsid w:val="00E74D8D"/>
    <w:rsid w:val="00E7512D"/>
    <w:rsid w:val="00E75A80"/>
    <w:rsid w:val="00E806A8"/>
    <w:rsid w:val="00E82F09"/>
    <w:rsid w:val="00E844FD"/>
    <w:rsid w:val="00E85AAD"/>
    <w:rsid w:val="00E86953"/>
    <w:rsid w:val="00E90CA4"/>
    <w:rsid w:val="00E911BB"/>
    <w:rsid w:val="00E911C4"/>
    <w:rsid w:val="00E92964"/>
    <w:rsid w:val="00E92C8B"/>
    <w:rsid w:val="00E932A9"/>
    <w:rsid w:val="00E9509D"/>
    <w:rsid w:val="00E95C41"/>
    <w:rsid w:val="00E968A1"/>
    <w:rsid w:val="00EA06E6"/>
    <w:rsid w:val="00EA08BE"/>
    <w:rsid w:val="00EA0E43"/>
    <w:rsid w:val="00EA1257"/>
    <w:rsid w:val="00EA4B20"/>
    <w:rsid w:val="00EA4CAC"/>
    <w:rsid w:val="00EA51C6"/>
    <w:rsid w:val="00EA6262"/>
    <w:rsid w:val="00EA6F2B"/>
    <w:rsid w:val="00EB1303"/>
    <w:rsid w:val="00EB158B"/>
    <w:rsid w:val="00EB247D"/>
    <w:rsid w:val="00EB39BE"/>
    <w:rsid w:val="00EB58BA"/>
    <w:rsid w:val="00EB5B85"/>
    <w:rsid w:val="00EB5C75"/>
    <w:rsid w:val="00EC0288"/>
    <w:rsid w:val="00EC0A04"/>
    <w:rsid w:val="00EC1290"/>
    <w:rsid w:val="00EC1B14"/>
    <w:rsid w:val="00EC4E35"/>
    <w:rsid w:val="00EC530C"/>
    <w:rsid w:val="00EC5428"/>
    <w:rsid w:val="00EC7076"/>
    <w:rsid w:val="00EC7C5B"/>
    <w:rsid w:val="00ED0310"/>
    <w:rsid w:val="00ED08DC"/>
    <w:rsid w:val="00ED18CA"/>
    <w:rsid w:val="00ED2000"/>
    <w:rsid w:val="00ED204F"/>
    <w:rsid w:val="00ED36DC"/>
    <w:rsid w:val="00ED48D6"/>
    <w:rsid w:val="00ED4B23"/>
    <w:rsid w:val="00ED4E4E"/>
    <w:rsid w:val="00EE13BB"/>
    <w:rsid w:val="00EE1F6F"/>
    <w:rsid w:val="00EE2210"/>
    <w:rsid w:val="00EE2532"/>
    <w:rsid w:val="00EE2651"/>
    <w:rsid w:val="00EE30E4"/>
    <w:rsid w:val="00EE32B0"/>
    <w:rsid w:val="00EE3AD9"/>
    <w:rsid w:val="00EE42B8"/>
    <w:rsid w:val="00EE55CF"/>
    <w:rsid w:val="00EE7F0C"/>
    <w:rsid w:val="00EF4DE6"/>
    <w:rsid w:val="00EF5A0E"/>
    <w:rsid w:val="00EF7FDF"/>
    <w:rsid w:val="00F00B16"/>
    <w:rsid w:val="00F01D53"/>
    <w:rsid w:val="00F01F38"/>
    <w:rsid w:val="00F022EE"/>
    <w:rsid w:val="00F025E5"/>
    <w:rsid w:val="00F03001"/>
    <w:rsid w:val="00F03D53"/>
    <w:rsid w:val="00F05E2F"/>
    <w:rsid w:val="00F07410"/>
    <w:rsid w:val="00F101AD"/>
    <w:rsid w:val="00F11950"/>
    <w:rsid w:val="00F16031"/>
    <w:rsid w:val="00F16529"/>
    <w:rsid w:val="00F17244"/>
    <w:rsid w:val="00F21176"/>
    <w:rsid w:val="00F22329"/>
    <w:rsid w:val="00F23F40"/>
    <w:rsid w:val="00F25401"/>
    <w:rsid w:val="00F27B44"/>
    <w:rsid w:val="00F30143"/>
    <w:rsid w:val="00F3356B"/>
    <w:rsid w:val="00F36370"/>
    <w:rsid w:val="00F37C93"/>
    <w:rsid w:val="00F40377"/>
    <w:rsid w:val="00F41019"/>
    <w:rsid w:val="00F41169"/>
    <w:rsid w:val="00F44C68"/>
    <w:rsid w:val="00F450C8"/>
    <w:rsid w:val="00F46942"/>
    <w:rsid w:val="00F507ED"/>
    <w:rsid w:val="00F51B6A"/>
    <w:rsid w:val="00F525DD"/>
    <w:rsid w:val="00F5430E"/>
    <w:rsid w:val="00F57855"/>
    <w:rsid w:val="00F62975"/>
    <w:rsid w:val="00F62A6A"/>
    <w:rsid w:val="00F63146"/>
    <w:rsid w:val="00F65B78"/>
    <w:rsid w:val="00F67124"/>
    <w:rsid w:val="00F705EC"/>
    <w:rsid w:val="00F70FE6"/>
    <w:rsid w:val="00F71B2F"/>
    <w:rsid w:val="00F71D5B"/>
    <w:rsid w:val="00F73281"/>
    <w:rsid w:val="00F75CA5"/>
    <w:rsid w:val="00F75D6E"/>
    <w:rsid w:val="00F804E5"/>
    <w:rsid w:val="00F81391"/>
    <w:rsid w:val="00F82247"/>
    <w:rsid w:val="00F82B43"/>
    <w:rsid w:val="00F84C46"/>
    <w:rsid w:val="00F85AFE"/>
    <w:rsid w:val="00F85C09"/>
    <w:rsid w:val="00F8639B"/>
    <w:rsid w:val="00F8644C"/>
    <w:rsid w:val="00F8664A"/>
    <w:rsid w:val="00F911E4"/>
    <w:rsid w:val="00F91BE3"/>
    <w:rsid w:val="00F91EC6"/>
    <w:rsid w:val="00F921AD"/>
    <w:rsid w:val="00F9449D"/>
    <w:rsid w:val="00F94B84"/>
    <w:rsid w:val="00F94F59"/>
    <w:rsid w:val="00F9555A"/>
    <w:rsid w:val="00F960DC"/>
    <w:rsid w:val="00F96E4D"/>
    <w:rsid w:val="00F97086"/>
    <w:rsid w:val="00F97391"/>
    <w:rsid w:val="00F97DD0"/>
    <w:rsid w:val="00FA06A9"/>
    <w:rsid w:val="00FA12B6"/>
    <w:rsid w:val="00FA1B12"/>
    <w:rsid w:val="00FA20BE"/>
    <w:rsid w:val="00FA3A6D"/>
    <w:rsid w:val="00FA4CCA"/>
    <w:rsid w:val="00FA4D68"/>
    <w:rsid w:val="00FA6A14"/>
    <w:rsid w:val="00FA733B"/>
    <w:rsid w:val="00FA76E1"/>
    <w:rsid w:val="00FA7DCC"/>
    <w:rsid w:val="00FB0781"/>
    <w:rsid w:val="00FB1CB8"/>
    <w:rsid w:val="00FB2AA4"/>
    <w:rsid w:val="00FB3B20"/>
    <w:rsid w:val="00FB5695"/>
    <w:rsid w:val="00FB6646"/>
    <w:rsid w:val="00FB7A0E"/>
    <w:rsid w:val="00FC141B"/>
    <w:rsid w:val="00FC16A9"/>
    <w:rsid w:val="00FC2E71"/>
    <w:rsid w:val="00FC3C65"/>
    <w:rsid w:val="00FC4435"/>
    <w:rsid w:val="00FC4F70"/>
    <w:rsid w:val="00FC53B9"/>
    <w:rsid w:val="00FC6519"/>
    <w:rsid w:val="00FC6B59"/>
    <w:rsid w:val="00FC76C1"/>
    <w:rsid w:val="00FC7EA2"/>
    <w:rsid w:val="00FD03D2"/>
    <w:rsid w:val="00FD19CF"/>
    <w:rsid w:val="00FD1F33"/>
    <w:rsid w:val="00FD2116"/>
    <w:rsid w:val="00FD323C"/>
    <w:rsid w:val="00FD3BD4"/>
    <w:rsid w:val="00FD3FDC"/>
    <w:rsid w:val="00FD472F"/>
    <w:rsid w:val="00FD4FC5"/>
    <w:rsid w:val="00FE09F3"/>
    <w:rsid w:val="00FE17B8"/>
    <w:rsid w:val="00FE30EB"/>
    <w:rsid w:val="00FE4069"/>
    <w:rsid w:val="00FE519B"/>
    <w:rsid w:val="00FE6888"/>
    <w:rsid w:val="00FE785B"/>
    <w:rsid w:val="00FE7C32"/>
    <w:rsid w:val="00FE7D37"/>
    <w:rsid w:val="00FE7F47"/>
    <w:rsid w:val="00FF0A41"/>
    <w:rsid w:val="00FF0C35"/>
    <w:rsid w:val="00FF0D4C"/>
    <w:rsid w:val="00FF18AC"/>
    <w:rsid w:val="00FF2881"/>
    <w:rsid w:val="00FF414F"/>
    <w:rsid w:val="00FF5176"/>
    <w:rsid w:val="00FF57D7"/>
    <w:rsid w:val="00FF5912"/>
    <w:rsid w:val="00FF5D8F"/>
    <w:rsid w:val="00FF603A"/>
    <w:rsid w:val="00FF7017"/>
    <w:rsid w:val="00FF70E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B22C"/>
  <w15:docId w15:val="{4A814325-2DE2-46A4-BDAA-503C2704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AE0ADB"/>
    <w:rPr>
      <w:color w:val="808080"/>
    </w:rPr>
  </w:style>
  <w:style w:type="paragraph" w:styleId="Revisie">
    <w:name w:val="Revision"/>
    <w:hidden/>
    <w:uiPriority w:val="99"/>
    <w:semiHidden/>
    <w:rsid w:val="00F804E5"/>
    <w:rPr>
      <w:rFonts w:ascii="Univers" w:hAnsi="Univers"/>
      <w:sz w:val="22"/>
      <w:szCs w:val="24"/>
    </w:rPr>
  </w:style>
  <w:style w:type="paragraph" w:styleId="Voetnoottekst">
    <w:name w:val="footnote text"/>
    <w:basedOn w:val="Standaard"/>
    <w:link w:val="VoetnoottekstChar"/>
    <w:uiPriority w:val="99"/>
    <w:semiHidden/>
    <w:unhideWhenUsed/>
    <w:rsid w:val="00F804E5"/>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F804E5"/>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F804E5"/>
    <w:rPr>
      <w:vertAlign w:val="superscript"/>
    </w:rPr>
  </w:style>
  <w:style w:type="paragraph" w:styleId="Lijstalinea">
    <w:name w:val="List Paragraph"/>
    <w:basedOn w:val="Standaard"/>
    <w:uiPriority w:val="34"/>
    <w:qFormat/>
    <w:rsid w:val="00F804E5"/>
    <w:pPr>
      <w:ind w:left="720"/>
      <w:contextualSpacing/>
    </w:pPr>
  </w:style>
  <w:style w:type="character" w:styleId="Verwijzingopmerking">
    <w:name w:val="annotation reference"/>
    <w:basedOn w:val="Standaardalinea-lettertype"/>
    <w:uiPriority w:val="99"/>
    <w:semiHidden/>
    <w:unhideWhenUsed/>
    <w:rsid w:val="00A45E85"/>
    <w:rPr>
      <w:sz w:val="16"/>
      <w:szCs w:val="16"/>
    </w:rPr>
  </w:style>
  <w:style w:type="paragraph" w:styleId="Tekstopmerking">
    <w:name w:val="annotation text"/>
    <w:basedOn w:val="Standaard"/>
    <w:link w:val="TekstopmerkingChar"/>
    <w:uiPriority w:val="99"/>
    <w:unhideWhenUsed/>
    <w:rsid w:val="00A45E85"/>
    <w:rPr>
      <w:sz w:val="20"/>
      <w:szCs w:val="20"/>
    </w:rPr>
  </w:style>
  <w:style w:type="character" w:customStyle="1" w:styleId="TekstopmerkingChar">
    <w:name w:val="Tekst opmerking Char"/>
    <w:basedOn w:val="Standaardalinea-lettertype"/>
    <w:link w:val="Tekstopmerking"/>
    <w:uiPriority w:val="99"/>
    <w:rsid w:val="00A45E85"/>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A45E85"/>
    <w:rPr>
      <w:b/>
      <w:bCs/>
    </w:rPr>
  </w:style>
  <w:style w:type="character" w:customStyle="1" w:styleId="OnderwerpvanopmerkingChar">
    <w:name w:val="Onderwerp van opmerking Char"/>
    <w:basedOn w:val="TekstopmerkingChar"/>
    <w:link w:val="Onderwerpvanopmerking"/>
    <w:uiPriority w:val="99"/>
    <w:semiHidden/>
    <w:rsid w:val="00A45E85"/>
    <w:rPr>
      <w:rFonts w:ascii="Univers" w:hAnsi="Univers"/>
      <w:b/>
      <w:bCs/>
    </w:rPr>
  </w:style>
  <w:style w:type="character" w:styleId="Hyperlink">
    <w:name w:val="Hyperlink"/>
    <w:basedOn w:val="Standaardalinea-lettertype"/>
    <w:uiPriority w:val="99"/>
    <w:unhideWhenUsed/>
    <w:rsid w:val="00A45E85"/>
    <w:rPr>
      <w:color w:val="0000FF" w:themeColor="hyperlink"/>
      <w:u w:val="single"/>
    </w:rPr>
  </w:style>
  <w:style w:type="character" w:styleId="Onopgelostemelding">
    <w:name w:val="Unresolved Mention"/>
    <w:basedOn w:val="Standaardalinea-lettertype"/>
    <w:uiPriority w:val="99"/>
    <w:rsid w:val="00A45E85"/>
    <w:rPr>
      <w:color w:val="605E5C"/>
      <w:shd w:val="clear" w:color="auto" w:fill="E1DFDD"/>
    </w:rPr>
  </w:style>
  <w:style w:type="character" w:styleId="Vermelding">
    <w:name w:val="Mention"/>
    <w:basedOn w:val="Standaardalinea-lettertype"/>
    <w:uiPriority w:val="99"/>
    <w:rsid w:val="000034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1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A47E9653-44AC-4965-B29C-D28853EAC9D8}"/>
      </w:docPartPr>
      <w:docPartBody>
        <w:p w:rsidR="002A2B30" w:rsidRDefault="00CC5134">
          <w:r w:rsidRPr="004A551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34"/>
    <w:rsid w:val="00052F27"/>
    <w:rsid w:val="002A2B30"/>
    <w:rsid w:val="00674ACE"/>
    <w:rsid w:val="006C0E65"/>
    <w:rsid w:val="00715F45"/>
    <w:rsid w:val="00B74B8F"/>
    <w:rsid w:val="00BF00D4"/>
    <w:rsid w:val="00C63EEC"/>
    <w:rsid w:val="00CC5134"/>
    <w:rsid w:val="00D20EA6"/>
    <w:rsid w:val="00DF0209"/>
    <w:rsid w:val="00EA3BA8"/>
    <w:rsid w:val="00FF48F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C51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3018</ap:Words>
  <ap:Characters>16603</ap:Characters>
  <ap:DocSecurity>0</ap:DocSecurity>
  <ap:Lines>138</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2023-09-05T20:24:00.0000000Z</lastPrinted>
  <dcterms:created xsi:type="dcterms:W3CDTF">2023-10-17T08:12:00.0000000Z</dcterms:created>
  <dcterms:modified xsi:type="dcterms:W3CDTF">2023-10-17T08:12:00.0000000Z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W18.23.00147/IV</vt:lpwstr>
  </property>
  <property fmtid="{D5CDD505-2E9C-101B-9397-08002B2CF9AE}" pid="5" name="zaaktype">
    <vt:lpwstr>WET</vt:lpwstr>
  </property>
  <property fmtid="{D5CDD505-2E9C-101B-9397-08002B2CF9AE}" pid="6" name="ContentTypeId">
    <vt:lpwstr>0x010100FA5A77795FEADA4EA512273036134446000F8615E08FF3234DBEC71624ABBAFD7E</vt:lpwstr>
  </property>
  <property fmtid="{D5CDD505-2E9C-101B-9397-08002B2CF9AE}" pid="7" name="Bestemming">
    <vt:lpwstr>2;#Corsa|a7721b99-8166-4953-a37e-7c8574fb4b8b</vt:lpwstr>
  </property>
  <property fmtid="{D5CDD505-2E9C-101B-9397-08002B2CF9AE}" pid="8" name="_dlc_DocIdItemGuid">
    <vt:lpwstr>d2953859-7069-4648-a4b4-03877b47595b</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ClassificationContentMarkingFooterShapeIds">
    <vt:lpwstr>1,2,3</vt:lpwstr>
  </property>
  <property fmtid="{D5CDD505-2E9C-101B-9397-08002B2CF9AE}" pid="14" name="ClassificationContentMarkingFooterFontProps">
    <vt:lpwstr>#000000,10,Calibri</vt:lpwstr>
  </property>
  <property fmtid="{D5CDD505-2E9C-101B-9397-08002B2CF9AE}" pid="15" name="ClassificationContentMarkingFooterText">
    <vt:lpwstr>Intern gebruik</vt:lpwstr>
  </property>
</Properties>
</file>