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932DC" w:rsidR="00CB3578" w:rsidTr="00F13442">
        <w:trPr>
          <w:cantSplit/>
        </w:trPr>
        <w:tc>
          <w:tcPr>
            <w:tcW w:w="9142" w:type="dxa"/>
            <w:gridSpan w:val="2"/>
            <w:tcBorders>
              <w:top w:val="nil"/>
              <w:left w:val="nil"/>
              <w:bottom w:val="nil"/>
              <w:right w:val="nil"/>
            </w:tcBorders>
          </w:tcPr>
          <w:p w:rsidRPr="00CF40AF" w:rsidR="00CB3578" w:rsidP="00EE0ADF" w:rsidRDefault="00CF40AF">
            <w:pPr>
              <w:pStyle w:val="Amendement"/>
              <w:rPr>
                <w:rFonts w:ascii="Times New Roman" w:hAnsi="Times New Roman" w:cs="Times New Roman"/>
                <w:b w:val="0"/>
                <w:i/>
              </w:rPr>
            </w:pPr>
            <w:bookmarkStart w:name="_GoBack" w:id="0"/>
            <w:r w:rsidRPr="00CF40AF">
              <w:rPr>
                <w:rFonts w:ascii="Times New Roman" w:hAnsi="Times New Roman" w:cs="Times New Roman"/>
                <w:b w:val="0"/>
                <w:i/>
              </w:rPr>
              <w:t xml:space="preserve">Bijgewerkt t/m </w:t>
            </w:r>
            <w:r w:rsidR="00EE0ADF">
              <w:rPr>
                <w:rFonts w:ascii="Times New Roman" w:hAnsi="Times New Roman" w:cs="Times New Roman"/>
                <w:b w:val="0"/>
                <w:i/>
              </w:rPr>
              <w:t>de aangenomen amendementen 9, 16, 19 en 20</w:t>
            </w:r>
            <w:r w:rsidRPr="00CF40AF">
              <w:rPr>
                <w:rFonts w:ascii="Times New Roman" w:hAnsi="Times New Roman" w:cs="Times New Roman"/>
                <w:b w:val="0"/>
                <w:i/>
              </w:rPr>
              <w:t xml:space="preserve"> (</w:t>
            </w:r>
            <w:r w:rsidR="00EE0ADF">
              <w:rPr>
                <w:rFonts w:ascii="Times New Roman" w:hAnsi="Times New Roman" w:cs="Times New Roman"/>
                <w:b w:val="0"/>
                <w:i/>
              </w:rPr>
              <w:t>stemmingen</w:t>
            </w:r>
            <w:r w:rsidRPr="00CF40AF">
              <w:rPr>
                <w:rFonts w:ascii="Times New Roman" w:hAnsi="Times New Roman" w:cs="Times New Roman"/>
                <w:b w:val="0"/>
                <w:i/>
              </w:rPr>
              <w:t xml:space="preserve"> d.d. </w:t>
            </w:r>
            <w:r w:rsidR="00EE0ADF">
              <w:rPr>
                <w:rFonts w:ascii="Times New Roman" w:hAnsi="Times New Roman" w:cs="Times New Roman"/>
                <w:b w:val="0"/>
                <w:i/>
              </w:rPr>
              <w:t xml:space="preserve">16 april </w:t>
            </w:r>
            <w:r w:rsidRPr="00CF40AF">
              <w:rPr>
                <w:rFonts w:ascii="Times New Roman" w:hAnsi="Times New Roman" w:cs="Times New Roman"/>
                <w:b w:val="0"/>
                <w:i/>
              </w:rPr>
              <w:t>2024)</w:t>
            </w:r>
            <w:bookmarkEnd w:id="0"/>
          </w:p>
        </w:tc>
      </w:tr>
      <w:tr w:rsidRPr="007932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pPr>
              <w:tabs>
                <w:tab w:val="left" w:pos="-1440"/>
                <w:tab w:val="left" w:pos="-720"/>
              </w:tabs>
              <w:suppressAutoHyphens/>
              <w:rPr>
                <w:rFonts w:ascii="Times New Roman" w:hAnsi="Times New Roman"/>
                <w:b/>
                <w:bCs/>
                <w:sz w:val="24"/>
              </w:rPr>
            </w:pPr>
          </w:p>
        </w:tc>
      </w:tr>
      <w:tr w:rsidRPr="007932D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2A727C" w:rsidP="007932DC" w:rsidRDefault="007932DC">
            <w:pPr>
              <w:rPr>
                <w:rFonts w:ascii="Times New Roman" w:hAnsi="Times New Roman"/>
                <w:b/>
                <w:sz w:val="24"/>
              </w:rPr>
            </w:pPr>
            <w:r w:rsidRPr="007932DC">
              <w:rPr>
                <w:rFonts w:ascii="Times New Roman" w:hAnsi="Times New Roman"/>
                <w:b/>
                <w:sz w:val="24"/>
              </w:rPr>
              <w:t>36 387</w:t>
            </w:r>
            <w:r w:rsidRPr="007932DC" w:rsidR="00F13442">
              <w:rPr>
                <w:rFonts w:ascii="Times New Roman" w:hAnsi="Times New Roman"/>
                <w:b/>
                <w:sz w:val="24"/>
              </w:rPr>
              <w:t xml:space="preserve"> </w:t>
            </w:r>
          </w:p>
        </w:tc>
        <w:tc>
          <w:tcPr>
            <w:tcW w:w="6590" w:type="dxa"/>
            <w:tcBorders>
              <w:top w:val="nil"/>
              <w:left w:val="nil"/>
              <w:bottom w:val="nil"/>
              <w:right w:val="nil"/>
            </w:tcBorders>
          </w:tcPr>
          <w:p w:rsidRPr="007932DC" w:rsidR="002A727C" w:rsidP="000D5BC4" w:rsidRDefault="007932DC">
            <w:pPr>
              <w:rPr>
                <w:rFonts w:ascii="Times New Roman" w:hAnsi="Times New Roman"/>
                <w:b/>
                <w:sz w:val="24"/>
              </w:rPr>
            </w:pPr>
            <w:r w:rsidRPr="007932DC">
              <w:rPr>
                <w:rFonts w:ascii="Times New Roman" w:hAnsi="Times New Roman"/>
                <w:b/>
                <w:sz w:val="24"/>
              </w:rPr>
              <w:t xml:space="preserve">Wijziging van </w:t>
            </w:r>
            <w:r w:rsidRPr="00491FE7" w:rsidR="00491FE7">
              <w:rPr>
                <w:rFonts w:ascii="Times New Roman" w:hAnsi="Times New Roman"/>
                <w:b/>
                <w:sz w:val="24"/>
              </w:rPr>
              <w:t>de Omgevingswet, de Gaswet en de Warmtewet</w:t>
            </w:r>
            <w:r w:rsidRPr="007932DC">
              <w:rPr>
                <w:rFonts w:ascii="Times New Roman" w:hAnsi="Times New Roman"/>
                <w:b/>
                <w:sz w:val="24"/>
              </w:rPr>
              <w:t xml:space="preserve"> in verband met gemeentelijke instrumenten voor de warmtetransitie in de gebouwde omgeving (Wet gemeentelijke instrumenten warmtetransitie)</w:t>
            </w:r>
          </w:p>
        </w:tc>
      </w:tr>
      <w:tr w:rsidRPr="007932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pPr>
              <w:pStyle w:val="Amendement"/>
              <w:rPr>
                <w:rFonts w:ascii="Times New Roman" w:hAnsi="Times New Roman" w:cs="Times New Roman"/>
              </w:rPr>
            </w:pPr>
          </w:p>
        </w:tc>
      </w:tr>
      <w:tr w:rsidRPr="007932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pPr>
              <w:pStyle w:val="Amendement"/>
              <w:rPr>
                <w:rFonts w:ascii="Times New Roman" w:hAnsi="Times New Roman" w:cs="Times New Roman"/>
              </w:rPr>
            </w:pPr>
          </w:p>
        </w:tc>
      </w:tr>
      <w:tr w:rsidRPr="007932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pPr>
              <w:pStyle w:val="Amendement"/>
              <w:rPr>
                <w:rFonts w:ascii="Times New Roman" w:hAnsi="Times New Roman" w:cs="Times New Roman"/>
              </w:rPr>
            </w:pPr>
            <w:r w:rsidRPr="007932DC">
              <w:rPr>
                <w:rFonts w:ascii="Times New Roman" w:hAnsi="Times New Roman" w:cs="Times New Roman"/>
              </w:rPr>
              <w:t>Nr. 2</w:t>
            </w:r>
          </w:p>
        </w:tc>
        <w:tc>
          <w:tcPr>
            <w:tcW w:w="6590" w:type="dxa"/>
            <w:tcBorders>
              <w:top w:val="nil"/>
              <w:left w:val="nil"/>
              <w:bottom w:val="nil"/>
              <w:right w:val="nil"/>
            </w:tcBorders>
          </w:tcPr>
          <w:p w:rsidRPr="007932DC" w:rsidR="00CB3578" w:rsidRDefault="00CB3578">
            <w:pPr>
              <w:pStyle w:val="Amendement"/>
              <w:rPr>
                <w:rFonts w:ascii="Times New Roman" w:hAnsi="Times New Roman" w:cs="Times New Roman"/>
              </w:rPr>
            </w:pPr>
            <w:r w:rsidRPr="007932DC">
              <w:rPr>
                <w:rFonts w:ascii="Times New Roman" w:hAnsi="Times New Roman" w:cs="Times New Roman"/>
              </w:rPr>
              <w:t>VOORSTEL VAN WET</w:t>
            </w:r>
          </w:p>
        </w:tc>
      </w:tr>
      <w:tr w:rsidRPr="007932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pPr>
              <w:pStyle w:val="Amendement"/>
              <w:rPr>
                <w:rFonts w:ascii="Times New Roman" w:hAnsi="Times New Roman" w:cs="Times New Roman"/>
              </w:rPr>
            </w:pPr>
          </w:p>
        </w:tc>
      </w:tr>
    </w:tbl>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Wij Willem-Alexander, bij de gratie Gods, Koning der Nederlanden, Prins van Oranje-Nassau, enz. enz. enz. </w:t>
      </w:r>
    </w:p>
    <w:p w:rsidR="007932DC" w:rsidP="007932DC" w:rsidRDefault="007932DC">
      <w:pPr>
        <w:tabs>
          <w:tab w:val="left" w:pos="284"/>
          <w:tab w:val="left" w:pos="567"/>
          <w:tab w:val="left" w:pos="851"/>
        </w:tabs>
        <w:ind w:right="-2"/>
        <w:rPr>
          <w:rFonts w:ascii="Times New Roman" w:hAnsi="Times New Roman"/>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Allen, die deze zullen zien of horen lezen, saluut! doen te weten: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Alzo Wij in overweging genomen hebben, dat het wenselijk is enkele bepalingen in te voegen in de Omgevingswet en de Gaswet met het oog op een adequaat instrumentarium voor het realiseren van de warmtetransitie in de gebouwde omgeving; </w:t>
      </w:r>
    </w:p>
    <w:p w:rsidR="00CB3578"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b/>
          <w:sz w:val="24"/>
        </w:rPr>
      </w:pPr>
      <w:r w:rsidRPr="007932DC">
        <w:rPr>
          <w:rFonts w:ascii="Times New Roman" w:hAnsi="Times New Roman"/>
          <w:b/>
          <w:sz w:val="24"/>
        </w:rPr>
        <w:t>ARTIKEL I</w:t>
      </w:r>
    </w:p>
    <w:p w:rsidRPr="007932DC" w:rsidR="007932DC" w:rsidP="007932DC" w:rsidRDefault="007932DC">
      <w:pPr>
        <w:tabs>
          <w:tab w:val="left" w:pos="284"/>
          <w:tab w:val="left" w:pos="567"/>
          <w:tab w:val="left" w:pos="851"/>
        </w:tabs>
        <w:ind w:right="-2"/>
        <w:rPr>
          <w:rFonts w:ascii="Times New Roman" w:hAnsi="Times New Roman"/>
          <w:b/>
          <w:sz w:val="24"/>
        </w:rPr>
      </w:pP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De Gaswet wordt als volgt gewijzigd:</w:t>
      </w:r>
    </w:p>
    <w:p w:rsidRPr="007932DC" w:rsidR="007932DC" w:rsidP="007932DC" w:rsidRDefault="007932DC">
      <w:pPr>
        <w:tabs>
          <w:tab w:val="left" w:pos="284"/>
          <w:tab w:val="left" w:pos="567"/>
          <w:tab w:val="left" w:pos="851"/>
        </w:tabs>
        <w:ind w:right="-2"/>
        <w:rPr>
          <w:rFonts w:ascii="Times New Roman" w:hAnsi="Times New Roman"/>
          <w:sz w:val="24"/>
        </w:rPr>
      </w:pPr>
    </w:p>
    <w:p w:rsidRPr="007932DC" w:rsidR="007932DC" w:rsidP="007932DC" w:rsidRDefault="007932DC">
      <w:pPr>
        <w:tabs>
          <w:tab w:val="left" w:pos="284"/>
          <w:tab w:val="left" w:pos="567"/>
          <w:tab w:val="left" w:pos="851"/>
        </w:tabs>
        <w:ind w:right="-2"/>
        <w:rPr>
          <w:rFonts w:ascii="Times New Roman" w:hAnsi="Times New Roman"/>
          <w:sz w:val="24"/>
        </w:rPr>
      </w:pPr>
      <w:r w:rsidRPr="007932DC">
        <w:rPr>
          <w:rFonts w:ascii="Times New Roman" w:hAnsi="Times New Roman"/>
          <w:sz w:val="24"/>
        </w:rPr>
        <w:t>A</w:t>
      </w:r>
    </w:p>
    <w:p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Artikel 10 </w:t>
      </w:r>
      <w:r w:rsidRPr="00BB1E41">
        <w:rPr>
          <w:rFonts w:ascii="Times New Roman" w:hAnsi="Times New Roman"/>
          <w:sz w:val="24"/>
        </w:rPr>
        <w:t>wordt als volgt gewijzigd:</w:t>
      </w:r>
    </w:p>
    <w:p w:rsidRPr="00CE09B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1. In het eerste lid wordt “in werking te hebben” vervangen door “te beheren”.</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2. Onder vernummering van het negende tot en met dertiende lid tot tiende tot en met veertiende lid wordt na het achtste lid een lid ingevoegd, luidende:</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9. Het zesde lid is niet van toepassing in een gebied waarin in een omgevingsplan als bedoeld in artikel 2.4 van de Omgevingswet het gebruik van gas is uitgesloten als warmtevoorziening van gebouwen en, voor zover op dezelfde locatie milieubelastende activiteiten worden verricht, de energievoorziening voor milieubelastende activiteiten:</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 voor zover het aansluitingen of verzoeken om aansluitingen betreft die behoren bij een onroerende zaak waarvoor de uitsluiting van het gebruik van gas ingevolge dat omgevingsplan geldt, en</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b. vanaf het moment dat de uitsluiting van het gebruik van gas ingevolge dat omgevingsplan geldt of vanaf zes maanden na dit moment voor aansluitingen die behoren bij door het college van burgemeester en wethouders aangewezen onroerende zaken waarvoor het zesde lid langer van toepassing moet zijn.</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3. Het tiende lid (nieuw) komt te luiden:</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lastRenderedPageBreak/>
        <w:tab/>
        <w:t>10. De Autoriteit Consument en Markt houdt een openbaar register bij van de gebieden waarover een besluit is genomen als bedoeld in het zevende lid, onderdeel a of b, waarover een besluit is genomen als bedoeld in het negende lid, en die krachtens artikel 12b, eerste lid, onderdeel f, zijn uitgezonderd. Bij ministeriële regeling kunnen regels worden gesteld over de in het register te vermelden gegevens.</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 xml:space="preserve"> </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B</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14, tweede lid, komt te luiden:</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2. Het eerste lid is niet van toepassing op verzoeken om transport van gas dat wordt ingevoed of afgeleverd via een aansluiting waarvoor ingevolge artikel 10, negende lid, de taak, bedoeld in artikel 10, zesde lid, niet van toepassing is.</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C</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Aan paragraaf 5.7 wordt een artikel toegevoegd: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t>Artikel 62a</w:t>
      </w:r>
    </w:p>
    <w:p w:rsidRPr="00BB1E41" w:rsidR="007932DC" w:rsidP="007932DC" w:rsidRDefault="007932DC">
      <w:pPr>
        <w:tabs>
          <w:tab w:val="left" w:pos="284"/>
          <w:tab w:val="left" w:pos="567"/>
          <w:tab w:val="left" w:pos="851"/>
        </w:tabs>
        <w:ind w:right="-2"/>
        <w:rPr>
          <w:rFonts w:ascii="Times New Roman" w:hAnsi="Times New Roman"/>
          <w:b/>
          <w:bCs/>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62 is niet van toepassing indien met het oog op verduurzaming van de warmtevoorziening van gebouwen in een omgevingsplan als bedoeld in artikel 2.4 van de Omgevingswet regels worden gesteld die in een gebied het gebruik van gas uitsluiten als warmtevoorziening van gebouwen en, indien op dezelfde locatie milieubelastende activiteiten worden verricht, de energievoorziening voor deze milieubelastende activiteiten, met uitzondering van bij of krachtens algemene maatregel van bestuur aangewezen categorieën van gebouwen of milieubelastende activiteiten die van belang zijn voor de leveringszekerheid van de energievoorziening.</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81b wordt als volgt gewijzigd: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Aan het eerste lid wordt, onder vervanging van de punt aan het slot van onderdeel h door een puntkomma, een onderdeel toegevoegd, luidende:</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i. de geschatte kosten voor de opbouw van een voorziening voor het verwijderen van aansluitingen en andere permanent buiten gebruik gestelde onderdelen van het gastransportnet, voor zover de Autoriteit Consument en Markt het opbouwen van zo’n voorziening gepast acht en deze kosten doelmatig zijn.</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t>ARTIKEL II</w:t>
      </w:r>
    </w:p>
    <w:p w:rsidRPr="00BB1E41" w:rsidR="007932DC" w:rsidP="007932DC" w:rsidRDefault="007932DC">
      <w:pPr>
        <w:tabs>
          <w:tab w:val="left" w:pos="284"/>
          <w:tab w:val="left" w:pos="567"/>
          <w:tab w:val="left" w:pos="851"/>
        </w:tabs>
        <w:ind w:right="-2"/>
        <w:rPr>
          <w:rFonts w:ascii="Times New Roman" w:hAnsi="Times New Roman"/>
          <w:b/>
          <w:bCs/>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De Omgevingswet wordt als volgt gewijzigd: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2.25, derde lid, onder c, wordt, onder vervanging van de punt aan het einde van onderdeel 6° door een komma, een onderdeel toegevoegd, luidende:</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lastRenderedPageBreak/>
        <w:t>7°. als bedoeld in artikel 4.7, derde lid, voor zover deze betrekking hebben op maatwerkregels.</w:t>
      </w:r>
    </w:p>
    <w:p w:rsidRPr="00B87055" w:rsidR="00BB1E41" w:rsidP="00BB1E41" w:rsidRDefault="00BB1E41">
      <w:pPr>
        <w:rPr>
          <w:rFonts w:ascii="Times New Roman" w:hAnsi="Times New Roman"/>
          <w:sz w:val="24"/>
        </w:rPr>
      </w:pPr>
    </w:p>
    <w:p w:rsidRPr="00B87055" w:rsidR="00BB1E41" w:rsidP="00BB1E41" w:rsidRDefault="00BB1E41">
      <w:pPr>
        <w:rPr>
          <w:rFonts w:ascii="Times New Roman" w:hAnsi="Times New Roman"/>
          <w:sz w:val="24"/>
        </w:rPr>
      </w:pPr>
      <w:r w:rsidRPr="00B87055">
        <w:rPr>
          <w:rFonts w:ascii="Times New Roman" w:hAnsi="Times New Roman"/>
          <w:sz w:val="24"/>
        </w:rPr>
        <w:t>Aa</w:t>
      </w:r>
    </w:p>
    <w:p w:rsidRPr="00B87055" w:rsidR="00BB1E41" w:rsidP="00BB1E41" w:rsidRDefault="00BB1E41">
      <w:pPr>
        <w:rPr>
          <w:rFonts w:ascii="Times New Roman" w:hAnsi="Times New Roman"/>
          <w:sz w:val="24"/>
        </w:rPr>
      </w:pPr>
    </w:p>
    <w:p w:rsidRPr="00B87055" w:rsidR="00BB1E41" w:rsidP="00BB1E41" w:rsidRDefault="00BB1E41">
      <w:pPr>
        <w:rPr>
          <w:rFonts w:ascii="Times New Roman" w:hAnsi="Times New Roman"/>
          <w:sz w:val="24"/>
        </w:rPr>
      </w:pPr>
      <w:r w:rsidRPr="00B87055">
        <w:rPr>
          <w:rFonts w:ascii="Times New Roman" w:hAnsi="Times New Roman"/>
          <w:sz w:val="24"/>
        </w:rPr>
        <w:tab/>
        <w:t>Aan artikel 2.28 wordt onder vervanging van de punt aan het slot door een komma, een onderdeel toegevoegd, luidende:</w:t>
      </w:r>
    </w:p>
    <w:p w:rsidRPr="00B87055" w:rsidR="00BB1E41" w:rsidP="00BB1E41" w:rsidRDefault="00BB1E41">
      <w:pPr>
        <w:rPr>
          <w:rFonts w:ascii="Times New Roman" w:hAnsi="Times New Roman"/>
          <w:sz w:val="24"/>
        </w:rPr>
      </w:pPr>
      <w:r w:rsidRPr="00B87055">
        <w:rPr>
          <w:rFonts w:ascii="Times New Roman" w:hAnsi="Times New Roman"/>
          <w:sz w:val="24"/>
        </w:rPr>
        <w:tab/>
        <w:t>k. verduurzaming van de warmtevoorziening van gebouwen, met betrekking tot de gevallen waarin en de voorwaarden waaronder het gebruik van gas als bedoeld in artikel 1, eerste lid, onder b, van de Gaswet als warmtevoorziening voor het in het omgevingsplan aangewezen gebied kan worden uitgesloten binnen een periode korter dan acht jaar na vaststelling van dat omgevingsplan.</w:t>
      </w:r>
    </w:p>
    <w:p w:rsidRPr="00BB1E41" w:rsidR="00BB1E41" w:rsidP="007932DC" w:rsidRDefault="00BB1E41">
      <w:pPr>
        <w:tabs>
          <w:tab w:val="left" w:pos="284"/>
          <w:tab w:val="left" w:pos="567"/>
          <w:tab w:val="left" w:pos="851"/>
        </w:tabs>
        <w:ind w:right="-2"/>
        <w:rPr>
          <w:rFonts w:ascii="Times New Roman" w:hAnsi="Times New Roman"/>
          <w:sz w:val="24"/>
        </w:rPr>
      </w:pPr>
    </w:p>
    <w:p w:rsidRPr="00B87055" w:rsidR="00BB1E41" w:rsidP="00BB1E41" w:rsidRDefault="00BB1E41">
      <w:pPr>
        <w:rPr>
          <w:rFonts w:ascii="Times New Roman" w:hAnsi="Times New Roman"/>
          <w:sz w:val="24"/>
        </w:rPr>
      </w:pPr>
      <w:r w:rsidRPr="00BB1E41">
        <w:rPr>
          <w:rFonts w:ascii="Times New Roman" w:hAnsi="Times New Roman"/>
          <w:sz w:val="24"/>
        </w:rPr>
        <w:t>Ab</w:t>
      </w:r>
    </w:p>
    <w:p w:rsidRPr="00B87055" w:rsidR="00BB1E41" w:rsidP="00BB1E41" w:rsidRDefault="00BB1E41">
      <w:pPr>
        <w:rPr>
          <w:rFonts w:ascii="Times New Roman" w:hAnsi="Times New Roman"/>
          <w:sz w:val="24"/>
        </w:rPr>
      </w:pPr>
    </w:p>
    <w:p w:rsidRPr="00B87055" w:rsidR="00BB1E41" w:rsidP="00BB1E41" w:rsidRDefault="00BB1E41">
      <w:pPr>
        <w:rPr>
          <w:rFonts w:ascii="Times New Roman" w:hAnsi="Times New Roman"/>
          <w:sz w:val="24"/>
        </w:rPr>
      </w:pPr>
      <w:r w:rsidRPr="00B87055">
        <w:rPr>
          <w:rFonts w:ascii="Times New Roman" w:hAnsi="Times New Roman"/>
          <w:sz w:val="24"/>
        </w:rPr>
        <w:tab/>
        <w:t>Aan artikel 2.28 wordt onder vervanging van de punt aan het slot door een komma, een onderdeel toegevoegd, luidende:</w:t>
      </w:r>
    </w:p>
    <w:p w:rsidRPr="00B87055" w:rsidR="00BB1E41" w:rsidP="00BB1E41" w:rsidRDefault="00BB1E41">
      <w:pPr>
        <w:rPr>
          <w:rFonts w:ascii="Times New Roman" w:hAnsi="Times New Roman"/>
          <w:sz w:val="24"/>
        </w:rPr>
      </w:pPr>
      <w:r w:rsidRPr="00B87055">
        <w:rPr>
          <w:rFonts w:ascii="Times New Roman" w:hAnsi="Times New Roman"/>
          <w:sz w:val="24"/>
        </w:rPr>
        <w:tab/>
      </w:r>
      <w:r>
        <w:rPr>
          <w:rFonts w:ascii="Times New Roman" w:hAnsi="Times New Roman"/>
          <w:sz w:val="24"/>
        </w:rPr>
        <w:t>l</w:t>
      </w:r>
      <w:r w:rsidRPr="00B87055">
        <w:rPr>
          <w:rFonts w:ascii="Times New Roman" w:hAnsi="Times New Roman"/>
          <w:sz w:val="24"/>
        </w:rPr>
        <w:t>. verduurzaming van de warmtevoorziening van gebouwen, met betrekking tot het waarborgen van de betaalbaarheid van de maatregelen voor de eigenaren en gebruikers van gebouwen, in het bijzonder kwetsbare afnemers als bedoeld in artikel 28 van richtlijn 2019/944, in een gebied waar het gebruik van gas als bedoeld in artikel 1, eerste lid, onder b, van de Gaswet als warmtevoorziening van gebouwen wordt uitgesloten.</w:t>
      </w:r>
    </w:p>
    <w:p w:rsidRPr="00BB1E41" w:rsidR="007932DC" w:rsidP="007932DC" w:rsidRDefault="007932DC">
      <w:pPr>
        <w:tabs>
          <w:tab w:val="left" w:pos="284"/>
          <w:tab w:val="left" w:pos="567"/>
          <w:tab w:val="left" w:pos="851"/>
        </w:tabs>
        <w:ind w:right="-2"/>
        <w:rPr>
          <w:rFonts w:ascii="Times New Roman" w:hAnsi="Times New Roman"/>
          <w:sz w:val="24"/>
        </w:rPr>
      </w:pPr>
    </w:p>
    <w:p w:rsidRPr="00CE09B1" w:rsidR="007932DC" w:rsidP="007932DC" w:rsidRDefault="007932DC">
      <w:pPr>
        <w:tabs>
          <w:tab w:val="left" w:pos="284"/>
          <w:tab w:val="left" w:pos="567"/>
          <w:tab w:val="left" w:pos="851"/>
        </w:tabs>
        <w:ind w:right="-2"/>
        <w:rPr>
          <w:rFonts w:ascii="Times New Roman" w:hAnsi="Times New Roman"/>
          <w:sz w:val="24"/>
        </w:rPr>
      </w:pPr>
      <w:bookmarkStart w:name="_Hlk122445840" w:id="1"/>
      <w:r w:rsidRPr="00CE09B1">
        <w:rPr>
          <w:rFonts w:ascii="Times New Roman" w:hAnsi="Times New Roman"/>
          <w:sz w:val="24"/>
        </w:rPr>
        <w:t>B</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3.6 wordt een lid [waarvan de nummering aansluit op het laatste lid van dit artikel] toegevoegd, luidende:</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 xml:space="preserve">#. Het college van burgemeester en wethouders stelt een warmteprogramma vast, gericht op </w:t>
      </w:r>
      <w:r w:rsidRPr="00BB1E41" w:rsidR="00BB1E41">
        <w:rPr>
          <w:rFonts w:ascii="Times New Roman" w:hAnsi="Times New Roman"/>
          <w:sz w:val="24"/>
        </w:rPr>
        <w:t>een doelmatige en voor eigenaren en gebruikers haalbare en betaalbare verduurzaming</w:t>
      </w:r>
      <w:r w:rsidRPr="00BB1E41" w:rsidDel="00BB1E41" w:rsidR="00BB1E41">
        <w:rPr>
          <w:rFonts w:ascii="Times New Roman" w:hAnsi="Times New Roman"/>
          <w:sz w:val="24"/>
        </w:rPr>
        <w:t xml:space="preserve"> </w:t>
      </w:r>
      <w:r w:rsidRPr="00BB1E41">
        <w:rPr>
          <w:rFonts w:ascii="Times New Roman" w:hAnsi="Times New Roman"/>
          <w:sz w:val="24"/>
        </w:rPr>
        <w:t>van de warmtevoorziening van bestaande gebouwen en, voor zover op dezelfde locatie milieubelastende activiteiten worden verricht, de energievoorziening voor die milieubelastende activiteiten.</w:t>
      </w:r>
    </w:p>
    <w:bookmarkEnd w:id="1"/>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C</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4.21, tweede lid, wordt onder vervanging van de punt aan het einde van onderdeel d door een komma, een onderdeel toegevoegd, luidende:</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e. de verduurzaming van de energievoorziening van gebouwen is gewaarborgd.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In artikel 20.2, zevende lid, wordt na “bestuursorganen” ingevoegd “of rechtspersonen die daarover op grond van een wettelijke taak beschikken”.</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E</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bookmarkStart w:name="_Hlk136517923" w:id="2"/>
      <w:bookmarkStart w:name="_Hlk135660065" w:id="3"/>
      <w:bookmarkStart w:name="_Hlk135660438" w:id="4"/>
      <w:r w:rsidRPr="00BB1E41">
        <w:rPr>
          <w:rFonts w:ascii="Times New Roman" w:hAnsi="Times New Roman"/>
          <w:sz w:val="24"/>
        </w:rPr>
        <w:tab/>
        <w:t>In afdeling 20.1 wordt een artikel toegevoegd, luidende:</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t xml:space="preserve">Artikel 20.7a (verzamelen en verstrekken vertrouwelijke gegevens) </w:t>
      </w:r>
    </w:p>
    <w:p w:rsidRPr="00BB1E41" w:rsidR="007932DC" w:rsidP="007932DC" w:rsidRDefault="007932DC">
      <w:pPr>
        <w:tabs>
          <w:tab w:val="left" w:pos="284"/>
          <w:tab w:val="left" w:pos="567"/>
          <w:tab w:val="left" w:pos="851"/>
        </w:tabs>
        <w:ind w:right="-2"/>
        <w:rPr>
          <w:rFonts w:ascii="Times New Roman" w:hAnsi="Times New Roman"/>
          <w:sz w:val="24"/>
        </w:rPr>
      </w:pPr>
      <w:bookmarkStart w:name="_Hlk135660416" w:id="5"/>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 xml:space="preserve">De op grond van artikel 20.2, zevende lid, of artikel 20.6, eerste lid, </w:t>
      </w:r>
      <w:r w:rsidRPr="00BB1E41" w:rsidDel="00963F0D">
        <w:rPr>
          <w:rFonts w:ascii="Times New Roman" w:hAnsi="Times New Roman"/>
          <w:sz w:val="24"/>
        </w:rPr>
        <w:t xml:space="preserve">te verzamelen </w:t>
      </w:r>
      <w:r w:rsidRPr="00BB1E41">
        <w:rPr>
          <w:rFonts w:ascii="Times New Roman" w:hAnsi="Times New Roman"/>
          <w:sz w:val="24"/>
        </w:rPr>
        <w:t xml:space="preserve">of verstrekken </w:t>
      </w:r>
      <w:r w:rsidRPr="00BB1E41" w:rsidDel="00963F0D">
        <w:rPr>
          <w:rFonts w:ascii="Times New Roman" w:hAnsi="Times New Roman"/>
          <w:sz w:val="24"/>
        </w:rPr>
        <w:t xml:space="preserve">gegevens </w:t>
      </w:r>
      <w:r w:rsidRPr="00BB1E41">
        <w:rPr>
          <w:rFonts w:ascii="Times New Roman" w:hAnsi="Times New Roman"/>
          <w:sz w:val="24"/>
        </w:rPr>
        <w:t>kunnen voor de verduurzaming van de energievoorziening van gebouwen betrekking hebben op:</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 de naam en het adres van de eigenaar van een onroerende zaak of de gerechtigde tot een appartementsrecht, als dat niet ook de bewoner of gebruiker is, volgens de basisregistratie kadaster, en</w:t>
      </w: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b. de aansluiting en toekomstige aansluiting van een gebouw op een energievoorziening als bedoeld in artikel 10, zesde lid, onder a en b, van de Gaswet, artikel 23, eerste lid, van de Elektriciteitswet 1998 of artikel 1, eerste lid, van de Warmtewet</w:t>
      </w:r>
      <w:bookmarkEnd w:id="2"/>
      <w:bookmarkEnd w:id="3"/>
      <w:bookmarkEnd w:id="4"/>
      <w:bookmarkEnd w:id="5"/>
      <w:r w:rsidRPr="00BB1E41">
        <w:rPr>
          <w:rFonts w:ascii="Times New Roman" w:hAnsi="Times New Roman"/>
          <w:sz w:val="24"/>
        </w:rPr>
        <w:t>.</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491FE7" w:rsidP="007932DC" w:rsidRDefault="00491FE7">
      <w:pPr>
        <w:tabs>
          <w:tab w:val="left" w:pos="284"/>
          <w:tab w:val="left" w:pos="567"/>
          <w:tab w:val="left" w:pos="851"/>
        </w:tabs>
        <w:ind w:right="-2"/>
        <w:rPr>
          <w:rFonts w:ascii="Times New Roman" w:hAnsi="Times New Roman"/>
          <w:sz w:val="24"/>
        </w:rPr>
      </w:pPr>
    </w:p>
    <w:p w:rsidRPr="00BB1E41" w:rsidR="00491FE7" w:rsidP="00491FE7" w:rsidRDefault="00491FE7">
      <w:pPr>
        <w:rPr>
          <w:rFonts w:ascii="Times New Roman" w:hAnsi="Times New Roman"/>
          <w:b/>
          <w:bCs/>
          <w:caps/>
          <w:sz w:val="24"/>
        </w:rPr>
      </w:pPr>
      <w:r w:rsidRPr="00BB1E41">
        <w:rPr>
          <w:rFonts w:ascii="Times New Roman" w:hAnsi="Times New Roman"/>
          <w:b/>
          <w:bCs/>
          <w:caps/>
          <w:sz w:val="24"/>
        </w:rPr>
        <w:t>Artikel IIA</w:t>
      </w:r>
    </w:p>
    <w:p w:rsidRPr="00BB1E41" w:rsidR="00491FE7" w:rsidP="00491FE7" w:rsidRDefault="00491FE7">
      <w:pPr>
        <w:rPr>
          <w:rFonts w:ascii="Times New Roman" w:hAnsi="Times New Roman"/>
          <w:b/>
          <w:bCs/>
          <w:sz w:val="24"/>
        </w:rPr>
      </w:pPr>
    </w:p>
    <w:p w:rsidRPr="00BB1E41" w:rsidR="00491FE7" w:rsidP="00491FE7" w:rsidRDefault="00491FE7">
      <w:pPr>
        <w:rPr>
          <w:rFonts w:ascii="Times New Roman" w:hAnsi="Times New Roman"/>
          <w:sz w:val="24"/>
        </w:rPr>
      </w:pPr>
      <w:r w:rsidRPr="00BB1E41">
        <w:rPr>
          <w:rFonts w:ascii="Times New Roman" w:hAnsi="Times New Roman"/>
          <w:sz w:val="24"/>
        </w:rPr>
        <w:tab/>
        <w:t xml:space="preserve">De Warmtewet wordt als volgt gewijzigd: </w:t>
      </w:r>
    </w:p>
    <w:p w:rsidRPr="00BB1E41" w:rsidR="00491FE7" w:rsidP="00491FE7" w:rsidRDefault="00491FE7">
      <w:pPr>
        <w:rPr>
          <w:rFonts w:ascii="Times New Roman" w:hAnsi="Times New Roman"/>
          <w:sz w:val="24"/>
        </w:rPr>
      </w:pPr>
    </w:p>
    <w:p w:rsidRPr="00BB1E41" w:rsidR="00491FE7" w:rsidP="00491FE7" w:rsidRDefault="00491FE7">
      <w:pPr>
        <w:rPr>
          <w:rFonts w:ascii="Times New Roman" w:hAnsi="Times New Roman"/>
          <w:sz w:val="24"/>
        </w:rPr>
      </w:pPr>
      <w:r w:rsidRPr="00BB1E41">
        <w:rPr>
          <w:rFonts w:ascii="Times New Roman" w:hAnsi="Times New Roman"/>
          <w:sz w:val="24"/>
        </w:rPr>
        <w:t>A</w:t>
      </w:r>
    </w:p>
    <w:p w:rsidRPr="00BB1E41" w:rsidR="00491FE7" w:rsidP="00491FE7" w:rsidRDefault="00491FE7">
      <w:pPr>
        <w:rPr>
          <w:rFonts w:ascii="Times New Roman" w:hAnsi="Times New Roman"/>
          <w:sz w:val="24"/>
        </w:rPr>
      </w:pPr>
    </w:p>
    <w:p w:rsidRPr="00BB1E41" w:rsidR="00491FE7" w:rsidP="00491FE7" w:rsidRDefault="00491FE7">
      <w:pPr>
        <w:rPr>
          <w:rFonts w:ascii="Times New Roman" w:hAnsi="Times New Roman"/>
          <w:sz w:val="24"/>
        </w:rPr>
      </w:pPr>
      <w:r w:rsidRPr="00BB1E41">
        <w:rPr>
          <w:rFonts w:ascii="Times New Roman" w:hAnsi="Times New Roman"/>
          <w:sz w:val="24"/>
        </w:rPr>
        <w:tab/>
        <w:t xml:space="preserve">In artikel 5, tweede lid, onderdeel a, vervalt “integrale” en wordt na “energiebron” ingevoegd “, waarbij bepaalde kosten geheel of gedeeltelijk buiten beschouwing kunnen worden gelaten”. </w:t>
      </w:r>
    </w:p>
    <w:p w:rsidRPr="00BB1E41" w:rsidR="00491FE7" w:rsidP="00491FE7" w:rsidRDefault="00491FE7">
      <w:pPr>
        <w:tabs>
          <w:tab w:val="left" w:pos="284"/>
          <w:tab w:val="left" w:pos="567"/>
          <w:tab w:val="left" w:pos="851"/>
        </w:tabs>
        <w:ind w:right="-2"/>
        <w:rPr>
          <w:rFonts w:ascii="Times New Roman" w:hAnsi="Times New Roman"/>
          <w:sz w:val="24"/>
        </w:rPr>
      </w:pPr>
    </w:p>
    <w:p w:rsidRPr="00BB1E41" w:rsidR="00BB1E41" w:rsidP="00491FE7" w:rsidRDefault="00491FE7">
      <w:pPr>
        <w:tabs>
          <w:tab w:val="left" w:pos="284"/>
          <w:tab w:val="left" w:pos="567"/>
          <w:tab w:val="left" w:pos="851"/>
        </w:tabs>
        <w:ind w:right="-2"/>
        <w:rPr>
          <w:rFonts w:ascii="Times New Roman" w:hAnsi="Times New Roman"/>
          <w:b/>
          <w:bCs/>
          <w:iCs/>
          <w:sz w:val="24"/>
        </w:rPr>
      </w:pPr>
      <w:r w:rsidRPr="00BB1E41">
        <w:rPr>
          <w:rFonts w:ascii="Times New Roman" w:hAnsi="Times New Roman"/>
          <w:sz w:val="24"/>
        </w:rPr>
        <w:t>B</w:t>
      </w:r>
      <w:r w:rsidRPr="00BB1E41">
        <w:rPr>
          <w:rFonts w:ascii="Times New Roman" w:hAnsi="Times New Roman"/>
          <w:sz w:val="24"/>
        </w:rPr>
        <w:br/>
      </w:r>
      <w:r w:rsidRPr="00BB1E41">
        <w:rPr>
          <w:rFonts w:ascii="Times New Roman" w:hAnsi="Times New Roman"/>
          <w:sz w:val="24"/>
        </w:rPr>
        <w:br/>
      </w:r>
      <w:r w:rsidRPr="00BB1E41">
        <w:rPr>
          <w:rFonts w:ascii="Times New Roman" w:hAnsi="Times New Roman"/>
          <w:sz w:val="24"/>
        </w:rPr>
        <w:tab/>
        <w:t>In artikel 12a, tweede lid, wordt na “Burgerlijk Wetboek” ingevoegd “, met uitzondering van de artikelen 395a, 396, 397 en 403 van deze titel”.</w:t>
      </w:r>
      <w:r w:rsidRPr="00BB1E41">
        <w:rPr>
          <w:rFonts w:ascii="Times New Roman" w:hAnsi="Times New Roman"/>
          <w:b/>
          <w:bCs/>
          <w:i/>
          <w:iCs/>
          <w:sz w:val="24"/>
        </w:rPr>
        <w:t xml:space="preserve"> </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C</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In artikel 7, eerste lid, wordt “in de warmteleveringsmarkt” vervangen door “behaald door leveranciers en de kosten en opbrengsten per soort warmtenet”. </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D</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Na artikel 13 wordt een artikel ingevoegd, luidende: </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
          <w:bCs/>
          <w:iCs/>
          <w:sz w:val="24"/>
        </w:rPr>
      </w:pPr>
      <w:r w:rsidRPr="00B87055">
        <w:rPr>
          <w:rFonts w:ascii="Times New Roman" w:hAnsi="Times New Roman"/>
          <w:b/>
          <w:bCs/>
          <w:iCs/>
          <w:sz w:val="24"/>
        </w:rPr>
        <w:t xml:space="preserve">Artikel 14 </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1. De Autoriteit Consument en Markt stelt </w:t>
      </w:r>
      <w:proofErr w:type="spellStart"/>
      <w:r w:rsidRPr="00B87055">
        <w:rPr>
          <w:rFonts w:ascii="Times New Roman" w:hAnsi="Times New Roman"/>
          <w:bCs/>
          <w:iCs/>
          <w:sz w:val="24"/>
        </w:rPr>
        <w:t>regulatorische</w:t>
      </w:r>
      <w:proofErr w:type="spellEnd"/>
      <w:r w:rsidRPr="00B87055">
        <w:rPr>
          <w:rFonts w:ascii="Times New Roman" w:hAnsi="Times New Roman"/>
          <w:bCs/>
          <w:iCs/>
          <w:sz w:val="24"/>
        </w:rPr>
        <w:t xml:space="preserve"> accountingregels vast gericht op de van een leverancier of de groep waartoe deze behoort te verkrijgen noodzakelijke gegevens voor de uitvoering van de bij of krachtens artikel 7 gegeven bevoegdheden en de regulering van tarieven op basis van kosten. </w:t>
      </w: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2. De Autoriteit Consument en Markt kan een leverancier of de groep waartoe het behoort verzoeken informatie op grond van de </w:t>
      </w:r>
      <w:proofErr w:type="spellStart"/>
      <w:r w:rsidRPr="00B87055">
        <w:rPr>
          <w:rFonts w:ascii="Times New Roman" w:hAnsi="Times New Roman"/>
          <w:bCs/>
          <w:iCs/>
          <w:sz w:val="24"/>
        </w:rPr>
        <w:t>regulatorische</w:t>
      </w:r>
      <w:proofErr w:type="spellEnd"/>
      <w:r w:rsidRPr="00B87055">
        <w:rPr>
          <w:rFonts w:ascii="Times New Roman" w:hAnsi="Times New Roman"/>
          <w:bCs/>
          <w:iCs/>
          <w:sz w:val="24"/>
        </w:rPr>
        <w:t xml:space="preserve"> accountingregels te verstrekken. De leverancier verstrekt de informatie binnen de in het verzoek gestelde termijn. </w:t>
      </w: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3. De informatie, bedoeld in het tweede lid, is gecontroleerd door een registeraccountant indien de Autoriteit Consument en Markt daarom heeft verzocht.</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87055" w:rsidR="00BB1E41" w:rsidP="00BB1E41" w:rsidRDefault="00BB1E41">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 xml:space="preserve">E </w:t>
      </w:r>
    </w:p>
    <w:p w:rsidRPr="00B87055" w:rsidR="00BB1E41" w:rsidP="00BB1E41" w:rsidRDefault="00BB1E41">
      <w:pPr>
        <w:tabs>
          <w:tab w:val="left" w:pos="284"/>
          <w:tab w:val="left" w:pos="567"/>
          <w:tab w:val="left" w:pos="851"/>
        </w:tabs>
        <w:ind w:right="-2"/>
        <w:rPr>
          <w:rFonts w:ascii="Times New Roman" w:hAnsi="Times New Roman"/>
          <w:bCs/>
          <w:iCs/>
          <w:sz w:val="24"/>
        </w:rPr>
      </w:pPr>
    </w:p>
    <w:p w:rsidRPr="00BB1E41" w:rsidR="00491FE7" w:rsidP="00BB1E41" w:rsidRDefault="00BB1E41">
      <w:pPr>
        <w:tabs>
          <w:tab w:val="left" w:pos="284"/>
          <w:tab w:val="left" w:pos="567"/>
          <w:tab w:val="left" w:pos="851"/>
        </w:tabs>
        <w:ind w:right="-2"/>
        <w:rPr>
          <w:rFonts w:ascii="Times New Roman" w:hAnsi="Times New Roman"/>
          <w:sz w:val="24"/>
        </w:rPr>
      </w:pPr>
      <w:r w:rsidRPr="00B87055">
        <w:rPr>
          <w:rFonts w:ascii="Times New Roman" w:hAnsi="Times New Roman"/>
          <w:bCs/>
          <w:iCs/>
          <w:sz w:val="24"/>
        </w:rPr>
        <w:t>In artikel 18, tweede lid, wordt na “13” ingevoegd “14,”.</w:t>
      </w:r>
      <w:r w:rsidRPr="00B87055" w:rsidR="00491FE7">
        <w:rPr>
          <w:rFonts w:ascii="Times New Roman" w:hAnsi="Times New Roman"/>
          <w:bCs/>
          <w:iCs/>
          <w:sz w:val="24"/>
        </w:rPr>
        <w:br/>
      </w:r>
    </w:p>
    <w:p w:rsidRPr="00CE09B1" w:rsidR="00491FE7" w:rsidP="007932DC" w:rsidRDefault="00491FE7">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b/>
          <w:sz w:val="24"/>
        </w:rPr>
      </w:pPr>
      <w:r w:rsidRPr="00BB1E41">
        <w:rPr>
          <w:rFonts w:ascii="Times New Roman" w:hAnsi="Times New Roman"/>
          <w:b/>
          <w:sz w:val="24"/>
        </w:rPr>
        <w:t>ARTIKEL III</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1. Indien het bij koninklijke boodschap van 9 juni 2023 ingediende voorstel van wet houdende regels over energiemarkten en energiesystemen (Energiewet) (36378) tot wet is of wordt verheven en artikel I, onderdeel A, van deze wet in werking treedt of is getreden, wordt artikel 3.42 van die wet als volgt gewijzigd:</w:t>
      </w:r>
    </w:p>
    <w:p w:rsidRPr="00BB1E41" w:rsidR="007932DC" w:rsidP="007932DC" w:rsidRDefault="007932DC">
      <w:pPr>
        <w:tabs>
          <w:tab w:val="left" w:pos="284"/>
          <w:tab w:val="left" w:pos="567"/>
          <w:tab w:val="left" w:pos="851"/>
        </w:tabs>
        <w:ind w:right="-2"/>
        <w:rPr>
          <w:rFonts w:ascii="Times New Roman" w:hAnsi="Times New Roman"/>
          <w:sz w:val="24"/>
        </w:rPr>
      </w:pPr>
    </w:p>
    <w:p w:rsidRPr="00BB1E41" w:rsidR="007932DC" w:rsidP="007932DC" w:rsidRDefault="007932DC">
      <w:pPr>
        <w:tabs>
          <w:tab w:val="left" w:pos="284"/>
          <w:tab w:val="left" w:pos="567"/>
          <w:tab w:val="left" w:pos="851"/>
        </w:tabs>
        <w:ind w:right="-2"/>
        <w:rPr>
          <w:rFonts w:ascii="Times New Roman" w:hAnsi="Times New Roman"/>
          <w:sz w:val="24"/>
        </w:rPr>
      </w:pPr>
      <w:r w:rsidRPr="00BB1E41">
        <w:rPr>
          <w:rFonts w:ascii="Times New Roman" w:hAnsi="Times New Roman"/>
          <w:sz w:val="24"/>
        </w:rPr>
        <w:tab/>
        <w:t>a. In het opschrift wordt na “met beperking” ingevoegd “of afbouw”.</w:t>
      </w:r>
    </w:p>
    <w:p w:rsidRPr="00BB1E41" w:rsidR="007932DC" w:rsidP="007932DC" w:rsidRDefault="007932DC">
      <w:pPr>
        <w:tabs>
          <w:tab w:val="left" w:pos="284"/>
          <w:tab w:val="left" w:pos="567"/>
          <w:tab w:val="left" w:pos="851"/>
        </w:tabs>
        <w:ind w:right="-2"/>
        <w:rPr>
          <w:rFonts w:ascii="Times New Roman" w:hAnsi="Times New Roman"/>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b. Onder vernummering van het tweede tot en met vijfde lid tot derde tot en met zesde lid wordt na het eerste lid een lid ingevoegd, luidende: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2. Artikel 3.40, eerste lid, en artikel 3.41, eerste lid, zijn niet van toepassing en de transmissie- of distributiesysteembeheerder beëindigt aansluitovereenkomsten in een gebied waarin in een omgevingsplan als bedoeld in artikel 2.4 van de Omgevingswet het gebruik van gas is uitgesloten als warmtevoorziening van gebouwen en, voor zover op dezelfde locatie milieubelastende activiteiten worden verricht, de energievoorziening voor milieubelastende activiteiten: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 voor zover het aansluitingen of verzoeken om aansluitingen betreft die behoren bij een onroerende zaak waarvoor de uitsluiting van het gebruik van gas ingevolge dat omgevingsplan geldt, en </w:t>
      </w: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b. vanaf het moment dat de uitsluiting van het gebruik van gas ingevolge dat omgevingsplan geldt of vanaf zes maanden na dit moment voor aansluitingen die behoren bij door het college van burgemeester en wethouders aangewezen onroerende zaken waarvoor het zesde lid langer van toepassing moet zijn. </w:t>
      </w:r>
    </w:p>
    <w:p w:rsidRPr="007932DC" w:rsidR="007932DC" w:rsidP="007932DC" w:rsidRDefault="007932DC">
      <w:pPr>
        <w:tabs>
          <w:tab w:val="left" w:pos="284"/>
          <w:tab w:val="left" w:pos="567"/>
          <w:tab w:val="left" w:pos="851"/>
        </w:tabs>
        <w:ind w:right="-2"/>
        <w:rPr>
          <w:rFonts w:ascii="Times New Roman" w:hAnsi="Times New Roman"/>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c. Het vijfde lid, onderdeel a, (nieuw) komt te luiden: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 gebieden waarvoor een besluit als bedoeld in het eerste of tweede lid geldt;. </w:t>
      </w: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d. Het zesde lid (nieuw) komt te luiden: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6. Bij ministeriële regeling kunnen regels worden gesteld over de melding, bedoeld in het derde en vierde lid, en de in het register, bedoeld in het vijfde lid, te vermelden gegevens.</w:t>
      </w: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2. Indien het bij koninklijke boodschap van 9 juni 2023 ingediende voorstel van wet houdende regels over energiemarkten en energiesystemen (Energiewet) (36378) tot wet is of wordt verheven en artikel I, onderdeel B, van deze wet in werking treedt of is getreden, wordt aan artikel 3.47 van die wet een zevende lid toegevoegd:</w:t>
      </w: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7. Het eerste lid is niet van toepassing op verzoeken om transport van gas dat wordt ingevoed of afgeleverd via een aansluiting waarvoor ingevolge artikel 3.42, tweede lid, de tak, bedoeld in artikel 3.40 eerste lid, en artikel 3.41, eerste lid, niet van toepassing is en de transmissie- of distributiesysteembeheerder beëindigt transportovereenkomsten voor dat transport. </w:t>
      </w:r>
    </w:p>
    <w:p w:rsidRPr="007932DC"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3. Indien het bij koninklijke boodschap van 9 juni 2023 ingediende voorstel van wet houdende regels over energiemarkten en energiesystemen (Energiewet) (36378) tot wet is of wordt verheven en artikel I, onderdeel C, van deze wet in werking treedt of is getreden, wordt na artikel 6.8 van die wet een artikel toegevoegd: </w:t>
      </w:r>
    </w:p>
    <w:p w:rsidRPr="007932DC"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b/>
          <w:bCs/>
          <w:sz w:val="24"/>
        </w:rPr>
      </w:pPr>
      <w:r w:rsidRPr="007932DC">
        <w:rPr>
          <w:rFonts w:ascii="Times New Roman" w:hAnsi="Times New Roman"/>
          <w:b/>
          <w:bCs/>
          <w:sz w:val="24"/>
        </w:rPr>
        <w:t>Artikel 6.8a</w:t>
      </w:r>
    </w:p>
    <w:p w:rsidRPr="007932DC" w:rsidR="007932DC" w:rsidP="007932DC" w:rsidRDefault="007932DC">
      <w:pPr>
        <w:tabs>
          <w:tab w:val="left" w:pos="284"/>
          <w:tab w:val="left" w:pos="567"/>
          <w:tab w:val="left" w:pos="851"/>
        </w:tabs>
        <w:ind w:right="-2"/>
        <w:rPr>
          <w:rFonts w:ascii="Times New Roman" w:hAnsi="Times New Roman"/>
          <w:b/>
          <w:bCs/>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Artikel 6.8 is niet van toepassing indien </w:t>
      </w:r>
      <w:r w:rsidR="00223FA1">
        <w:rPr>
          <w:rFonts w:ascii="Times New Roman" w:hAnsi="Times New Roman"/>
          <w:sz w:val="24"/>
        </w:rPr>
        <w:t xml:space="preserve">met </w:t>
      </w:r>
      <w:r w:rsidRPr="007932DC">
        <w:rPr>
          <w:rFonts w:ascii="Times New Roman" w:hAnsi="Times New Roman"/>
          <w:sz w:val="24"/>
        </w:rPr>
        <w:t xml:space="preserve">het oog op verduurzaming van de warmtevoorziening van gebouwen in een omgevingsplan als bedoeld in artikel 2.4 van de Omgevingswet regels worden gesteld die in een gebied het gebruik van gas uitsluiten als warmtevoorziening van gebouwen en, indien op dezelfde locatie milieubelastende activiteiten worden verricht, de energievoorziening voor deze milieubelastende activiteiten, met uitzondering van bij of krachtens algemene maatregel van bestuur aangewezen categorieën van gebouwen of milieubelastende activiteiten die van belang zijn voor de leveringszekerheid van de energievoorziening. </w:t>
      </w: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4. Indien het bij koninklijke boodschap van 9 juni 2023 ingediende voorstel van wet houdende regels over energiemarkten en energiesystemen (Energiewet)</w:t>
      </w:r>
      <w:r w:rsidRPr="007932DC" w:rsidDel="00900D70">
        <w:rPr>
          <w:rFonts w:ascii="Times New Roman" w:hAnsi="Times New Roman"/>
          <w:sz w:val="24"/>
        </w:rPr>
        <w:t xml:space="preserve"> </w:t>
      </w:r>
      <w:r w:rsidRPr="007932DC">
        <w:rPr>
          <w:rFonts w:ascii="Times New Roman" w:hAnsi="Times New Roman"/>
          <w:sz w:val="24"/>
        </w:rPr>
        <w:t xml:space="preserve">(36378) tot wet is of wordt verheven en artikel I, onderdeel D, van deze wet in werking treedt of is getreden, wordt aan artikel 3.109, derde lid, van die wet onder vervanging van de punt aan het slot van onderdeel e door een puntkomma, een onderdeel toegevoegd, luidende: </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f. de geschatte kosten voor de opbouw van een voorziening voor het verwijderen van aansluitingen en andere permanent buiten gebruik te stellen onderdelen van het transmissie- of distributiesysteem voor gas waarmee geen rekening is gehouden bij de vaststelling van het methodebesluit, voor zover deze kosten efficiënt zijn.</w:t>
      </w:r>
    </w:p>
    <w:p w:rsidR="007932DC" w:rsidP="007932DC" w:rsidRDefault="007932DC">
      <w:pPr>
        <w:tabs>
          <w:tab w:val="left" w:pos="284"/>
          <w:tab w:val="left" w:pos="567"/>
          <w:tab w:val="left" w:pos="851"/>
        </w:tabs>
        <w:ind w:right="-2"/>
        <w:rPr>
          <w:rFonts w:ascii="Times New Roman" w:hAnsi="Times New Roman"/>
          <w:sz w:val="24"/>
        </w:rPr>
      </w:pPr>
      <w:bookmarkStart w:name="_Hlk136437205" w:id="6"/>
    </w:p>
    <w:p w:rsidR="007932DC" w:rsidP="007932DC" w:rsidRDefault="007932DC">
      <w:pPr>
        <w:tabs>
          <w:tab w:val="left" w:pos="284"/>
          <w:tab w:val="left" w:pos="567"/>
          <w:tab w:val="left" w:pos="851"/>
        </w:tabs>
        <w:ind w:right="-2"/>
        <w:rPr>
          <w:rFonts w:ascii="Times New Roman" w:hAnsi="Times New Roman"/>
          <w:sz w:val="24"/>
        </w:rPr>
      </w:pPr>
      <w:r w:rsidRPr="007932DC">
        <w:rPr>
          <w:rFonts w:ascii="Times New Roman" w:hAnsi="Times New Roman"/>
          <w:sz w:val="24"/>
        </w:rPr>
        <w:t>B</w:t>
      </w:r>
    </w:p>
    <w:p w:rsidRPr="007932DC" w:rsidR="007932DC" w:rsidP="007932DC" w:rsidRDefault="007932DC">
      <w:pPr>
        <w:tabs>
          <w:tab w:val="left" w:pos="284"/>
          <w:tab w:val="left" w:pos="567"/>
          <w:tab w:val="left" w:pos="851"/>
        </w:tabs>
        <w:ind w:right="-2"/>
        <w:rPr>
          <w:rFonts w:ascii="Times New Roman" w:hAnsi="Times New Roman"/>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Indien het bij koninklijke boodschap van 9 juni 2023 ingediende voorstel van wet houdende regels over energiemarkten en energiesystemen (Energiewet) (36378):</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a. eerder tot wet is of wordt verheven en artikel II, onderdeel D, van deze wet in werking treedt of is getreden, wordt artikel II, onderdeel E, van deze wet als volgt gewijzigd:</w:t>
      </w:r>
    </w:p>
    <w:p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sz w:val="24"/>
        </w:rPr>
      </w:pPr>
      <w:r w:rsidRPr="007932DC">
        <w:rPr>
          <w:rFonts w:ascii="Times New Roman" w:hAnsi="Times New Roman"/>
          <w:sz w:val="24"/>
        </w:rPr>
        <w:t>Onderdeel E komt te luiden:</w:t>
      </w:r>
    </w:p>
    <w:p w:rsidRPr="007932DC"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sz w:val="24"/>
        </w:rPr>
      </w:pPr>
      <w:bookmarkStart w:name="_Hlk136517959" w:id="7"/>
      <w:r>
        <w:rPr>
          <w:rFonts w:ascii="Times New Roman" w:hAnsi="Times New Roman"/>
          <w:sz w:val="24"/>
        </w:rPr>
        <w:tab/>
      </w:r>
      <w:r w:rsidRPr="007932DC">
        <w:rPr>
          <w:rFonts w:ascii="Times New Roman" w:hAnsi="Times New Roman"/>
          <w:sz w:val="24"/>
        </w:rPr>
        <w:t>In afdeling 20.1 wordt een artikel toegevoegd, luidende:</w:t>
      </w:r>
    </w:p>
    <w:p w:rsidRPr="007932DC"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b/>
          <w:bCs/>
          <w:sz w:val="24"/>
        </w:rPr>
      </w:pPr>
      <w:r w:rsidRPr="007932DC">
        <w:rPr>
          <w:rFonts w:ascii="Times New Roman" w:hAnsi="Times New Roman"/>
          <w:b/>
          <w:bCs/>
          <w:sz w:val="24"/>
        </w:rPr>
        <w:t xml:space="preserve">Artikel 20.7a (verstrekken vertrouwelijke gegevens) </w:t>
      </w:r>
    </w:p>
    <w:p w:rsidRPr="007932DC" w:rsidR="007932DC" w:rsidP="007932DC" w:rsidRDefault="007932DC">
      <w:pPr>
        <w:tabs>
          <w:tab w:val="left" w:pos="284"/>
          <w:tab w:val="left" w:pos="567"/>
          <w:tab w:val="left" w:pos="851"/>
        </w:tabs>
        <w:ind w:right="-2"/>
        <w:rPr>
          <w:rFonts w:ascii="Times New Roman" w:hAnsi="Times New Roman"/>
          <w:b/>
          <w:bCs/>
          <w:sz w:val="24"/>
        </w:rPr>
      </w:pP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De op grond van artikel 20.2, zevende lid, of artikel 20.6, eerste lid, te verzamelen of verstrekken gegevens kunnen voor de verduurzaming van de energievoorziening van gebouwen betrekking hebben op:</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a. de naam en het adres van de eigenaar van een onroerende zaak of de gerechtigde tot een appartementsrecht, als dat niet ook de bewoner of gebruiker is, volgens de basisregistratie kadaster, en</w:t>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b. de aansluiting en toekomstige aansluiting van een gebouw op een energievoorziening als bedoeld in artikel 3.41 van de Energiewet of artikel 1, eerste lid, van de Warmtewet.</w:t>
      </w:r>
    </w:p>
    <w:bookmarkEnd w:id="6"/>
    <w:bookmarkEnd w:id="7"/>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b. later tot wet is of wordt verheven en artikel II, onderdeel D, van deze wet in werking treedt of is getreden, wordt artikel 20.7a van de Omgevingswet als volgt gewijzigd:</w:t>
      </w:r>
    </w:p>
    <w:p w:rsidRPr="007932DC" w:rsidR="007932DC" w:rsidP="007932DC" w:rsidRDefault="007932DC">
      <w:pPr>
        <w:tabs>
          <w:tab w:val="left" w:pos="284"/>
          <w:tab w:val="left" w:pos="567"/>
          <w:tab w:val="left" w:pos="851"/>
        </w:tabs>
        <w:ind w:right="-2"/>
        <w:rPr>
          <w:rFonts w:ascii="Times New Roman" w:hAnsi="Times New Roman"/>
          <w:sz w:val="24"/>
        </w:rPr>
      </w:pPr>
    </w:p>
    <w:p w:rsidR="007932DC" w:rsidP="007932DC" w:rsidRDefault="007932DC">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In onderdeel b wordt “artikel 10, zesde lid, onder a en b, van de Gaswet, artikel 23, eerste lid, van de Elektriciteitswet 1998” vervangen door “artikel 3.41 van de Energiewet”.</w:t>
      </w:r>
    </w:p>
    <w:p w:rsidR="004B7296" w:rsidP="007932DC" w:rsidRDefault="004B7296">
      <w:pPr>
        <w:tabs>
          <w:tab w:val="left" w:pos="284"/>
          <w:tab w:val="left" w:pos="567"/>
          <w:tab w:val="left" w:pos="851"/>
        </w:tabs>
        <w:ind w:right="-2"/>
        <w:rPr>
          <w:rFonts w:ascii="Times New Roman" w:hAnsi="Times New Roman"/>
          <w:sz w:val="24"/>
        </w:rPr>
      </w:pPr>
    </w:p>
    <w:p w:rsidR="004B7296" w:rsidP="007932DC"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b/>
          <w:bCs/>
          <w:sz w:val="24"/>
        </w:rPr>
      </w:pPr>
      <w:bookmarkStart w:name="_Hlk132788428" w:id="8"/>
      <w:r w:rsidRPr="004B7296">
        <w:rPr>
          <w:rFonts w:ascii="Times New Roman" w:hAnsi="Times New Roman"/>
          <w:b/>
          <w:bCs/>
          <w:sz w:val="24"/>
        </w:rPr>
        <w:t>ARTIKEL IV</w:t>
      </w:r>
    </w:p>
    <w:p w:rsidRPr="004B7296" w:rsidR="004B7296" w:rsidP="004B7296" w:rsidRDefault="004B7296">
      <w:pPr>
        <w:tabs>
          <w:tab w:val="left" w:pos="284"/>
          <w:tab w:val="left" w:pos="567"/>
          <w:tab w:val="left" w:pos="851"/>
        </w:tabs>
        <w:ind w:right="-2"/>
        <w:rPr>
          <w:rFonts w:ascii="Times New Roman" w:hAnsi="Times New Roman"/>
          <w:b/>
          <w:bCs/>
          <w:sz w:val="24"/>
        </w:rPr>
      </w:pPr>
    </w:p>
    <w:p w:rsidRPr="004B7296" w:rsidR="004B7296" w:rsidP="004B7296" w:rsidRDefault="004B7296">
      <w:pPr>
        <w:tabs>
          <w:tab w:val="left" w:pos="284"/>
          <w:tab w:val="left" w:pos="567"/>
          <w:tab w:val="left" w:pos="851"/>
        </w:tabs>
        <w:ind w:right="-2"/>
        <w:rPr>
          <w:rFonts w:ascii="Times New Roman" w:hAnsi="Times New Roman"/>
          <w:sz w:val="24"/>
        </w:rPr>
      </w:pPr>
      <w:r>
        <w:rPr>
          <w:rFonts w:ascii="Times New Roman" w:hAnsi="Times New Roman"/>
          <w:sz w:val="24"/>
        </w:rPr>
        <w:tab/>
      </w:r>
      <w:r w:rsidRPr="000F4087" w:rsidR="000F4087">
        <w:rPr>
          <w:rFonts w:ascii="Times New Roman" w:hAnsi="Times New Roman"/>
          <w:sz w:val="24"/>
        </w:rPr>
        <w:t xml:space="preserve">Onze Minister van Binnenlandse Zaken en Koninkrijksrelaties </w:t>
      </w:r>
      <w:r w:rsidRPr="004B7296">
        <w:rPr>
          <w:rFonts w:ascii="Times New Roman" w:hAnsi="Times New Roman"/>
          <w:sz w:val="24"/>
        </w:rPr>
        <w:t>zendt binnen vijf jaar na de inwerkingtreding van deze wet aan de Staten-Generaal een verslag over de doeltreffendheid en de effecten van deze wet in de praktijk.</w:t>
      </w:r>
    </w:p>
    <w:bookmarkEnd w:id="8"/>
    <w:p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b/>
          <w:sz w:val="24"/>
        </w:rPr>
      </w:pPr>
      <w:r w:rsidRPr="004B7296">
        <w:rPr>
          <w:rFonts w:ascii="Times New Roman" w:hAnsi="Times New Roman"/>
          <w:b/>
          <w:sz w:val="24"/>
        </w:rPr>
        <w:t>ARTIKEL V</w:t>
      </w:r>
    </w:p>
    <w:p w:rsidRPr="004B7296" w:rsidR="004B7296" w:rsidP="004B7296" w:rsidRDefault="004B7296">
      <w:pPr>
        <w:tabs>
          <w:tab w:val="left" w:pos="284"/>
          <w:tab w:val="left" w:pos="567"/>
          <w:tab w:val="left" w:pos="851"/>
        </w:tabs>
        <w:ind w:right="-2"/>
        <w:rPr>
          <w:rFonts w:ascii="Times New Roman" w:hAnsi="Times New Roman"/>
          <w:b/>
          <w:sz w:val="24"/>
        </w:rPr>
      </w:pPr>
    </w:p>
    <w:p w:rsidRPr="004B7296" w:rsidR="004B7296" w:rsidP="004B7296" w:rsidRDefault="004B7296">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b/>
          <w:sz w:val="24"/>
        </w:rPr>
      </w:pPr>
      <w:r w:rsidRPr="004B7296">
        <w:rPr>
          <w:rFonts w:ascii="Times New Roman" w:hAnsi="Times New Roman"/>
          <w:b/>
          <w:sz w:val="24"/>
        </w:rPr>
        <w:t>ARTIKEL VI</w:t>
      </w:r>
    </w:p>
    <w:p w:rsidRPr="004B7296" w:rsidR="004B7296" w:rsidP="004B7296" w:rsidRDefault="004B7296">
      <w:pPr>
        <w:tabs>
          <w:tab w:val="left" w:pos="284"/>
          <w:tab w:val="left" w:pos="567"/>
          <w:tab w:val="left" w:pos="851"/>
        </w:tabs>
        <w:ind w:right="-2"/>
        <w:rPr>
          <w:rFonts w:ascii="Times New Roman" w:hAnsi="Times New Roman"/>
          <w:b/>
          <w:sz w:val="24"/>
        </w:rPr>
      </w:pPr>
    </w:p>
    <w:p w:rsidRPr="004B7296" w:rsidR="004B7296" w:rsidP="004B7296" w:rsidRDefault="004B7296">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Pr>
          <w:rFonts w:ascii="Times New Roman" w:hAnsi="Times New Roman"/>
          <w:sz w:val="24"/>
        </w:rPr>
        <w:t>Deze wet wordt aangehaald als: Wet gemeentelijke instrumenten warmtetransitie.</w:t>
      </w:r>
    </w:p>
    <w:p w:rsidRPr="004B7296"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0F4087">
      <w:pPr>
        <w:tabs>
          <w:tab w:val="left" w:pos="284"/>
          <w:tab w:val="left" w:pos="567"/>
          <w:tab w:val="left" w:pos="851"/>
        </w:tabs>
        <w:ind w:right="-2"/>
        <w:rPr>
          <w:rFonts w:ascii="Times New Roman" w:hAnsi="Times New Roman"/>
          <w:sz w:val="24"/>
        </w:rPr>
      </w:pPr>
      <w:r>
        <w:rPr>
          <w:rFonts w:ascii="Times New Roman" w:hAnsi="Times New Roman"/>
          <w:sz w:val="24"/>
        </w:rPr>
        <w:t>De</w:t>
      </w:r>
      <w:r w:rsidRPr="000F4087">
        <w:rPr>
          <w:rFonts w:ascii="Times New Roman" w:hAnsi="Times New Roman"/>
          <w:sz w:val="24"/>
        </w:rPr>
        <w:t xml:space="preserve"> Minister van Binnenlandse Zaken en Koninkrijksrelaties</w:t>
      </w:r>
      <w:r w:rsidRPr="004B7296" w:rsidR="004B7296">
        <w:rPr>
          <w:rFonts w:ascii="Times New Roman" w:hAnsi="Times New Roman"/>
          <w:sz w:val="24"/>
        </w:rPr>
        <w:t>,</w:t>
      </w: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004B7296" w:rsidP="004B7296" w:rsidRDefault="004B7296">
      <w:pPr>
        <w:tabs>
          <w:tab w:val="left" w:pos="284"/>
          <w:tab w:val="left" w:pos="567"/>
          <w:tab w:val="left" w:pos="851"/>
        </w:tabs>
        <w:ind w:right="-2"/>
        <w:rPr>
          <w:rFonts w:ascii="Times New Roman" w:hAnsi="Times New Roman"/>
          <w:sz w:val="24"/>
        </w:rPr>
      </w:pPr>
    </w:p>
    <w:p w:rsidRPr="004B7296" w:rsidR="004B7296" w:rsidP="004B7296" w:rsidRDefault="004B7296">
      <w:pPr>
        <w:tabs>
          <w:tab w:val="left" w:pos="284"/>
          <w:tab w:val="left" w:pos="567"/>
          <w:tab w:val="left" w:pos="851"/>
        </w:tabs>
        <w:ind w:right="-2"/>
        <w:rPr>
          <w:rFonts w:ascii="Times New Roman" w:hAnsi="Times New Roman"/>
          <w:sz w:val="24"/>
        </w:rPr>
      </w:pPr>
    </w:p>
    <w:p w:rsidRPr="007932DC" w:rsidR="007932DC" w:rsidP="00525875" w:rsidRDefault="004B7296">
      <w:pPr>
        <w:tabs>
          <w:tab w:val="left" w:pos="284"/>
          <w:tab w:val="left" w:pos="567"/>
          <w:tab w:val="left" w:pos="851"/>
        </w:tabs>
        <w:ind w:right="-2"/>
        <w:rPr>
          <w:rFonts w:ascii="Times New Roman" w:hAnsi="Times New Roman"/>
          <w:sz w:val="24"/>
        </w:rPr>
      </w:pPr>
      <w:r w:rsidRPr="004B7296">
        <w:rPr>
          <w:rFonts w:ascii="Times New Roman" w:hAnsi="Times New Roman"/>
          <w:sz w:val="24"/>
        </w:rPr>
        <w:t>De minister voor Klimaat en Energie,</w:t>
      </w:r>
    </w:p>
    <w:sectPr w:rsidRPr="007932DC" w:rsidR="007932D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DC" w:rsidRDefault="007932DC">
      <w:pPr>
        <w:spacing w:line="20" w:lineRule="exact"/>
      </w:pPr>
    </w:p>
  </w:endnote>
  <w:endnote w:type="continuationSeparator" w:id="0">
    <w:p w:rsidR="007932DC" w:rsidRDefault="007932DC">
      <w:pPr>
        <w:pStyle w:val="Amendement"/>
      </w:pPr>
      <w:r>
        <w:rPr>
          <w:b w:val="0"/>
          <w:bCs w:val="0"/>
        </w:rPr>
        <w:t xml:space="preserve"> </w:t>
      </w:r>
    </w:p>
  </w:endnote>
  <w:endnote w:type="continuationNotice" w:id="1">
    <w:p w:rsidR="007932DC" w:rsidRDefault="007932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705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DC" w:rsidRDefault="007932DC">
      <w:pPr>
        <w:pStyle w:val="Amendement"/>
      </w:pPr>
      <w:r>
        <w:rPr>
          <w:b w:val="0"/>
          <w:bCs w:val="0"/>
        </w:rPr>
        <w:separator/>
      </w:r>
    </w:p>
  </w:footnote>
  <w:footnote w:type="continuationSeparator" w:id="0">
    <w:p w:rsidR="007932DC" w:rsidRDefault="0079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DC"/>
    <w:rsid w:val="00012DBE"/>
    <w:rsid w:val="000A1D81"/>
    <w:rsid w:val="000F4087"/>
    <w:rsid w:val="00111ED3"/>
    <w:rsid w:val="001C190E"/>
    <w:rsid w:val="002168F4"/>
    <w:rsid w:val="00223FA1"/>
    <w:rsid w:val="002A727C"/>
    <w:rsid w:val="002D7483"/>
    <w:rsid w:val="003600EA"/>
    <w:rsid w:val="00476AD1"/>
    <w:rsid w:val="00491FE7"/>
    <w:rsid w:val="004B7296"/>
    <w:rsid w:val="00525875"/>
    <w:rsid w:val="005D2707"/>
    <w:rsid w:val="00606255"/>
    <w:rsid w:val="006B607A"/>
    <w:rsid w:val="007932DC"/>
    <w:rsid w:val="007D451C"/>
    <w:rsid w:val="00826224"/>
    <w:rsid w:val="00930A23"/>
    <w:rsid w:val="009C7354"/>
    <w:rsid w:val="009E6D7F"/>
    <w:rsid w:val="009F3AF3"/>
    <w:rsid w:val="00A11E73"/>
    <w:rsid w:val="00A2521E"/>
    <w:rsid w:val="00AE436A"/>
    <w:rsid w:val="00B87055"/>
    <w:rsid w:val="00BB1E41"/>
    <w:rsid w:val="00C135B1"/>
    <w:rsid w:val="00C92DF8"/>
    <w:rsid w:val="00CB3578"/>
    <w:rsid w:val="00CE09B1"/>
    <w:rsid w:val="00CF40AF"/>
    <w:rsid w:val="00D20AFA"/>
    <w:rsid w:val="00D55648"/>
    <w:rsid w:val="00E16443"/>
    <w:rsid w:val="00E36EE9"/>
    <w:rsid w:val="00EE0AD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5C8BA6-7C5D-4741-BAED-365C32EE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7932DC"/>
    <w:rPr>
      <w:color w:val="0000FF" w:themeColor="hyperlink"/>
      <w:u w:val="single"/>
    </w:rPr>
  </w:style>
  <w:style w:type="paragraph" w:styleId="Lijstalinea">
    <w:name w:val="List Paragraph"/>
    <w:basedOn w:val="Standaard"/>
    <w:uiPriority w:val="34"/>
    <w:qFormat/>
    <w:rsid w:val="007932DC"/>
    <w:pPr>
      <w:ind w:left="720"/>
      <w:contextualSpacing/>
    </w:pPr>
  </w:style>
  <w:style w:type="paragraph" w:styleId="Ballontekst">
    <w:name w:val="Balloon Text"/>
    <w:basedOn w:val="Standaard"/>
    <w:link w:val="BallontekstChar"/>
    <w:semiHidden/>
    <w:unhideWhenUsed/>
    <w:rsid w:val="00491FE7"/>
    <w:rPr>
      <w:rFonts w:ascii="Segoe UI" w:hAnsi="Segoe UI" w:cs="Segoe UI"/>
      <w:sz w:val="18"/>
      <w:szCs w:val="18"/>
    </w:rPr>
  </w:style>
  <w:style w:type="character" w:customStyle="1" w:styleId="BallontekstChar">
    <w:name w:val="Ballontekst Char"/>
    <w:basedOn w:val="Standaardalinea-lettertype"/>
    <w:link w:val="Ballontekst"/>
    <w:semiHidden/>
    <w:rsid w:val="00491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2281</ap:Words>
  <ap:Characters>12758</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2024-04-17T10:25:00.0000000Z</lastPrinted>
  <dcterms:created xsi:type="dcterms:W3CDTF">2024-04-17T09:18:00.0000000Z</dcterms:created>
  <dcterms:modified xsi:type="dcterms:W3CDTF">2024-04-17T10:25:00.0000000Z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