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A3B5D" w:rsidR="006A5589" w:rsidP="00DA3B5D" w:rsidRDefault="006A5589" w14:paraId="74D45F79" w14:textId="38EECBCD">
      <w:pPr>
        <w:spacing w:line="360" w:lineRule="auto"/>
        <w:rPr>
          <w:b/>
          <w:bCs/>
          <w:lang w:val="nl-NL"/>
        </w:rPr>
      </w:pPr>
      <w:r w:rsidRPr="00041838">
        <w:rPr>
          <w:b/>
          <w:bCs/>
          <w:lang w:val="nl-NL"/>
        </w:rPr>
        <w:t>Wijziging van de Overeenkomst tot oprichting van de Europese Bank voor Wederopbouw en Ontwikkeling (EBRD)</w:t>
      </w:r>
      <w:r w:rsidRPr="00041838">
        <w:rPr>
          <w:rFonts w:cs="Verdana"/>
          <w:b/>
          <w:bCs/>
          <w:lang w:val="nl-NL"/>
        </w:rPr>
        <w:t xml:space="preserve">; Samarkand, 18 mei 2023 </w:t>
      </w:r>
      <w:r w:rsidRPr="00041838">
        <w:rPr>
          <w:b/>
          <w:bCs/>
          <w:lang w:val="nl-NL"/>
        </w:rPr>
        <w:t>(</w:t>
      </w:r>
      <w:proofErr w:type="spellStart"/>
      <w:r w:rsidRPr="00041838">
        <w:rPr>
          <w:b/>
          <w:bCs/>
          <w:i/>
          <w:iCs/>
          <w:lang w:val="nl-NL"/>
        </w:rPr>
        <w:t>Trb</w:t>
      </w:r>
      <w:proofErr w:type="spellEnd"/>
      <w:r w:rsidRPr="00041838" w:rsidR="00E8329E">
        <w:rPr>
          <w:b/>
          <w:bCs/>
          <w:i/>
          <w:iCs/>
          <w:lang w:val="nl-NL"/>
        </w:rPr>
        <w:t xml:space="preserve">. </w:t>
      </w:r>
      <w:r w:rsidR="00842FEE">
        <w:rPr>
          <w:b/>
          <w:bCs/>
          <w:lang w:val="nl-NL"/>
        </w:rPr>
        <w:t>2023, 130</w:t>
      </w:r>
      <w:r w:rsidRPr="00041838" w:rsidR="00E8329E">
        <w:rPr>
          <w:b/>
          <w:bCs/>
          <w:lang w:val="nl-NL"/>
        </w:rPr>
        <w:t>)</w:t>
      </w:r>
    </w:p>
    <w:p w:rsidRPr="00F10ADC" w:rsidR="006A5589" w:rsidP="00F10ADC" w:rsidRDefault="006A5589" w14:paraId="48D25D36" w14:textId="77777777">
      <w:pPr>
        <w:spacing w:line="360" w:lineRule="auto"/>
        <w:rPr>
          <w:szCs w:val="18"/>
          <w:lang w:val="nl-NL"/>
        </w:rPr>
      </w:pPr>
    </w:p>
    <w:p w:rsidRPr="00DA3B5D" w:rsidR="00A944D6" w:rsidRDefault="00A944D6" w14:paraId="4A869201" w14:textId="77777777">
      <w:pPr>
        <w:rPr>
          <w:rFonts w:cs="ENECM I+ Univers"/>
          <w:color w:val="211D1F"/>
          <w:lang w:val="nl-NL"/>
        </w:rPr>
      </w:pPr>
      <w:r w:rsidRPr="00041838">
        <w:rPr>
          <w:rFonts w:cs="ENECM I+ Univers"/>
          <w:b/>
          <w:bCs/>
          <w:color w:val="211D1F"/>
          <w:lang w:val="nl-NL"/>
        </w:rPr>
        <w:t xml:space="preserve">TOELICHTENDE NOTA </w:t>
      </w:r>
    </w:p>
    <w:p w:rsidR="00B54BC0" w:rsidP="00A944D6" w:rsidRDefault="00B54BC0" w14:paraId="31D43C38" w14:textId="77777777">
      <w:pPr>
        <w:pStyle w:val="Default"/>
        <w:rPr>
          <w:rFonts w:ascii="Verdana" w:hAnsi="Verdana" w:cs="ENECM I+ Univers"/>
          <w:b/>
          <w:bCs/>
          <w:color w:val="211D1F"/>
          <w:sz w:val="18"/>
          <w:szCs w:val="18"/>
        </w:rPr>
      </w:pPr>
    </w:p>
    <w:p w:rsidRPr="001A754A" w:rsidR="00A944D6" w:rsidP="00A944D6" w:rsidRDefault="00A944D6" w14:paraId="1E18D411" w14:textId="665DA6C8">
      <w:pPr>
        <w:pStyle w:val="Default"/>
        <w:rPr>
          <w:rFonts w:ascii="Verdana" w:hAnsi="Verdana" w:cs="ENECM I+ Univers"/>
          <w:b/>
          <w:bCs/>
          <w:color w:val="211D1F"/>
          <w:sz w:val="18"/>
          <w:szCs w:val="18"/>
        </w:rPr>
      </w:pPr>
      <w:r w:rsidRPr="001A754A">
        <w:rPr>
          <w:rFonts w:ascii="Verdana" w:hAnsi="Verdana" w:cs="ENECM I+ Univers"/>
          <w:b/>
          <w:bCs/>
          <w:color w:val="211D1F"/>
          <w:sz w:val="18"/>
          <w:szCs w:val="18"/>
        </w:rPr>
        <w:t xml:space="preserve">Inleiding </w:t>
      </w:r>
    </w:p>
    <w:p w:rsidRPr="001A754A" w:rsidR="00A944D6" w:rsidP="00A944D6" w:rsidRDefault="00A944D6" w14:paraId="5628C289" w14:textId="77777777">
      <w:pPr>
        <w:pStyle w:val="Default"/>
        <w:rPr>
          <w:rFonts w:ascii="Verdana" w:hAnsi="Verdana" w:cs="ENECM I+ Univers"/>
          <w:b/>
          <w:bCs/>
          <w:color w:val="211D1F"/>
          <w:sz w:val="18"/>
          <w:szCs w:val="18"/>
        </w:rPr>
      </w:pPr>
    </w:p>
    <w:p w:rsidRPr="00DA3B5D" w:rsidR="00A944D6" w:rsidP="00DA3B5D" w:rsidRDefault="0090764A" w14:paraId="0E5AC9E9" w14:textId="15D6DA4C">
      <w:pPr>
        <w:spacing w:line="240" w:lineRule="atLeast"/>
        <w:rPr>
          <w:color w:val="211D1F"/>
          <w:lang w:val="nl-NL"/>
        </w:rPr>
      </w:pPr>
      <w:r>
        <w:rPr>
          <w:lang w:val="nl-NL"/>
        </w:rPr>
        <w:t>Tijdens</w:t>
      </w:r>
      <w:r w:rsidRPr="001A754A">
        <w:rPr>
          <w:lang w:val="nl-NL"/>
        </w:rPr>
        <w:t xml:space="preserve"> </w:t>
      </w:r>
      <w:r w:rsidRPr="001A754A" w:rsidR="00A944D6">
        <w:rPr>
          <w:lang w:val="nl-NL"/>
        </w:rPr>
        <w:t xml:space="preserve">de jaarvergadering van de Europese Bank voor Wederopbouw en Ontwikkeling (EBRD) op 18 mei 2023 heeft de Raad van Gouverneurs resoluties 259 en 260 aangenomen, die voorzien in </w:t>
      </w:r>
      <w:r w:rsidR="00B54BC0">
        <w:rPr>
          <w:lang w:val="nl-NL"/>
        </w:rPr>
        <w:t xml:space="preserve">de </w:t>
      </w:r>
      <w:r w:rsidRPr="001A754A" w:rsidR="00A944D6">
        <w:rPr>
          <w:lang w:val="nl-NL"/>
        </w:rPr>
        <w:t xml:space="preserve">wijziging van verdragsartikelen 1 en 12.1 </w:t>
      </w:r>
      <w:r w:rsidRPr="00041838" w:rsidR="00A944D6">
        <w:rPr>
          <w:color w:val="211D1F"/>
          <w:lang w:val="nl-NL"/>
        </w:rPr>
        <w:t>van de op 29 mei 1990 te Parijs tot stand gekomen Overeenkomst tot oprichting van de Europese Bank voor Wederopbouw en Ontwikkeling (</w:t>
      </w:r>
      <w:proofErr w:type="spellStart"/>
      <w:r w:rsidRPr="00041838" w:rsidR="00A944D6">
        <w:rPr>
          <w:rFonts w:cs="ENECN L+ Univers"/>
          <w:i/>
          <w:iCs/>
          <w:color w:val="211D1F"/>
          <w:lang w:val="nl-NL"/>
        </w:rPr>
        <w:t>Trb</w:t>
      </w:r>
      <w:proofErr w:type="spellEnd"/>
      <w:r w:rsidRPr="00041838" w:rsidR="00A944D6">
        <w:rPr>
          <w:color w:val="211D1F"/>
          <w:lang w:val="nl-NL"/>
        </w:rPr>
        <w:t>. 1990, 143; hierna: «</w:t>
      </w:r>
      <w:r w:rsidRPr="00041838" w:rsidR="000B75F1">
        <w:rPr>
          <w:color w:val="211D1F"/>
          <w:lang w:val="nl-NL"/>
        </w:rPr>
        <w:t xml:space="preserve">de </w:t>
      </w:r>
      <w:r w:rsidRPr="00041838" w:rsidR="00A944D6">
        <w:rPr>
          <w:color w:val="211D1F"/>
          <w:lang w:val="nl-NL"/>
        </w:rPr>
        <w:t xml:space="preserve">Overeenkomst»). De Raad van Gouverneurs is het hoogste orgaan van de EBRD. Hierin zijn de 71 deelnemende landen en instellingen vertegenwoordigd. Deze </w:t>
      </w:r>
      <w:r w:rsidRPr="00041838" w:rsidR="000B75F1">
        <w:rPr>
          <w:color w:val="211D1F"/>
          <w:lang w:val="nl-NL"/>
        </w:rPr>
        <w:t>R</w:t>
      </w:r>
      <w:r w:rsidRPr="00041838" w:rsidR="00A944D6">
        <w:rPr>
          <w:color w:val="211D1F"/>
          <w:lang w:val="nl-NL"/>
        </w:rPr>
        <w:t xml:space="preserve">aad </w:t>
      </w:r>
      <w:r w:rsidRPr="00041838" w:rsidR="0036122D">
        <w:rPr>
          <w:color w:val="211D1F"/>
          <w:lang w:val="nl-NL"/>
        </w:rPr>
        <w:t xml:space="preserve">van Gouverneurs </w:t>
      </w:r>
      <w:r w:rsidRPr="00041838" w:rsidR="00A944D6">
        <w:rPr>
          <w:color w:val="211D1F"/>
          <w:lang w:val="nl-NL"/>
        </w:rPr>
        <w:t xml:space="preserve">heeft een groot deel van de bevoegdheden gedelegeerd aan de Raad van Bewind die uit 23 leden bestaat. Nederland heeft met China, Mongolië, </w:t>
      </w:r>
      <w:r w:rsidRPr="00041838" w:rsidR="000B75F1">
        <w:rPr>
          <w:color w:val="211D1F"/>
          <w:lang w:val="nl-NL"/>
        </w:rPr>
        <w:t>Noord-</w:t>
      </w:r>
      <w:r w:rsidRPr="00041838" w:rsidR="00A944D6">
        <w:rPr>
          <w:color w:val="211D1F"/>
          <w:lang w:val="nl-NL"/>
        </w:rPr>
        <w:t>Macedonië en Armenië een eigen kiesgroep en levert de bewindvoerder</w:t>
      </w:r>
      <w:r w:rsidRPr="00041838">
        <w:rPr>
          <w:color w:val="211D1F"/>
          <w:lang w:val="nl-NL"/>
        </w:rPr>
        <w:t xml:space="preserve"> van de kiesgroep</w:t>
      </w:r>
      <w:r w:rsidRPr="00041838" w:rsidR="00A944D6">
        <w:rPr>
          <w:color w:val="211D1F"/>
          <w:lang w:val="nl-NL"/>
        </w:rPr>
        <w:t xml:space="preserve">. </w:t>
      </w:r>
    </w:p>
    <w:p w:rsidRPr="00DA3B5D" w:rsidR="00A944D6" w:rsidP="00DA3B5D" w:rsidRDefault="00A944D6" w14:paraId="69209D71" w14:textId="4F305686">
      <w:pPr>
        <w:spacing w:line="264" w:lineRule="auto"/>
        <w:rPr>
          <w:rFonts w:cs="ENECM I+ Univers"/>
          <w:b/>
          <w:bCs/>
          <w:color w:val="211D1F"/>
          <w:lang w:val="nl-NL"/>
        </w:rPr>
      </w:pPr>
      <w:r w:rsidRPr="00041838">
        <w:rPr>
          <w:rFonts w:cs="ENECM I+ Univers"/>
          <w:b/>
          <w:bCs/>
          <w:color w:val="211D1F"/>
          <w:lang w:val="nl-NL"/>
        </w:rPr>
        <w:t xml:space="preserve">Verloop van de onderhandelingen </w:t>
      </w:r>
    </w:p>
    <w:p w:rsidRPr="00DA3B5D" w:rsidR="00842781" w:rsidP="00DA3B5D" w:rsidRDefault="00842781" w14:paraId="25E58110" w14:textId="312B0C6B">
      <w:pPr>
        <w:spacing w:line="264" w:lineRule="auto"/>
        <w:rPr>
          <w:i/>
          <w:iCs/>
          <w:lang w:val="nl-NL"/>
        </w:rPr>
      </w:pPr>
      <w:r w:rsidRPr="00041838">
        <w:rPr>
          <w:i/>
          <w:iCs/>
          <w:lang w:val="nl-NL"/>
        </w:rPr>
        <w:t>Artikel 1</w:t>
      </w:r>
    </w:p>
    <w:p w:rsidRPr="00DA3B5D" w:rsidR="001E567E" w:rsidP="00DA3B5D" w:rsidRDefault="005F5139" w14:paraId="227453DE" w14:textId="60628482">
      <w:pPr>
        <w:spacing w:line="264" w:lineRule="auto"/>
        <w:rPr>
          <w:color w:val="211D1F"/>
          <w:lang w:val="nl-NL"/>
        </w:rPr>
      </w:pPr>
      <w:r w:rsidRPr="00041838">
        <w:rPr>
          <w:lang w:val="nl-NL"/>
        </w:rPr>
        <w:t>Aanvankelijk was het de bedoeling dat op de EBRD</w:t>
      </w:r>
      <w:r w:rsidRPr="00041838" w:rsidR="000B75F1">
        <w:rPr>
          <w:lang w:val="nl-NL"/>
        </w:rPr>
        <w:t>-</w:t>
      </w:r>
      <w:r w:rsidRPr="00041838">
        <w:rPr>
          <w:lang w:val="nl-NL"/>
        </w:rPr>
        <w:t xml:space="preserve">jaarvergadering in mei 2022 al het besluit genomen zou worden dat de EBRD </w:t>
      </w:r>
      <w:r w:rsidRPr="00041838" w:rsidR="00A91CF3">
        <w:rPr>
          <w:lang w:val="nl-NL"/>
        </w:rPr>
        <w:t xml:space="preserve">beperkt en stapsgewijs </w:t>
      </w:r>
      <w:r w:rsidRPr="00041838">
        <w:rPr>
          <w:lang w:val="nl-NL"/>
        </w:rPr>
        <w:t xml:space="preserve">zou uitbreiden </w:t>
      </w:r>
      <w:r w:rsidRPr="00041838" w:rsidR="0036122D">
        <w:rPr>
          <w:lang w:val="nl-NL"/>
        </w:rPr>
        <w:t>naar</w:t>
      </w:r>
      <w:r w:rsidRPr="00041838">
        <w:rPr>
          <w:lang w:val="nl-NL"/>
        </w:rPr>
        <w:t xml:space="preserve"> </w:t>
      </w:r>
      <w:r w:rsidRPr="00041838" w:rsidR="000B75F1">
        <w:rPr>
          <w:lang w:val="nl-NL"/>
        </w:rPr>
        <w:t xml:space="preserve">Sub-Sahara-Afrika (hierna: </w:t>
      </w:r>
      <w:r w:rsidRPr="00041838" w:rsidR="000B75F1">
        <w:rPr>
          <w:color w:val="211D1F"/>
          <w:lang w:val="nl-NL"/>
        </w:rPr>
        <w:t>«</w:t>
      </w:r>
      <w:r w:rsidRPr="00041838">
        <w:rPr>
          <w:lang w:val="nl-NL"/>
        </w:rPr>
        <w:t>SSA</w:t>
      </w:r>
      <w:r w:rsidRPr="00041838" w:rsidR="000B75F1">
        <w:rPr>
          <w:color w:val="211D1F"/>
          <w:lang w:val="nl-NL"/>
        </w:rPr>
        <w:t>»)</w:t>
      </w:r>
      <w:r w:rsidRPr="00041838">
        <w:rPr>
          <w:lang w:val="nl-NL"/>
        </w:rPr>
        <w:t xml:space="preserve"> en Irak. Het besluit hierover is echter in 2022 i</w:t>
      </w:r>
      <w:r w:rsidRPr="00041838" w:rsidR="000B75F1">
        <w:rPr>
          <w:lang w:val="nl-NL"/>
        </w:rPr>
        <w:t xml:space="preserve">n </w:t>
      </w:r>
      <w:r w:rsidRPr="00041838">
        <w:rPr>
          <w:lang w:val="nl-NL"/>
        </w:rPr>
        <w:t>v</w:t>
      </w:r>
      <w:r w:rsidRPr="00041838" w:rsidR="000B75F1">
        <w:rPr>
          <w:lang w:val="nl-NL"/>
        </w:rPr>
        <w:t xml:space="preserve">erband </w:t>
      </w:r>
      <w:r w:rsidRPr="00041838">
        <w:rPr>
          <w:lang w:val="nl-NL"/>
        </w:rPr>
        <w:t>m</w:t>
      </w:r>
      <w:r w:rsidRPr="00041838" w:rsidR="000B75F1">
        <w:rPr>
          <w:lang w:val="nl-NL"/>
        </w:rPr>
        <w:t>et</w:t>
      </w:r>
      <w:r w:rsidRPr="00041838">
        <w:rPr>
          <w:lang w:val="nl-NL"/>
        </w:rPr>
        <w:t xml:space="preserve"> de oorlog in </w:t>
      </w:r>
      <w:r w:rsidRPr="00041838" w:rsidR="00842781">
        <w:rPr>
          <w:lang w:val="nl-NL"/>
        </w:rPr>
        <w:t>Oekraïne</w:t>
      </w:r>
      <w:r w:rsidRPr="00041838">
        <w:rPr>
          <w:lang w:val="nl-NL"/>
        </w:rPr>
        <w:t xml:space="preserve"> uitgesteld, omdat de aandacht van de EBRD volledig uitging naar Oekraïne en de </w:t>
      </w:r>
      <w:r w:rsidRPr="00041838" w:rsidR="000B75F1">
        <w:rPr>
          <w:lang w:val="nl-NL"/>
        </w:rPr>
        <w:t xml:space="preserve">omliggende </w:t>
      </w:r>
      <w:r w:rsidRPr="00041838">
        <w:rPr>
          <w:lang w:val="nl-NL"/>
        </w:rPr>
        <w:t xml:space="preserve">regio. </w:t>
      </w:r>
      <w:r w:rsidRPr="00041838" w:rsidR="0036122D">
        <w:rPr>
          <w:lang w:val="nl-NL"/>
        </w:rPr>
        <w:t xml:space="preserve">Op de </w:t>
      </w:r>
      <w:r w:rsidRPr="00041838">
        <w:rPr>
          <w:lang w:val="nl-NL"/>
        </w:rPr>
        <w:t xml:space="preserve">jaarvergadering in 2022 </w:t>
      </w:r>
      <w:r w:rsidRPr="00041838" w:rsidR="0036122D">
        <w:rPr>
          <w:lang w:val="nl-NL"/>
        </w:rPr>
        <w:t xml:space="preserve">hebben de gouverneurs van de EBRD </w:t>
      </w:r>
      <w:r w:rsidRPr="00041838">
        <w:rPr>
          <w:lang w:val="nl-NL"/>
        </w:rPr>
        <w:t xml:space="preserve">de ambitie om </w:t>
      </w:r>
      <w:r w:rsidRPr="00041838" w:rsidR="00A91CF3">
        <w:rPr>
          <w:lang w:val="nl-NL"/>
        </w:rPr>
        <w:t xml:space="preserve">beperkt en stapsgewijs </w:t>
      </w:r>
      <w:r w:rsidRPr="00041838">
        <w:rPr>
          <w:lang w:val="nl-NL"/>
        </w:rPr>
        <w:t xml:space="preserve">uit te breiden bevestigd en </w:t>
      </w:r>
      <w:r w:rsidRPr="00041838" w:rsidR="0036122D">
        <w:rPr>
          <w:lang w:val="nl-NL"/>
        </w:rPr>
        <w:t xml:space="preserve">afgesproken </w:t>
      </w:r>
      <w:r w:rsidRPr="00041838">
        <w:rPr>
          <w:lang w:val="nl-NL"/>
        </w:rPr>
        <w:t xml:space="preserve">dat het besluit hierover niet later dan op de jaarvergadering in 2023 zou worden genomen. </w:t>
      </w:r>
      <w:r w:rsidR="001E567E">
        <w:rPr>
          <w:lang w:val="nl-NL"/>
        </w:rPr>
        <w:t xml:space="preserve">Een besluit tot geografische uitbreiding </w:t>
      </w:r>
      <w:r w:rsidRPr="00041838" w:rsidR="001A754A">
        <w:rPr>
          <w:color w:val="211D1F"/>
          <w:lang w:val="nl-NL"/>
        </w:rPr>
        <w:t xml:space="preserve">vergt een wijziging van de Overeenkomst. Immers, SSA en Irak liggen buiten het operatiegebied zoals omschreven in </w:t>
      </w:r>
      <w:r w:rsidRPr="00041838" w:rsidR="00834B09">
        <w:rPr>
          <w:color w:val="211D1F"/>
          <w:lang w:val="nl-NL"/>
        </w:rPr>
        <w:t>a</w:t>
      </w:r>
      <w:r w:rsidRPr="00041838" w:rsidR="001A754A">
        <w:rPr>
          <w:color w:val="211D1F"/>
          <w:lang w:val="nl-NL"/>
        </w:rPr>
        <w:t xml:space="preserve">rtikel 1 van de Overeenkomst. </w:t>
      </w:r>
    </w:p>
    <w:p w:rsidRPr="00DA3B5D" w:rsidR="001A754A" w:rsidP="00DA3B5D" w:rsidRDefault="001E567E" w14:paraId="425CA8BF" w14:textId="55849A07">
      <w:pPr>
        <w:spacing w:line="264" w:lineRule="auto"/>
        <w:rPr>
          <w:lang w:val="nl-NL"/>
        </w:rPr>
      </w:pPr>
      <w:r w:rsidRPr="00041838">
        <w:rPr>
          <w:lang w:val="nl-NL"/>
        </w:rPr>
        <w:t>Vanwege (het voortduren van) de oorlog in Oekraïne, is het mandaat van de EBRD opnieuw zeer relevant geworden in de regio’s waar de EBRD van oudsher actief is</w:t>
      </w:r>
      <w:r w:rsidRPr="00041838" w:rsidR="000B75F1">
        <w:rPr>
          <w:lang w:val="nl-NL"/>
        </w:rPr>
        <w:t>, te weten</w:t>
      </w:r>
      <w:r w:rsidRPr="00041838" w:rsidR="0036122D">
        <w:rPr>
          <w:lang w:val="nl-NL"/>
        </w:rPr>
        <w:t xml:space="preserve"> Centraal</w:t>
      </w:r>
      <w:r w:rsidRPr="00041838" w:rsidR="00786393">
        <w:rPr>
          <w:lang w:val="nl-NL"/>
        </w:rPr>
        <w:t>-</w:t>
      </w:r>
      <w:r w:rsidRPr="00041838" w:rsidR="0036122D">
        <w:rPr>
          <w:lang w:val="nl-NL"/>
        </w:rPr>
        <w:t xml:space="preserve"> en Oost-Europa</w:t>
      </w:r>
      <w:r w:rsidRPr="00041838" w:rsidR="00772B9A">
        <w:rPr>
          <w:lang w:val="nl-NL"/>
        </w:rPr>
        <w:t xml:space="preserve"> en de voormalige Sovjetunie</w:t>
      </w:r>
      <w:r w:rsidRPr="00041838">
        <w:rPr>
          <w:lang w:val="nl-NL"/>
        </w:rPr>
        <w:t xml:space="preserve">. Voor </w:t>
      </w:r>
      <w:r w:rsidRPr="00041838" w:rsidR="001A754A">
        <w:rPr>
          <w:color w:val="211D1F"/>
          <w:lang w:val="nl-NL"/>
        </w:rPr>
        <w:t>N</w:t>
      </w:r>
      <w:r w:rsidRPr="00041838">
        <w:rPr>
          <w:color w:val="211D1F"/>
          <w:lang w:val="nl-NL"/>
        </w:rPr>
        <w:t xml:space="preserve">ederland en ook voor veel </w:t>
      </w:r>
      <w:r w:rsidRPr="00041838" w:rsidR="000B75F1">
        <w:rPr>
          <w:color w:val="211D1F"/>
          <w:lang w:val="nl-NL"/>
        </w:rPr>
        <w:t xml:space="preserve">landen waar de EBRD in investeert, zogeheten </w:t>
      </w:r>
      <w:r w:rsidRPr="00041838">
        <w:rPr>
          <w:color w:val="211D1F"/>
          <w:lang w:val="nl-NL"/>
        </w:rPr>
        <w:t>operatielanden</w:t>
      </w:r>
      <w:r w:rsidRPr="00041838" w:rsidR="000B75F1">
        <w:rPr>
          <w:color w:val="211D1F"/>
          <w:lang w:val="nl-NL"/>
        </w:rPr>
        <w:t>,</w:t>
      </w:r>
      <w:r w:rsidRPr="00041838">
        <w:rPr>
          <w:color w:val="211D1F"/>
          <w:lang w:val="nl-NL"/>
        </w:rPr>
        <w:t xml:space="preserve"> wa</w:t>
      </w:r>
      <w:r w:rsidRPr="00041838" w:rsidR="001A754A">
        <w:rPr>
          <w:color w:val="211D1F"/>
          <w:lang w:val="nl-NL"/>
        </w:rPr>
        <w:t xml:space="preserve">s het daarom </w:t>
      </w:r>
      <w:r w:rsidRPr="00041838">
        <w:rPr>
          <w:color w:val="211D1F"/>
          <w:lang w:val="nl-NL"/>
        </w:rPr>
        <w:t xml:space="preserve">in de eerste plaats </w:t>
      </w:r>
      <w:r w:rsidRPr="00041838" w:rsidR="001A754A">
        <w:rPr>
          <w:color w:val="211D1F"/>
          <w:lang w:val="nl-NL"/>
        </w:rPr>
        <w:t xml:space="preserve">belangrijk dat </w:t>
      </w:r>
      <w:r w:rsidRPr="00765B7C">
        <w:rPr>
          <w:lang w:val="nl-NL"/>
        </w:rPr>
        <w:t>de EBRD haar activiteiten in Oekraïne voortzet</w:t>
      </w:r>
      <w:r w:rsidRPr="00765B7C" w:rsidR="000B75F1">
        <w:rPr>
          <w:lang w:val="nl-NL"/>
        </w:rPr>
        <w:t>.</w:t>
      </w:r>
      <w:r w:rsidRPr="00765B7C" w:rsidR="001A754A">
        <w:rPr>
          <w:lang w:val="nl-NL"/>
        </w:rPr>
        <w:t xml:space="preserve"> </w:t>
      </w:r>
      <w:r w:rsidRPr="00765B7C" w:rsidR="000B75F1">
        <w:rPr>
          <w:lang w:val="nl-NL"/>
        </w:rPr>
        <w:t xml:space="preserve">Verder </w:t>
      </w:r>
      <w:r w:rsidRPr="00765B7C" w:rsidR="000B18A7">
        <w:rPr>
          <w:lang w:val="nl-NL"/>
        </w:rPr>
        <w:t xml:space="preserve">diende benadrukt te worden </w:t>
      </w:r>
      <w:r w:rsidRPr="00765B7C">
        <w:rPr>
          <w:lang w:val="nl-NL"/>
        </w:rPr>
        <w:t xml:space="preserve">dat </w:t>
      </w:r>
      <w:r w:rsidRPr="00765B7C" w:rsidR="001A754A">
        <w:rPr>
          <w:lang w:val="nl-NL"/>
        </w:rPr>
        <w:t>uitbreiding naar de SSA</w:t>
      </w:r>
      <w:r w:rsidRPr="00765B7C" w:rsidR="000B75F1">
        <w:rPr>
          <w:lang w:val="nl-NL"/>
        </w:rPr>
        <w:t>-</w:t>
      </w:r>
      <w:r w:rsidRPr="00765B7C" w:rsidR="001A754A">
        <w:rPr>
          <w:lang w:val="nl-NL"/>
        </w:rPr>
        <w:t xml:space="preserve">regio </w:t>
      </w:r>
      <w:r w:rsidRPr="00765B7C" w:rsidR="00A91CF3">
        <w:rPr>
          <w:lang w:val="nl-NL"/>
        </w:rPr>
        <w:t xml:space="preserve">en Irak </w:t>
      </w:r>
      <w:r w:rsidRPr="00765B7C" w:rsidR="001A754A">
        <w:rPr>
          <w:lang w:val="nl-NL"/>
        </w:rPr>
        <w:t xml:space="preserve">niet ten koste mag gaan van de steun van </w:t>
      </w:r>
      <w:r w:rsidRPr="00765B7C" w:rsidR="00970B3A">
        <w:rPr>
          <w:lang w:val="nl-NL"/>
        </w:rPr>
        <w:t xml:space="preserve">de </w:t>
      </w:r>
      <w:r w:rsidRPr="00765B7C" w:rsidR="001A754A">
        <w:rPr>
          <w:lang w:val="nl-NL"/>
        </w:rPr>
        <w:t xml:space="preserve">EBRD aan </w:t>
      </w:r>
      <w:r w:rsidRPr="00765B7C">
        <w:rPr>
          <w:lang w:val="nl-NL"/>
        </w:rPr>
        <w:t>Oekraïne</w:t>
      </w:r>
      <w:r w:rsidRPr="00765B7C" w:rsidR="001A754A">
        <w:rPr>
          <w:lang w:val="nl-NL"/>
        </w:rPr>
        <w:t xml:space="preserve"> en bestaande operatielanden</w:t>
      </w:r>
      <w:r w:rsidR="005D631E">
        <w:rPr>
          <w:rStyle w:val="Voetnootmarkering"/>
          <w:lang w:val="nl-NL"/>
        </w:rPr>
        <w:footnoteReference w:id="2"/>
      </w:r>
      <w:r w:rsidRPr="00765B7C" w:rsidR="001A754A">
        <w:rPr>
          <w:lang w:val="nl-NL"/>
        </w:rPr>
        <w:t>.</w:t>
      </w:r>
      <w:r w:rsidRPr="00765B7C">
        <w:rPr>
          <w:lang w:val="nl-NL"/>
        </w:rPr>
        <w:t xml:space="preserve"> Mede om deze reden is de afspraak gemaakt dat tot </w:t>
      </w:r>
      <w:r w:rsidRPr="00041838">
        <w:rPr>
          <w:lang w:val="nl-NL"/>
        </w:rPr>
        <w:t>2030 maximaal zes landen in SSA (Benin, Ivoorkust, Ghana, Kenia, Nigeria en Senegal) en Irak in aanmerking komen voor leningen van de EBRD, omdat de EBRD in deze landen toegevoegde waarde zou hebben ten opzichte van andere Internationale Financi</w:t>
      </w:r>
      <w:r w:rsidRPr="00041838" w:rsidR="00970B3A">
        <w:rPr>
          <w:lang w:val="nl-NL"/>
        </w:rPr>
        <w:t>ë</w:t>
      </w:r>
      <w:r w:rsidRPr="00041838">
        <w:rPr>
          <w:lang w:val="nl-NL"/>
        </w:rPr>
        <w:t xml:space="preserve">le Instellingen. </w:t>
      </w:r>
      <w:r w:rsidRPr="00765B7C">
        <w:rPr>
          <w:lang w:val="nl-NL"/>
        </w:rPr>
        <w:t xml:space="preserve">Daarnaast </w:t>
      </w:r>
      <w:r w:rsidRPr="00041838">
        <w:rPr>
          <w:lang w:val="nl-NL"/>
        </w:rPr>
        <w:t xml:space="preserve">zullen de activiteiten van </w:t>
      </w:r>
      <w:r w:rsidRPr="00041838" w:rsidR="00970B3A">
        <w:rPr>
          <w:lang w:val="nl-NL"/>
        </w:rPr>
        <w:t xml:space="preserve">de </w:t>
      </w:r>
      <w:r w:rsidRPr="00041838">
        <w:rPr>
          <w:lang w:val="nl-NL"/>
        </w:rPr>
        <w:t>EBRD in deze landen niet voor 2025 beginnen en zal het volume langzaam worden opgebouwd van EUR 100 mln. in 2025 tot een totaal van ongeveer EUR 1 mld. in 2030. Hiermee wordt aan de voorwaarden van N</w:t>
      </w:r>
      <w:r w:rsidRPr="00041838" w:rsidR="00970B3A">
        <w:rPr>
          <w:lang w:val="nl-NL"/>
        </w:rPr>
        <w:t>ederland</w:t>
      </w:r>
      <w:r w:rsidRPr="00041838">
        <w:rPr>
          <w:lang w:val="nl-NL"/>
        </w:rPr>
        <w:t xml:space="preserve"> voldaan</w:t>
      </w:r>
      <w:r w:rsidRPr="00041838" w:rsidR="001A754A">
        <w:rPr>
          <w:color w:val="211D1F"/>
          <w:lang w:val="nl-NL"/>
        </w:rPr>
        <w:t>. Ten</w:t>
      </w:r>
      <w:r w:rsidRPr="00041838" w:rsidR="00970B3A">
        <w:rPr>
          <w:color w:val="211D1F"/>
          <w:lang w:val="nl-NL"/>
        </w:rPr>
        <w:t xml:space="preserve"> </w:t>
      </w:r>
      <w:r w:rsidRPr="00041838" w:rsidR="001A754A">
        <w:rPr>
          <w:color w:val="211D1F"/>
          <w:lang w:val="nl-NL"/>
        </w:rPr>
        <w:t xml:space="preserve">slotte is voor de mandaatuitbreiding geen kapitaalverhoging nodig. </w:t>
      </w:r>
      <w:r w:rsidRPr="00041838" w:rsidR="000B18A7">
        <w:rPr>
          <w:color w:val="211D1F"/>
          <w:lang w:val="nl-NL"/>
        </w:rPr>
        <w:t>Ook d</w:t>
      </w:r>
      <w:r w:rsidRPr="00041838" w:rsidR="001A754A">
        <w:rPr>
          <w:color w:val="211D1F"/>
          <w:lang w:val="nl-NL"/>
        </w:rPr>
        <w:t xml:space="preserve">it was een belangrijke voorwaarde voor Nederland. </w:t>
      </w:r>
      <w:r w:rsidRPr="00041838" w:rsidR="005F5139">
        <w:rPr>
          <w:color w:val="211D1F"/>
          <w:lang w:val="nl-NL"/>
        </w:rPr>
        <w:t>In brieven aan de Tweede Kamer over de EBRD</w:t>
      </w:r>
      <w:r w:rsidRPr="00041838" w:rsidR="00970B3A">
        <w:rPr>
          <w:color w:val="211D1F"/>
          <w:lang w:val="nl-NL"/>
        </w:rPr>
        <w:t>-</w:t>
      </w:r>
      <w:r w:rsidRPr="00041838" w:rsidR="005F5139">
        <w:rPr>
          <w:color w:val="211D1F"/>
          <w:lang w:val="nl-NL"/>
        </w:rPr>
        <w:t>jaarvergadering in 2022 en 2023</w:t>
      </w:r>
      <w:r w:rsidRPr="00041838">
        <w:rPr>
          <w:rStyle w:val="Voetnootmarkering"/>
          <w:color w:val="211D1F"/>
          <w:lang w:val="nl-NL"/>
        </w:rPr>
        <w:footnoteReference w:id="3"/>
      </w:r>
      <w:r w:rsidRPr="00041838" w:rsidR="00970B3A">
        <w:rPr>
          <w:color w:val="211D1F"/>
          <w:lang w:val="nl-NL"/>
        </w:rPr>
        <w:t xml:space="preserve"> </w:t>
      </w:r>
      <w:r w:rsidRPr="00041838" w:rsidR="005F5139">
        <w:rPr>
          <w:color w:val="211D1F"/>
          <w:lang w:val="nl-NL"/>
        </w:rPr>
        <w:t xml:space="preserve">werd </w:t>
      </w:r>
      <w:r w:rsidRPr="00041838" w:rsidR="00AC480A">
        <w:rPr>
          <w:color w:val="211D1F"/>
          <w:lang w:val="nl-NL"/>
        </w:rPr>
        <w:t xml:space="preserve">al </w:t>
      </w:r>
      <w:r w:rsidRPr="00041838" w:rsidR="005F5139">
        <w:rPr>
          <w:color w:val="211D1F"/>
          <w:lang w:val="nl-NL"/>
        </w:rPr>
        <w:t>aangegeven dat Nederland voorstander is van een mandaatuitbreiding van de EBRD.</w:t>
      </w:r>
      <w:r w:rsidRPr="00041838">
        <w:rPr>
          <w:color w:val="211D1F"/>
          <w:lang w:val="nl-NL"/>
        </w:rPr>
        <w:t xml:space="preserve"> </w:t>
      </w:r>
    </w:p>
    <w:p w:rsidRPr="00DA3B5D" w:rsidR="00842781" w:rsidP="0002CA39" w:rsidRDefault="00842781" w14:paraId="18D0BD3D" w14:textId="292A00F4">
      <w:pPr>
        <w:spacing w:line="276" w:lineRule="auto"/>
        <w:rPr>
          <w:i/>
          <w:iCs/>
        </w:rPr>
      </w:pPr>
      <w:r w:rsidRPr="0002CA39">
        <w:rPr>
          <w:i/>
          <w:iCs/>
        </w:rPr>
        <w:t>Artikel 12</w:t>
      </w:r>
    </w:p>
    <w:p w:rsidR="00842781" w:rsidP="00842781" w:rsidRDefault="00842781" w14:paraId="03DD4A82" w14:textId="2EDCD9B2">
      <w:pPr>
        <w:pStyle w:val="Geenafstand"/>
        <w:spacing w:line="276" w:lineRule="auto"/>
      </w:pPr>
      <w:r>
        <w:rPr>
          <w:lang w:val="en-US"/>
        </w:rPr>
        <w:t>I</w:t>
      </w:r>
      <w:r w:rsidRPr="00267466">
        <w:rPr>
          <w:lang w:val="en-US"/>
        </w:rPr>
        <w:t xml:space="preserve">n </w:t>
      </w:r>
      <w:proofErr w:type="spellStart"/>
      <w:r w:rsidRPr="00474B56">
        <w:rPr>
          <w:lang w:val="en-US"/>
        </w:rPr>
        <w:t>juli</w:t>
      </w:r>
      <w:proofErr w:type="spellEnd"/>
      <w:r w:rsidRPr="00267466">
        <w:rPr>
          <w:lang w:val="en-US"/>
        </w:rPr>
        <w:t xml:space="preserve"> 2022</w:t>
      </w:r>
      <w:r>
        <w:rPr>
          <w:lang w:val="en-US"/>
        </w:rPr>
        <w:t xml:space="preserve"> is </w:t>
      </w:r>
      <w:r w:rsidRPr="00267466">
        <w:rPr>
          <w:lang w:val="en-US"/>
        </w:rPr>
        <w:t xml:space="preserve">het rapport </w:t>
      </w:r>
      <w:r w:rsidRPr="0002CA39">
        <w:rPr>
          <w:i/>
          <w:iCs/>
          <w:lang w:val="en-US"/>
        </w:rPr>
        <w:t>Boosting MDBs’ investing capacity, An Independent Review of Multilateral Development Banks’ Capital Adequacy Frameworks</w:t>
      </w:r>
      <w:r w:rsidRPr="0002CA39" w:rsidR="00C77696">
        <w:rPr>
          <w:rStyle w:val="Voetnootmarkering"/>
          <w:i/>
          <w:iCs/>
          <w:lang w:val="en-US"/>
        </w:rPr>
        <w:footnoteReference w:id="4"/>
      </w:r>
      <w:r w:rsidRPr="0002CA39">
        <w:rPr>
          <w:i/>
          <w:iCs/>
          <w:lang w:val="en-US"/>
        </w:rPr>
        <w:t xml:space="preserve"> </w:t>
      </w:r>
      <w:proofErr w:type="spellStart"/>
      <w:r w:rsidRPr="00834B09">
        <w:rPr>
          <w:lang w:val="en-US"/>
        </w:rPr>
        <w:t>gepresenteerd</w:t>
      </w:r>
      <w:proofErr w:type="spellEnd"/>
      <w:r>
        <w:rPr>
          <w:lang w:val="en-US"/>
        </w:rPr>
        <w:t xml:space="preserve"> door de G20</w:t>
      </w:r>
      <w:r w:rsidRPr="0062034A">
        <w:rPr>
          <w:lang w:val="en-US"/>
        </w:rPr>
        <w:t xml:space="preserve">. </w:t>
      </w:r>
      <w:r w:rsidRPr="00834B09" w:rsidR="00A91CF3">
        <w:t>In</w:t>
      </w:r>
      <w:r w:rsidR="00A91CF3">
        <w:t xml:space="preserve"> deze onafhankelijke evaluatie van kaders voor </w:t>
      </w:r>
      <w:proofErr w:type="spellStart"/>
      <w:r w:rsidR="00A91CF3">
        <w:t>kapitaaltoereikendheid</w:t>
      </w:r>
      <w:proofErr w:type="spellEnd"/>
      <w:r w:rsidR="00A91CF3">
        <w:t xml:space="preserve"> </w:t>
      </w:r>
      <w:r w:rsidRPr="0062034A">
        <w:t xml:space="preserve">doet </w:t>
      </w:r>
      <w:r w:rsidR="00A91CF3">
        <w:t xml:space="preserve">de G20 </w:t>
      </w:r>
      <w:r w:rsidRPr="0062034A">
        <w:t>aanbevelingen</w:t>
      </w:r>
      <w:r>
        <w:t xml:space="preserve"> </w:t>
      </w:r>
      <w:r>
        <w:lastRenderedPageBreak/>
        <w:t xml:space="preserve">om de kapitaalbenutting bij </w:t>
      </w:r>
      <w:r w:rsidR="00970B3A">
        <w:t>I</w:t>
      </w:r>
      <w:r>
        <w:t xml:space="preserve">nternationale </w:t>
      </w:r>
      <w:r w:rsidR="00970B3A">
        <w:t>F</w:t>
      </w:r>
      <w:r>
        <w:t xml:space="preserve">inanciële </w:t>
      </w:r>
      <w:r w:rsidR="00970B3A">
        <w:t>I</w:t>
      </w:r>
      <w:r>
        <w:t>nstellingen te verbeteren</w:t>
      </w:r>
      <w:r w:rsidRPr="0062034A">
        <w:t xml:space="preserve">. </w:t>
      </w:r>
      <w:r>
        <w:t xml:space="preserve">Het </w:t>
      </w:r>
      <w:r w:rsidRPr="006518C3">
        <w:t xml:space="preserve">onderzoek bevat 5 aanbevelingen uitgewerkt in 17 concrete acties waar </w:t>
      </w:r>
      <w:r>
        <w:t xml:space="preserve">Nederland </w:t>
      </w:r>
      <w:r w:rsidRPr="006518C3">
        <w:t>in grote mate positief tegenover staa</w:t>
      </w:r>
      <w:r>
        <w:t xml:space="preserve">t. </w:t>
      </w:r>
      <w:r w:rsidR="000B3091">
        <w:t>Door de statutaire kapitaallimiet bij de EBRD te verwijderen geeft de EBRD op aanwijzen van Nederland en andere aandeelhouders invulling aan een van deze aanbevelingen. Omdat Internationale Financiële Instellingen zoals de EBRD niet onder extern toezicht staan, hebben aandeelhouders een leidende rol in het oppakken van de aanbevelingen.</w:t>
      </w:r>
    </w:p>
    <w:p w:rsidR="001E567E" w:rsidP="00A944D6" w:rsidRDefault="001E567E" w14:paraId="50FC0BFF" w14:textId="77777777">
      <w:pPr>
        <w:spacing w:line="240" w:lineRule="atLeast"/>
        <w:rPr>
          <w:rFonts w:cstheme="minorHAnsi"/>
          <w:lang w:val="nl-NL"/>
        </w:rPr>
      </w:pPr>
    </w:p>
    <w:p w:rsidRPr="00DA3B5D" w:rsidR="00A944D6" w:rsidP="00DA3B5D" w:rsidRDefault="00A944D6" w14:paraId="3089F81D" w14:textId="101000D1">
      <w:pPr>
        <w:spacing w:line="240" w:lineRule="atLeast"/>
        <w:rPr>
          <w:rFonts w:cs="ENECM I+ Univers"/>
          <w:b/>
          <w:bCs/>
          <w:color w:val="211D1F"/>
          <w:lang w:val="nl-NL"/>
        </w:rPr>
      </w:pPr>
      <w:r w:rsidRPr="00041838">
        <w:rPr>
          <w:rFonts w:cs="ENECM I+ Univers"/>
          <w:b/>
          <w:bCs/>
          <w:color w:val="211D1F"/>
          <w:lang w:val="nl-NL"/>
        </w:rPr>
        <w:t xml:space="preserve">Artikelsgewijze toelichting </w:t>
      </w:r>
    </w:p>
    <w:p w:rsidRPr="00DA3B5D" w:rsidR="00A944D6" w:rsidP="00DA3B5D" w:rsidRDefault="00A944D6" w14:paraId="03F09C2C" w14:textId="77777777">
      <w:pPr>
        <w:spacing w:line="240" w:lineRule="atLeast"/>
        <w:rPr>
          <w:rFonts w:cs="ENECN L+ Univers"/>
          <w:i/>
          <w:iCs/>
          <w:color w:val="211D1F"/>
          <w:lang w:val="nl-NL"/>
        </w:rPr>
      </w:pPr>
      <w:r w:rsidRPr="00041838">
        <w:rPr>
          <w:rFonts w:cs="ENECN L+ Univers"/>
          <w:i/>
          <w:iCs/>
          <w:color w:val="211D1F"/>
          <w:lang w:val="nl-NL"/>
        </w:rPr>
        <w:t xml:space="preserve">Artikel 1 </w:t>
      </w:r>
    </w:p>
    <w:p w:rsidRPr="00DA3B5D" w:rsidR="00A944D6" w:rsidP="00DA3B5D" w:rsidRDefault="00A944D6" w14:paraId="6E322073" w14:textId="18E7DCD9">
      <w:pPr>
        <w:pStyle w:val="Normaalweb"/>
        <w:shd w:val="clear" w:color="auto" w:fill="FFFFFF" w:themeFill="background1"/>
        <w:spacing w:before="0" w:beforeAutospacing="0" w:after="0" w:afterAutospacing="0" w:line="264" w:lineRule="auto"/>
        <w:rPr>
          <w:rFonts w:ascii="Verdana" w:hAnsi="Verdana" w:cs="Arial"/>
          <w:sz w:val="18"/>
          <w:szCs w:val="18"/>
        </w:rPr>
      </w:pPr>
      <w:r w:rsidRPr="001A754A">
        <w:rPr>
          <w:rFonts w:ascii="Verdana" w:hAnsi="Verdana" w:cs="Arial"/>
          <w:sz w:val="18"/>
          <w:szCs w:val="18"/>
        </w:rPr>
        <w:t xml:space="preserve">In artikel 1 van de </w:t>
      </w:r>
      <w:r w:rsidR="00A12FB7">
        <w:rPr>
          <w:rFonts w:ascii="Verdana" w:hAnsi="Verdana" w:cs="Arial"/>
          <w:sz w:val="18"/>
          <w:szCs w:val="18"/>
        </w:rPr>
        <w:t>Overeenkomst</w:t>
      </w:r>
      <w:r w:rsidRPr="001A754A">
        <w:rPr>
          <w:rFonts w:ascii="Verdana" w:hAnsi="Verdana" w:cs="Arial"/>
          <w:sz w:val="18"/>
          <w:szCs w:val="18"/>
        </w:rPr>
        <w:t xml:space="preserve"> wordt het mandaat van de EBRD beschreven. Doel van de activiteiten van de </w:t>
      </w:r>
      <w:r w:rsidR="00970B3A">
        <w:rPr>
          <w:rFonts w:ascii="Verdana" w:hAnsi="Verdana" w:cs="Arial"/>
          <w:sz w:val="18"/>
          <w:szCs w:val="18"/>
        </w:rPr>
        <w:t>B</w:t>
      </w:r>
      <w:r w:rsidRPr="001A754A">
        <w:rPr>
          <w:rFonts w:ascii="Verdana" w:hAnsi="Verdana" w:cs="Arial"/>
          <w:sz w:val="18"/>
          <w:szCs w:val="18"/>
        </w:rPr>
        <w:t>ank is het ondersteunen van de overgang naar open, op de markt georiënteerde economieën en het bevorderen van het private ondernemerschap in Midden- en Oost-Europese landen, Mongolië, en in landen in het zuidelijke en oostelijke gebied van de Middellandse Zee (</w:t>
      </w:r>
      <w:r w:rsidR="00970B3A">
        <w:rPr>
          <w:rFonts w:ascii="Verdana" w:hAnsi="Verdana" w:cs="Arial"/>
          <w:sz w:val="18"/>
          <w:szCs w:val="18"/>
        </w:rPr>
        <w:t xml:space="preserve">de </w:t>
      </w:r>
      <w:r w:rsidRPr="001A754A">
        <w:rPr>
          <w:rFonts w:ascii="Verdana" w:hAnsi="Verdana" w:cs="Arial"/>
          <w:sz w:val="18"/>
          <w:szCs w:val="18"/>
        </w:rPr>
        <w:t>SEMED</w:t>
      </w:r>
      <w:r w:rsidR="00970B3A">
        <w:rPr>
          <w:rFonts w:ascii="Verdana" w:hAnsi="Verdana" w:cs="Arial"/>
          <w:sz w:val="18"/>
          <w:szCs w:val="18"/>
        </w:rPr>
        <w:t>-</w:t>
      </w:r>
      <w:r w:rsidRPr="001A754A">
        <w:rPr>
          <w:rFonts w:ascii="Verdana" w:hAnsi="Verdana" w:cs="Arial"/>
          <w:sz w:val="18"/>
          <w:szCs w:val="18"/>
        </w:rPr>
        <w:t xml:space="preserve">regio), die gecommitteerd zijn aan </w:t>
      </w:r>
      <w:r w:rsidR="00970B3A">
        <w:rPr>
          <w:rFonts w:ascii="Verdana" w:hAnsi="Verdana" w:cs="Arial"/>
          <w:sz w:val="18"/>
          <w:szCs w:val="18"/>
        </w:rPr>
        <w:t>de beginselen</w:t>
      </w:r>
      <w:r w:rsidRPr="001A754A" w:rsidR="00970B3A">
        <w:rPr>
          <w:rFonts w:ascii="Verdana" w:hAnsi="Verdana" w:cs="Arial"/>
          <w:sz w:val="18"/>
          <w:szCs w:val="18"/>
        </w:rPr>
        <w:t xml:space="preserve"> </w:t>
      </w:r>
      <w:r w:rsidRPr="001A754A">
        <w:rPr>
          <w:rFonts w:ascii="Verdana" w:hAnsi="Verdana" w:cs="Arial"/>
          <w:sz w:val="18"/>
          <w:szCs w:val="18"/>
        </w:rPr>
        <w:t xml:space="preserve">van een </w:t>
      </w:r>
      <w:r w:rsidRPr="005F365A">
        <w:rPr>
          <w:rFonts w:ascii="Verdana" w:hAnsi="Verdana" w:cs="Arial"/>
          <w:sz w:val="18"/>
          <w:szCs w:val="18"/>
        </w:rPr>
        <w:t xml:space="preserve">meerpartijendemocratie, </w:t>
      </w:r>
      <w:r w:rsidRPr="005F365A" w:rsidR="00970B3A">
        <w:rPr>
          <w:rFonts w:ascii="Verdana" w:hAnsi="Verdana" w:cs="Arial"/>
          <w:sz w:val="18"/>
          <w:szCs w:val="18"/>
        </w:rPr>
        <w:t xml:space="preserve">het </w:t>
      </w:r>
      <w:r w:rsidRPr="005F365A">
        <w:rPr>
          <w:rFonts w:ascii="Verdana" w:hAnsi="Verdana" w:cs="Arial"/>
          <w:sz w:val="18"/>
          <w:szCs w:val="18"/>
        </w:rPr>
        <w:t xml:space="preserve">pluralisme en </w:t>
      </w:r>
      <w:r w:rsidRPr="005F365A" w:rsidR="00970B3A">
        <w:rPr>
          <w:rFonts w:ascii="Verdana" w:hAnsi="Verdana" w:cs="Arial"/>
          <w:sz w:val="18"/>
          <w:szCs w:val="18"/>
        </w:rPr>
        <w:t>de vrije</w:t>
      </w:r>
      <w:r w:rsidRPr="005F365A">
        <w:rPr>
          <w:rFonts w:ascii="Verdana" w:hAnsi="Verdana" w:cs="Arial"/>
          <w:sz w:val="18"/>
          <w:szCs w:val="18"/>
        </w:rPr>
        <w:t>markteconomie.</w:t>
      </w:r>
    </w:p>
    <w:p w:rsidRPr="00DA3B5D" w:rsidR="00F6246F" w:rsidP="00DA3B5D" w:rsidRDefault="00A944D6" w14:paraId="63FE0793" w14:textId="77777777">
      <w:pPr>
        <w:spacing w:after="0" w:line="240" w:lineRule="atLeast"/>
        <w:rPr>
          <w:color w:val="211D1F"/>
          <w:lang w:val="nl-NL"/>
        </w:rPr>
      </w:pPr>
      <w:r w:rsidRPr="00041838">
        <w:rPr>
          <w:color w:val="211D1F"/>
          <w:lang w:val="nl-NL"/>
        </w:rPr>
        <w:t xml:space="preserve">Een niet-Europees land kan lid worden van de EBRD als het lid is van het IMF. De vereisten voor lidmaatschap veranderen niet door de wijziging van de Overeenkomst. </w:t>
      </w:r>
    </w:p>
    <w:p w:rsidRPr="00DA3B5D" w:rsidR="00A944D6" w:rsidP="00DA3B5D" w:rsidRDefault="00A944D6" w14:paraId="7AA2C750" w14:textId="17592FC0">
      <w:pPr>
        <w:spacing w:after="0" w:line="240" w:lineRule="atLeast"/>
        <w:rPr>
          <w:color w:val="211D1F"/>
          <w:lang w:val="nl-NL"/>
        </w:rPr>
      </w:pPr>
      <w:r w:rsidRPr="00041838">
        <w:rPr>
          <w:color w:val="211D1F"/>
          <w:lang w:val="nl-NL"/>
        </w:rPr>
        <w:t xml:space="preserve">De wijziging </w:t>
      </w:r>
      <w:r w:rsidRPr="00041838" w:rsidR="00F6246F">
        <w:rPr>
          <w:color w:val="211D1F"/>
          <w:lang w:val="nl-NL"/>
        </w:rPr>
        <w:t xml:space="preserve">van artikel 1 van de Overeenkomst </w:t>
      </w:r>
      <w:r w:rsidRPr="00041838">
        <w:rPr>
          <w:color w:val="211D1F"/>
          <w:lang w:val="nl-NL"/>
        </w:rPr>
        <w:t xml:space="preserve">wordt ingevolge artikel 56, </w:t>
      </w:r>
      <w:r w:rsidRPr="00041838" w:rsidR="000834E1">
        <w:rPr>
          <w:color w:val="211D1F"/>
          <w:lang w:val="nl-NL"/>
        </w:rPr>
        <w:t xml:space="preserve">eerste </w:t>
      </w:r>
      <w:r w:rsidRPr="00041838">
        <w:rPr>
          <w:color w:val="211D1F"/>
          <w:lang w:val="nl-NL"/>
        </w:rPr>
        <w:t xml:space="preserve">lid, van de Overeenkomst van kracht </w:t>
      </w:r>
      <w:r w:rsidRPr="00041838" w:rsidR="000834E1">
        <w:rPr>
          <w:color w:val="211D1F"/>
          <w:lang w:val="nl-NL"/>
        </w:rPr>
        <w:t>wanneer ten minste drie vierde van de leden (waaronder ten minste twee in Bijlage A bij de Overeenkomst genoemde Midden- en Oost-Europese landen) die ten minste vier vijfde van het totale aantal stemmen van de leden vertegenwoordigen, de voorgestelde wijziging hebben aanvaard</w:t>
      </w:r>
      <w:r w:rsidRPr="00041838">
        <w:rPr>
          <w:color w:val="211D1F"/>
          <w:lang w:val="nl-NL"/>
        </w:rPr>
        <w:t>. Zodra dit een feit is</w:t>
      </w:r>
      <w:r w:rsidRPr="00041838" w:rsidR="000B004A">
        <w:rPr>
          <w:color w:val="211D1F"/>
          <w:lang w:val="nl-NL"/>
        </w:rPr>
        <w:t>,</w:t>
      </w:r>
      <w:r w:rsidRPr="00041838">
        <w:rPr>
          <w:color w:val="211D1F"/>
          <w:lang w:val="nl-NL"/>
        </w:rPr>
        <w:t xml:space="preserve"> kan</w:t>
      </w:r>
      <w:r w:rsidRPr="00041838" w:rsidR="00A91CF3">
        <w:rPr>
          <w:color w:val="211D1F"/>
          <w:lang w:val="nl-NL"/>
        </w:rPr>
        <w:t xml:space="preserve"> in eerste instantie</w:t>
      </w:r>
      <w:r w:rsidRPr="00041838">
        <w:rPr>
          <w:color w:val="211D1F"/>
          <w:lang w:val="nl-NL"/>
        </w:rPr>
        <w:t xml:space="preserve"> een </w:t>
      </w:r>
      <w:r w:rsidRPr="00041838" w:rsidR="00A91CF3">
        <w:rPr>
          <w:color w:val="211D1F"/>
          <w:lang w:val="nl-NL"/>
        </w:rPr>
        <w:t xml:space="preserve">beperkt </w:t>
      </w:r>
      <w:r w:rsidRPr="00041838">
        <w:rPr>
          <w:color w:val="211D1F"/>
          <w:lang w:val="nl-NL"/>
        </w:rPr>
        <w:t>aantal landen in Sub</w:t>
      </w:r>
      <w:r w:rsidRPr="00041838" w:rsidR="00970B3A">
        <w:rPr>
          <w:color w:val="211D1F"/>
          <w:lang w:val="nl-NL"/>
        </w:rPr>
        <w:t>-</w:t>
      </w:r>
      <w:r w:rsidRPr="00041838">
        <w:rPr>
          <w:color w:val="211D1F"/>
          <w:lang w:val="nl-NL"/>
        </w:rPr>
        <w:t>Sahara</w:t>
      </w:r>
      <w:r w:rsidRPr="00041838" w:rsidR="00970B3A">
        <w:rPr>
          <w:color w:val="211D1F"/>
          <w:lang w:val="nl-NL"/>
        </w:rPr>
        <w:t>-</w:t>
      </w:r>
      <w:r w:rsidRPr="00041838">
        <w:rPr>
          <w:color w:val="211D1F"/>
          <w:lang w:val="nl-NL"/>
        </w:rPr>
        <w:t xml:space="preserve">Afrika en Irak, die lid zijn van de </w:t>
      </w:r>
      <w:r w:rsidRPr="00041838" w:rsidR="00970B3A">
        <w:rPr>
          <w:color w:val="211D1F"/>
          <w:lang w:val="nl-NL"/>
        </w:rPr>
        <w:t>B</w:t>
      </w:r>
      <w:r w:rsidRPr="00041838">
        <w:rPr>
          <w:color w:val="211D1F"/>
          <w:lang w:val="nl-NL"/>
        </w:rPr>
        <w:t>ank, ontvangend land van de EBRD worden.</w:t>
      </w:r>
    </w:p>
    <w:p w:rsidRPr="00DA3B5D" w:rsidR="00A944D6" w:rsidP="00DA3B5D" w:rsidRDefault="00A944D6" w14:paraId="5542A26F" w14:textId="323448A7">
      <w:pPr>
        <w:spacing w:after="0" w:line="240" w:lineRule="atLeast"/>
        <w:rPr>
          <w:color w:val="211D1F"/>
          <w:lang w:val="nl-NL"/>
        </w:rPr>
      </w:pPr>
      <w:r w:rsidRPr="00041838">
        <w:rPr>
          <w:color w:val="211D1F"/>
          <w:lang w:val="nl-NL"/>
        </w:rPr>
        <w:t>De</w:t>
      </w:r>
      <w:r w:rsidRPr="00041838" w:rsidR="000B18A7">
        <w:rPr>
          <w:color w:val="211D1F"/>
          <w:lang w:val="nl-NL"/>
        </w:rPr>
        <w:t>ze</w:t>
      </w:r>
      <w:r w:rsidRPr="00041838">
        <w:rPr>
          <w:color w:val="211D1F"/>
          <w:lang w:val="nl-NL"/>
        </w:rPr>
        <w:t xml:space="preserve"> landen moeten wel de genoemde </w:t>
      </w:r>
      <w:r w:rsidRPr="00041838" w:rsidR="00970B3A">
        <w:rPr>
          <w:color w:val="211D1F"/>
          <w:lang w:val="nl-NL"/>
        </w:rPr>
        <w:t xml:space="preserve">beginselen </w:t>
      </w:r>
      <w:r w:rsidRPr="00041838">
        <w:rPr>
          <w:color w:val="211D1F"/>
          <w:lang w:val="nl-NL"/>
        </w:rPr>
        <w:t xml:space="preserve">uit artikel 1 </w:t>
      </w:r>
      <w:r w:rsidRPr="00041838" w:rsidR="00970B3A">
        <w:rPr>
          <w:color w:val="211D1F"/>
          <w:lang w:val="nl-NL"/>
        </w:rPr>
        <w:t>in acht nemen</w:t>
      </w:r>
      <w:r w:rsidRPr="00041838">
        <w:rPr>
          <w:color w:val="211D1F"/>
          <w:lang w:val="nl-NL"/>
        </w:rPr>
        <w:t xml:space="preserve">. </w:t>
      </w:r>
      <w:r w:rsidRPr="00041838" w:rsidR="000B004A">
        <w:rPr>
          <w:color w:val="211D1F"/>
          <w:lang w:val="nl-NL"/>
        </w:rPr>
        <w:t xml:space="preserve">Ontvangend </w:t>
      </w:r>
      <w:r w:rsidRPr="00041838" w:rsidR="00EB7B1A">
        <w:rPr>
          <w:color w:val="211D1F"/>
          <w:lang w:val="nl-NL"/>
        </w:rPr>
        <w:t>land</w:t>
      </w:r>
      <w:r w:rsidRPr="00041838" w:rsidR="000B004A">
        <w:rPr>
          <w:color w:val="211D1F"/>
          <w:lang w:val="nl-NL"/>
        </w:rPr>
        <w:t xml:space="preserve"> van de EBRD worden deze landen vervolgens pas</w:t>
      </w:r>
      <w:r w:rsidRPr="00041838">
        <w:rPr>
          <w:color w:val="211D1F"/>
          <w:lang w:val="nl-NL"/>
        </w:rPr>
        <w:t xml:space="preserve"> </w:t>
      </w:r>
      <w:r w:rsidRPr="00041838" w:rsidR="000B004A">
        <w:rPr>
          <w:color w:val="211D1F"/>
          <w:lang w:val="nl-NL"/>
        </w:rPr>
        <w:t xml:space="preserve">na het verkrijgen van </w:t>
      </w:r>
      <w:r w:rsidRPr="00041838">
        <w:rPr>
          <w:color w:val="211D1F"/>
          <w:lang w:val="nl-NL"/>
        </w:rPr>
        <w:t>instemming van minstens twee derde van de Gouverneurs die minstens drie vierde van het totale aantal stemmen van de leden vertegenwoordigen</w:t>
      </w:r>
      <w:r w:rsidRPr="00041838" w:rsidR="000B004A">
        <w:rPr>
          <w:color w:val="211D1F"/>
          <w:lang w:val="nl-NL"/>
        </w:rPr>
        <w:t>, zoals tevens is vastgelegd in artikel 1 van de Overeenkomst</w:t>
      </w:r>
      <w:r w:rsidRPr="00041838">
        <w:rPr>
          <w:color w:val="211D1F"/>
          <w:lang w:val="nl-NL"/>
        </w:rPr>
        <w:t>.</w:t>
      </w:r>
    </w:p>
    <w:p w:rsidR="00A944D6" w:rsidP="001A754A" w:rsidRDefault="00A944D6" w14:paraId="169CBB05" w14:textId="25CCD333">
      <w:pPr>
        <w:spacing w:line="264" w:lineRule="auto"/>
        <w:rPr>
          <w:lang w:val="nl-NL"/>
        </w:rPr>
      </w:pPr>
      <w:r w:rsidRPr="005F365A">
        <w:rPr>
          <w:lang w:val="nl-NL"/>
        </w:rPr>
        <w:t xml:space="preserve">Resolutie 259 over geografische uitbreiding betrof een formalisatie van de door de </w:t>
      </w:r>
      <w:r w:rsidRPr="005F365A" w:rsidR="00970B3A">
        <w:rPr>
          <w:lang w:val="nl-NL"/>
        </w:rPr>
        <w:t>G</w:t>
      </w:r>
      <w:r w:rsidRPr="005F365A">
        <w:rPr>
          <w:lang w:val="nl-NL"/>
        </w:rPr>
        <w:t xml:space="preserve">ouverneurs in 2022 </w:t>
      </w:r>
      <w:r w:rsidRPr="005F365A" w:rsidR="008B5493">
        <w:rPr>
          <w:lang w:val="nl-NL"/>
        </w:rPr>
        <w:t xml:space="preserve">vastgestelde ambitie </w:t>
      </w:r>
      <w:r w:rsidRPr="005F365A">
        <w:rPr>
          <w:lang w:val="nl-NL"/>
        </w:rPr>
        <w:t>om het mandaat van de EBRD geografisch uit te breiden naar Sub</w:t>
      </w:r>
      <w:r w:rsidRPr="005F365A" w:rsidR="009F5F57">
        <w:rPr>
          <w:lang w:val="nl-NL"/>
        </w:rPr>
        <w:t>-</w:t>
      </w:r>
      <w:r w:rsidRPr="005F365A">
        <w:rPr>
          <w:lang w:val="nl-NL"/>
        </w:rPr>
        <w:t>Sahara</w:t>
      </w:r>
      <w:r w:rsidRPr="005F365A" w:rsidR="009F5F57">
        <w:rPr>
          <w:lang w:val="nl-NL"/>
        </w:rPr>
        <w:t>-</w:t>
      </w:r>
      <w:r w:rsidRPr="005F365A">
        <w:rPr>
          <w:lang w:val="nl-NL"/>
        </w:rPr>
        <w:t>Afrika</w:t>
      </w:r>
      <w:r w:rsidRPr="005F365A" w:rsidR="00A91CF3">
        <w:rPr>
          <w:lang w:val="nl-NL"/>
        </w:rPr>
        <w:t xml:space="preserve"> en Irak</w:t>
      </w:r>
      <w:r w:rsidRPr="005F365A">
        <w:rPr>
          <w:lang w:val="nl-NL"/>
        </w:rPr>
        <w:t>. Voor N</w:t>
      </w:r>
      <w:r w:rsidRPr="005F365A" w:rsidR="009F5F57">
        <w:rPr>
          <w:lang w:val="nl-NL"/>
        </w:rPr>
        <w:t>ederland</w:t>
      </w:r>
      <w:r w:rsidRPr="005F365A">
        <w:rPr>
          <w:lang w:val="nl-NL"/>
        </w:rPr>
        <w:t xml:space="preserve"> was het hierbij van belang dat aandeelhouders op de jaarvergadering in de</w:t>
      </w:r>
      <w:r w:rsidRPr="001A754A">
        <w:rPr>
          <w:lang w:val="nl-NL"/>
        </w:rPr>
        <w:t xml:space="preserve"> eerste plaats hun steun voor Oekra</w:t>
      </w:r>
      <w:r w:rsidR="009F5F57">
        <w:rPr>
          <w:lang w:val="nl-NL"/>
        </w:rPr>
        <w:t>ï</w:t>
      </w:r>
      <w:r w:rsidRPr="001A754A">
        <w:rPr>
          <w:lang w:val="nl-NL"/>
        </w:rPr>
        <w:t>ne uitspraken en het erover eens zijn dat uitbreiding naar de SSA</w:t>
      </w:r>
      <w:r w:rsidR="009F5F57">
        <w:rPr>
          <w:lang w:val="nl-NL"/>
        </w:rPr>
        <w:t>-</w:t>
      </w:r>
      <w:r w:rsidRPr="001A754A">
        <w:rPr>
          <w:lang w:val="nl-NL"/>
        </w:rPr>
        <w:t xml:space="preserve">regio niet ten koste mag gaan van de steun van </w:t>
      </w:r>
      <w:r w:rsidR="009F5F57">
        <w:rPr>
          <w:lang w:val="nl-NL"/>
        </w:rPr>
        <w:t xml:space="preserve">de </w:t>
      </w:r>
      <w:r w:rsidRPr="001A754A">
        <w:rPr>
          <w:lang w:val="nl-NL"/>
        </w:rPr>
        <w:t>EBRD aan Oekra</w:t>
      </w:r>
      <w:r w:rsidR="009F5F57">
        <w:rPr>
          <w:lang w:val="nl-NL"/>
        </w:rPr>
        <w:t>ï</w:t>
      </w:r>
      <w:r w:rsidRPr="001A754A">
        <w:rPr>
          <w:lang w:val="nl-NL"/>
        </w:rPr>
        <w:t>ne en bestaande operatielanden.</w:t>
      </w:r>
    </w:p>
    <w:p w:rsidRPr="00C07841" w:rsidR="00E331BB" w:rsidP="00041838" w:rsidRDefault="00041838" w14:paraId="33D52603" w14:textId="7EDE6123">
      <w:pPr>
        <w:spacing w:line="264" w:lineRule="auto"/>
        <w:rPr>
          <w:lang w:val="nl-NL"/>
        </w:rPr>
      </w:pPr>
      <w:r w:rsidRPr="00C07841">
        <w:rPr>
          <w:lang w:val="nl-NL"/>
        </w:rPr>
        <w:t>De aanpassing van het geografische mandaat van de EBRD betreft een stapsgewijze en zeer beperkte uitbreiding naar</w:t>
      </w:r>
      <w:r w:rsidRPr="00C07841" w:rsidR="00C15AEB">
        <w:rPr>
          <w:lang w:val="nl-NL"/>
        </w:rPr>
        <w:t xml:space="preserve"> maximaal zes landen in</w:t>
      </w:r>
      <w:r w:rsidRPr="00C07841">
        <w:rPr>
          <w:lang w:val="nl-NL"/>
        </w:rPr>
        <w:t xml:space="preserve"> SSA en Irak waarbij de EBRD zich kan bewijzen als impactbank en nichespeler in de eerdergenoemde landen. Met het unieke transitiemandaat van de EBRD, gericht op o.a. het bevorderen van private sector ontwikkeling, kan de bank een waardevolle toevoeging zijn op de activiteiten van de reeds aanwezige instellingen in de regio, waarmee de impact van het systeem in zijn geheel kan verbeteren. </w:t>
      </w:r>
      <w:r w:rsidRPr="00C07841" w:rsidR="001D1605">
        <w:rPr>
          <w:lang w:val="nl-NL"/>
        </w:rPr>
        <w:t xml:space="preserve">Met de focus op investeringen en met name private sector ontwikkeling onderscheidt de bank zich van bijvoorbeeld het </w:t>
      </w:r>
      <w:r w:rsidRPr="00C07841" w:rsidR="00411872">
        <w:rPr>
          <w:lang w:val="nl-NL"/>
        </w:rPr>
        <w:t>Internationale Monetaire Fonds (</w:t>
      </w:r>
      <w:r w:rsidRPr="00C07841" w:rsidR="001D1605">
        <w:rPr>
          <w:lang w:val="nl-NL"/>
        </w:rPr>
        <w:t>IMF</w:t>
      </w:r>
      <w:r w:rsidRPr="00C07841" w:rsidR="00411872">
        <w:rPr>
          <w:lang w:val="nl-NL"/>
        </w:rPr>
        <w:t>)</w:t>
      </w:r>
      <w:r w:rsidRPr="00C07841" w:rsidR="001D1605">
        <w:rPr>
          <w:lang w:val="nl-NL"/>
        </w:rPr>
        <w:t xml:space="preserve"> dat is gericht op </w:t>
      </w:r>
      <w:r w:rsidRPr="00C07841" w:rsidR="00842FEE">
        <w:rPr>
          <w:lang w:val="nl-NL"/>
        </w:rPr>
        <w:t>macro-economische</w:t>
      </w:r>
      <w:r w:rsidRPr="00C07841" w:rsidR="001D1605">
        <w:rPr>
          <w:lang w:val="nl-NL"/>
        </w:rPr>
        <w:t xml:space="preserve"> steun, maar ook van de Afrikaanse Ontwikkelingsbank die zich verhoudingsgewijs meer op de publieke sector richt.</w:t>
      </w:r>
    </w:p>
    <w:p w:rsidRPr="00C07841" w:rsidR="000A4199" w:rsidP="00041838" w:rsidRDefault="00041838" w14:paraId="459BABAA" w14:textId="05F08CB5">
      <w:pPr>
        <w:spacing w:line="264" w:lineRule="auto"/>
        <w:rPr>
          <w:lang w:val="nl-NL"/>
        </w:rPr>
      </w:pPr>
      <w:r w:rsidRPr="00C07841">
        <w:rPr>
          <w:lang w:val="nl-NL"/>
        </w:rPr>
        <w:t>De EBRD is sinds 2012 actief in Noord-Afrika in Egypte, Marokko en Tunesië waar de bank al geruime tijd samenwerkt met andere Internationale Financiële Instellingen (</w:t>
      </w:r>
      <w:proofErr w:type="spellStart"/>
      <w:r w:rsidRPr="00C07841">
        <w:rPr>
          <w:lang w:val="nl-NL"/>
        </w:rPr>
        <w:t>IFI’s</w:t>
      </w:r>
      <w:proofErr w:type="spellEnd"/>
      <w:r w:rsidRPr="00C07841">
        <w:rPr>
          <w:lang w:val="nl-NL"/>
        </w:rPr>
        <w:t>) in meer dan 60 projecten voor een totaalbedrag van EUR 6.4 miljard (2021). De grootste co-financier</w:t>
      </w:r>
      <w:r w:rsidRPr="00C07841" w:rsidR="00BA3CD3">
        <w:rPr>
          <w:lang w:val="nl-NL"/>
        </w:rPr>
        <w:t xml:space="preserve"> van de EBRD</w:t>
      </w:r>
      <w:r w:rsidRPr="00C07841">
        <w:rPr>
          <w:lang w:val="nl-NL"/>
        </w:rPr>
        <w:t xml:space="preserve"> in Noord-Afrika is de Europese Investeringsbank (EIB). De Afrikaanse Ontwikkelingsbank (</w:t>
      </w:r>
      <w:proofErr w:type="spellStart"/>
      <w:r w:rsidRPr="00C07841">
        <w:rPr>
          <w:lang w:val="nl-NL"/>
        </w:rPr>
        <w:t>AfDB</w:t>
      </w:r>
      <w:proofErr w:type="spellEnd"/>
      <w:r w:rsidRPr="00C07841">
        <w:rPr>
          <w:lang w:val="nl-NL"/>
        </w:rPr>
        <w:t>) is de grootste multilaterale ontwikkelingsbank van Afrika</w:t>
      </w:r>
      <w:r w:rsidRPr="00C07841" w:rsidR="000A4199">
        <w:rPr>
          <w:lang w:val="nl-NL"/>
        </w:rPr>
        <w:t xml:space="preserve">. </w:t>
      </w:r>
      <w:r w:rsidRPr="00C07841" w:rsidR="00D94DE2">
        <w:rPr>
          <w:lang w:val="nl-NL"/>
        </w:rPr>
        <w:t xml:space="preserve">De </w:t>
      </w:r>
      <w:proofErr w:type="spellStart"/>
      <w:r w:rsidRPr="00C07841" w:rsidR="00D94DE2">
        <w:rPr>
          <w:lang w:val="nl-NL"/>
        </w:rPr>
        <w:t>IFI’s</w:t>
      </w:r>
      <w:proofErr w:type="spellEnd"/>
      <w:r w:rsidRPr="00C07841" w:rsidR="00D94DE2">
        <w:rPr>
          <w:lang w:val="nl-NL"/>
        </w:rPr>
        <w:t xml:space="preserve"> hebben gezamenlijke werkmethoden en coördinatiemechanismen ontwikkeld, waardoor er regelmatige communicatie is tussen de regionale kantoren over politieke en economische ontwikkelingen en mogelijkheden voor gezamenlijke beleidsinitiatieven en cofinancieringsmogelijkheden. In aanvulling hierop zijn er jaarlijkse bijeenkomsten op hoog niveau tussen de </w:t>
      </w:r>
      <w:proofErr w:type="spellStart"/>
      <w:r w:rsidRPr="00C07841" w:rsidR="00D94DE2">
        <w:rPr>
          <w:lang w:val="nl-NL"/>
        </w:rPr>
        <w:t>IFI’s</w:t>
      </w:r>
      <w:proofErr w:type="spellEnd"/>
      <w:r w:rsidRPr="00C07841" w:rsidR="00D94DE2">
        <w:rPr>
          <w:lang w:val="nl-NL"/>
        </w:rPr>
        <w:t xml:space="preserve"> om te borgen dat de coördinatie goed verloopt.</w:t>
      </w:r>
    </w:p>
    <w:p w:rsidRPr="00C07841" w:rsidR="002979A7" w:rsidP="00E331BB" w:rsidRDefault="00E331BB" w14:paraId="5051963A" w14:textId="2EA042E7">
      <w:pPr>
        <w:spacing w:line="264" w:lineRule="auto"/>
        <w:rPr>
          <w:lang w:val="nl-NL"/>
        </w:rPr>
      </w:pPr>
      <w:r w:rsidRPr="00C07841">
        <w:rPr>
          <w:lang w:val="nl-NL"/>
        </w:rPr>
        <w:lastRenderedPageBreak/>
        <w:t xml:space="preserve">Voorbeelden van </w:t>
      </w:r>
      <w:r w:rsidRPr="00C07841" w:rsidR="00842FEE">
        <w:rPr>
          <w:lang w:val="nl-NL"/>
        </w:rPr>
        <w:t>coördinatie</w:t>
      </w:r>
      <w:r w:rsidRPr="00C07841">
        <w:rPr>
          <w:lang w:val="nl-NL"/>
        </w:rPr>
        <w:t xml:space="preserve"> en samenwerking tussen de belangrijke spelers in de regio zijn o.a. het </w:t>
      </w:r>
      <w:r w:rsidRPr="00C07841">
        <w:rPr>
          <w:i/>
          <w:iCs/>
          <w:lang w:val="nl-NL"/>
        </w:rPr>
        <w:t xml:space="preserve">memorandum of </w:t>
      </w:r>
      <w:proofErr w:type="spellStart"/>
      <w:r w:rsidRPr="00C07841">
        <w:rPr>
          <w:i/>
          <w:iCs/>
          <w:lang w:val="nl-NL"/>
        </w:rPr>
        <w:t>understanding</w:t>
      </w:r>
      <w:proofErr w:type="spellEnd"/>
      <w:r w:rsidRPr="00C07841">
        <w:rPr>
          <w:lang w:val="nl-NL"/>
        </w:rPr>
        <w:t xml:space="preserve"> (</w:t>
      </w:r>
      <w:proofErr w:type="spellStart"/>
      <w:r w:rsidRPr="00C07841">
        <w:rPr>
          <w:lang w:val="nl-NL"/>
        </w:rPr>
        <w:t>MoU</w:t>
      </w:r>
      <w:proofErr w:type="spellEnd"/>
      <w:r w:rsidRPr="00C07841">
        <w:rPr>
          <w:lang w:val="nl-NL"/>
        </w:rPr>
        <w:t xml:space="preserve">) dat </w:t>
      </w:r>
      <w:r w:rsidRPr="00C07841" w:rsidR="00DA55C0">
        <w:rPr>
          <w:lang w:val="nl-NL"/>
        </w:rPr>
        <w:t xml:space="preserve">de </w:t>
      </w:r>
      <w:r w:rsidRPr="00C07841">
        <w:rPr>
          <w:lang w:val="nl-NL"/>
        </w:rPr>
        <w:t xml:space="preserve">EBRD en </w:t>
      </w:r>
      <w:r w:rsidRPr="00C07841" w:rsidR="00DA55C0">
        <w:rPr>
          <w:lang w:val="nl-NL"/>
        </w:rPr>
        <w:t xml:space="preserve">de </w:t>
      </w:r>
      <w:proofErr w:type="spellStart"/>
      <w:r w:rsidRPr="00C07841">
        <w:rPr>
          <w:lang w:val="nl-NL"/>
        </w:rPr>
        <w:t>AfDB</w:t>
      </w:r>
      <w:proofErr w:type="spellEnd"/>
      <w:r w:rsidRPr="00C07841">
        <w:rPr>
          <w:lang w:val="nl-NL"/>
        </w:rPr>
        <w:t xml:space="preserve"> in 2021 tekenden om duurzame ontwikkeling van de private sector in Afrika te bevorderen evenals het ondernemingsklimaat voor nationale en internationale investeerders. Dit </w:t>
      </w:r>
      <w:proofErr w:type="spellStart"/>
      <w:r w:rsidRPr="00C07841">
        <w:rPr>
          <w:lang w:val="nl-NL"/>
        </w:rPr>
        <w:t>MoU</w:t>
      </w:r>
      <w:proofErr w:type="spellEnd"/>
      <w:r w:rsidRPr="00C07841">
        <w:rPr>
          <w:lang w:val="nl-NL"/>
        </w:rPr>
        <w:t xml:space="preserve"> kwam voort uit de vraag om nieuwe financieringsbronnen aan te boren om het jaarlijkse financieringstekort van USD 2,5 biljoen voor ontwikkeling in Afrika te helpen overbruggen. Gezien de enorme kloof in ontwikkelingsfinanciering is de samenwerking van de </w:t>
      </w:r>
      <w:proofErr w:type="spellStart"/>
      <w:r w:rsidRPr="00C07841">
        <w:rPr>
          <w:lang w:val="nl-NL"/>
        </w:rPr>
        <w:t>IFI’s</w:t>
      </w:r>
      <w:proofErr w:type="spellEnd"/>
      <w:r w:rsidRPr="00C07841">
        <w:rPr>
          <w:lang w:val="nl-NL"/>
        </w:rPr>
        <w:t xml:space="preserve"> van groot belang. </w:t>
      </w:r>
    </w:p>
    <w:p w:rsidRPr="00C07841" w:rsidR="00E331BB" w:rsidP="00E331BB" w:rsidRDefault="00E331BB" w14:paraId="3AB022B1" w14:textId="67DAC14B">
      <w:pPr>
        <w:spacing w:line="264" w:lineRule="auto"/>
        <w:rPr>
          <w:lang w:val="nl-NL"/>
        </w:rPr>
      </w:pPr>
      <w:r w:rsidRPr="00C07841">
        <w:rPr>
          <w:lang w:val="nl-NL"/>
        </w:rPr>
        <w:t xml:space="preserve">De reeds opgedane ervaringen op het gebied van samenwerking met andere instellingen vormen een belangrijke basis voor de uitbreiding van het geografische mandaat van de EBRD naar </w:t>
      </w:r>
      <w:r w:rsidRPr="00C07841" w:rsidR="00DA55C0">
        <w:rPr>
          <w:lang w:val="nl-NL"/>
        </w:rPr>
        <w:t xml:space="preserve">Irak en </w:t>
      </w:r>
      <w:r w:rsidRPr="00C07841">
        <w:rPr>
          <w:lang w:val="nl-NL"/>
        </w:rPr>
        <w:t xml:space="preserve">SSA. Met haar </w:t>
      </w:r>
      <w:r w:rsidRPr="00C07841">
        <w:rPr>
          <w:i/>
          <w:iCs/>
          <w:lang w:val="nl-NL"/>
        </w:rPr>
        <w:t xml:space="preserve">upstream </w:t>
      </w:r>
      <w:r w:rsidRPr="00C07841">
        <w:rPr>
          <w:lang w:val="nl-NL"/>
        </w:rPr>
        <w:t xml:space="preserve">benadering op het grensvlak van publiek en privaat en haar netwerk van particuliere financiers (o.a. in Europa en Noord-Afrika) kan de EBRD een bijzondere rol spelen door </w:t>
      </w:r>
      <w:proofErr w:type="spellStart"/>
      <w:r w:rsidRPr="00C07841">
        <w:rPr>
          <w:i/>
          <w:iCs/>
          <w:lang w:val="nl-NL"/>
        </w:rPr>
        <w:t>bankable</w:t>
      </w:r>
      <w:proofErr w:type="spellEnd"/>
      <w:r w:rsidRPr="00C07841">
        <w:rPr>
          <w:lang w:val="nl-NL"/>
        </w:rPr>
        <w:t xml:space="preserve"> projecten te ontwikkelen, vertrouwen te schenken aan financiers en marktwerking te verbeteren. Deze aanpak is tot nu toe ook succesvol gebleken in andere tot dan toe onbekende gebieden voor de EBRD zoals de Southern </w:t>
      </w:r>
      <w:proofErr w:type="spellStart"/>
      <w:r w:rsidRPr="00C07841">
        <w:rPr>
          <w:lang w:val="nl-NL"/>
        </w:rPr>
        <w:t>and</w:t>
      </w:r>
      <w:proofErr w:type="spellEnd"/>
      <w:r w:rsidRPr="00C07841">
        <w:rPr>
          <w:lang w:val="nl-NL"/>
        </w:rPr>
        <w:t xml:space="preserve"> </w:t>
      </w:r>
      <w:proofErr w:type="spellStart"/>
      <w:r w:rsidRPr="00C07841">
        <w:rPr>
          <w:lang w:val="nl-NL"/>
        </w:rPr>
        <w:t>Eastern</w:t>
      </w:r>
      <w:proofErr w:type="spellEnd"/>
      <w:r w:rsidRPr="00C07841">
        <w:rPr>
          <w:lang w:val="nl-NL"/>
        </w:rPr>
        <w:t xml:space="preserve"> </w:t>
      </w:r>
      <w:proofErr w:type="spellStart"/>
      <w:r w:rsidRPr="00C07841">
        <w:rPr>
          <w:lang w:val="nl-NL"/>
        </w:rPr>
        <w:t>Mediterranean</w:t>
      </w:r>
      <w:proofErr w:type="spellEnd"/>
      <w:r w:rsidRPr="00C07841">
        <w:rPr>
          <w:lang w:val="nl-NL"/>
        </w:rPr>
        <w:t xml:space="preserve"> (SEMED)-regio, waarbij de bank steeds aanvullend is geweest t.o.v. andere instellingen zoals I</w:t>
      </w:r>
      <w:r w:rsidRPr="00C07841" w:rsidR="00515695">
        <w:rPr>
          <w:lang w:val="nl-NL"/>
        </w:rPr>
        <w:t>nternational</w:t>
      </w:r>
      <w:r w:rsidRPr="00C07841" w:rsidR="00411872">
        <w:rPr>
          <w:lang w:val="nl-NL"/>
        </w:rPr>
        <w:t>e</w:t>
      </w:r>
      <w:r w:rsidRPr="00C07841" w:rsidR="00515695">
        <w:rPr>
          <w:lang w:val="nl-NL"/>
        </w:rPr>
        <w:t xml:space="preserve"> </w:t>
      </w:r>
      <w:r w:rsidRPr="00C07841">
        <w:rPr>
          <w:lang w:val="nl-NL"/>
        </w:rPr>
        <w:t>F</w:t>
      </w:r>
      <w:r w:rsidRPr="00C07841" w:rsidR="00515695">
        <w:rPr>
          <w:lang w:val="nl-NL"/>
        </w:rPr>
        <w:t>inanc</w:t>
      </w:r>
      <w:r w:rsidRPr="00C07841" w:rsidR="00411872">
        <w:rPr>
          <w:lang w:val="nl-NL"/>
        </w:rPr>
        <w:t xml:space="preserve">ieringsmaatschappij </w:t>
      </w:r>
      <w:r w:rsidRPr="00C07841" w:rsidR="00515695">
        <w:rPr>
          <w:lang w:val="nl-NL"/>
        </w:rPr>
        <w:t xml:space="preserve">(IFC) </w:t>
      </w:r>
      <w:r w:rsidRPr="00C07841">
        <w:rPr>
          <w:lang w:val="nl-NL"/>
        </w:rPr>
        <w:t xml:space="preserve">en de </w:t>
      </w:r>
      <w:proofErr w:type="spellStart"/>
      <w:r w:rsidRPr="00C07841">
        <w:rPr>
          <w:lang w:val="nl-NL"/>
        </w:rPr>
        <w:t>AfDB</w:t>
      </w:r>
      <w:proofErr w:type="spellEnd"/>
      <w:r w:rsidRPr="00C07841">
        <w:rPr>
          <w:lang w:val="nl-NL"/>
        </w:rPr>
        <w:t xml:space="preserve">. Voor wat betreft de coördinatie met de EIB zal de EBRD samenwerkingsverbanden aangaan in het kader van </w:t>
      </w:r>
      <w:r w:rsidRPr="00C07841">
        <w:rPr>
          <w:i/>
          <w:iCs/>
          <w:lang w:val="nl-NL"/>
        </w:rPr>
        <w:t xml:space="preserve">Team Europe </w:t>
      </w:r>
      <w:proofErr w:type="spellStart"/>
      <w:r w:rsidRPr="00C07841">
        <w:rPr>
          <w:i/>
          <w:iCs/>
          <w:lang w:val="nl-NL"/>
        </w:rPr>
        <w:t>Initiatives</w:t>
      </w:r>
      <w:proofErr w:type="spellEnd"/>
      <w:r w:rsidRPr="00C07841">
        <w:rPr>
          <w:lang w:val="nl-NL"/>
        </w:rPr>
        <w:t xml:space="preserve">, zoals nu al het geval is in de nabuurschapsregio van de EU waar de EBRD betrokken is bij tientallen initiatieven zoals het </w:t>
      </w:r>
      <w:proofErr w:type="spellStart"/>
      <w:r w:rsidRPr="00C07841">
        <w:rPr>
          <w:i/>
          <w:iCs/>
          <w:lang w:val="nl-NL"/>
        </w:rPr>
        <w:t>Invest</w:t>
      </w:r>
      <w:proofErr w:type="spellEnd"/>
      <w:r w:rsidRPr="00C07841">
        <w:rPr>
          <w:i/>
          <w:iCs/>
          <w:lang w:val="nl-NL"/>
        </w:rPr>
        <w:t xml:space="preserve"> in Young Business</w:t>
      </w:r>
      <w:r w:rsidRPr="00C07841">
        <w:rPr>
          <w:lang w:val="nl-NL"/>
        </w:rPr>
        <w:t xml:space="preserve"> in Afrika. </w:t>
      </w:r>
    </w:p>
    <w:p w:rsidRPr="00C07841" w:rsidR="00E331BB" w:rsidP="00041838" w:rsidRDefault="00E331BB" w14:paraId="65D1608D" w14:textId="7D4FE0FE">
      <w:pPr>
        <w:spacing w:line="264" w:lineRule="auto"/>
        <w:rPr>
          <w:u w:val="single"/>
          <w:lang w:val="nl-NL"/>
        </w:rPr>
      </w:pPr>
      <w:r w:rsidRPr="00C07841">
        <w:rPr>
          <w:lang w:val="nl-NL"/>
        </w:rPr>
        <w:t xml:space="preserve">Op verzoek van de aandeelhouders heeft de EBRD in 2022 een uitgebreid rapport gedeeld op basis van uitvoerige consultaties met de </w:t>
      </w:r>
      <w:proofErr w:type="spellStart"/>
      <w:r w:rsidRPr="00C07841">
        <w:rPr>
          <w:lang w:val="nl-NL"/>
        </w:rPr>
        <w:t>AfDB</w:t>
      </w:r>
      <w:proofErr w:type="spellEnd"/>
      <w:r w:rsidRPr="00C07841">
        <w:rPr>
          <w:lang w:val="nl-NL"/>
        </w:rPr>
        <w:t xml:space="preserve">, Wereldbank, </w:t>
      </w:r>
      <w:r w:rsidRPr="00C07841" w:rsidR="00515695">
        <w:rPr>
          <w:lang w:val="nl-NL"/>
        </w:rPr>
        <w:t>IF</w:t>
      </w:r>
      <w:r w:rsidRPr="00C07841" w:rsidR="00DA55C0">
        <w:rPr>
          <w:lang w:val="nl-NL"/>
        </w:rPr>
        <w:t>C</w:t>
      </w:r>
      <w:r w:rsidRPr="00C07841">
        <w:rPr>
          <w:lang w:val="nl-NL"/>
        </w:rPr>
        <w:t xml:space="preserve">, EIB, IMF, Development Finance </w:t>
      </w:r>
      <w:proofErr w:type="spellStart"/>
      <w:r w:rsidRPr="00C07841">
        <w:rPr>
          <w:lang w:val="nl-NL"/>
        </w:rPr>
        <w:t>Institutions</w:t>
      </w:r>
      <w:proofErr w:type="spellEnd"/>
      <w:r w:rsidRPr="00C07841">
        <w:rPr>
          <w:lang w:val="nl-NL"/>
        </w:rPr>
        <w:t xml:space="preserve"> (</w:t>
      </w:r>
      <w:proofErr w:type="spellStart"/>
      <w:r w:rsidRPr="00C07841">
        <w:rPr>
          <w:lang w:val="nl-NL"/>
        </w:rPr>
        <w:t>DFI’s</w:t>
      </w:r>
      <w:proofErr w:type="spellEnd"/>
      <w:r w:rsidRPr="00C07841">
        <w:rPr>
          <w:lang w:val="nl-NL"/>
        </w:rPr>
        <w:t xml:space="preserve">) en andere ontwikkelingspartners aanwezig in Irak en de SSA-landen van EBRD uitbreiding. Op basis van de consultaties is per land in kaart gebracht hoe de bestaande samenwerkings- en coördinatiemechanismen zijn opgebouwd. De EBRD voegt zich naar de gevestigde mechanismen per land om zo te zorgen voor een optimale samenhang van eigen activiteiten en de doelstellingen van de andere instellingen met de insteek de bestaande mechanismen te versterken. Dit is in lijn met Artikel 2.2 van de Overeenkomst tot oprichting van de EBRD, waarin staat dat de bank haar activiteiten in nauw contact zal afstemmen met andere organisaties. </w:t>
      </w:r>
    </w:p>
    <w:p w:rsidR="00DC4F8C" w:rsidP="002979A7" w:rsidRDefault="00087206" w14:paraId="1E01535F" w14:textId="12F1C1C7">
      <w:pPr>
        <w:spacing w:line="264" w:lineRule="auto"/>
        <w:rPr>
          <w:b/>
          <w:bCs/>
          <w:lang w:val="nl-NL"/>
        </w:rPr>
      </w:pPr>
      <w:r w:rsidRPr="00C07841">
        <w:rPr>
          <w:lang w:val="nl-NL"/>
        </w:rPr>
        <w:t xml:space="preserve">De vele uitdagingen in de SSA-regio en Irak in ogenschouw nemend, </w:t>
      </w:r>
      <w:r w:rsidRPr="00C07841" w:rsidR="006E00C3">
        <w:rPr>
          <w:lang w:val="nl-NL"/>
        </w:rPr>
        <w:t xml:space="preserve">kan </w:t>
      </w:r>
      <w:r w:rsidRPr="00C07841">
        <w:rPr>
          <w:lang w:val="nl-NL"/>
        </w:rPr>
        <w:t xml:space="preserve"> de EBRD van toegevoegde waarde zijn t</w:t>
      </w:r>
      <w:r w:rsidRPr="00C07841" w:rsidR="006E00C3">
        <w:rPr>
          <w:lang w:val="nl-NL"/>
        </w:rPr>
        <w:t xml:space="preserve">en opzichte van </w:t>
      </w:r>
      <w:r w:rsidRPr="00C07841">
        <w:rPr>
          <w:lang w:val="nl-NL"/>
        </w:rPr>
        <w:t xml:space="preserve"> de al aanwezige instellingen op basis van haar unieke transitiemandaat. </w:t>
      </w:r>
      <w:r w:rsidRPr="00C07841" w:rsidR="000A4199">
        <w:rPr>
          <w:lang w:val="nl-NL"/>
        </w:rPr>
        <w:t xml:space="preserve">Nederland ziet samenwerking met bestaande ontwikkelingsactoren, zoals de </w:t>
      </w:r>
      <w:proofErr w:type="spellStart"/>
      <w:r w:rsidRPr="00C07841" w:rsidR="00EA19B7">
        <w:rPr>
          <w:lang w:val="nl-NL"/>
        </w:rPr>
        <w:t>AfDB</w:t>
      </w:r>
      <w:proofErr w:type="spellEnd"/>
      <w:r w:rsidRPr="00C07841" w:rsidR="00EA19B7">
        <w:rPr>
          <w:lang w:val="nl-NL"/>
        </w:rPr>
        <w:t>, EI</w:t>
      </w:r>
      <w:r w:rsidRPr="00C07841" w:rsidR="00D94DE2">
        <w:rPr>
          <w:lang w:val="nl-NL"/>
        </w:rPr>
        <w:t>B</w:t>
      </w:r>
      <w:r w:rsidRPr="00C07841" w:rsidR="00DA55C0">
        <w:rPr>
          <w:lang w:val="nl-NL"/>
        </w:rPr>
        <w:t xml:space="preserve">, </w:t>
      </w:r>
      <w:r w:rsidRPr="00C07841" w:rsidR="000A4199">
        <w:rPr>
          <w:lang w:val="nl-NL"/>
        </w:rPr>
        <w:t xml:space="preserve">IFC, International Bank </w:t>
      </w:r>
      <w:proofErr w:type="spellStart"/>
      <w:r w:rsidRPr="00C07841" w:rsidR="000A4199">
        <w:rPr>
          <w:lang w:val="nl-NL"/>
        </w:rPr>
        <w:t>for</w:t>
      </w:r>
      <w:proofErr w:type="spellEnd"/>
      <w:r w:rsidRPr="00C07841" w:rsidR="000A4199">
        <w:rPr>
          <w:lang w:val="nl-NL"/>
        </w:rPr>
        <w:t xml:space="preserve"> </w:t>
      </w:r>
      <w:proofErr w:type="spellStart"/>
      <w:r w:rsidRPr="00C07841" w:rsidR="000A4199">
        <w:rPr>
          <w:lang w:val="nl-NL"/>
        </w:rPr>
        <w:t>Reconstruction</w:t>
      </w:r>
      <w:proofErr w:type="spellEnd"/>
      <w:r w:rsidRPr="00C07841" w:rsidR="000A4199">
        <w:rPr>
          <w:lang w:val="nl-NL"/>
        </w:rPr>
        <w:t xml:space="preserve"> </w:t>
      </w:r>
      <w:proofErr w:type="spellStart"/>
      <w:r w:rsidRPr="00C07841" w:rsidR="000A4199">
        <w:rPr>
          <w:lang w:val="nl-NL"/>
        </w:rPr>
        <w:t>and</w:t>
      </w:r>
      <w:proofErr w:type="spellEnd"/>
      <w:r w:rsidRPr="00C07841" w:rsidR="000A4199">
        <w:rPr>
          <w:lang w:val="nl-NL"/>
        </w:rPr>
        <w:t xml:space="preserve"> Development (IBRD) en de Multilatera</w:t>
      </w:r>
      <w:r w:rsidRPr="00C07841" w:rsidR="00411872">
        <w:rPr>
          <w:lang w:val="nl-NL"/>
        </w:rPr>
        <w:t>a</w:t>
      </w:r>
      <w:r w:rsidRPr="00C07841" w:rsidR="000A4199">
        <w:rPr>
          <w:lang w:val="nl-NL"/>
        </w:rPr>
        <w:t xml:space="preserve">l </w:t>
      </w:r>
      <w:r w:rsidRPr="00C07841" w:rsidR="00411872">
        <w:rPr>
          <w:lang w:val="nl-NL"/>
        </w:rPr>
        <w:t xml:space="preserve">Agentschap voor Investeringsgaranties </w:t>
      </w:r>
      <w:r w:rsidRPr="00C07841" w:rsidR="000A4199">
        <w:rPr>
          <w:lang w:val="nl-NL"/>
        </w:rPr>
        <w:t xml:space="preserve">(MIGA) van de Wereldbank, </w:t>
      </w:r>
      <w:r w:rsidRPr="00C07841">
        <w:rPr>
          <w:lang w:val="nl-NL"/>
        </w:rPr>
        <w:t xml:space="preserve">hierbij </w:t>
      </w:r>
      <w:r w:rsidRPr="00C07841" w:rsidR="000A4199">
        <w:rPr>
          <w:lang w:val="nl-NL"/>
        </w:rPr>
        <w:t>als cruciaal voor een effectief handelen van de EBRD in de nieuwe regio</w:t>
      </w:r>
      <w:r w:rsidRPr="00C07841" w:rsidR="00981050">
        <w:rPr>
          <w:lang w:val="nl-NL"/>
        </w:rPr>
        <w:t xml:space="preserve"> en roept hiertoe op binnen de instellingen waarvan het aandeelhouder is.</w:t>
      </w:r>
      <w:r w:rsidR="00981050">
        <w:rPr>
          <w:lang w:val="nl-NL"/>
        </w:rPr>
        <w:t xml:space="preserve"> </w:t>
      </w:r>
      <w:r w:rsidR="00EA19B7">
        <w:rPr>
          <w:lang w:val="nl-NL"/>
        </w:rPr>
        <w:t xml:space="preserve"> </w:t>
      </w:r>
    </w:p>
    <w:p w:rsidR="00041838" w:rsidP="00041838" w:rsidRDefault="00041838" w14:paraId="5C3E380D" w14:textId="77777777">
      <w:pPr>
        <w:spacing w:line="240" w:lineRule="atLeast"/>
        <w:rPr>
          <w:color w:val="211D1F"/>
          <w:lang w:val="nl-NL"/>
        </w:rPr>
      </w:pPr>
      <w:r>
        <w:rPr>
          <w:rFonts w:cs="ENECN L+ Univers"/>
          <w:i/>
          <w:iCs/>
          <w:color w:val="211D1F"/>
          <w:lang w:val="nl-NL"/>
        </w:rPr>
        <w:t>Artikel 12</w:t>
      </w:r>
    </w:p>
    <w:p w:rsidRPr="009F2628" w:rsidR="001A754A" w:rsidP="001A754A" w:rsidRDefault="001A754A" w14:paraId="00946BCE" w14:textId="53687039">
      <w:pPr>
        <w:spacing w:after="0" w:line="252" w:lineRule="auto"/>
        <w:rPr>
          <w:lang w:val="nl-NL"/>
        </w:rPr>
      </w:pPr>
      <w:r w:rsidRPr="009F2628">
        <w:rPr>
          <w:lang w:val="nl-NL"/>
        </w:rPr>
        <w:t xml:space="preserve">Artikel 12.1 van de </w:t>
      </w:r>
      <w:r w:rsidRPr="00041838" w:rsidR="00A12FB7">
        <w:rPr>
          <w:rFonts w:cs="Arial"/>
          <w:lang w:val="nl-NL"/>
        </w:rPr>
        <w:t xml:space="preserve">Overeenkomst </w:t>
      </w:r>
      <w:r w:rsidRPr="009F2628">
        <w:rPr>
          <w:lang w:val="nl-NL"/>
        </w:rPr>
        <w:t xml:space="preserve">bevat een </w:t>
      </w:r>
      <w:r w:rsidR="00A91CF3">
        <w:rPr>
          <w:lang w:val="nl-NL"/>
        </w:rPr>
        <w:t>kapitaal</w:t>
      </w:r>
      <w:r w:rsidRPr="009F2628">
        <w:rPr>
          <w:lang w:val="nl-NL"/>
        </w:rPr>
        <w:t>limiet op gebruikelijke operaties. Dit wordt gezien als een beperkende vaste factor</w:t>
      </w:r>
      <w:r w:rsidR="00834B09">
        <w:rPr>
          <w:lang w:val="nl-NL"/>
        </w:rPr>
        <w:t>.</w:t>
      </w:r>
      <w:r w:rsidR="009F5F57">
        <w:rPr>
          <w:lang w:val="nl-NL"/>
        </w:rPr>
        <w:t xml:space="preserve"> </w:t>
      </w:r>
      <w:r w:rsidR="00834B09">
        <w:rPr>
          <w:lang w:val="nl-NL"/>
        </w:rPr>
        <w:t>D</w:t>
      </w:r>
      <w:r w:rsidR="009F5F57">
        <w:rPr>
          <w:lang w:val="nl-NL"/>
        </w:rPr>
        <w:t>at wil zeggen</w:t>
      </w:r>
      <w:r w:rsidR="000B18A7">
        <w:rPr>
          <w:lang w:val="nl-NL"/>
        </w:rPr>
        <w:t xml:space="preserve"> dat deze limiet de leencapaciteit, meer dan vanuit een risicobeheersingsperspectief nodig is, kan beperken</w:t>
      </w:r>
      <w:r w:rsidRPr="009F2628">
        <w:rPr>
          <w:lang w:val="nl-NL"/>
        </w:rPr>
        <w:t xml:space="preserve">. </w:t>
      </w:r>
    </w:p>
    <w:p w:rsidRPr="001A754A" w:rsidR="001A754A" w:rsidP="001A754A" w:rsidRDefault="001A754A" w14:paraId="243D13B5" w14:textId="44D40306">
      <w:pPr>
        <w:spacing w:after="0" w:line="252" w:lineRule="auto"/>
        <w:rPr>
          <w:lang w:val="nl-NL"/>
        </w:rPr>
      </w:pPr>
      <w:r w:rsidRPr="001A754A">
        <w:rPr>
          <w:lang w:val="nl-NL"/>
        </w:rPr>
        <w:t xml:space="preserve">Om uitvoering te geven aan een van de aanbevelingen uit </w:t>
      </w:r>
      <w:r w:rsidR="00A91CF3">
        <w:rPr>
          <w:lang w:val="nl-NL"/>
        </w:rPr>
        <w:t xml:space="preserve">de onafhankelijke evaluatie van kaders voor </w:t>
      </w:r>
      <w:proofErr w:type="spellStart"/>
      <w:r w:rsidR="00A91CF3">
        <w:rPr>
          <w:lang w:val="nl-NL"/>
        </w:rPr>
        <w:t>kapitaaltoereikendheid</w:t>
      </w:r>
      <w:proofErr w:type="spellEnd"/>
      <w:r w:rsidR="00A91CF3">
        <w:rPr>
          <w:lang w:val="nl-NL"/>
        </w:rPr>
        <w:t xml:space="preserve"> (</w:t>
      </w:r>
      <w:r w:rsidRPr="001A754A">
        <w:rPr>
          <w:lang w:val="nl-NL"/>
        </w:rPr>
        <w:t xml:space="preserve">het </w:t>
      </w:r>
      <w:proofErr w:type="spellStart"/>
      <w:r w:rsidRPr="0002CA39">
        <w:rPr>
          <w:i/>
          <w:iCs/>
          <w:lang w:val="nl-NL"/>
        </w:rPr>
        <w:t>Capital</w:t>
      </w:r>
      <w:proofErr w:type="spellEnd"/>
      <w:r w:rsidRPr="0002CA39">
        <w:rPr>
          <w:i/>
          <w:iCs/>
          <w:lang w:val="nl-NL"/>
        </w:rPr>
        <w:t xml:space="preserve"> </w:t>
      </w:r>
      <w:proofErr w:type="spellStart"/>
      <w:r w:rsidRPr="0002CA39">
        <w:rPr>
          <w:i/>
          <w:iCs/>
          <w:lang w:val="nl-NL"/>
        </w:rPr>
        <w:t>Adequacy</w:t>
      </w:r>
      <w:proofErr w:type="spellEnd"/>
      <w:r w:rsidRPr="0002CA39">
        <w:rPr>
          <w:i/>
          <w:iCs/>
          <w:lang w:val="nl-NL"/>
        </w:rPr>
        <w:t xml:space="preserve"> Framework</w:t>
      </w:r>
      <w:r w:rsidRPr="001A754A">
        <w:rPr>
          <w:lang w:val="nl-NL"/>
        </w:rPr>
        <w:t xml:space="preserve"> (CAF)</w:t>
      </w:r>
      <w:r w:rsidR="00A91CF3">
        <w:rPr>
          <w:lang w:val="nl-NL"/>
        </w:rPr>
        <w:t>)</w:t>
      </w:r>
      <w:r w:rsidRPr="001A754A">
        <w:rPr>
          <w:lang w:val="nl-NL"/>
        </w:rPr>
        <w:t xml:space="preserve"> van de G20 zal </w:t>
      </w:r>
      <w:r w:rsidR="009F5F57">
        <w:rPr>
          <w:lang w:val="nl-NL"/>
        </w:rPr>
        <w:t xml:space="preserve">de </w:t>
      </w:r>
      <w:r w:rsidRPr="001A754A">
        <w:rPr>
          <w:lang w:val="nl-NL"/>
        </w:rPr>
        <w:t xml:space="preserve">EBRD de </w:t>
      </w:r>
      <w:r w:rsidR="00A91CF3">
        <w:rPr>
          <w:lang w:val="nl-NL"/>
        </w:rPr>
        <w:t>kapitaal</w:t>
      </w:r>
      <w:r w:rsidRPr="001A754A">
        <w:rPr>
          <w:lang w:val="nl-NL"/>
        </w:rPr>
        <w:t xml:space="preserve">limiet uit de </w:t>
      </w:r>
      <w:r w:rsidRPr="00041838" w:rsidR="00A12FB7">
        <w:rPr>
          <w:rFonts w:cs="Arial"/>
          <w:lang w:val="nl-NL"/>
        </w:rPr>
        <w:t>Overeenkomst</w:t>
      </w:r>
      <w:r w:rsidRPr="001A754A">
        <w:rPr>
          <w:lang w:val="nl-NL"/>
        </w:rPr>
        <w:t xml:space="preserve"> verwijderen. </w:t>
      </w:r>
    </w:p>
    <w:p w:rsidR="001A754A" w:rsidP="001A754A" w:rsidRDefault="001A754A" w14:paraId="5629D162" w14:textId="3E33FF4F">
      <w:pPr>
        <w:spacing w:after="0" w:line="252" w:lineRule="auto"/>
        <w:rPr>
          <w:lang w:val="nl-NL"/>
        </w:rPr>
      </w:pPr>
      <w:r w:rsidRPr="009F2628">
        <w:rPr>
          <w:lang w:val="nl-NL"/>
        </w:rPr>
        <w:t xml:space="preserve">Dit maakt flexibelere inzet van het kapitaal mogelijk. </w:t>
      </w:r>
      <w:r w:rsidR="001E5068">
        <w:rPr>
          <w:lang w:val="nl-NL"/>
        </w:rPr>
        <w:t>Om</w:t>
      </w:r>
      <w:r w:rsidRPr="009F2628">
        <w:rPr>
          <w:lang w:val="nl-NL"/>
        </w:rPr>
        <w:t xml:space="preserve"> tegelijk</w:t>
      </w:r>
      <w:r w:rsidR="001E5068">
        <w:rPr>
          <w:lang w:val="nl-NL"/>
        </w:rPr>
        <w:t xml:space="preserve"> te borgen dat</w:t>
      </w:r>
      <w:r w:rsidRPr="009F2628">
        <w:rPr>
          <w:lang w:val="nl-NL"/>
        </w:rPr>
        <w:t xml:space="preserve"> </w:t>
      </w:r>
      <w:r w:rsidR="009F5F57">
        <w:rPr>
          <w:lang w:val="nl-NL"/>
        </w:rPr>
        <w:t xml:space="preserve">de </w:t>
      </w:r>
      <w:r w:rsidRPr="009F2628">
        <w:rPr>
          <w:lang w:val="nl-NL"/>
        </w:rPr>
        <w:t xml:space="preserve">EBRD </w:t>
      </w:r>
      <w:r w:rsidR="001E5068">
        <w:rPr>
          <w:lang w:val="nl-NL"/>
        </w:rPr>
        <w:t xml:space="preserve">duurzaam financieel solide </w:t>
      </w:r>
      <w:r w:rsidRPr="009F2628">
        <w:rPr>
          <w:lang w:val="nl-NL"/>
        </w:rPr>
        <w:t>blijft</w:t>
      </w:r>
      <w:r w:rsidR="008B5493">
        <w:rPr>
          <w:lang w:val="nl-NL"/>
        </w:rPr>
        <w:t>,</w:t>
      </w:r>
      <w:r w:rsidRPr="009F2628">
        <w:rPr>
          <w:lang w:val="nl-NL"/>
        </w:rPr>
        <w:t xml:space="preserve"> wordt de passage over de statutaire limiet vervangen door een verwijzing naar de </w:t>
      </w:r>
      <w:r w:rsidR="009F5F57">
        <w:rPr>
          <w:lang w:val="nl-NL"/>
        </w:rPr>
        <w:t>Raad van Bewind</w:t>
      </w:r>
      <w:r w:rsidRPr="009F2628">
        <w:rPr>
          <w:lang w:val="nl-NL"/>
        </w:rPr>
        <w:t xml:space="preserve"> die moet </w:t>
      </w:r>
      <w:r w:rsidR="009F5F57">
        <w:rPr>
          <w:lang w:val="nl-NL"/>
        </w:rPr>
        <w:t>toe</w:t>
      </w:r>
      <w:r w:rsidRPr="009F2628">
        <w:rPr>
          <w:lang w:val="nl-NL"/>
        </w:rPr>
        <w:t>zien dat de EBRD gebruik blijft maken van passende</w:t>
      </w:r>
      <w:r w:rsidR="0065248D">
        <w:rPr>
          <w:lang w:val="nl-NL"/>
        </w:rPr>
        <w:t xml:space="preserve"> </w:t>
      </w:r>
      <w:proofErr w:type="spellStart"/>
      <w:r w:rsidR="0065248D">
        <w:rPr>
          <w:lang w:val="nl-NL"/>
        </w:rPr>
        <w:t>kapitaaltoereikendheidscriteria</w:t>
      </w:r>
      <w:proofErr w:type="spellEnd"/>
      <w:r w:rsidRPr="009F2628">
        <w:rPr>
          <w:lang w:val="nl-NL"/>
        </w:rPr>
        <w:t xml:space="preserve">. </w:t>
      </w:r>
    </w:p>
    <w:p w:rsidRPr="009F2628" w:rsidR="000834E1" w:rsidP="001A754A" w:rsidRDefault="000834E1" w14:paraId="036E574D" w14:textId="1FCA8038">
      <w:pPr>
        <w:spacing w:after="0" w:line="252" w:lineRule="auto"/>
        <w:rPr>
          <w:lang w:val="nl-NL"/>
        </w:rPr>
      </w:pPr>
      <w:r>
        <w:rPr>
          <w:lang w:val="nl-NL"/>
        </w:rPr>
        <w:t xml:space="preserve">De aanvaarding van deze wijziging </w:t>
      </w:r>
      <w:r w:rsidR="008B5493">
        <w:rPr>
          <w:lang w:val="nl-NL"/>
        </w:rPr>
        <w:t xml:space="preserve">van artikel 12.1 </w:t>
      </w:r>
      <w:r>
        <w:rPr>
          <w:lang w:val="nl-NL"/>
        </w:rPr>
        <w:t xml:space="preserve">geschiedt op dezelfde wijze als hierboven geschetst voor de wijziging van artikel 1. </w:t>
      </w:r>
    </w:p>
    <w:p w:rsidRPr="001A754A" w:rsidR="00A944D6" w:rsidP="00A944D6" w:rsidRDefault="00A944D6" w14:paraId="5D0FC96A" w14:textId="77777777">
      <w:pPr>
        <w:spacing w:line="264" w:lineRule="auto"/>
        <w:rPr>
          <w:sz w:val="20"/>
          <w:szCs w:val="20"/>
          <w:lang w:val="nl-NL"/>
        </w:rPr>
      </w:pPr>
    </w:p>
    <w:p w:rsidRPr="002751C2" w:rsidR="00A944D6" w:rsidP="002751C2" w:rsidRDefault="009F5F57" w14:paraId="3009DCAD" w14:textId="5C913267">
      <w:pPr>
        <w:spacing w:line="240" w:lineRule="atLeast"/>
        <w:rPr>
          <w:rFonts w:cs="ENECM I+ Univers"/>
          <w:b/>
          <w:bCs/>
          <w:color w:val="211D1F"/>
          <w:lang w:val="nl-NL"/>
        </w:rPr>
      </w:pPr>
      <w:r w:rsidRPr="00041838">
        <w:rPr>
          <w:rFonts w:cs="ENECM I+ Univers"/>
          <w:b/>
          <w:bCs/>
          <w:color w:val="211D1F"/>
          <w:lang w:val="nl-NL"/>
        </w:rPr>
        <w:t>Stema</w:t>
      </w:r>
      <w:r w:rsidRPr="00041838" w:rsidR="00A944D6">
        <w:rPr>
          <w:rFonts w:cs="ENECM I+ Univers"/>
          <w:b/>
          <w:bCs/>
          <w:color w:val="211D1F"/>
          <w:lang w:val="nl-NL"/>
        </w:rPr>
        <w:t xml:space="preserve">andeel van Nederland en financiële consequenties </w:t>
      </w:r>
    </w:p>
    <w:p w:rsidRPr="002751C2" w:rsidR="00A944D6" w:rsidP="002751C2" w:rsidRDefault="00A944D6" w14:paraId="53615522" w14:textId="58A4140A">
      <w:pPr>
        <w:spacing w:line="240" w:lineRule="atLeast"/>
        <w:rPr>
          <w:color w:val="211D1F"/>
          <w:lang w:val="nl-NL"/>
        </w:rPr>
      </w:pPr>
      <w:r w:rsidRPr="00041838">
        <w:rPr>
          <w:color w:val="211D1F"/>
          <w:lang w:val="nl-NL"/>
        </w:rPr>
        <w:t>Het Nederlands</w:t>
      </w:r>
      <w:r w:rsidRPr="00041838" w:rsidR="009F5F57">
        <w:rPr>
          <w:color w:val="211D1F"/>
          <w:lang w:val="nl-NL"/>
        </w:rPr>
        <w:t>e</w:t>
      </w:r>
      <w:r w:rsidRPr="00041838">
        <w:rPr>
          <w:color w:val="211D1F"/>
          <w:lang w:val="nl-NL"/>
        </w:rPr>
        <w:t xml:space="preserve"> stemaandeel in de EBRD bedraagt 2,51%. Het stemaandeel wordt bepaald door het aandeel in het kapitaal van de EBRD. De verdragswijziging zal niet leiden tot een </w:t>
      </w:r>
      <w:r w:rsidRPr="00041838" w:rsidR="009F5F57">
        <w:rPr>
          <w:color w:val="211D1F"/>
          <w:lang w:val="nl-NL"/>
        </w:rPr>
        <w:t xml:space="preserve">aanvullende </w:t>
      </w:r>
      <w:r w:rsidRPr="00041838">
        <w:rPr>
          <w:color w:val="211D1F"/>
          <w:lang w:val="nl-NL"/>
        </w:rPr>
        <w:lastRenderedPageBreak/>
        <w:t>bijdrage in het kapitaal van de EBRD en heeft daarom geen financiële consequenties voor Nederland</w:t>
      </w:r>
      <w:r w:rsidRPr="00041838" w:rsidR="009F5F57">
        <w:rPr>
          <w:color w:val="211D1F"/>
          <w:lang w:val="nl-NL"/>
        </w:rPr>
        <w:t>, en dus evenmin voor het Nederlandse stemaandeel</w:t>
      </w:r>
      <w:r w:rsidRPr="00041838">
        <w:rPr>
          <w:color w:val="211D1F"/>
          <w:lang w:val="nl-NL"/>
        </w:rPr>
        <w:t xml:space="preserve">. </w:t>
      </w:r>
    </w:p>
    <w:p w:rsidRPr="00834B09" w:rsidR="009F2628" w:rsidP="009F2628" w:rsidRDefault="009F2628" w14:paraId="6A2EC28F" w14:textId="0DBB813A">
      <w:pPr>
        <w:spacing w:line="240" w:lineRule="auto"/>
        <w:jc w:val="both"/>
        <w:rPr>
          <w:rFonts w:eastAsia="Times New Roman"/>
          <w:b/>
          <w:bCs/>
          <w:lang w:val="nl-NL"/>
        </w:rPr>
      </w:pPr>
      <w:r w:rsidRPr="00834B09">
        <w:rPr>
          <w:rFonts w:eastAsia="Times New Roman"/>
          <w:b/>
          <w:bCs/>
          <w:lang w:val="nl-NL"/>
        </w:rPr>
        <w:t>Eenieder verbindende bepalingen</w:t>
      </w:r>
    </w:p>
    <w:p w:rsidRPr="002751C2" w:rsidR="009F2628" w:rsidRDefault="009F2628" w14:paraId="5B88989E" w14:textId="50C49DEF">
      <w:pPr>
        <w:rPr>
          <w:color w:val="000000"/>
          <w:lang w:val="nl-NL"/>
        </w:rPr>
      </w:pPr>
      <w:r w:rsidRPr="00041838">
        <w:rPr>
          <w:lang w:val="nl-NL" w:eastAsia="nl-NL"/>
        </w:rPr>
        <w:t xml:space="preserve">Naar het oordeel van de regering bevatten de </w:t>
      </w:r>
      <w:r w:rsidRPr="00041838" w:rsidR="00F6246F">
        <w:rPr>
          <w:lang w:val="nl-NL" w:eastAsia="nl-NL"/>
        </w:rPr>
        <w:t>artikelen 1 en 12.1</w:t>
      </w:r>
      <w:r w:rsidRPr="00041838">
        <w:rPr>
          <w:lang w:val="nl-NL" w:eastAsia="nl-NL"/>
        </w:rPr>
        <w:t xml:space="preserve"> noch de wijzigingen daarvan een ieder verbindende bepalingen in de zin van de artikelen 93 en 94 van de Grondwet, die aan rechtssubjecten rechtstreeks rechten toekennen of plichten opleggen.</w:t>
      </w:r>
    </w:p>
    <w:p w:rsidRPr="002751C2" w:rsidR="00A944D6" w:rsidP="002751C2" w:rsidRDefault="00A944D6" w14:paraId="0608B9A5" w14:textId="77777777">
      <w:pPr>
        <w:spacing w:line="240" w:lineRule="atLeast"/>
        <w:rPr>
          <w:rFonts w:cs="ENECM I+ Univers"/>
          <w:b/>
          <w:bCs/>
          <w:color w:val="211D1F"/>
          <w:lang w:val="nl-NL"/>
        </w:rPr>
      </w:pPr>
      <w:proofErr w:type="spellStart"/>
      <w:r w:rsidRPr="00041838">
        <w:rPr>
          <w:rFonts w:cs="ENECM I+ Univers"/>
          <w:b/>
          <w:bCs/>
          <w:color w:val="211D1F"/>
          <w:lang w:val="nl-NL"/>
        </w:rPr>
        <w:t>Koninkrijkspositie</w:t>
      </w:r>
      <w:proofErr w:type="spellEnd"/>
      <w:r w:rsidRPr="00041838">
        <w:rPr>
          <w:rFonts w:cs="ENECM I+ Univers"/>
          <w:b/>
          <w:bCs/>
          <w:color w:val="211D1F"/>
          <w:lang w:val="nl-NL"/>
        </w:rPr>
        <w:t xml:space="preserve"> </w:t>
      </w:r>
    </w:p>
    <w:p w:rsidR="00A944D6" w:rsidP="00C07841" w:rsidRDefault="00A944D6" w14:paraId="0EAE8EAD" w14:textId="3473F41E">
      <w:pPr>
        <w:spacing w:line="240" w:lineRule="atLeast"/>
        <w:rPr>
          <w:color w:val="211D1F"/>
          <w:szCs w:val="18"/>
          <w:lang w:val="nl-NL"/>
        </w:rPr>
      </w:pPr>
      <w:r w:rsidRPr="00041838">
        <w:rPr>
          <w:color w:val="211D1F"/>
          <w:lang w:val="nl-NL"/>
        </w:rPr>
        <w:t>De Overeenkomst geldt, wat het Koninkrijk betreft, voor Nederland, Curaçao en Sint Maarten</w:t>
      </w:r>
      <w:r w:rsidRPr="00C07841">
        <w:rPr>
          <w:color w:val="211D1F"/>
          <w:lang w:val="nl-NL"/>
        </w:rPr>
        <w:t>.</w:t>
      </w:r>
      <w:r w:rsidRPr="00C07841" w:rsidR="006E00C3">
        <w:rPr>
          <w:color w:val="211D1F"/>
          <w:lang w:val="nl-NL"/>
        </w:rPr>
        <w:t xml:space="preserve"> </w:t>
      </w:r>
      <w:r w:rsidRPr="00C07841" w:rsidR="006E00C3">
        <w:rPr>
          <w:color w:val="211D1F"/>
          <w:szCs w:val="18"/>
          <w:lang w:val="nl-NL"/>
        </w:rPr>
        <w:t xml:space="preserve"> De regeringen van Curaçao en Sint Maarten hebben aangegeven medegelding van de wijzigingen van de Overeenkomst voor hun land wenselijk te achten.</w:t>
      </w:r>
      <w:r w:rsidRPr="00041838">
        <w:rPr>
          <w:color w:val="211D1F"/>
          <w:lang w:val="nl-NL"/>
        </w:rPr>
        <w:t xml:space="preserve"> De wijzigingen van de Overeenkomst zullen </w:t>
      </w:r>
      <w:r w:rsidR="006E00C3">
        <w:rPr>
          <w:color w:val="211D1F"/>
          <w:lang w:val="nl-NL"/>
        </w:rPr>
        <w:t xml:space="preserve">daarom </w:t>
      </w:r>
      <w:r w:rsidRPr="00041838">
        <w:rPr>
          <w:color w:val="211D1F"/>
          <w:lang w:val="nl-NL"/>
        </w:rPr>
        <w:t>eveneens voor Nederland, Curaçao en Sint Maarten gelden</w:t>
      </w:r>
      <w:r w:rsidR="00C217CD">
        <w:rPr>
          <w:color w:val="211D1F"/>
          <w:lang w:val="nl-NL"/>
        </w:rPr>
        <w:t>.</w:t>
      </w:r>
    </w:p>
    <w:p w:rsidRPr="001A754A" w:rsidR="00842FEE" w:rsidP="00A944D6" w:rsidRDefault="00842FEE" w14:paraId="0AA99DBC" w14:textId="77777777">
      <w:pPr>
        <w:rPr>
          <w:color w:val="211D1F"/>
          <w:szCs w:val="18"/>
          <w:lang w:val="nl-NL"/>
        </w:rPr>
      </w:pPr>
    </w:p>
    <w:p w:rsidRPr="002751C2" w:rsidR="00A944D6" w:rsidRDefault="00A944D6" w14:paraId="3BF0DEA5" w14:textId="528BC9B1">
      <w:pPr>
        <w:rPr>
          <w:color w:val="211D1F"/>
          <w:lang w:val="nl-NL"/>
        </w:rPr>
      </w:pPr>
      <w:r w:rsidRPr="00041838">
        <w:rPr>
          <w:color w:val="211D1F"/>
          <w:lang w:val="nl-NL"/>
        </w:rPr>
        <w:t xml:space="preserve">De </w:t>
      </w:r>
      <w:r w:rsidRPr="00041838" w:rsidR="00A47E65">
        <w:rPr>
          <w:color w:val="211D1F"/>
          <w:lang w:val="nl-NL"/>
        </w:rPr>
        <w:t>M</w:t>
      </w:r>
      <w:r w:rsidRPr="00041838">
        <w:rPr>
          <w:color w:val="211D1F"/>
          <w:lang w:val="nl-NL"/>
        </w:rPr>
        <w:t xml:space="preserve">inister van Financiën, </w:t>
      </w:r>
    </w:p>
    <w:p w:rsidR="00A944D6" w:rsidP="00A944D6" w:rsidRDefault="00A944D6" w14:paraId="0E4C0600" w14:textId="77777777">
      <w:pPr>
        <w:rPr>
          <w:color w:val="211D1F"/>
          <w:szCs w:val="18"/>
          <w:lang w:val="nl-NL"/>
        </w:rPr>
      </w:pPr>
    </w:p>
    <w:p w:rsidRPr="001A754A" w:rsidR="008B1219" w:rsidP="00A944D6" w:rsidRDefault="008B1219" w14:paraId="099112AC" w14:textId="77777777">
      <w:pPr>
        <w:rPr>
          <w:color w:val="211D1F"/>
          <w:szCs w:val="18"/>
          <w:lang w:val="nl-NL"/>
        </w:rPr>
      </w:pPr>
    </w:p>
    <w:p w:rsidR="00842FEE" w:rsidRDefault="00842FEE" w14:paraId="46831678" w14:textId="77777777">
      <w:pPr>
        <w:rPr>
          <w:color w:val="211D1F"/>
          <w:lang w:val="nl-NL"/>
        </w:rPr>
      </w:pPr>
    </w:p>
    <w:p w:rsidRPr="002751C2" w:rsidR="00A944D6" w:rsidRDefault="00A47E65" w14:paraId="01C23BC7" w14:textId="2814F18A">
      <w:pPr>
        <w:rPr>
          <w:color w:val="211D1F"/>
          <w:lang w:val="nl-NL"/>
        </w:rPr>
      </w:pPr>
      <w:r w:rsidRPr="00041838">
        <w:rPr>
          <w:color w:val="211D1F"/>
          <w:lang w:val="nl-NL"/>
        </w:rPr>
        <w:t>De Minister van Buitenlandse Zaken,</w:t>
      </w:r>
    </w:p>
    <w:p w:rsidR="00A05993" w:rsidP="00A944D6" w:rsidRDefault="00A05993" w14:paraId="2047D7B1" w14:textId="3226CC1C">
      <w:pPr>
        <w:rPr>
          <w:color w:val="211D1F"/>
          <w:szCs w:val="18"/>
          <w:lang w:val="nl-NL"/>
        </w:rPr>
      </w:pPr>
    </w:p>
    <w:p w:rsidR="008B1219" w:rsidP="00A944D6" w:rsidRDefault="008B1219" w14:paraId="379819F5" w14:textId="77777777">
      <w:pPr>
        <w:rPr>
          <w:color w:val="211D1F"/>
          <w:szCs w:val="18"/>
          <w:lang w:val="nl-NL"/>
        </w:rPr>
      </w:pPr>
    </w:p>
    <w:p w:rsidR="00842FEE" w:rsidRDefault="00842FEE" w14:paraId="19831F32" w14:textId="77777777">
      <w:pPr>
        <w:rPr>
          <w:color w:val="211D1F"/>
          <w:lang w:val="nl-NL"/>
        </w:rPr>
      </w:pPr>
    </w:p>
    <w:p w:rsidRPr="002751C2" w:rsidR="00A05993" w:rsidRDefault="00A05993" w14:paraId="15712325" w14:textId="2E01E38B">
      <w:pPr>
        <w:rPr>
          <w:color w:val="211D1F"/>
          <w:lang w:val="nl-NL"/>
        </w:rPr>
      </w:pPr>
      <w:r w:rsidRPr="00041838">
        <w:rPr>
          <w:color w:val="211D1F"/>
          <w:lang w:val="nl-NL"/>
        </w:rPr>
        <w:t xml:space="preserve">De Minister voor Buitenlandse Handel en Ontwikkelingssamenwerking, </w:t>
      </w:r>
    </w:p>
    <w:p w:rsidRPr="00A944D6" w:rsidR="00B06701" w:rsidP="00A944D6" w:rsidRDefault="00B06701" w14:paraId="0C89D17F" w14:textId="137BE064">
      <w:pPr>
        <w:rPr>
          <w:lang w:val="nl-NL"/>
        </w:rPr>
      </w:pPr>
    </w:p>
    <w:sectPr w:rsidRPr="00A944D6" w:rsidR="00B06701" w:rsidSect="00041838">
      <w:headerReference w:type="default" r:id="rId9"/>
      <w:footerReference w:type="default" r:id="rId10"/>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6EAA3" w14:textId="77777777" w:rsidR="00BF0C37" w:rsidRDefault="00BF0C37" w:rsidP="001E567E">
      <w:pPr>
        <w:spacing w:after="0" w:line="240" w:lineRule="auto"/>
      </w:pPr>
      <w:r>
        <w:separator/>
      </w:r>
    </w:p>
  </w:endnote>
  <w:endnote w:type="continuationSeparator" w:id="0">
    <w:p w14:paraId="5B0FE7FF" w14:textId="77777777" w:rsidR="00BF0C37" w:rsidRDefault="00BF0C37" w:rsidP="001E567E">
      <w:pPr>
        <w:spacing w:after="0" w:line="240" w:lineRule="auto"/>
      </w:pPr>
      <w:r>
        <w:continuationSeparator/>
      </w:r>
    </w:p>
  </w:endnote>
  <w:endnote w:type="continuationNotice" w:id="1">
    <w:p w14:paraId="2A3824C8" w14:textId="77777777" w:rsidR="00BF0C37" w:rsidRDefault="00BF0C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ENECM G+ Univers">
    <w:altName w:val="Univers"/>
    <w:panose1 w:val="00000000000000000000"/>
    <w:charset w:val="00"/>
    <w:family w:val="swiss"/>
    <w:notTrueType/>
    <w:pitch w:val="default"/>
    <w:sig w:usb0="00000003" w:usb1="00000000" w:usb2="00000000" w:usb3="00000000" w:csb0="00000001"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ENECM I+ Univers">
    <w:altName w:val="Univers"/>
    <w:panose1 w:val="00000000000000000000"/>
    <w:charset w:val="00"/>
    <w:family w:val="swiss"/>
    <w:notTrueType/>
    <w:pitch w:val="default"/>
    <w:sig w:usb0="00000003" w:usb1="00000000" w:usb2="00000000" w:usb3="00000000" w:csb0="00000001" w:csb1="00000000"/>
  </w:font>
  <w:font w:name="ENECN L+ Univers">
    <w:altName w:val="Univer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218856"/>
      <w:docPartObj>
        <w:docPartGallery w:val="Page Numbers (Bottom of Page)"/>
        <w:docPartUnique/>
      </w:docPartObj>
    </w:sdtPr>
    <w:sdtEndPr/>
    <w:sdtContent>
      <w:p w14:paraId="082B4108" w14:textId="6A574A9D" w:rsidR="008B1219" w:rsidRDefault="008B1219">
        <w:pPr>
          <w:pStyle w:val="Voettekst"/>
          <w:jc w:val="right"/>
        </w:pPr>
        <w:r>
          <w:fldChar w:fldCharType="begin"/>
        </w:r>
        <w:r>
          <w:instrText>PAGE   \* MERGEFORMAT</w:instrText>
        </w:r>
        <w:r>
          <w:fldChar w:fldCharType="separate"/>
        </w:r>
        <w:r>
          <w:rPr>
            <w:lang w:val="nl-NL"/>
          </w:rPr>
          <w:t>2</w:t>
        </w:r>
        <w:r>
          <w:fldChar w:fldCharType="end"/>
        </w:r>
      </w:p>
    </w:sdtContent>
  </w:sdt>
  <w:p w14:paraId="249E2253" w14:textId="25B9E179" w:rsidR="0002CA39" w:rsidRDefault="0002CA39" w:rsidP="002751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645AB" w14:textId="77777777" w:rsidR="00BF0C37" w:rsidRDefault="00BF0C37" w:rsidP="001E567E">
      <w:pPr>
        <w:spacing w:after="0" w:line="240" w:lineRule="auto"/>
      </w:pPr>
      <w:r>
        <w:separator/>
      </w:r>
    </w:p>
  </w:footnote>
  <w:footnote w:type="continuationSeparator" w:id="0">
    <w:p w14:paraId="047E4E83" w14:textId="77777777" w:rsidR="00BF0C37" w:rsidRDefault="00BF0C37" w:rsidP="001E567E">
      <w:pPr>
        <w:spacing w:after="0" w:line="240" w:lineRule="auto"/>
      </w:pPr>
      <w:r>
        <w:continuationSeparator/>
      </w:r>
    </w:p>
  </w:footnote>
  <w:footnote w:type="continuationNotice" w:id="1">
    <w:p w14:paraId="3CF0C88B" w14:textId="77777777" w:rsidR="00BF0C37" w:rsidRDefault="00BF0C37">
      <w:pPr>
        <w:spacing w:after="0" w:line="240" w:lineRule="auto"/>
      </w:pPr>
    </w:p>
  </w:footnote>
  <w:footnote w:id="2">
    <w:p w14:paraId="5B15D2E9" w14:textId="2FD044DA" w:rsidR="005D631E" w:rsidRPr="005D631E" w:rsidRDefault="005D631E">
      <w:pPr>
        <w:pStyle w:val="Voetnoottekst"/>
        <w:rPr>
          <w:sz w:val="16"/>
          <w:szCs w:val="16"/>
          <w:lang w:val="nl-NL"/>
        </w:rPr>
      </w:pPr>
      <w:r>
        <w:rPr>
          <w:rStyle w:val="Voetnootmarkering"/>
        </w:rPr>
        <w:footnoteRef/>
      </w:r>
      <w:r w:rsidRPr="005D631E">
        <w:rPr>
          <w:lang w:val="nl-NL"/>
        </w:rPr>
        <w:t xml:space="preserve"> </w:t>
      </w:r>
      <w:r>
        <w:rPr>
          <w:sz w:val="16"/>
          <w:szCs w:val="16"/>
          <w:lang w:val="nl-NL"/>
        </w:rPr>
        <w:t>Kamerstukken II, 2023-224, 36 410 IX nr. 36</w:t>
      </w:r>
    </w:p>
  </w:footnote>
  <w:footnote w:id="3">
    <w:p w14:paraId="7F56D45E" w14:textId="45A38B3F" w:rsidR="001E567E" w:rsidRPr="001E567E" w:rsidRDefault="001E567E">
      <w:pPr>
        <w:pStyle w:val="Voetnoottekst"/>
        <w:rPr>
          <w:lang w:val="nl-NL"/>
        </w:rPr>
      </w:pPr>
      <w:r>
        <w:rPr>
          <w:rStyle w:val="Voetnootmarkering"/>
        </w:rPr>
        <w:footnoteRef/>
      </w:r>
      <w:r w:rsidRPr="001E567E">
        <w:rPr>
          <w:lang w:val="nl-NL"/>
        </w:rPr>
        <w:t xml:space="preserve"> </w:t>
      </w:r>
      <w:hyperlink r:id="rId1" w:history="1">
        <w:r w:rsidRPr="001E567E">
          <w:rPr>
            <w:rStyle w:val="Hyperlink"/>
            <w:sz w:val="16"/>
            <w:szCs w:val="16"/>
            <w:lang w:val="nl-NL"/>
          </w:rPr>
          <w:t>Verslag jaarvergadering Europese Bank voor Wederopbouw en Ontwikkeling 2023 (1).pdf</w:t>
        </w:r>
      </w:hyperlink>
    </w:p>
  </w:footnote>
  <w:footnote w:id="4">
    <w:p w14:paraId="55027E05" w14:textId="4A0D16C2" w:rsidR="00C77696" w:rsidRDefault="00C77696">
      <w:pPr>
        <w:pStyle w:val="Voetnoottekst"/>
      </w:pPr>
      <w:r>
        <w:rPr>
          <w:rStyle w:val="Voetnootmarkering"/>
        </w:rPr>
        <w:footnoteRef/>
      </w:r>
      <w:r>
        <w:t xml:space="preserve"> </w:t>
      </w:r>
      <w:hyperlink r:id="rId2" w:history="1">
        <w:r w:rsidRPr="00BF74C7">
          <w:rPr>
            <w:rStyle w:val="Hyperlink"/>
            <w:sz w:val="16"/>
            <w:szCs w:val="16"/>
          </w:rPr>
          <w:t>caf-review-report.pdf (gihub.org)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0002CA39" w14:paraId="7B376D9B" w14:textId="77777777" w:rsidTr="532A065F">
      <w:tc>
        <w:tcPr>
          <w:tcW w:w="3009" w:type="dxa"/>
        </w:tcPr>
        <w:p w14:paraId="799FA162" w14:textId="1379E524" w:rsidR="0002CA39" w:rsidRDefault="0002CA39" w:rsidP="00DA3B5D">
          <w:pPr>
            <w:pStyle w:val="Koptekst"/>
            <w:ind w:left="-115"/>
          </w:pPr>
        </w:p>
      </w:tc>
      <w:tc>
        <w:tcPr>
          <w:tcW w:w="3009" w:type="dxa"/>
        </w:tcPr>
        <w:p w14:paraId="71C30A54" w14:textId="3AFCF307" w:rsidR="0002CA39" w:rsidRDefault="0002CA39" w:rsidP="00DA3B5D">
          <w:pPr>
            <w:pStyle w:val="Koptekst"/>
            <w:jc w:val="center"/>
          </w:pPr>
        </w:p>
      </w:tc>
      <w:tc>
        <w:tcPr>
          <w:tcW w:w="3009" w:type="dxa"/>
        </w:tcPr>
        <w:p w14:paraId="5B3DCA16" w14:textId="7F9BBC9C" w:rsidR="0002CA39" w:rsidRDefault="0002CA39" w:rsidP="00DA3B5D">
          <w:pPr>
            <w:pStyle w:val="Koptekst"/>
            <w:ind w:right="-115"/>
            <w:jc w:val="right"/>
          </w:pPr>
        </w:p>
      </w:tc>
    </w:tr>
  </w:tbl>
  <w:p w14:paraId="0F38E50D" w14:textId="33171B95" w:rsidR="0002CA39" w:rsidRDefault="0002CA39" w:rsidP="00DA3B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C1644"/>
    <w:multiLevelType w:val="hybridMultilevel"/>
    <w:tmpl w:val="8342DC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DB2540C"/>
    <w:multiLevelType w:val="hybridMultilevel"/>
    <w:tmpl w:val="46582E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6F174DE"/>
    <w:multiLevelType w:val="hybridMultilevel"/>
    <w:tmpl w:val="0D9C96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C6E7534"/>
    <w:multiLevelType w:val="hybridMultilevel"/>
    <w:tmpl w:val="19764C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A41FB5"/>
    <w:multiLevelType w:val="hybridMultilevel"/>
    <w:tmpl w:val="9A7E57F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45C30069"/>
    <w:multiLevelType w:val="hybridMultilevel"/>
    <w:tmpl w:val="8D28AC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80E67F6"/>
    <w:multiLevelType w:val="hybridMultilevel"/>
    <w:tmpl w:val="5AFC058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93563939">
    <w:abstractNumId w:val="3"/>
  </w:num>
  <w:num w:numId="2" w16cid:durableId="85686808">
    <w:abstractNumId w:val="1"/>
  </w:num>
  <w:num w:numId="3" w16cid:durableId="1423988328">
    <w:abstractNumId w:val="0"/>
  </w:num>
  <w:num w:numId="4" w16cid:durableId="905603463">
    <w:abstractNumId w:val="6"/>
  </w:num>
  <w:num w:numId="5" w16cid:durableId="713847416">
    <w:abstractNumId w:val="5"/>
  </w:num>
  <w:num w:numId="6" w16cid:durableId="1530871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1285628">
    <w:abstractNumId w:val="2"/>
  </w:num>
  <w:num w:numId="8" w16cid:durableId="1713504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D6"/>
    <w:rsid w:val="0002CA39"/>
    <w:rsid w:val="00041838"/>
    <w:rsid w:val="0004310F"/>
    <w:rsid w:val="00070109"/>
    <w:rsid w:val="00075597"/>
    <w:rsid w:val="000834E1"/>
    <w:rsid w:val="00087206"/>
    <w:rsid w:val="000A4199"/>
    <w:rsid w:val="000A58C1"/>
    <w:rsid w:val="000B004A"/>
    <w:rsid w:val="000B18A7"/>
    <w:rsid w:val="000B3091"/>
    <w:rsid w:val="000B75F1"/>
    <w:rsid w:val="00140850"/>
    <w:rsid w:val="001468FB"/>
    <w:rsid w:val="0016504B"/>
    <w:rsid w:val="00166BB3"/>
    <w:rsid w:val="001765CE"/>
    <w:rsid w:val="00180760"/>
    <w:rsid w:val="001848B1"/>
    <w:rsid w:val="00193A87"/>
    <w:rsid w:val="001A1CC6"/>
    <w:rsid w:val="001A41DF"/>
    <w:rsid w:val="001A54CF"/>
    <w:rsid w:val="001A754A"/>
    <w:rsid w:val="001C25F4"/>
    <w:rsid w:val="001D1605"/>
    <w:rsid w:val="001E5068"/>
    <w:rsid w:val="001E567E"/>
    <w:rsid w:val="001E6A24"/>
    <w:rsid w:val="001F10F5"/>
    <w:rsid w:val="001F4E1E"/>
    <w:rsid w:val="00234B9B"/>
    <w:rsid w:val="002435BF"/>
    <w:rsid w:val="00243C8A"/>
    <w:rsid w:val="002751C2"/>
    <w:rsid w:val="00292B3C"/>
    <w:rsid w:val="00295129"/>
    <w:rsid w:val="002977F6"/>
    <w:rsid w:val="002979A7"/>
    <w:rsid w:val="0031527F"/>
    <w:rsid w:val="0036122D"/>
    <w:rsid w:val="00382B2B"/>
    <w:rsid w:val="00411872"/>
    <w:rsid w:val="00423331"/>
    <w:rsid w:val="0045067E"/>
    <w:rsid w:val="00451D5E"/>
    <w:rsid w:val="004527A0"/>
    <w:rsid w:val="00470D58"/>
    <w:rsid w:val="00474B56"/>
    <w:rsid w:val="004B19C3"/>
    <w:rsid w:val="004B2CCD"/>
    <w:rsid w:val="004C5713"/>
    <w:rsid w:val="004D159C"/>
    <w:rsid w:val="004E587E"/>
    <w:rsid w:val="004F3CED"/>
    <w:rsid w:val="004F423E"/>
    <w:rsid w:val="00515695"/>
    <w:rsid w:val="005424AB"/>
    <w:rsid w:val="005549E0"/>
    <w:rsid w:val="00571BB5"/>
    <w:rsid w:val="00595D79"/>
    <w:rsid w:val="005A2350"/>
    <w:rsid w:val="005D0D01"/>
    <w:rsid w:val="005D631E"/>
    <w:rsid w:val="005F365A"/>
    <w:rsid w:val="005F5139"/>
    <w:rsid w:val="00615959"/>
    <w:rsid w:val="00644396"/>
    <w:rsid w:val="0065129E"/>
    <w:rsid w:val="0065248D"/>
    <w:rsid w:val="00654552"/>
    <w:rsid w:val="00664407"/>
    <w:rsid w:val="0067293F"/>
    <w:rsid w:val="006746FC"/>
    <w:rsid w:val="00680898"/>
    <w:rsid w:val="00690A6C"/>
    <w:rsid w:val="006A5589"/>
    <w:rsid w:val="006E00C3"/>
    <w:rsid w:val="006E4603"/>
    <w:rsid w:val="006E7EDA"/>
    <w:rsid w:val="00715A28"/>
    <w:rsid w:val="00725B5E"/>
    <w:rsid w:val="00730AB1"/>
    <w:rsid w:val="00765B7C"/>
    <w:rsid w:val="00772B9A"/>
    <w:rsid w:val="00786393"/>
    <w:rsid w:val="007B53C3"/>
    <w:rsid w:val="00834B09"/>
    <w:rsid w:val="00842781"/>
    <w:rsid w:val="00842FEE"/>
    <w:rsid w:val="0085797F"/>
    <w:rsid w:val="008626E4"/>
    <w:rsid w:val="008668A7"/>
    <w:rsid w:val="00880870"/>
    <w:rsid w:val="0089228B"/>
    <w:rsid w:val="0089307B"/>
    <w:rsid w:val="00897E65"/>
    <w:rsid w:val="008A1A96"/>
    <w:rsid w:val="008B1219"/>
    <w:rsid w:val="008B5493"/>
    <w:rsid w:val="008F179E"/>
    <w:rsid w:val="0090764A"/>
    <w:rsid w:val="00910EDE"/>
    <w:rsid w:val="009173A9"/>
    <w:rsid w:val="00917409"/>
    <w:rsid w:val="00942418"/>
    <w:rsid w:val="00961904"/>
    <w:rsid w:val="00970B3A"/>
    <w:rsid w:val="009725FB"/>
    <w:rsid w:val="00981050"/>
    <w:rsid w:val="00983918"/>
    <w:rsid w:val="009B17A3"/>
    <w:rsid w:val="009D3C3F"/>
    <w:rsid w:val="009F2628"/>
    <w:rsid w:val="009F5F57"/>
    <w:rsid w:val="00A022B7"/>
    <w:rsid w:val="00A02916"/>
    <w:rsid w:val="00A05993"/>
    <w:rsid w:val="00A12BB6"/>
    <w:rsid w:val="00A12FB7"/>
    <w:rsid w:val="00A47E65"/>
    <w:rsid w:val="00A54ABE"/>
    <w:rsid w:val="00A75F43"/>
    <w:rsid w:val="00A91CF3"/>
    <w:rsid w:val="00A944D6"/>
    <w:rsid w:val="00AB1103"/>
    <w:rsid w:val="00AB6B90"/>
    <w:rsid w:val="00AC480A"/>
    <w:rsid w:val="00B06701"/>
    <w:rsid w:val="00B15EE0"/>
    <w:rsid w:val="00B33D4F"/>
    <w:rsid w:val="00B45B2D"/>
    <w:rsid w:val="00B54BC0"/>
    <w:rsid w:val="00B70795"/>
    <w:rsid w:val="00B75EE4"/>
    <w:rsid w:val="00B80BDB"/>
    <w:rsid w:val="00BA3CD3"/>
    <w:rsid w:val="00BE78D8"/>
    <w:rsid w:val="00BF0C37"/>
    <w:rsid w:val="00BF74C7"/>
    <w:rsid w:val="00C07841"/>
    <w:rsid w:val="00C15AEB"/>
    <w:rsid w:val="00C16433"/>
    <w:rsid w:val="00C217CD"/>
    <w:rsid w:val="00C321CC"/>
    <w:rsid w:val="00C46145"/>
    <w:rsid w:val="00C47E53"/>
    <w:rsid w:val="00C62298"/>
    <w:rsid w:val="00C77696"/>
    <w:rsid w:val="00C85A0C"/>
    <w:rsid w:val="00CA6D2E"/>
    <w:rsid w:val="00CB1596"/>
    <w:rsid w:val="00CB496D"/>
    <w:rsid w:val="00CC31EE"/>
    <w:rsid w:val="00CD66E7"/>
    <w:rsid w:val="00CD6EA8"/>
    <w:rsid w:val="00CE3FFD"/>
    <w:rsid w:val="00CE4BDB"/>
    <w:rsid w:val="00CF13E3"/>
    <w:rsid w:val="00CF36C0"/>
    <w:rsid w:val="00D21680"/>
    <w:rsid w:val="00D24B86"/>
    <w:rsid w:val="00D345E0"/>
    <w:rsid w:val="00D5103B"/>
    <w:rsid w:val="00D53F88"/>
    <w:rsid w:val="00D94DE2"/>
    <w:rsid w:val="00DA3B5D"/>
    <w:rsid w:val="00DA55C0"/>
    <w:rsid w:val="00DC3BA8"/>
    <w:rsid w:val="00DC4F8C"/>
    <w:rsid w:val="00E11FCE"/>
    <w:rsid w:val="00E202B7"/>
    <w:rsid w:val="00E238FF"/>
    <w:rsid w:val="00E331BB"/>
    <w:rsid w:val="00E630FB"/>
    <w:rsid w:val="00E8329E"/>
    <w:rsid w:val="00E9009B"/>
    <w:rsid w:val="00EA19B7"/>
    <w:rsid w:val="00EB7B1A"/>
    <w:rsid w:val="00EC5F23"/>
    <w:rsid w:val="00EF1A4D"/>
    <w:rsid w:val="00F10ADC"/>
    <w:rsid w:val="00F14985"/>
    <w:rsid w:val="00F41799"/>
    <w:rsid w:val="00F52FD7"/>
    <w:rsid w:val="00F6246F"/>
    <w:rsid w:val="00F64445"/>
    <w:rsid w:val="00F712A1"/>
    <w:rsid w:val="00F91757"/>
    <w:rsid w:val="00FB47E4"/>
    <w:rsid w:val="00FC1C82"/>
    <w:rsid w:val="00FD03CB"/>
    <w:rsid w:val="00FD6256"/>
    <w:rsid w:val="00FE0392"/>
    <w:rsid w:val="00FE1BDC"/>
    <w:rsid w:val="00FE4006"/>
    <w:rsid w:val="00FF5C6F"/>
    <w:rsid w:val="532A065F"/>
    <w:rsid w:val="73E5D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453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A944D6"/>
    <w:pPr>
      <w:autoSpaceDE w:val="0"/>
      <w:autoSpaceDN w:val="0"/>
      <w:adjustRightInd w:val="0"/>
      <w:spacing w:after="0" w:line="240" w:lineRule="auto"/>
    </w:pPr>
    <w:rPr>
      <w:rFonts w:ascii="ENECM G+ Univers" w:hAnsi="ENECM G+ Univers" w:cs="ENECM G+ Univers"/>
      <w:color w:val="000000"/>
      <w:sz w:val="24"/>
      <w:szCs w:val="24"/>
      <w:lang w:val="nl-NL"/>
    </w:rPr>
  </w:style>
  <w:style w:type="paragraph" w:styleId="Lijstalinea">
    <w:name w:val="List Paragraph"/>
    <w:aliases w:val="Bullets,List Paragraph1,Akapit z listą BS,List Paragraph (numbered (a)),List_Paragraph,Multilevel para_II,MC Paragraphe Liste,Colorful List - Accent 11,List Bullet-OpsManual,References,Title Style 1,Normal 2,Main numbered paragraph,Body"/>
    <w:basedOn w:val="Standaard"/>
    <w:link w:val="LijstalineaChar"/>
    <w:uiPriority w:val="34"/>
    <w:qFormat/>
    <w:rsid w:val="00A944D6"/>
    <w:pPr>
      <w:autoSpaceDN w:val="0"/>
      <w:spacing w:after="0" w:line="240" w:lineRule="exact"/>
      <w:ind w:left="720"/>
      <w:contextualSpacing/>
      <w:textAlignment w:val="baseline"/>
    </w:pPr>
    <w:rPr>
      <w:rFonts w:eastAsia="DejaVu Sans" w:cs="Lohit Hindi"/>
      <w:color w:val="000000"/>
      <w:szCs w:val="18"/>
      <w:lang w:val="nl-NL" w:eastAsia="nl-NL"/>
    </w:rPr>
  </w:style>
  <w:style w:type="character" w:customStyle="1" w:styleId="LijstalineaChar">
    <w:name w:val="Lijstalinea Char"/>
    <w:aliases w:val="Bullets Char,List Paragraph1 Char,Akapit z listą BS Char,List Paragraph (numbered (a)) Char,List_Paragraph Char,Multilevel para_II Char,MC Paragraphe Liste Char,Colorful List - Accent 11 Char,List Bullet-OpsManual Char,References Char"/>
    <w:basedOn w:val="Standaardalinea-lettertype"/>
    <w:link w:val="Lijstalinea"/>
    <w:uiPriority w:val="34"/>
    <w:qFormat/>
    <w:locked/>
    <w:rsid w:val="00A944D6"/>
    <w:rPr>
      <w:rFonts w:eastAsia="DejaVu Sans" w:cs="Lohit Hindi"/>
      <w:color w:val="000000"/>
      <w:szCs w:val="18"/>
      <w:lang w:val="nl-NL" w:eastAsia="nl-NL"/>
    </w:rPr>
  </w:style>
  <w:style w:type="paragraph" w:styleId="Tekstopmerking">
    <w:name w:val="annotation text"/>
    <w:basedOn w:val="Standaard"/>
    <w:link w:val="TekstopmerkingChar"/>
    <w:uiPriority w:val="99"/>
    <w:unhideWhenUsed/>
    <w:rsid w:val="00A944D6"/>
    <w:pPr>
      <w:autoSpaceDN w:val="0"/>
      <w:spacing w:after="0" w:line="240" w:lineRule="auto"/>
    </w:pPr>
    <w:rPr>
      <w:rFonts w:eastAsia="DejaVu Sans" w:cs="Lohit Hindi"/>
      <w:color w:val="000000"/>
      <w:sz w:val="20"/>
      <w:szCs w:val="20"/>
      <w:lang w:val="nl-NL" w:eastAsia="nl-NL"/>
    </w:rPr>
  </w:style>
  <w:style w:type="character" w:customStyle="1" w:styleId="TekstopmerkingChar">
    <w:name w:val="Tekst opmerking Char"/>
    <w:basedOn w:val="Standaardalinea-lettertype"/>
    <w:link w:val="Tekstopmerking"/>
    <w:uiPriority w:val="99"/>
    <w:rsid w:val="00A944D6"/>
    <w:rPr>
      <w:rFonts w:eastAsia="DejaVu Sans" w:cs="Lohit Hindi"/>
      <w:color w:val="000000"/>
      <w:sz w:val="20"/>
      <w:szCs w:val="20"/>
      <w:lang w:val="nl-NL" w:eastAsia="nl-NL"/>
    </w:rPr>
  </w:style>
  <w:style w:type="character" w:styleId="Verwijzingopmerking">
    <w:name w:val="annotation reference"/>
    <w:basedOn w:val="Standaardalinea-lettertype"/>
    <w:uiPriority w:val="99"/>
    <w:semiHidden/>
    <w:unhideWhenUsed/>
    <w:rsid w:val="00A944D6"/>
    <w:rPr>
      <w:sz w:val="16"/>
      <w:szCs w:val="16"/>
    </w:rPr>
  </w:style>
  <w:style w:type="paragraph" w:styleId="Normaalweb">
    <w:name w:val="Normal (Web)"/>
    <w:basedOn w:val="Standaard"/>
    <w:uiPriority w:val="99"/>
    <w:semiHidden/>
    <w:unhideWhenUsed/>
    <w:rsid w:val="00A944D6"/>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Voetnoottekst">
    <w:name w:val="footnote text"/>
    <w:basedOn w:val="Standaard"/>
    <w:link w:val="VoetnoottekstChar"/>
    <w:uiPriority w:val="99"/>
    <w:semiHidden/>
    <w:unhideWhenUsed/>
    <w:rsid w:val="001E567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E567E"/>
    <w:rPr>
      <w:sz w:val="20"/>
      <w:szCs w:val="20"/>
    </w:rPr>
  </w:style>
  <w:style w:type="character" w:styleId="Voetnootmarkering">
    <w:name w:val="footnote reference"/>
    <w:basedOn w:val="Standaardalinea-lettertype"/>
    <w:uiPriority w:val="99"/>
    <w:semiHidden/>
    <w:unhideWhenUsed/>
    <w:rsid w:val="001E567E"/>
    <w:rPr>
      <w:vertAlign w:val="superscript"/>
    </w:rPr>
  </w:style>
  <w:style w:type="character" w:styleId="Hyperlink">
    <w:name w:val="Hyperlink"/>
    <w:basedOn w:val="Standaardalinea-lettertype"/>
    <w:uiPriority w:val="99"/>
    <w:semiHidden/>
    <w:unhideWhenUsed/>
    <w:rsid w:val="001E567E"/>
    <w:rPr>
      <w:color w:val="0000FF"/>
      <w:u w:val="single"/>
    </w:rPr>
  </w:style>
  <w:style w:type="paragraph" w:styleId="Geenafstand">
    <w:name w:val="No Spacing"/>
    <w:uiPriority w:val="1"/>
    <w:qFormat/>
    <w:rsid w:val="00842781"/>
    <w:pPr>
      <w:spacing w:after="0" w:line="240" w:lineRule="auto"/>
    </w:pPr>
    <w:rPr>
      <w:lang w:val="nl-NL"/>
    </w:rPr>
  </w:style>
  <w:style w:type="paragraph" w:styleId="Revisie">
    <w:name w:val="Revision"/>
    <w:hidden/>
    <w:uiPriority w:val="99"/>
    <w:semiHidden/>
    <w:rsid w:val="000B75F1"/>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9F5F57"/>
    <w:pPr>
      <w:autoSpaceDN/>
      <w:spacing w:after="160"/>
    </w:pPr>
    <w:rPr>
      <w:rFonts w:eastAsiaTheme="minorHAnsi" w:cstheme="minorBidi"/>
      <w:b/>
      <w:bCs/>
      <w:color w:val="auto"/>
      <w:lang w:val="en-US" w:eastAsia="en-US"/>
    </w:rPr>
  </w:style>
  <w:style w:type="character" w:customStyle="1" w:styleId="OnderwerpvanopmerkingChar">
    <w:name w:val="Onderwerp van opmerking Char"/>
    <w:basedOn w:val="TekstopmerkingChar"/>
    <w:link w:val="Onderwerpvanopmerking"/>
    <w:uiPriority w:val="99"/>
    <w:semiHidden/>
    <w:rsid w:val="009F5F57"/>
    <w:rPr>
      <w:rFonts w:eastAsia="DejaVu Sans" w:cs="Lohit Hindi"/>
      <w:b/>
      <w:bCs/>
      <w:color w:val="000000"/>
      <w:sz w:val="20"/>
      <w:szCs w:val="20"/>
      <w:lang w:val="nl-NL" w:eastAsia="nl-NL"/>
    </w:rPr>
  </w:style>
  <w:style w:type="paragraph" w:styleId="Koptekst">
    <w:name w:val="header"/>
    <w:basedOn w:val="Standaard"/>
    <w:link w:val="KoptekstChar"/>
    <w:uiPriority w:val="99"/>
    <w:unhideWhenUsed/>
    <w:rsid w:val="00CB159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CB1596"/>
  </w:style>
  <w:style w:type="paragraph" w:styleId="Voettekst">
    <w:name w:val="footer"/>
    <w:basedOn w:val="Standaard"/>
    <w:link w:val="VoettekstChar"/>
    <w:uiPriority w:val="99"/>
    <w:unhideWhenUsed/>
    <w:rsid w:val="00CB159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B1596"/>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597868">
      <w:bodyDiv w:val="1"/>
      <w:marLeft w:val="0"/>
      <w:marRight w:val="0"/>
      <w:marTop w:val="0"/>
      <w:marBottom w:val="0"/>
      <w:divBdr>
        <w:top w:val="none" w:sz="0" w:space="0" w:color="auto"/>
        <w:left w:val="none" w:sz="0" w:space="0" w:color="auto"/>
        <w:bottom w:val="none" w:sz="0" w:space="0" w:color="auto"/>
        <w:right w:val="none" w:sz="0" w:space="0" w:color="auto"/>
      </w:divBdr>
    </w:div>
    <w:div w:id="444425327">
      <w:bodyDiv w:val="1"/>
      <w:marLeft w:val="0"/>
      <w:marRight w:val="0"/>
      <w:marTop w:val="0"/>
      <w:marBottom w:val="0"/>
      <w:divBdr>
        <w:top w:val="none" w:sz="0" w:space="0" w:color="auto"/>
        <w:left w:val="none" w:sz="0" w:space="0" w:color="auto"/>
        <w:bottom w:val="none" w:sz="0" w:space="0" w:color="auto"/>
        <w:right w:val="none" w:sz="0" w:space="0" w:color="auto"/>
      </w:divBdr>
    </w:div>
    <w:div w:id="510609802">
      <w:bodyDiv w:val="1"/>
      <w:marLeft w:val="0"/>
      <w:marRight w:val="0"/>
      <w:marTop w:val="0"/>
      <w:marBottom w:val="0"/>
      <w:divBdr>
        <w:top w:val="none" w:sz="0" w:space="0" w:color="auto"/>
        <w:left w:val="none" w:sz="0" w:space="0" w:color="auto"/>
        <w:bottom w:val="none" w:sz="0" w:space="0" w:color="auto"/>
        <w:right w:val="none" w:sz="0" w:space="0" w:color="auto"/>
      </w:divBdr>
    </w:div>
    <w:div w:id="656542939">
      <w:bodyDiv w:val="1"/>
      <w:marLeft w:val="0"/>
      <w:marRight w:val="0"/>
      <w:marTop w:val="0"/>
      <w:marBottom w:val="0"/>
      <w:divBdr>
        <w:top w:val="none" w:sz="0" w:space="0" w:color="auto"/>
        <w:left w:val="none" w:sz="0" w:space="0" w:color="auto"/>
        <w:bottom w:val="none" w:sz="0" w:space="0" w:color="auto"/>
        <w:right w:val="none" w:sz="0" w:space="0" w:color="auto"/>
      </w:divBdr>
    </w:div>
    <w:div w:id="852651044">
      <w:bodyDiv w:val="1"/>
      <w:marLeft w:val="0"/>
      <w:marRight w:val="0"/>
      <w:marTop w:val="0"/>
      <w:marBottom w:val="0"/>
      <w:divBdr>
        <w:top w:val="none" w:sz="0" w:space="0" w:color="auto"/>
        <w:left w:val="none" w:sz="0" w:space="0" w:color="auto"/>
        <w:bottom w:val="none" w:sz="0" w:space="0" w:color="auto"/>
        <w:right w:val="none" w:sz="0" w:space="0" w:color="auto"/>
      </w:divBdr>
    </w:div>
    <w:div w:id="883441754">
      <w:bodyDiv w:val="1"/>
      <w:marLeft w:val="0"/>
      <w:marRight w:val="0"/>
      <w:marTop w:val="0"/>
      <w:marBottom w:val="0"/>
      <w:divBdr>
        <w:top w:val="none" w:sz="0" w:space="0" w:color="auto"/>
        <w:left w:val="none" w:sz="0" w:space="0" w:color="auto"/>
        <w:bottom w:val="none" w:sz="0" w:space="0" w:color="auto"/>
        <w:right w:val="none" w:sz="0" w:space="0" w:color="auto"/>
      </w:divBdr>
    </w:div>
    <w:div w:id="1658455733">
      <w:bodyDiv w:val="1"/>
      <w:marLeft w:val="0"/>
      <w:marRight w:val="0"/>
      <w:marTop w:val="0"/>
      <w:marBottom w:val="0"/>
      <w:divBdr>
        <w:top w:val="none" w:sz="0" w:space="0" w:color="auto"/>
        <w:left w:val="none" w:sz="0" w:space="0" w:color="auto"/>
        <w:bottom w:val="none" w:sz="0" w:space="0" w:color="auto"/>
        <w:right w:val="none" w:sz="0" w:space="0" w:color="auto"/>
      </w:divBdr>
    </w:div>
    <w:div w:id="1954559368">
      <w:bodyDiv w:val="1"/>
      <w:marLeft w:val="0"/>
      <w:marRight w:val="0"/>
      <w:marTop w:val="0"/>
      <w:marBottom w:val="0"/>
      <w:divBdr>
        <w:top w:val="none" w:sz="0" w:space="0" w:color="auto"/>
        <w:left w:val="none" w:sz="0" w:space="0" w:color="auto"/>
        <w:bottom w:val="none" w:sz="0" w:space="0" w:color="auto"/>
        <w:right w:val="none" w:sz="0" w:space="0" w:color="auto"/>
      </w:divBdr>
    </w:div>
    <w:div w:id="208217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cdn.gihub.org/umbraco/media/5094/caf-review-report.pdf" TargetMode="External"/><Relationship Id="rId1" Type="http://schemas.openxmlformats.org/officeDocument/2006/relationships/hyperlink" Target="file:///H:\Downloads\Verslag%20jaarvergadering%20Europese%20Bank%20voor%20Wederopbouw%20en%20Ontwikkeling%202023%20(1).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72f4752-6874-4876-bad5-e6d61f991171}" enabled="0" method="" siteId="{172f4752-6874-4876-bad5-e6d61f991171}" removed="1"/>
</clbl:labelList>
</file>

<file path=docProps/app.xml><?xml version="1.0" encoding="utf-8"?>
<ap:Properties xmlns:vt="http://schemas.openxmlformats.org/officeDocument/2006/docPropsVTypes" xmlns:ap="http://schemas.openxmlformats.org/officeDocument/2006/extended-properties">
  <ap:Pages>4</ap:Pages>
  <ap:Words>2023</ap:Words>
  <ap:Characters>11127</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2024-04-07T17:03:00.0000000Z</dcterms:created>
  <dcterms:modified xsi:type="dcterms:W3CDTF">2024-04-07T17:03:00.0000000Z</dcterms:modified>
  <version/>
  <category/>
</coreProperties>
</file>