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70983" w:rsidTr="00735D67" w14:paraId="4C4331BE" w14:textId="77777777">
        <w:sdt>
          <w:sdtPr>
            <w:tag w:val="bmZaakNummerAdvies"/>
            <w:id w:val="2096665866"/>
            <w:lock w:val="sdtLocked"/>
            <w:placeholder>
              <w:docPart w:val="DefaultPlaceholder_-1854013440"/>
            </w:placeholder>
          </w:sdtPr>
          <w:sdtEndPr/>
          <w:sdtContent>
            <w:tc>
              <w:tcPr>
                <w:tcW w:w="4251" w:type="dxa"/>
              </w:tcPr>
              <w:p w:rsidR="00670983" w:rsidRDefault="0037227A" w14:paraId="387F4429" w14:textId="00E3EA8C">
                <w:r>
                  <w:t>No. W12.23.00340/III</w:t>
                </w:r>
              </w:p>
            </w:tc>
          </w:sdtContent>
        </w:sdt>
        <w:sdt>
          <w:sdtPr>
            <w:tag w:val="bmDatumAdvies"/>
            <w:id w:val="-2079593073"/>
            <w:lock w:val="sdtLocked"/>
            <w:placeholder>
              <w:docPart w:val="DefaultPlaceholder_-1854013440"/>
            </w:placeholder>
          </w:sdtPr>
          <w:sdtEndPr/>
          <w:sdtContent>
            <w:tc>
              <w:tcPr>
                <w:tcW w:w="4252" w:type="dxa"/>
              </w:tcPr>
              <w:p w:rsidR="00670983" w:rsidRDefault="0037227A" w14:paraId="05669A89" w14:textId="4A4C167D">
                <w:r>
                  <w:t>'s-Gravenhage, 14 december 2023</w:t>
                </w:r>
              </w:p>
            </w:tc>
          </w:sdtContent>
        </w:sdt>
      </w:tr>
    </w:tbl>
    <w:p w:rsidR="00A72F3E" w:rsidRDefault="00A72F3E" w14:paraId="2048E7EE" w14:textId="77777777"/>
    <w:p w:rsidR="003F4D3C" w:rsidRDefault="003F4D3C" w14:paraId="7DB9E9EB" w14:textId="77777777"/>
    <w:p w:rsidR="00AE25E4" w:rsidRDefault="00E07756" w14:paraId="388D6BA9" w14:textId="72ED6A64">
      <w:sdt>
        <w:sdtPr>
          <w:tag w:val="bmAanhef"/>
          <w:id w:val="-715349736"/>
          <w:lock w:val="sdtLocked"/>
          <w:placeholder>
            <w:docPart w:val="DefaultPlaceholder_-1854013440"/>
          </w:placeholder>
        </w:sdtPr>
        <w:sdtEndPr/>
        <w:sdtContent>
          <w:r w:rsidR="0037227A">
            <w:rPr>
              <w:color w:val="000000"/>
            </w:rPr>
            <w:t>Bij Kabinetsmissive van 22 november 2023, no.2023002727, heeft Uwe Majesteit, op voordracht van de Minister voor Armoedebeleid, Participatie en Pensioenen, mede namens de Staatssecretaris Fiscaliteit en Belastingdienst, bij de Afdeling advisering van de Raad van State ter overweging aanhangig gemaakt het voorstel van wet tot wijziging van de Pensioenwet, de Wet op de loonbelasting 1964 en enige andere wetten in verband met de verlenging van de transitieperiode naar het nieuwe pensioenstelsel (verlenging transitieperiode toekomst pensioenen), met memorie van toelichting.</w:t>
          </w:r>
        </w:sdtContent>
      </w:sdt>
    </w:p>
    <w:p w:rsidR="00AE25E4" w:rsidRDefault="00AE25E4" w14:paraId="388D6BAA" w14:textId="77777777"/>
    <w:sdt>
      <w:sdtPr>
        <w:tag w:val="bmVrijeTekst1"/>
        <w:id w:val="-986395052"/>
        <w:lock w:val="sdtLocked"/>
        <w:placeholder>
          <w:docPart w:val="DefaultPlaceholder_-1854013440"/>
        </w:placeholder>
      </w:sdtPr>
      <w:sdtEndPr/>
      <w:sdtContent>
        <w:p w:rsidRPr="00683706" w:rsidR="00683706" w:rsidP="00683706" w:rsidRDefault="00683706" w14:paraId="7F48FA3D" w14:textId="2083D091">
          <w:r w:rsidRPr="00683706">
            <w:t xml:space="preserve">Het wetsvoorstel regelt dat verschillende data in het kader van de pensioentransitie worden overgeheveld van de betreffende wetten naar een algemene maatregel van bestuur. Daarbij zal de einddatum van de pensioentransitie worden aangepast naar 1 januari 2028, waarmee de implementatiefase met één jaar wordt verlengd. </w:t>
          </w:r>
          <w:r w:rsidR="006C450B">
            <w:t>Het d</w:t>
          </w:r>
          <w:r w:rsidRPr="00683706">
            <w:t xml:space="preserve">oel </w:t>
          </w:r>
          <w:r w:rsidR="006C450B">
            <w:t xml:space="preserve">hiervan </w:t>
          </w:r>
          <w:r w:rsidRPr="00683706">
            <w:t>is om voor alle uitvoerende partijen een zorgvuldige en beheerste pensioentransitie beter mogelijk te maken.</w:t>
          </w:r>
        </w:p>
        <w:p w:rsidRPr="00683706" w:rsidR="00683706" w:rsidP="00683706" w:rsidRDefault="00683706" w14:paraId="2DB4F0D2" w14:textId="77777777"/>
        <w:p w:rsidRPr="00683706" w:rsidR="00683706" w:rsidP="00683706" w:rsidRDefault="00683706" w14:paraId="1187691B" w14:textId="7306BA8D">
          <w:r w:rsidRPr="00683706">
            <w:t xml:space="preserve">De Afdeling advisering van de Raad van State onderkent het belang van een zorgvuldige transitie naar het nieuwe pensioenstelsel. Tegelijk is het ook belangrijk dat de transitieperiode zo kort mogelijk duurt. De Afdeling begrijpt daarom de keuze om alleen de implementatiefase met één jaar te verlengen. Zij merkt echter op dat de toelichting niet ingaat op de gevolgen van een langere transitieperiode voor de evenwichtigheid van het </w:t>
          </w:r>
          <w:r w:rsidR="00AA0301">
            <w:t>financieel toetsingskader</w:t>
          </w:r>
          <w:r w:rsidR="005D52DF">
            <w:t xml:space="preserve"> voor de transitie (</w:t>
          </w:r>
          <w:r w:rsidRPr="00683706">
            <w:t>transitie-ftk</w:t>
          </w:r>
          <w:r w:rsidR="005D52DF">
            <w:t>)</w:t>
          </w:r>
          <w:r w:rsidRPr="00683706">
            <w:t xml:space="preserve">. Daarnaast merkt de Afdeling op dat in de wet vastgelegde deadlines een wezenlijke bijdrage leveren aan het realiseren van de pensioentransitie. </w:t>
          </w:r>
          <w:r w:rsidR="0021179F">
            <w:t>Zij adviseert daarom van de o</w:t>
          </w:r>
          <w:r w:rsidRPr="00683706">
            <w:t xml:space="preserve">verheveling van transitiedata naar lagere regelgeving </w:t>
          </w:r>
          <w:r w:rsidR="0021179F">
            <w:t>af te zien</w:t>
          </w:r>
          <w:r w:rsidR="006359B1">
            <w:t xml:space="preserve"> </w:t>
          </w:r>
          <w:r w:rsidR="009466BB">
            <w:t xml:space="preserve">en de nu beoogde verlenging </w:t>
          </w:r>
          <w:r w:rsidR="00BA69DC">
            <w:t xml:space="preserve">tot </w:t>
          </w:r>
          <w:r w:rsidR="009466BB">
            <w:t>1 januari 2028 in de wet zelf vast te leggen</w:t>
          </w:r>
          <w:r w:rsidRPr="00683706">
            <w:t>.</w:t>
          </w:r>
        </w:p>
        <w:p w:rsidRPr="00683706" w:rsidR="00683706" w:rsidP="00683706" w:rsidRDefault="00683706" w14:paraId="12D7E8DC" w14:textId="77777777"/>
        <w:p w:rsidRPr="00683706" w:rsidR="00683706" w:rsidP="00683706" w:rsidRDefault="00683706" w14:paraId="000CEE4F" w14:textId="620E57BA">
          <w:r w:rsidRPr="00683706">
            <w:t>In verband hiermee is aanpassing van het wetsvoorstel en de toelichting wenselijk.</w:t>
          </w:r>
        </w:p>
        <w:p w:rsidRPr="00683706" w:rsidR="00683706" w:rsidP="00683706" w:rsidRDefault="00683706" w14:paraId="0B1EEA86" w14:textId="77777777"/>
        <w:p w:rsidRPr="00683706" w:rsidR="00683706" w:rsidP="00683706" w:rsidRDefault="00683706" w14:paraId="3C17D566" w14:textId="77777777">
          <w:r w:rsidRPr="00683706">
            <w:t>1.</w:t>
          </w:r>
          <w:r w:rsidRPr="00683706">
            <w:tab/>
          </w:r>
          <w:r w:rsidRPr="00683706">
            <w:rPr>
              <w:u w:val="single"/>
            </w:rPr>
            <w:t>Achtergrond en inhoud wetsvoorstel</w:t>
          </w:r>
        </w:p>
        <w:p w:rsidRPr="00683706" w:rsidR="00683706" w:rsidP="00683706" w:rsidRDefault="00683706" w14:paraId="79626C75" w14:textId="77777777"/>
        <w:p w:rsidRPr="00683706" w:rsidR="00683706" w:rsidP="00683706" w:rsidRDefault="00683706" w14:paraId="4FE7BA4A" w14:textId="77777777">
          <w:r w:rsidRPr="00683706">
            <w:t>Op 1 juli 2023 is de Wet toekomst pensioenen (Wtp) in werking getreden.</w:t>
          </w:r>
          <w:r w:rsidRPr="00683706">
            <w:rPr>
              <w:vertAlign w:val="superscript"/>
            </w:rPr>
            <w:footnoteReference w:id="2"/>
          </w:r>
          <w:r w:rsidRPr="00683706">
            <w:t xml:space="preserve"> Deze wet beoogt een persoonlijker en transparanter pensioenstelsel te realiseren, dat beter aansluit bij maatschappelijke ontwikkelingen en de huidige arbeidsmarkt. De overgang naar dit nieuwe stelsel vereist een zorgvuldige transitie. In de Wtp is een transitieperiode van 3,5 jaar vastgelegd, waarbij op dit moment de volgende mijlpalen gelden.</w:t>
          </w:r>
          <w:r w:rsidRPr="00683706">
            <w:rPr>
              <w:vertAlign w:val="superscript"/>
            </w:rPr>
            <w:footnoteReference w:id="3"/>
          </w:r>
        </w:p>
        <w:p w:rsidRPr="00683706" w:rsidR="00683706" w:rsidP="00683706" w:rsidRDefault="00683706" w14:paraId="07E29768" w14:textId="77777777"/>
        <w:p w:rsidRPr="00683706" w:rsidR="00683706" w:rsidP="00683706" w:rsidRDefault="00683706" w14:paraId="1AD72130" w14:textId="77777777">
          <w:r w:rsidRPr="00683706">
            <w:lastRenderedPageBreak/>
            <w:t>Op 1 januari 2025 moeten sociale partners arbeidsvoorwaardelijke afspraken hebben gemaakt over de gewijzigde pensioenregeling en de transitie daarnaartoe en moeten zij dit hebben vastgelegd in het transitieplan. Op 1 juli 2025 moeten pensioenfondsen het proces van opdrachtaanvaarding hebben afgerond en het implementatie- en communicatieplan hebben ingediend bij de toezichthouders. Vervolgens hebben pensioenuitvoerders en pensioenuitvoeringsorganisaties tot 1 januari 2027 de tijd om de plannen te implementeren.</w:t>
          </w:r>
          <w:r w:rsidRPr="00683706">
            <w:rPr>
              <w:vertAlign w:val="superscript"/>
            </w:rPr>
            <w:footnoteReference w:id="4"/>
          </w:r>
        </w:p>
        <w:p w:rsidRPr="00683706" w:rsidR="00683706" w:rsidP="00683706" w:rsidRDefault="00683706" w14:paraId="4A20EEF3" w14:textId="77777777"/>
        <w:p w:rsidRPr="00683706" w:rsidR="00683706" w:rsidP="00683706" w:rsidRDefault="00683706" w14:paraId="6C7BC92D" w14:textId="77777777">
          <w:r w:rsidRPr="00683706">
            <w:t>Bij de behandeling van de Wtp in de Eerste Kamer heeft de Minister voor Armoedebeleid, Participatie en Pensioenen toegezegd in een separaat wetsvoorstel de transitiedata over te hevelen naar een algemene maatregel van bestuur (amvb) en daarbij de transitieperiode met één jaar te verlengen tot 1 januari 2028.</w:t>
          </w:r>
          <w:r w:rsidRPr="00683706">
            <w:rPr>
              <w:vertAlign w:val="superscript"/>
            </w:rPr>
            <w:footnoteReference w:id="5"/>
          </w:r>
          <w:r w:rsidRPr="00683706">
            <w:t xml:space="preserve"> Dit wetsvoorstel strekt tot uitvoering van deze toezegging. </w:t>
          </w:r>
        </w:p>
        <w:p w:rsidRPr="00683706" w:rsidR="00683706" w:rsidP="00683706" w:rsidRDefault="00683706" w14:paraId="63E1A893" w14:textId="77777777"/>
        <w:p w:rsidRPr="00683706" w:rsidR="00683706" w:rsidP="00683706" w:rsidRDefault="00683706" w14:paraId="630CF886" w14:textId="2C83A910">
          <w:r w:rsidRPr="00683706">
            <w:t>Het verlengen van de transitieperiode heeft alleen betrekking op de einddatum van de transitie.</w:t>
          </w:r>
          <w:r w:rsidRPr="00683706">
            <w:rPr>
              <w:vertAlign w:val="superscript"/>
            </w:rPr>
            <w:footnoteReference w:id="6"/>
          </w:r>
          <w:r w:rsidRPr="00683706">
            <w:t xml:space="preserve"> Het voorstel laat de tussentijdse mijlpalen ongewijzigd. Dit voorkomt dat meer tijd wordt gebruikt voor het arbeidsvoorwaardelijke proces of het proces van opdrachtaanvaarding. Dat is volgens de sector ook niet nodig.</w:t>
          </w:r>
          <w:r w:rsidRPr="00683706">
            <w:rPr>
              <w:vertAlign w:val="superscript"/>
            </w:rPr>
            <w:footnoteReference w:id="7"/>
          </w:r>
          <w:r w:rsidRPr="00683706">
            <w:t xml:space="preserve"> De verlenging met één jaar ziet dus alleen op de implementatiefase, wat de uitvoering meer tijd moet geven voor een zorgvuldige en beheerste transitie. Door </w:t>
          </w:r>
          <w:r w:rsidR="00EB78F1">
            <w:t xml:space="preserve">de </w:t>
          </w:r>
          <w:r w:rsidRPr="00683706">
            <w:t>overheveling van transitiedata naar een amvb zou daarnaast tijdig kunnen worden ingegrepen als verdere verlenging van de transitie onverhoopt noodzakelijk zou zijn.</w:t>
          </w:r>
          <w:r w:rsidRPr="00683706">
            <w:rPr>
              <w:vertAlign w:val="superscript"/>
            </w:rPr>
            <w:footnoteReference w:id="8"/>
          </w:r>
        </w:p>
        <w:p w:rsidRPr="00683706" w:rsidR="00683706" w:rsidP="00683706" w:rsidRDefault="00683706" w14:paraId="03A726D1" w14:textId="77777777"/>
        <w:p w:rsidRPr="00683706" w:rsidR="00683706" w:rsidP="00683706" w:rsidRDefault="00683706" w14:paraId="3E88D640" w14:textId="295BE6D2">
          <w:r w:rsidRPr="00683706">
            <w:t xml:space="preserve">2. </w:t>
          </w:r>
          <w:r w:rsidRPr="00683706">
            <w:tab/>
          </w:r>
          <w:r w:rsidRPr="00683706">
            <w:rPr>
              <w:u w:val="single"/>
            </w:rPr>
            <w:t xml:space="preserve">Gevolgen </w:t>
          </w:r>
          <w:r w:rsidR="002018E0">
            <w:rPr>
              <w:u w:val="single"/>
            </w:rPr>
            <w:t xml:space="preserve">van </w:t>
          </w:r>
          <w:r w:rsidRPr="00683706">
            <w:rPr>
              <w:u w:val="single"/>
            </w:rPr>
            <w:t>verlenging transitieperiode</w:t>
          </w:r>
        </w:p>
        <w:p w:rsidRPr="00683706" w:rsidR="00683706" w:rsidP="00683706" w:rsidRDefault="00683706" w14:paraId="2290232D" w14:textId="77777777"/>
        <w:p w:rsidRPr="00683706" w:rsidR="00683706" w:rsidP="00683706" w:rsidRDefault="00683706" w14:paraId="0EA24B98" w14:textId="7BE516E0">
          <w:r w:rsidRPr="00683706">
            <w:t>De Afdeling onderkent het belang van een zorgvuldige transitie naar het nieuwe stelsel. Zij heeft er begrip voor dat signalen dat de gestelde termijnen bij pensioenuitvoerders voor problemen kunnen zorgen, aanleiding geven tot verlenging van de transitieperiode. Tegelijk is het van belang dat de transitieperiode zo kort mogelijk duurt, zodat alle betrokkenen snel duidelijkheid hebben over wat zij kunnen verwachten. Gelet hierop begrijpt de Afdeling de keuze om alleen de einddatum aan te passen en niet ook de tussentijdse mijlpalen.</w:t>
          </w:r>
          <w:r w:rsidR="005E3D93">
            <w:t xml:space="preserve"> Zij </w:t>
          </w:r>
          <w:r w:rsidR="00E133A4">
            <w:t>merkt e</w:t>
          </w:r>
          <w:r w:rsidR="00535F0A">
            <w:t>chter</w:t>
          </w:r>
          <w:r w:rsidR="00E133A4">
            <w:t xml:space="preserve"> het volgende op.</w:t>
          </w:r>
          <w:r w:rsidR="00BC7DA6">
            <w:t xml:space="preserve"> </w:t>
          </w:r>
        </w:p>
        <w:p w:rsidRPr="00683706" w:rsidR="00683706" w:rsidP="00683706" w:rsidRDefault="00683706" w14:paraId="53773DCE" w14:textId="77777777"/>
        <w:p w:rsidRPr="00683706" w:rsidR="00683706" w:rsidP="00683706" w:rsidRDefault="00683706" w14:paraId="208AFA41" w14:textId="77777777">
          <w:r w:rsidRPr="00683706">
            <w:t xml:space="preserve">a. </w:t>
          </w:r>
          <w:r w:rsidRPr="00683706">
            <w:tab/>
          </w:r>
          <w:r w:rsidRPr="00683706">
            <w:rPr>
              <w:i/>
              <w:iCs/>
            </w:rPr>
            <w:t>Evenwichtigheid transitie-ftk</w:t>
          </w:r>
        </w:p>
        <w:p w:rsidRPr="00683706" w:rsidR="00683706" w:rsidP="00683706" w:rsidRDefault="00F86C71" w14:paraId="0EAF511B" w14:textId="59A83722">
          <w:r>
            <w:t xml:space="preserve">De toelichting </w:t>
          </w:r>
          <w:r w:rsidR="0015711E">
            <w:t xml:space="preserve">richt zich op de betekenis van de verlenging voor de verschillende fasen van de transitieperiode. </w:t>
          </w:r>
          <w:r w:rsidRPr="00683706" w:rsidR="00683706">
            <w:t xml:space="preserve">Verlenging van de transitieperiode betekent </w:t>
          </w:r>
          <w:r w:rsidR="00A87A4D">
            <w:t xml:space="preserve">echter </w:t>
          </w:r>
          <w:r w:rsidRPr="00683706" w:rsidR="00683706">
            <w:t xml:space="preserve">ook dat het aangepaste financiële toetsingskader (ftk) langer van kracht zal zijn. Dit zogenoemde transitie-ftk onderscheidt zich van het reguliere ftk door </w:t>
          </w:r>
          <w:r w:rsidRPr="00683706" w:rsidR="00683706">
            <w:lastRenderedPageBreak/>
            <w:t>soepelere voorwaarden. Zo geldt voor pensioenfondsen een lager minimaal vereist eigen vermogen en een lagere dekkingsgraad voor indexatie.</w:t>
          </w:r>
          <w:r w:rsidRPr="00683706" w:rsidR="00683706">
            <w:rPr>
              <w:vertAlign w:val="superscript"/>
            </w:rPr>
            <w:footnoteReference w:id="9"/>
          </w:r>
          <w:r w:rsidRPr="00683706" w:rsidR="00683706">
            <w:t xml:space="preserve"> </w:t>
          </w:r>
        </w:p>
        <w:p w:rsidRPr="00683706" w:rsidR="00683706" w:rsidP="00683706" w:rsidRDefault="00683706" w14:paraId="76C722D7" w14:textId="77777777"/>
        <w:p w:rsidRPr="00683706" w:rsidR="00683706" w:rsidP="00683706" w:rsidRDefault="00683706" w14:paraId="50908E7C" w14:textId="77777777">
          <w:r w:rsidRPr="00683706">
            <w:t>In het kader van de transitie moeten de aanspraken op het bestaande pensioenvermogen van een pensioenfonds worden verdeeld over de verschillende deelnemers. Zoals de Afdeling eerder heeft opgemerkt, hebben de soepelere voorwaarden van het transitie-ftk, dat vooruitlopend op het toekomstige stelsel is geïntroduceerd, gevolgen voor deze verdeling. Belangrijk is dat de transitie niet leidt tot een verdere herverdeling tussen leeftijdsgroepen dan noodzakelijk is voor de stelselwijziging als zodanig.</w:t>
          </w:r>
          <w:r w:rsidRPr="00683706">
            <w:rPr>
              <w:vertAlign w:val="superscript"/>
            </w:rPr>
            <w:footnoteReference w:id="10"/>
          </w:r>
        </w:p>
        <w:p w:rsidRPr="00683706" w:rsidR="00683706" w:rsidP="00683706" w:rsidRDefault="00683706" w14:paraId="54B718F7" w14:textId="77777777"/>
        <w:p w:rsidRPr="00683706" w:rsidR="00683706" w:rsidP="00683706" w:rsidRDefault="00683706" w14:paraId="0F45A77B" w14:textId="77777777">
          <w:r w:rsidRPr="00683706">
            <w:t>De Afdeling merkt op dat bij verlenging van de transitieperiode moet worden bekeken of het transitie-ftk ook voor een langere periode voldoende evenwichtig is. Het kan zijn dat aanpassing van het transitie-ftk nodig is om de belangen van de verschillende groepen deelnemers voldoende recht te blijven doen. De toelichting gaat echter niet in op de gevolgen van een verlenging van de transitieperiode voor de evenwichtigheid van het transitie-ftk. De Afdeling acht het wenselijk dat hierover duidelijkheid wordt verschaft.</w:t>
          </w:r>
        </w:p>
        <w:p w:rsidRPr="00683706" w:rsidR="00683706" w:rsidP="00683706" w:rsidRDefault="00683706" w14:paraId="7E36D4CC" w14:textId="77777777">
          <w:pPr>
            <w:rPr>
              <w:i/>
              <w:iCs/>
            </w:rPr>
          </w:pPr>
        </w:p>
        <w:p w:rsidRPr="00683706" w:rsidR="00683706" w:rsidP="00683706" w:rsidRDefault="00683706" w14:paraId="188EA261" w14:textId="77777777">
          <w:r w:rsidRPr="00683706">
            <w:t xml:space="preserve">b. </w:t>
          </w:r>
          <w:r w:rsidRPr="00683706">
            <w:tab/>
          </w:r>
          <w:r w:rsidRPr="00683706">
            <w:rPr>
              <w:i/>
              <w:iCs/>
            </w:rPr>
            <w:t>Overheveling naar avmb</w:t>
          </w:r>
        </w:p>
        <w:p w:rsidRPr="00683706" w:rsidR="00683706" w:rsidP="00683706" w:rsidRDefault="00683706" w14:paraId="32F817EA" w14:textId="0FD6F34C">
          <w:r w:rsidRPr="00683706">
            <w:t xml:space="preserve">Verlenging van de transitieperiode beïnvloedt ook de dynamiek van het transitieproces. Dit wordt versterkt door de voorgestelde overheveling van de </w:t>
          </w:r>
          <w:r w:rsidR="004C535E">
            <w:t xml:space="preserve">(nieuwe) </w:t>
          </w:r>
          <w:r w:rsidRPr="00683706">
            <w:t>transitiedata naar een amvb. Hierdoor zou beter ingespeeld kunnen worden op actuele ontwikkelingen.</w:t>
          </w:r>
          <w:r w:rsidRPr="00683706">
            <w:rPr>
              <w:vertAlign w:val="superscript"/>
            </w:rPr>
            <w:footnoteReference w:id="11"/>
          </w:r>
          <w:r w:rsidRPr="00683706">
            <w:t xml:space="preserve"> Eerder werd de </w:t>
          </w:r>
          <w:r w:rsidR="001D7105">
            <w:t>eind</w:t>
          </w:r>
          <w:r w:rsidRPr="00683706">
            <w:t xml:space="preserve">datum van 1 januari 2027, samen met de uiterlijke data van andere mijlpalen, </w:t>
          </w:r>
          <w:r w:rsidR="00FC19C1">
            <w:t xml:space="preserve">juist </w:t>
          </w:r>
          <w:r w:rsidRPr="00683706">
            <w:t>wettelijk vastgelegd om te waarborgen dat deze datum in alle gevallen zou worden gehaald.</w:t>
          </w:r>
          <w:r w:rsidRPr="00683706">
            <w:rPr>
              <w:vertAlign w:val="superscript"/>
            </w:rPr>
            <w:footnoteReference w:id="12"/>
          </w:r>
        </w:p>
        <w:p w:rsidRPr="00683706" w:rsidR="00683706" w:rsidP="00683706" w:rsidRDefault="00683706" w14:paraId="72BA3A15" w14:textId="77777777"/>
        <w:p w:rsidRPr="00683706" w:rsidR="00683706" w:rsidP="00683706" w:rsidRDefault="00683706" w14:paraId="6D531BCE" w14:textId="77777777">
          <w:r w:rsidRPr="00683706">
            <w:t xml:space="preserve">De Afdeling merkt op dat voor een geslaagde pensioentransitie belangrijk is dat aan de betrokken partijen duidelijke doelen worden gesteld. Dit geldt temeer nu bij de transitie ingewikkelde en soms pijnlijke keuzes moeten worden gemaakt. Een strakke implementatietermijn en duidelijke deadlines, die in de wet zijn vastgelegd, leveren dan ook een wezenlijke bijdrage aan het realiseren van de transitie. </w:t>
          </w:r>
        </w:p>
        <w:p w:rsidRPr="00683706" w:rsidR="00683706" w:rsidP="00683706" w:rsidRDefault="00683706" w14:paraId="285EA87F" w14:textId="77777777"/>
        <w:p w:rsidRPr="00683706" w:rsidR="00683706" w:rsidP="00683706" w:rsidRDefault="00683706" w14:paraId="5272D0F3" w14:textId="642A3AB4">
          <w:r w:rsidRPr="00683706">
            <w:t xml:space="preserve">Met de hier voorgestelde delegatiegrondslagen, waardoor </w:t>
          </w:r>
          <w:r w:rsidR="00E8325A">
            <w:t>verschillen</w:t>
          </w:r>
          <w:r w:rsidRPr="00683706">
            <w:t xml:space="preserve">de transitiedata verschuiven naar lagere regelgeving, </w:t>
          </w:r>
          <w:r w:rsidR="00905611">
            <w:t xml:space="preserve">vermindert de invloed van de </w:t>
          </w:r>
          <w:r w:rsidR="00905611">
            <w:lastRenderedPageBreak/>
            <w:t xml:space="preserve">formele wetgever op de </w:t>
          </w:r>
          <w:r w:rsidR="00354458">
            <w:t>einddatum van de transitieperiode</w:t>
          </w:r>
          <w:r w:rsidR="00905611">
            <w:t xml:space="preserve">. </w:t>
          </w:r>
          <w:r w:rsidR="00A50FE8">
            <w:t>Duidelijk</w:t>
          </w:r>
          <w:r w:rsidR="00A00B3D">
            <w:t xml:space="preserve">heid over en bestendigheid van de </w:t>
          </w:r>
          <w:r w:rsidR="00AB40FC">
            <w:t>overgang</w:t>
          </w:r>
          <w:r w:rsidR="00A50FE8">
            <w:t>s</w:t>
          </w:r>
          <w:r w:rsidR="00A00B3D">
            <w:t xml:space="preserve">termijn </w:t>
          </w:r>
          <w:r w:rsidR="00A50FE8">
            <w:t>is bovendien van belang voor de rechtszekerheid van alle betrokken partijen.</w:t>
          </w:r>
          <w:r w:rsidRPr="00683706">
            <w:rPr>
              <w:vertAlign w:val="superscript"/>
            </w:rPr>
            <w:footnoteReference w:id="13"/>
          </w:r>
          <w:r w:rsidRPr="00683706">
            <w:t xml:space="preserve"> Daarom a</w:t>
          </w:r>
          <w:r w:rsidR="00507FF3">
            <w:t xml:space="preserve">dviseert </w:t>
          </w:r>
          <w:r w:rsidRPr="00683706">
            <w:t xml:space="preserve">de Afdeling </w:t>
          </w:r>
          <w:r w:rsidR="00507FF3">
            <w:t xml:space="preserve">van </w:t>
          </w:r>
          <w:r w:rsidRPr="00683706">
            <w:t xml:space="preserve">de overheveling van transitiedata naar lagere regelgeving </w:t>
          </w:r>
          <w:r w:rsidR="00507FF3">
            <w:t>af te zien</w:t>
          </w:r>
          <w:r w:rsidR="0037127D">
            <w:t xml:space="preserve"> </w:t>
          </w:r>
          <w:r w:rsidR="009D09C6">
            <w:t xml:space="preserve">en de nu beoogde verlenging </w:t>
          </w:r>
          <w:r w:rsidR="00BA69DC">
            <w:t xml:space="preserve">tot </w:t>
          </w:r>
          <w:r w:rsidR="00C75064">
            <w:t>1 januari 2028 in de wet zelf vast te leggen</w:t>
          </w:r>
          <w:r w:rsidR="00507FF3">
            <w:t xml:space="preserve">. </w:t>
          </w:r>
        </w:p>
        <w:p w:rsidRPr="00683706" w:rsidR="00683706" w:rsidP="00683706" w:rsidRDefault="00683706" w14:paraId="19C6D8B1" w14:textId="77777777"/>
        <w:p w:rsidRPr="00683706" w:rsidR="00683706" w:rsidP="00683706" w:rsidRDefault="00683706" w14:paraId="7C73ACAE" w14:textId="77777777">
          <w:r w:rsidRPr="00683706">
            <w:t xml:space="preserve">c. </w:t>
          </w:r>
          <w:r w:rsidRPr="00683706">
            <w:tab/>
          </w:r>
          <w:r w:rsidRPr="00683706">
            <w:rPr>
              <w:i/>
              <w:iCs/>
            </w:rPr>
            <w:t>Conclusie</w:t>
          </w:r>
        </w:p>
        <w:p w:rsidR="0066182C" w:rsidP="00683706" w:rsidRDefault="00683706" w14:paraId="3011D1A6" w14:textId="2591B18E">
          <w:r w:rsidRPr="00683706">
            <w:t xml:space="preserve">De Afdeling begrijpt de keuze om alleen de implementatiefase van de transitieperiode met één jaar te verlengen. Zij adviseert evenwel in de toelichting in te gaan op de gevolgen van een verlenging van de transitieperiode voor de evenwichtigheid van het transitie-ftk. Daarnaast adviseert de Afdeling van </w:t>
          </w:r>
          <w:r w:rsidR="00596083">
            <w:t xml:space="preserve">de </w:t>
          </w:r>
          <w:r w:rsidRPr="00683706">
            <w:t xml:space="preserve">overheveling van transitiedata naar een amvb </w:t>
          </w:r>
          <w:r w:rsidR="006359B1">
            <w:t xml:space="preserve">af te zien </w:t>
          </w:r>
          <w:r w:rsidRPr="00683706">
            <w:t xml:space="preserve">en de </w:t>
          </w:r>
          <w:r w:rsidR="00C75064">
            <w:t xml:space="preserve">nu beoogde verlenging </w:t>
          </w:r>
          <w:r w:rsidR="00861C6E">
            <w:t xml:space="preserve">tot </w:t>
          </w:r>
          <w:r w:rsidR="00C75064">
            <w:t>1 januari 2028</w:t>
          </w:r>
          <w:r w:rsidRPr="00683706">
            <w:t xml:space="preserve"> in de wet </w:t>
          </w:r>
          <w:r w:rsidR="009466BB">
            <w:t xml:space="preserve">zelf </w:t>
          </w:r>
          <w:r w:rsidRPr="00683706">
            <w:t>vast te leggen.</w:t>
          </w:r>
        </w:p>
      </w:sdtContent>
    </w:sdt>
    <w:p w:rsidR="0066182C" w:rsidP="00683706" w:rsidRDefault="0066182C" w14:paraId="49F06634" w14:textId="77777777"/>
    <w:sdt>
      <w:sdtPr>
        <w:tag w:val="bmDictum"/>
        <w:id w:val="-1472595090"/>
        <w:lock w:val="sdtLocked"/>
        <w:placeholder>
          <w:docPart w:val="DefaultPlaceholder_-1854013440"/>
        </w:placeholder>
      </w:sdtPr>
      <w:sdtEndPr/>
      <w:sdtContent>
        <w:p w:rsidR="00DE5177" w:rsidP="00683706" w:rsidRDefault="00DE5177" w14:paraId="2DFF5AB2" w14:textId="1F1E4613">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ectPr w:rsidR="00DE5177" w:rsidSect="00E14434">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92B2" w14:textId="77777777" w:rsidR="005512FC" w:rsidRDefault="005512FC">
      <w:r>
        <w:separator/>
      </w:r>
    </w:p>
  </w:endnote>
  <w:endnote w:type="continuationSeparator" w:id="0">
    <w:p w14:paraId="3E85840B" w14:textId="77777777" w:rsidR="005512FC" w:rsidRDefault="005512FC">
      <w:r>
        <w:continuationSeparator/>
      </w:r>
    </w:p>
  </w:endnote>
  <w:endnote w:type="continuationNotice" w:id="1">
    <w:p w14:paraId="396EA31E" w14:textId="77777777" w:rsidR="005512FC" w:rsidRDefault="00551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8410" w14:textId="77777777" w:rsidR="00AE25E4" w:rsidRDefault="00AE25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85C10" w14:paraId="388D6BB3" w14:textId="77777777" w:rsidTr="00D90098">
      <w:tc>
        <w:tcPr>
          <w:tcW w:w="4815" w:type="dxa"/>
        </w:tcPr>
        <w:p w14:paraId="388D6BB1" w14:textId="77777777" w:rsidR="00AE25E4" w:rsidRDefault="00AE25E4" w:rsidP="00D90098">
          <w:pPr>
            <w:pStyle w:val="Voettekst"/>
          </w:pPr>
        </w:p>
      </w:tc>
      <w:tc>
        <w:tcPr>
          <w:tcW w:w="4247" w:type="dxa"/>
        </w:tcPr>
        <w:p w14:paraId="388D6BB2" w14:textId="77777777" w:rsidR="00AE25E4" w:rsidRDefault="00AE25E4" w:rsidP="00D90098">
          <w:pPr>
            <w:pStyle w:val="Voettekst"/>
            <w:jc w:val="right"/>
          </w:pPr>
        </w:p>
      </w:tc>
    </w:tr>
  </w:tbl>
  <w:p w14:paraId="388D6BB4" w14:textId="77777777" w:rsidR="00AE25E4" w:rsidRDefault="00AE25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1426" w14:textId="11AE68E9" w:rsidR="00F40919" w:rsidRPr="002D7736" w:rsidRDefault="002D7736">
    <w:pPr>
      <w:pStyle w:val="Voettekst"/>
      <w:rPr>
        <w:rFonts w:ascii="Bembo" w:hAnsi="Bembo"/>
        <w:sz w:val="32"/>
      </w:rPr>
    </w:pPr>
    <w:r w:rsidRPr="002D7736">
      <w:rPr>
        <w:rFonts w:ascii="Bembo" w:hAnsi="Bembo"/>
        <w:sz w:val="32"/>
      </w:rPr>
      <w:t>AAN DE KONING</w:t>
    </w:r>
  </w:p>
  <w:p w14:paraId="5D69D308" w14:textId="77777777" w:rsidR="00A20A11" w:rsidRDefault="00A20A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99D2" w14:textId="77777777" w:rsidR="005512FC" w:rsidRDefault="005512FC">
      <w:r>
        <w:separator/>
      </w:r>
    </w:p>
  </w:footnote>
  <w:footnote w:type="continuationSeparator" w:id="0">
    <w:p w14:paraId="023B2E09" w14:textId="77777777" w:rsidR="005512FC" w:rsidRDefault="005512FC">
      <w:r>
        <w:continuationSeparator/>
      </w:r>
    </w:p>
  </w:footnote>
  <w:footnote w:type="continuationNotice" w:id="1">
    <w:p w14:paraId="465103E4" w14:textId="77777777" w:rsidR="005512FC" w:rsidRDefault="005512FC"/>
  </w:footnote>
  <w:footnote w:id="2">
    <w:p w14:paraId="20FCF2E5" w14:textId="77777777" w:rsidR="00683706" w:rsidRDefault="00683706" w:rsidP="00683706">
      <w:pPr>
        <w:pStyle w:val="Voetnoottekst"/>
      </w:pPr>
      <w:r>
        <w:rPr>
          <w:rStyle w:val="Voetnootmarkering"/>
        </w:rPr>
        <w:footnoteRef/>
      </w:r>
      <w:r>
        <w:t xml:space="preserve"> Stb.</w:t>
      </w:r>
      <w:r w:rsidRPr="00104C28">
        <w:t xml:space="preserve"> 2023, 218</w:t>
      </w:r>
      <w:r>
        <w:t xml:space="preserve">. </w:t>
      </w:r>
    </w:p>
  </w:footnote>
  <w:footnote w:id="3">
    <w:p w14:paraId="22FF091E" w14:textId="0CF8CB11" w:rsidR="00683706" w:rsidRDefault="00683706" w:rsidP="00683706">
      <w:pPr>
        <w:pStyle w:val="Voetnoottekst"/>
      </w:pPr>
      <w:r>
        <w:rPr>
          <w:rStyle w:val="Voetnootmarkering"/>
        </w:rPr>
        <w:footnoteRef/>
      </w:r>
      <w:r>
        <w:t xml:space="preserve"> Kamerstukken II 2021/22</w:t>
      </w:r>
      <w:r w:rsidR="009C32DE">
        <w:t>,</w:t>
      </w:r>
      <w:r>
        <w:t xml:space="preserve"> 36067, nr. 3, p. 79-85.</w:t>
      </w:r>
    </w:p>
  </w:footnote>
  <w:footnote w:id="4">
    <w:p w14:paraId="2D0D9A24" w14:textId="77777777" w:rsidR="00683706" w:rsidRDefault="00683706" w:rsidP="00683706">
      <w:pPr>
        <w:pStyle w:val="Voetnoottekst"/>
      </w:pPr>
      <w:r>
        <w:rPr>
          <w:rStyle w:val="Voetnootmarkering"/>
        </w:rPr>
        <w:footnoteRef/>
      </w:r>
      <w:r>
        <w:t xml:space="preserve"> Voor verzekeraars en andere premiepensioeninstellingen gelden andere mijlpalen. </w:t>
      </w:r>
    </w:p>
  </w:footnote>
  <w:footnote w:id="5">
    <w:p w14:paraId="7DDF3389" w14:textId="77777777" w:rsidR="00683706" w:rsidRDefault="00683706" w:rsidP="00683706">
      <w:pPr>
        <w:pStyle w:val="Voetnoottekst"/>
      </w:pPr>
      <w:r>
        <w:rPr>
          <w:rStyle w:val="Voetnootmarkering"/>
        </w:rPr>
        <w:footnoteRef/>
      </w:r>
      <w:r>
        <w:t xml:space="preserve"> </w:t>
      </w:r>
      <w:r w:rsidRPr="000D1241">
        <w:t>Handelingen I 2022</w:t>
      </w:r>
      <w:r>
        <w:t>/</w:t>
      </w:r>
      <w:r w:rsidRPr="000D1241">
        <w:t>23, nr. 3</w:t>
      </w:r>
      <w:r>
        <w:t>3, p. 5-6</w:t>
      </w:r>
      <w:r w:rsidRPr="000D1241">
        <w:t>.</w:t>
      </w:r>
    </w:p>
  </w:footnote>
  <w:footnote w:id="6">
    <w:p w14:paraId="76C91483" w14:textId="77777777" w:rsidR="00683706" w:rsidRDefault="00683706" w:rsidP="00683706">
      <w:pPr>
        <w:pStyle w:val="Voetnoottekst"/>
      </w:pPr>
      <w:r>
        <w:rPr>
          <w:rStyle w:val="Voetnootmarkering"/>
        </w:rPr>
        <w:footnoteRef/>
      </w:r>
      <w:r>
        <w:t xml:space="preserve"> De einddatum is momenteel 31 december 2026.</w:t>
      </w:r>
    </w:p>
  </w:footnote>
  <w:footnote w:id="7">
    <w:p w14:paraId="1B24EEA3" w14:textId="77777777" w:rsidR="00683706" w:rsidRDefault="00683706" w:rsidP="00683706">
      <w:pPr>
        <w:pStyle w:val="Voetnoottekst"/>
      </w:pPr>
      <w:r>
        <w:rPr>
          <w:rStyle w:val="Voetnootmarkering"/>
        </w:rPr>
        <w:footnoteRef/>
      </w:r>
      <w:r>
        <w:t xml:space="preserve"> Memorie van toelichting, paragraaf 1, ‘Tussenliggende mijlpalen’.</w:t>
      </w:r>
    </w:p>
  </w:footnote>
  <w:footnote w:id="8">
    <w:p w14:paraId="72E39F3B" w14:textId="77777777" w:rsidR="00683706" w:rsidRDefault="00683706" w:rsidP="00683706">
      <w:pPr>
        <w:pStyle w:val="Voetnoottekst"/>
      </w:pPr>
      <w:r>
        <w:rPr>
          <w:rStyle w:val="Voetnootmarkering"/>
        </w:rPr>
        <w:footnoteRef/>
      </w:r>
      <w:r>
        <w:t xml:space="preserve"> Memorie van toelichting, paragraaf 1, ‘Doelen – zorgvuldige transitie en adequaat ingrijpen mogelijk maken’.</w:t>
      </w:r>
    </w:p>
  </w:footnote>
  <w:footnote w:id="9">
    <w:p w14:paraId="2160873B" w14:textId="77777777" w:rsidR="00683706" w:rsidRDefault="00683706" w:rsidP="00683706">
      <w:pPr>
        <w:pStyle w:val="Voetnoottekst"/>
      </w:pPr>
      <w:r>
        <w:rPr>
          <w:rStyle w:val="Voetnootmarkering"/>
        </w:rPr>
        <w:footnoteRef/>
      </w:r>
      <w:r>
        <w:t xml:space="preserve"> Voor p</w:t>
      </w:r>
      <w:r w:rsidRPr="00276A65">
        <w:t>ensioenfondsen die gebruik maken van het transitie-ftk</w:t>
      </w:r>
      <w:r>
        <w:t>,</w:t>
      </w:r>
      <w:r w:rsidRPr="00276A65">
        <w:t xml:space="preserve"> maar hun implementatieplan nog niet gereed hebben, </w:t>
      </w:r>
      <w:r>
        <w:t xml:space="preserve">geldt </w:t>
      </w:r>
      <w:r w:rsidRPr="00276A65">
        <w:t xml:space="preserve">een generieke invaardekkingsgraad van 95%. </w:t>
      </w:r>
      <w:r>
        <w:t>Daarnaast geldt binnen h</w:t>
      </w:r>
      <w:r w:rsidRPr="00276A65">
        <w:t xml:space="preserve">et transitie-ftk een verlaagde dekkingsgraad voor indexatie van 105%. </w:t>
      </w:r>
    </w:p>
  </w:footnote>
  <w:footnote w:id="10">
    <w:p w14:paraId="5A382C2C" w14:textId="4F3B6B2C" w:rsidR="00683706" w:rsidRDefault="00683706" w:rsidP="00683706">
      <w:pPr>
        <w:pStyle w:val="Voetnoottekst"/>
      </w:pPr>
      <w:r>
        <w:rPr>
          <w:rStyle w:val="Voetnootmarkering"/>
        </w:rPr>
        <w:footnoteRef/>
      </w:r>
      <w:r>
        <w:t xml:space="preserve"> </w:t>
      </w:r>
      <w:r w:rsidR="000A5F6E">
        <w:t>Ad</w:t>
      </w:r>
      <w:r>
        <w:t>vies van de Afdeling advisering van de Raad van State van 16 februari 2022 over het voorstel van wet tot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w:t>
      </w:r>
      <w:r w:rsidRPr="00942C4C">
        <w:t>W12.21.0366/II</w:t>
      </w:r>
      <w:r>
        <w:t xml:space="preserve">I), Kamerstukken II 2021/22, 36067, nr. 4, </w:t>
      </w:r>
      <w:r w:rsidR="000A5F6E">
        <w:t xml:space="preserve">punt </w:t>
      </w:r>
      <w:r>
        <w:t>7.</w:t>
      </w:r>
    </w:p>
  </w:footnote>
  <w:footnote w:id="11">
    <w:p w14:paraId="38037445" w14:textId="77777777" w:rsidR="00683706" w:rsidRDefault="00683706" w:rsidP="00683706">
      <w:pPr>
        <w:pStyle w:val="Voetnoottekst"/>
      </w:pPr>
      <w:r>
        <w:rPr>
          <w:rStyle w:val="Voetnootmarkering"/>
        </w:rPr>
        <w:footnoteRef/>
      </w:r>
      <w:r>
        <w:t xml:space="preserve"> Memorie van toelichting, paragraaf 1, </w:t>
      </w:r>
      <w:r w:rsidRPr="00942C4C">
        <w:t>‘Doelen – zorgvuldige transitie en adequaat ingrijpen mogelijk maken’</w:t>
      </w:r>
      <w:r>
        <w:t>.</w:t>
      </w:r>
    </w:p>
  </w:footnote>
  <w:footnote w:id="12">
    <w:p w14:paraId="77903E33" w14:textId="2B19CAE2" w:rsidR="00683706" w:rsidRDefault="00683706" w:rsidP="00683706">
      <w:pPr>
        <w:pStyle w:val="Voetnoottekst"/>
      </w:pPr>
      <w:r>
        <w:rPr>
          <w:rStyle w:val="Voetnootmarkering"/>
        </w:rPr>
        <w:footnoteRef/>
      </w:r>
      <w:r>
        <w:t xml:space="preserve"> Kamerstukken II 2021/22</w:t>
      </w:r>
      <w:r w:rsidR="009C32DE">
        <w:t>,</w:t>
      </w:r>
      <w:r>
        <w:t xml:space="preserve"> 36067, nr. 3, p. 80.</w:t>
      </w:r>
    </w:p>
  </w:footnote>
  <w:footnote w:id="13">
    <w:p w14:paraId="73AF2123" w14:textId="536D835B" w:rsidR="00683706" w:rsidRDefault="00683706" w:rsidP="00683706">
      <w:pPr>
        <w:pStyle w:val="Voetnoottekst"/>
      </w:pPr>
      <w:r>
        <w:rPr>
          <w:rStyle w:val="Voetnootmarkering"/>
        </w:rPr>
        <w:footnoteRef/>
      </w:r>
      <w:r>
        <w:t xml:space="preserve"> Overigens roept deze werkwijze ook vragen op in het licht van het Herstel- en Veerkrachtplan (HVP). Met het HVP maakt Nederland aanspraak op in totaal € 5,4 miljard uit de Europese Herstel- en Veerkrachtfaciliteit. Een van de maatregelen in het HVP is de hervorming van de tweede pijler van het pensioenstelsel. Als de</w:t>
      </w:r>
      <w:r w:rsidR="00977929">
        <w:t>ze</w:t>
      </w:r>
      <w:r>
        <w:t xml:space="preserve"> hervorming niet tijdig wordt afgerond, kan dat leiden tot een korting op de te ontvangen middelen. </w:t>
      </w:r>
      <w:r w:rsidR="004275BE" w:rsidRPr="004275BE">
        <w:t xml:space="preserve">Zoals ook naar voren komt uit recente antwoorden op </w:t>
      </w:r>
      <w:r w:rsidR="004275BE">
        <w:t>K</w:t>
      </w:r>
      <w:r w:rsidR="004275BE" w:rsidRPr="004275BE">
        <w:t>amervragen</w:t>
      </w:r>
      <w:r w:rsidR="00BC0642">
        <w:t>,</w:t>
      </w:r>
      <w:r w:rsidR="004275BE" w:rsidRPr="004275BE">
        <w:t xml:space="preserve"> brengt dit mee dat het tijdpad voor de transitie niet zonder intensief overleg met de Europese Commissie </w:t>
      </w:r>
      <w:r w:rsidR="008E588D">
        <w:t xml:space="preserve">kan worden </w:t>
      </w:r>
      <w:r w:rsidR="004275BE" w:rsidRPr="004275BE">
        <w:t>aangepast</w:t>
      </w:r>
      <w:r w:rsidR="00786E3C">
        <w:t xml:space="preserve"> (Aanhangsel </w:t>
      </w:r>
      <w:r w:rsidR="00E312A3">
        <w:t xml:space="preserve">Handelingen II 2023/24, nr. </w:t>
      </w:r>
      <w:r w:rsidR="00DF5B4E">
        <w:t xml:space="preserve">439). </w:t>
      </w:r>
      <w:r w:rsidR="004D4FCD" w:rsidRPr="004D4FCD">
        <w:t xml:space="preserve">Dit onderstreept het belang dat ook de medewetgever betrokken is bij besluiten tot verlenging van de transitieperiode.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5EB7" w14:textId="77777777" w:rsidR="00AE25E4" w:rsidRDefault="00AE25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6BAF" w14:textId="77777777" w:rsidR="00AE25E4" w:rsidRDefault="00933213"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6BB5" w14:textId="77777777" w:rsidR="00AE25E4" w:rsidRDefault="00933213"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88D6BB6" w14:textId="77777777" w:rsidR="00AE25E4" w:rsidRDefault="00933213">
    <w:pPr>
      <w:pStyle w:val="Koptekst"/>
    </w:pPr>
    <w:r>
      <w:rPr>
        <w:noProof/>
      </w:rPr>
      <w:drawing>
        <wp:anchor distT="0" distB="0" distL="114300" distR="114300" simplePos="0" relativeHeight="251658240" behindDoc="1" locked="0" layoutInCell="1" allowOverlap="1" wp14:anchorId="388D6BC1" wp14:editId="388D6BC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10"/>
    <w:rsid w:val="00072E33"/>
    <w:rsid w:val="000A5F6E"/>
    <w:rsid w:val="000C31FB"/>
    <w:rsid w:val="000D46BA"/>
    <w:rsid w:val="000F0D70"/>
    <w:rsid w:val="00122A9C"/>
    <w:rsid w:val="0015711E"/>
    <w:rsid w:val="00170F7A"/>
    <w:rsid w:val="001877A9"/>
    <w:rsid w:val="001D7105"/>
    <w:rsid w:val="002018E0"/>
    <w:rsid w:val="00206232"/>
    <w:rsid w:val="0021179F"/>
    <w:rsid w:val="00211834"/>
    <w:rsid w:val="00221B5D"/>
    <w:rsid w:val="00223CBC"/>
    <w:rsid w:val="00261253"/>
    <w:rsid w:val="00277433"/>
    <w:rsid w:val="002C30DC"/>
    <w:rsid w:val="002D7736"/>
    <w:rsid w:val="002D7B01"/>
    <w:rsid w:val="00307DBE"/>
    <w:rsid w:val="00313D45"/>
    <w:rsid w:val="00354458"/>
    <w:rsid w:val="00356814"/>
    <w:rsid w:val="00364948"/>
    <w:rsid w:val="0037127D"/>
    <w:rsid w:val="0037227A"/>
    <w:rsid w:val="003873E2"/>
    <w:rsid w:val="003A0833"/>
    <w:rsid w:val="003F4D3C"/>
    <w:rsid w:val="00404B29"/>
    <w:rsid w:val="004275BE"/>
    <w:rsid w:val="00476356"/>
    <w:rsid w:val="004B1E34"/>
    <w:rsid w:val="004B31CD"/>
    <w:rsid w:val="004C535E"/>
    <w:rsid w:val="004D4FCD"/>
    <w:rsid w:val="004F0AD2"/>
    <w:rsid w:val="004F17B6"/>
    <w:rsid w:val="00507FF3"/>
    <w:rsid w:val="00524BC8"/>
    <w:rsid w:val="00535F0A"/>
    <w:rsid w:val="00536915"/>
    <w:rsid w:val="005512FC"/>
    <w:rsid w:val="00554590"/>
    <w:rsid w:val="0057721F"/>
    <w:rsid w:val="005803F8"/>
    <w:rsid w:val="0058254E"/>
    <w:rsid w:val="00596083"/>
    <w:rsid w:val="005C51BE"/>
    <w:rsid w:val="005D52DF"/>
    <w:rsid w:val="005E3D93"/>
    <w:rsid w:val="006053C0"/>
    <w:rsid w:val="006359B1"/>
    <w:rsid w:val="0066182C"/>
    <w:rsid w:val="00670983"/>
    <w:rsid w:val="00675EE3"/>
    <w:rsid w:val="00683706"/>
    <w:rsid w:val="00694735"/>
    <w:rsid w:val="00697E1F"/>
    <w:rsid w:val="006A1D00"/>
    <w:rsid w:val="006A360E"/>
    <w:rsid w:val="006B1C41"/>
    <w:rsid w:val="006B2E55"/>
    <w:rsid w:val="006B3D1E"/>
    <w:rsid w:val="006C3BC9"/>
    <w:rsid w:val="006C450B"/>
    <w:rsid w:val="006C57DD"/>
    <w:rsid w:val="006E721C"/>
    <w:rsid w:val="00722019"/>
    <w:rsid w:val="00735D67"/>
    <w:rsid w:val="007557D6"/>
    <w:rsid w:val="007663EB"/>
    <w:rsid w:val="00786E3C"/>
    <w:rsid w:val="007B1042"/>
    <w:rsid w:val="007B23F6"/>
    <w:rsid w:val="007C3803"/>
    <w:rsid w:val="007D6383"/>
    <w:rsid w:val="007E71B1"/>
    <w:rsid w:val="008004B0"/>
    <w:rsid w:val="00835560"/>
    <w:rsid w:val="00861B65"/>
    <w:rsid w:val="00861C6E"/>
    <w:rsid w:val="00862145"/>
    <w:rsid w:val="008B7624"/>
    <w:rsid w:val="008E588D"/>
    <w:rsid w:val="009041BD"/>
    <w:rsid w:val="00905611"/>
    <w:rsid w:val="009302C3"/>
    <w:rsid w:val="00933213"/>
    <w:rsid w:val="009466BB"/>
    <w:rsid w:val="00952FC5"/>
    <w:rsid w:val="00962B22"/>
    <w:rsid w:val="00977929"/>
    <w:rsid w:val="0099099A"/>
    <w:rsid w:val="009919C6"/>
    <w:rsid w:val="00991F30"/>
    <w:rsid w:val="009B49AC"/>
    <w:rsid w:val="009C21E8"/>
    <w:rsid w:val="009C32DE"/>
    <w:rsid w:val="009C5486"/>
    <w:rsid w:val="009D070A"/>
    <w:rsid w:val="009D09C6"/>
    <w:rsid w:val="009E273B"/>
    <w:rsid w:val="00A00B3D"/>
    <w:rsid w:val="00A10357"/>
    <w:rsid w:val="00A12478"/>
    <w:rsid w:val="00A20A11"/>
    <w:rsid w:val="00A50FE8"/>
    <w:rsid w:val="00A72F3E"/>
    <w:rsid w:val="00A87A4D"/>
    <w:rsid w:val="00AA0301"/>
    <w:rsid w:val="00AA36F0"/>
    <w:rsid w:val="00AB40FC"/>
    <w:rsid w:val="00AC46DC"/>
    <w:rsid w:val="00AD37FB"/>
    <w:rsid w:val="00AE25E4"/>
    <w:rsid w:val="00B46BA0"/>
    <w:rsid w:val="00B543C9"/>
    <w:rsid w:val="00B633BC"/>
    <w:rsid w:val="00B91F2F"/>
    <w:rsid w:val="00BA69DC"/>
    <w:rsid w:val="00BC0642"/>
    <w:rsid w:val="00BC7DA6"/>
    <w:rsid w:val="00BE342F"/>
    <w:rsid w:val="00C031AB"/>
    <w:rsid w:val="00C1274E"/>
    <w:rsid w:val="00C14882"/>
    <w:rsid w:val="00C1490A"/>
    <w:rsid w:val="00C153DD"/>
    <w:rsid w:val="00C7041C"/>
    <w:rsid w:val="00C75064"/>
    <w:rsid w:val="00C94CBD"/>
    <w:rsid w:val="00C97D5C"/>
    <w:rsid w:val="00CB3CA1"/>
    <w:rsid w:val="00CB4B51"/>
    <w:rsid w:val="00CD2EA3"/>
    <w:rsid w:val="00CF2F43"/>
    <w:rsid w:val="00D00D3F"/>
    <w:rsid w:val="00D335D2"/>
    <w:rsid w:val="00D81165"/>
    <w:rsid w:val="00DB7F17"/>
    <w:rsid w:val="00DD2E0F"/>
    <w:rsid w:val="00DE5177"/>
    <w:rsid w:val="00DF5B4E"/>
    <w:rsid w:val="00E038C1"/>
    <w:rsid w:val="00E07756"/>
    <w:rsid w:val="00E133A4"/>
    <w:rsid w:val="00E14434"/>
    <w:rsid w:val="00E224AF"/>
    <w:rsid w:val="00E23BCB"/>
    <w:rsid w:val="00E312A3"/>
    <w:rsid w:val="00E344C3"/>
    <w:rsid w:val="00E34B72"/>
    <w:rsid w:val="00E41C9F"/>
    <w:rsid w:val="00E5335C"/>
    <w:rsid w:val="00E70FA7"/>
    <w:rsid w:val="00E808F9"/>
    <w:rsid w:val="00E8325A"/>
    <w:rsid w:val="00EB78F1"/>
    <w:rsid w:val="00EC09D8"/>
    <w:rsid w:val="00EF34C0"/>
    <w:rsid w:val="00F0021F"/>
    <w:rsid w:val="00F20B6A"/>
    <w:rsid w:val="00F236F1"/>
    <w:rsid w:val="00F40919"/>
    <w:rsid w:val="00F436E6"/>
    <w:rsid w:val="00F52F20"/>
    <w:rsid w:val="00F64107"/>
    <w:rsid w:val="00F77DB3"/>
    <w:rsid w:val="00F85C10"/>
    <w:rsid w:val="00F86C71"/>
    <w:rsid w:val="00F926F7"/>
    <w:rsid w:val="00F978B9"/>
    <w:rsid w:val="00FA2C2E"/>
    <w:rsid w:val="00FC19C1"/>
    <w:rsid w:val="00FF2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D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07DBE"/>
    <w:rPr>
      <w:color w:val="808080"/>
    </w:rPr>
  </w:style>
  <w:style w:type="paragraph" w:styleId="Revisie">
    <w:name w:val="Revision"/>
    <w:hidden/>
    <w:uiPriority w:val="99"/>
    <w:semiHidden/>
    <w:rsid w:val="00683706"/>
    <w:rPr>
      <w:rFonts w:ascii="Univers" w:hAnsi="Univers"/>
      <w:sz w:val="22"/>
      <w:szCs w:val="24"/>
    </w:rPr>
  </w:style>
  <w:style w:type="paragraph" w:styleId="Voetnoottekst">
    <w:name w:val="footnote text"/>
    <w:basedOn w:val="Standaard"/>
    <w:link w:val="VoetnoottekstChar"/>
    <w:uiPriority w:val="99"/>
    <w:semiHidden/>
    <w:unhideWhenUsed/>
    <w:rsid w:val="00683706"/>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683706"/>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683706"/>
    <w:rPr>
      <w:vertAlign w:val="superscript"/>
    </w:rPr>
  </w:style>
  <w:style w:type="character" w:styleId="Verwijzingopmerking">
    <w:name w:val="annotation reference"/>
    <w:basedOn w:val="Standaardalinea-lettertype"/>
    <w:uiPriority w:val="99"/>
    <w:semiHidden/>
    <w:unhideWhenUsed/>
    <w:rsid w:val="00683706"/>
    <w:rPr>
      <w:sz w:val="16"/>
      <w:szCs w:val="16"/>
    </w:rPr>
  </w:style>
  <w:style w:type="paragraph" w:styleId="Tekstopmerking">
    <w:name w:val="annotation text"/>
    <w:basedOn w:val="Standaard"/>
    <w:link w:val="TekstopmerkingChar"/>
    <w:uiPriority w:val="99"/>
    <w:unhideWhenUsed/>
    <w:rsid w:val="00683706"/>
    <w:pPr>
      <w:spacing w:after="16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683706"/>
    <w:rPr>
      <w:rFonts w:asciiTheme="minorHAnsi" w:eastAsiaTheme="minorHAnsi" w:hAnsiTheme="minorHAnsi" w:cstheme="minorBidi"/>
      <w:lang w:eastAsia="en-US"/>
    </w:rPr>
  </w:style>
  <w:style w:type="paragraph" w:styleId="Geenafstand">
    <w:name w:val="No Spacing"/>
    <w:uiPriority w:val="1"/>
    <w:qFormat/>
    <w:rsid w:val="0068370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DB047C1-C139-45D0-915B-F1655D524941}"/>
      </w:docPartPr>
      <w:docPartBody>
        <w:p w:rsidR="00FC7A06" w:rsidRDefault="00876E30">
          <w:r w:rsidRPr="003629B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30"/>
    <w:rsid w:val="00876E30"/>
    <w:rsid w:val="00E336E3"/>
    <w:rsid w:val="00FC7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76E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1183</ap:Words>
  <ap:Characters>7062</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2024-06-17T13:53:00.0000000Z</dcterms:created>
  <dcterms:modified xsi:type="dcterms:W3CDTF">2024-06-20T09:50:00.0000000Z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W12.23.00340/III</vt:lpwstr>
  </property>
  <property fmtid="{D5CDD505-2E9C-101B-9397-08002B2CF9AE}" pid="5" name="zaaktype">
    <vt:lpwstr>WET</vt:lpwstr>
  </property>
  <property fmtid="{D5CDD505-2E9C-101B-9397-08002B2CF9AE}" pid="6" name="ContentTypeId">
    <vt:lpwstr>0x010100FA5A77795FEADA4EA512273036134446006E384B179B88E0458E47009C9BFC70ED</vt:lpwstr>
  </property>
  <property fmtid="{D5CDD505-2E9C-101B-9397-08002B2CF9AE}" pid="7" name="Bestemming">
    <vt:lpwstr>2;#Corsa|a7721b99-8166-4953-a37e-7c8574fb4b8b</vt:lpwstr>
  </property>
  <property fmtid="{D5CDD505-2E9C-101B-9397-08002B2CF9AE}" pid="8" name="_dlc_DocIdItemGuid">
    <vt:lpwstr>8980e10d-e47d-425d-b04d-de9f1a7a09eb</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