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96A08" w:rsidR="00204583" w:rsidP="00204583" w:rsidRDefault="00204583" w14:paraId="7ADE0B18" w14:textId="77777777">
      <w:pPr>
        <w:spacing w:line="276" w:lineRule="auto"/>
        <w:rPr>
          <w:b/>
          <w:bCs/>
        </w:rPr>
      </w:pPr>
      <w:r w:rsidRPr="00896A08">
        <w:rPr>
          <w:b/>
          <w:bCs/>
        </w:rPr>
        <w:t>Geannoteerde Agenda Europese Politieke Gemeenschap</w:t>
      </w:r>
    </w:p>
    <w:p w:rsidR="00204583" w:rsidP="00204583" w:rsidRDefault="00204583" w14:paraId="335C8903" w14:textId="77777777">
      <w:pPr>
        <w:spacing w:line="276" w:lineRule="auto"/>
      </w:pPr>
    </w:p>
    <w:p w:rsidRPr="00272833" w:rsidR="00204583" w:rsidP="00204583" w:rsidRDefault="00204583" w14:paraId="00010425" w14:textId="77777777">
      <w:pPr>
        <w:spacing w:line="276" w:lineRule="auto"/>
      </w:pPr>
      <w:r>
        <w:t xml:space="preserve">Op 18 juli vindt de vierde bijeenkomst van de Europese Politieke Gemeenschap (EPG) plaats in het </w:t>
      </w:r>
      <w:proofErr w:type="spellStart"/>
      <w:r>
        <w:t>Blenheim</w:t>
      </w:r>
      <w:proofErr w:type="spellEnd"/>
      <w:r>
        <w:t xml:space="preserve"> </w:t>
      </w:r>
      <w:proofErr w:type="spellStart"/>
      <w:r>
        <w:t>Palace</w:t>
      </w:r>
      <w:proofErr w:type="spellEnd"/>
      <w:r>
        <w:t xml:space="preserve"> te </w:t>
      </w:r>
      <w:proofErr w:type="spellStart"/>
      <w:r>
        <w:t>Oxfordshire</w:t>
      </w:r>
      <w:proofErr w:type="spellEnd"/>
      <w:r>
        <w:t xml:space="preserve"> in het Verenigd Koninkrijk. Tijdens deze bijeenkomst zullen circa 50 regeringsleiders spreken over samenwerking op vraagstukken die het hele continent aangaan, zoals veiligheid, migratie en energie. Naast de zevenentwintig EU-lidstaten, ontvangen ook andere Europese landen een uitnodiging.</w:t>
      </w:r>
      <w:r>
        <w:rPr>
          <w:rStyle w:val="FootnoteReference"/>
        </w:rPr>
        <w:footnoteReference w:id="1"/>
      </w:r>
      <w:r>
        <w:t xml:space="preserve"> </w:t>
      </w:r>
      <w:r w:rsidRPr="00272833">
        <w:t xml:space="preserve">De EPG-top is een forum voor gedachtewisseling en samenwerking tussen Europese landen. Er wordt geen besluitvorming of gezamenlijke verklaring voorzien. </w:t>
      </w:r>
    </w:p>
    <w:p w:rsidRPr="00272833" w:rsidR="00204583" w:rsidP="00204583" w:rsidRDefault="00204583" w14:paraId="4208C0EE" w14:textId="77777777">
      <w:pPr>
        <w:spacing w:line="276" w:lineRule="auto"/>
      </w:pPr>
    </w:p>
    <w:p w:rsidRPr="00272833" w:rsidR="00204583" w:rsidP="00204583" w:rsidRDefault="00204583" w14:paraId="64DE3ADC" w14:textId="77777777">
      <w:pPr>
        <w:spacing w:line="276" w:lineRule="auto"/>
      </w:pPr>
      <w:r w:rsidRPr="00272833">
        <w:t xml:space="preserve">Wat het kabinet betreft is besluitvorming of het opstellen van een gezamenlijke verklaring ook expliciet niet het doel van de EPG. Het kabinet geeft de voorkeur aan een flexibele en lichte structuur, om duplicatie met bestaande multilaterale fora te voorkomen. </w:t>
      </w:r>
    </w:p>
    <w:p w:rsidRPr="00272833" w:rsidR="00204583" w:rsidP="00204583" w:rsidRDefault="00204583" w14:paraId="3C84EDCD" w14:textId="77777777">
      <w:pPr>
        <w:spacing w:line="276" w:lineRule="auto"/>
      </w:pPr>
    </w:p>
    <w:p w:rsidR="00204583" w:rsidP="00204583" w:rsidRDefault="00204583" w14:paraId="52A3B02E" w14:textId="7AA27E54">
      <w:pPr>
        <w:spacing w:line="276" w:lineRule="auto"/>
      </w:pPr>
      <w:r w:rsidRPr="00272833">
        <w:t>De EPG-top zal worden geopend met een plenaire sessie over Europese veiligheid. Tijdens deze plenaire bijeenkomst zal een aantal geselecteerde regeringsleiders en staatshoofden spreken. Op het moment van schrijven is nog niet geheel bekend hoe deze sessie zal verlopen. Naar verwachting zal de oorlog van Rusland tegen Oekraïne centraal staan en zal aandacht worden gevraagd voor blijvende politieke steun aan Oekraïne</w:t>
      </w:r>
      <w:r>
        <w:t xml:space="preserve">. Dit sluit aan bij het idee voor het lanceren van de EPG in 2022, namelijk om in de context van geopolitieke spanningen een forum te creëren voor politieke dialoog en samenwerking tussen Europese </w:t>
      </w:r>
      <w:r w:rsidRPr="00272833">
        <w:t xml:space="preserve">landen, zowel de EU en NAVO alsook de naastgelegen landen uit de ‘ring rond Europa’ (Oost-Europa, Westelijke Balkan, Zuidelijke Kaukasus). </w:t>
      </w:r>
      <w:r w:rsidRPr="00272833" w:rsidR="00B76E82">
        <w:t xml:space="preserve">Met een aantal van deze landen zal in de marge van de top een bilateraal gesprek plaatsvinden met aanwezige ambtsgenoten. </w:t>
      </w:r>
      <w:r w:rsidRPr="00272833" w:rsidR="00421DFF">
        <w:t>Na de plenaire bijeenkomst</w:t>
      </w:r>
      <w:r w:rsidRPr="00272833">
        <w:t xml:space="preserve"> zullen</w:t>
      </w:r>
      <w:r>
        <w:t xml:space="preserve"> rondetafelgesprekken plaatsvinden over de thema’s energie en connectiviteit, verdedigen en veiligstellen van democratieën en migratie. Tijdens de rondetafelgesprekken zal informeel van gedachten worden gewisseld. Alle deelnemende landen nemen slechts aan één van de vier rondetafelgesprekken deel. Tenslotte is een plenaire afsluitende sessie voorzien. </w:t>
      </w:r>
    </w:p>
    <w:p w:rsidR="00204583" w:rsidP="00204583" w:rsidRDefault="00204583" w14:paraId="6CAAC553" w14:textId="77777777">
      <w:pPr>
        <w:spacing w:line="276" w:lineRule="auto"/>
      </w:pPr>
    </w:p>
    <w:p w:rsidRPr="00FA4949" w:rsidR="00204583" w:rsidP="00204583" w:rsidRDefault="00204583" w14:paraId="6E610194" w14:textId="6177F3B4">
      <w:pPr>
        <w:spacing w:line="276" w:lineRule="auto"/>
      </w:pPr>
      <w:r>
        <w:t>De minister-president zal naar verwachting deelnemen aan het rondetafelgesprek over migratie. Deze tafel biedt de gelegenheid om ook met niet-EU-lidstaten informeel van gedachten te wisselen over uitdagingen op het gebied van migratie. De minister-president zal in lijn met het hoofdlijnenakkoord aandacht vragen voor samenwerking met derde landen om opvang in de regio te stimuleren, terugkeer te bevorderen en irreguliere migratie te voorkomen,</w:t>
      </w:r>
      <w:r w:rsidRPr="002340D9">
        <w:t xml:space="preserve"> </w:t>
      </w:r>
      <w:r>
        <w:t xml:space="preserve">binnen geldende </w:t>
      </w:r>
      <w:r w:rsidRPr="002340D9">
        <w:t>internationaal</w:t>
      </w:r>
      <w:r>
        <w:t>-</w:t>
      </w:r>
      <w:r w:rsidRPr="002340D9">
        <w:t xml:space="preserve"> en Europeesrecht</w:t>
      </w:r>
      <w:r>
        <w:t>elijke kaders</w:t>
      </w:r>
      <w:r w:rsidRPr="002340D9">
        <w:t>, inclusief mensenrechten</w:t>
      </w:r>
      <w:r>
        <w:t xml:space="preserve">. De minister-president zal het belang van brede landenpartnerschappen en de verkenning en uitwerking van innovatieve oplossingen benadrukken. </w:t>
      </w:r>
    </w:p>
    <w:p w:rsidRPr="00204583" w:rsidR="00753637" w:rsidP="00204583" w:rsidRDefault="00753637" w14:paraId="7AA1252B" w14:textId="1EFD6A27"/>
    <w:sectPr w:rsidRPr="00204583" w:rsidR="00753637" w:rsidSect="00C51FCC">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A945" w14:textId="77777777" w:rsidR="00722A2A" w:rsidRDefault="00722A2A" w:rsidP="00896A08">
      <w:pPr>
        <w:spacing w:line="240" w:lineRule="auto"/>
      </w:pPr>
      <w:r>
        <w:separator/>
      </w:r>
    </w:p>
  </w:endnote>
  <w:endnote w:type="continuationSeparator" w:id="0">
    <w:p w14:paraId="3ADF92A1" w14:textId="77777777" w:rsidR="00722A2A" w:rsidRDefault="00722A2A" w:rsidP="00896A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513535"/>
      <w:docPartObj>
        <w:docPartGallery w:val="Page Numbers (Bottom of Page)"/>
        <w:docPartUnique/>
      </w:docPartObj>
    </w:sdtPr>
    <w:sdtEndPr/>
    <w:sdtContent>
      <w:p w14:paraId="2DA585B8" w14:textId="3AF3F78D" w:rsidR="002A2F1D" w:rsidRDefault="002A2F1D">
        <w:pPr>
          <w:pStyle w:val="Footer"/>
          <w:jc w:val="center"/>
        </w:pPr>
        <w:r>
          <w:fldChar w:fldCharType="begin"/>
        </w:r>
        <w:r>
          <w:instrText>PAGE   \* MERGEFORMAT</w:instrText>
        </w:r>
        <w:r>
          <w:fldChar w:fldCharType="separate"/>
        </w:r>
        <w:r>
          <w:t>2</w:t>
        </w:r>
        <w:r>
          <w:fldChar w:fldCharType="end"/>
        </w:r>
      </w:p>
    </w:sdtContent>
  </w:sdt>
  <w:p w14:paraId="4C0C37A5" w14:textId="77777777" w:rsidR="002A2F1D" w:rsidRDefault="002A2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5D7D8" w14:textId="77777777" w:rsidR="00722A2A" w:rsidRDefault="00722A2A" w:rsidP="00896A08">
      <w:pPr>
        <w:spacing w:line="240" w:lineRule="auto"/>
      </w:pPr>
      <w:r>
        <w:separator/>
      </w:r>
    </w:p>
  </w:footnote>
  <w:footnote w:type="continuationSeparator" w:id="0">
    <w:p w14:paraId="31C7ED7D" w14:textId="77777777" w:rsidR="00722A2A" w:rsidRDefault="00722A2A" w:rsidP="00896A08">
      <w:pPr>
        <w:spacing w:line="240" w:lineRule="auto"/>
      </w:pPr>
      <w:r>
        <w:continuationSeparator/>
      </w:r>
    </w:p>
  </w:footnote>
  <w:footnote w:id="1">
    <w:p w14:paraId="1A86717F" w14:textId="77777777" w:rsidR="00204583" w:rsidRPr="00DF2B23" w:rsidRDefault="00204583" w:rsidP="00204583">
      <w:pPr>
        <w:pStyle w:val="FootnoteText"/>
        <w:rPr>
          <w:sz w:val="16"/>
          <w:szCs w:val="16"/>
        </w:rPr>
      </w:pPr>
      <w:r w:rsidRPr="00DF2B23">
        <w:rPr>
          <w:rStyle w:val="FootnoteReference"/>
          <w:sz w:val="16"/>
          <w:szCs w:val="16"/>
        </w:rPr>
        <w:footnoteRef/>
      </w:r>
      <w:r w:rsidRPr="00DF2B23">
        <w:rPr>
          <w:sz w:val="16"/>
          <w:szCs w:val="16"/>
        </w:rPr>
        <w:t xml:space="preserve"> Albanië, Andorra, Armenië, Azerbeidzjan, Bosnië en Herzegovina, Georgië, IJsland, Kosovo, Liechtenstein, Moldavië, Monaco, Montenegro, Noord-Macedonië, Noorwegen, Oekraïne, San Marino, Servië, Turkije, Zwitserland.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08"/>
    <w:rsid w:val="00050FA9"/>
    <w:rsid w:val="00204583"/>
    <w:rsid w:val="00272833"/>
    <w:rsid w:val="002A2F1D"/>
    <w:rsid w:val="00421DFF"/>
    <w:rsid w:val="00722A2A"/>
    <w:rsid w:val="00753637"/>
    <w:rsid w:val="00896A08"/>
    <w:rsid w:val="00B76E82"/>
    <w:rsid w:val="00BD3D02"/>
    <w:rsid w:val="00BD6AB9"/>
    <w:rsid w:val="00C51FCC"/>
    <w:rsid w:val="00F42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BC2D"/>
  <w15:chartTrackingRefBased/>
  <w15:docId w15:val="{DB75E248-5C75-463E-B64F-3F1C3DD2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896A0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96A08"/>
    <w:pPr>
      <w:spacing w:line="240" w:lineRule="auto"/>
    </w:pPr>
    <w:rPr>
      <w:sz w:val="20"/>
      <w:szCs w:val="20"/>
    </w:rPr>
  </w:style>
  <w:style w:type="character" w:customStyle="1" w:styleId="FootnoteTextChar">
    <w:name w:val="Footnote Text Char"/>
    <w:basedOn w:val="DefaultParagraphFont"/>
    <w:link w:val="FootnoteText"/>
    <w:uiPriority w:val="99"/>
    <w:semiHidden/>
    <w:rsid w:val="00896A08"/>
    <w:rPr>
      <w:rFonts w:ascii="Verdana" w:eastAsia="DejaVu Sans" w:hAnsi="Verdana" w:cs="Lohit Hindi"/>
      <w:color w:val="000000"/>
      <w:kern w:val="0"/>
      <w:sz w:val="20"/>
      <w:szCs w:val="20"/>
      <w:lang w:eastAsia="nl-NL"/>
      <w14:ligatures w14:val="none"/>
    </w:rPr>
  </w:style>
  <w:style w:type="character" w:styleId="FootnoteReference">
    <w:name w:val="footnote reference"/>
    <w:basedOn w:val="DefaultParagraphFont"/>
    <w:uiPriority w:val="99"/>
    <w:semiHidden/>
    <w:unhideWhenUsed/>
    <w:rsid w:val="00896A08"/>
    <w:rPr>
      <w:vertAlign w:val="superscript"/>
    </w:rPr>
  </w:style>
  <w:style w:type="paragraph" w:styleId="Header">
    <w:name w:val="header"/>
    <w:basedOn w:val="Normal"/>
    <w:link w:val="HeaderChar"/>
    <w:uiPriority w:val="99"/>
    <w:unhideWhenUsed/>
    <w:rsid w:val="002A2F1D"/>
    <w:pPr>
      <w:tabs>
        <w:tab w:val="center" w:pos="4513"/>
        <w:tab w:val="right" w:pos="9026"/>
      </w:tabs>
      <w:spacing w:line="240" w:lineRule="auto"/>
    </w:pPr>
  </w:style>
  <w:style w:type="character" w:customStyle="1" w:styleId="HeaderChar">
    <w:name w:val="Header Char"/>
    <w:basedOn w:val="DefaultParagraphFont"/>
    <w:link w:val="Header"/>
    <w:uiPriority w:val="99"/>
    <w:rsid w:val="002A2F1D"/>
    <w:rPr>
      <w:rFonts w:ascii="Verdana" w:eastAsia="DejaVu Sans" w:hAnsi="Verdana" w:cs="Lohit Hindi"/>
      <w:color w:val="000000"/>
      <w:kern w:val="0"/>
      <w:sz w:val="18"/>
      <w:szCs w:val="18"/>
      <w:lang w:eastAsia="nl-NL"/>
      <w14:ligatures w14:val="none"/>
    </w:rPr>
  </w:style>
  <w:style w:type="paragraph" w:styleId="Footer">
    <w:name w:val="footer"/>
    <w:basedOn w:val="Normal"/>
    <w:link w:val="FooterChar"/>
    <w:uiPriority w:val="99"/>
    <w:unhideWhenUsed/>
    <w:rsid w:val="002A2F1D"/>
    <w:pPr>
      <w:tabs>
        <w:tab w:val="center" w:pos="4513"/>
        <w:tab w:val="right" w:pos="9026"/>
      </w:tabs>
      <w:spacing w:line="240" w:lineRule="auto"/>
    </w:pPr>
  </w:style>
  <w:style w:type="character" w:customStyle="1" w:styleId="FooterChar">
    <w:name w:val="Footer Char"/>
    <w:basedOn w:val="DefaultParagraphFont"/>
    <w:link w:val="Footer"/>
    <w:uiPriority w:val="99"/>
    <w:rsid w:val="002A2F1D"/>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435</ap:Words>
  <ap:Characters>2398</ap:Characters>
  <ap:DocSecurity>0</ap:DocSecurity>
  <ap:Lines>19</ap:Lines>
  <ap:Paragraphs>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2828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2024-07-16T07:36:00.0000000Z</lastPrinted>
  <dcterms:created xsi:type="dcterms:W3CDTF">2024-07-16T15:20:00.0000000Z</dcterms:created>
  <dcterms:modified xsi:type="dcterms:W3CDTF">2024-07-16T15:20:00.0000000Z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applicable|ec01d90b-9d0f-4785-8785-e1ea615196bf;#93;#European cooperation (non-EU) general|32cb20cb-36c6-4655-9372-780089c6b4ef</vt:lpwstr>
  </property>
  <property fmtid="{D5CDD505-2E9C-101B-9397-08002B2CF9AE}" pid="4" name="ContentTypeId">
    <vt:lpwstr>0x0101009C7CE436063D44E9BE7DC0259EF7C32F006EB9F9836A634AE58B6169785FD3936F006712C1AEAE031D4084A205B91261093E</vt:lpwstr>
  </property>
  <property fmtid="{D5CDD505-2E9C-101B-9397-08002B2CF9AE}" pid="5" name="BZCountryState">
    <vt:lpwstr>3;#Not applicable|ec01d90b-9d0f-4785-8785-e1ea615196bf;#94;#Europe|d9ff8a81-81b6-467e-aaaa-85da27805048</vt:lpwstr>
  </property>
  <property fmtid="{D5CDD505-2E9C-101B-9397-08002B2CF9AE}" pid="6" name="BZMarking">
    <vt:lpwstr>5;#NO MARKING|0a4eb9ae-69eb-4d9e-b573-43ab99ef8592</vt:lpwstr>
  </property>
  <property fmtid="{D5CDD505-2E9C-101B-9397-08002B2CF9AE}" pid="7" name="_dlc_DocIdItemGuid">
    <vt:lpwstr>c5542e57-561c-4f65-adae-149c30a0ffe3</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