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c="http://schemas.openxmlformats.org/drawingml/2006/chart"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30254" w:rsidR="000933E1" w:rsidP="000933E1" w:rsidRDefault="000933E1" w14:paraId="4F4752B8" w14:textId="6D71E6F3">
      <w:pPr>
        <w:pStyle w:val="Titel"/>
        <w:ind w:right="-142"/>
        <w:rPr>
          <w:sz w:val="72"/>
          <w:szCs w:val="72"/>
        </w:rPr>
      </w:pPr>
      <w:bookmarkStart w:name="FIN_Subtitel" w:id="0"/>
      <w:r w:rsidRPr="00230254">
        <w:rPr>
          <w:sz w:val="72"/>
          <w:szCs w:val="72"/>
        </w:rPr>
        <w:t>Evaluatie prijs</w:t>
      </w:r>
      <w:r w:rsidRPr="00230254" w:rsidR="009E558A">
        <w:rPr>
          <w:noProof/>
          <w:sz w:val="72"/>
          <w:szCs w:val="72"/>
        </w:rPr>
        <w:drawing>
          <wp:anchor distT="0" distB="0" distL="114300" distR="114300" simplePos="0" relativeHeight="251659264" behindDoc="1" locked="1" layoutInCell="1" allowOverlap="1" wp14:editId="32F64B6C" wp14:anchorId="45B5F735">
            <wp:simplePos x="0" y="0"/>
            <wp:positionH relativeFrom="page">
              <wp:posOffset>899795</wp:posOffset>
            </wp:positionH>
            <wp:positionV relativeFrom="page">
              <wp:posOffset>-247650</wp:posOffset>
            </wp:positionV>
            <wp:extent cx="5410200" cy="2350770"/>
            <wp:effectExtent l="0" t="0" r="0" b="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813745" name="Afbeelding 822813745"/>
                    <pic:cNvPicPr/>
                  </pic:nvPicPr>
                  <pic:blipFill>
                    <a:blip r:embed="rId7">
                      <a:extLst>
                        <a:ext uri="{28A0092B-C50C-407E-A947-70E740481C1C}">
                          <a14:useLocalDpi xmlns:a14="http://schemas.microsoft.com/office/drawing/2010/main" val="0"/>
                        </a:ext>
                      </a:extLst>
                    </a:blip>
                    <a:stretch>
                      <a:fillRect/>
                    </a:stretch>
                  </pic:blipFill>
                  <pic:spPr>
                    <a:xfrm>
                      <a:off x="0" y="0"/>
                      <a:ext cx="5410200" cy="2350770"/>
                    </a:xfrm>
                    <a:prstGeom prst="rect">
                      <a:avLst/>
                    </a:prstGeom>
                  </pic:spPr>
                </pic:pic>
              </a:graphicData>
            </a:graphic>
            <wp14:sizeRelH relativeFrom="margin">
              <wp14:pctWidth>0</wp14:pctWidth>
            </wp14:sizeRelH>
            <wp14:sizeRelV relativeFrom="margin">
              <wp14:pctHeight>0</wp14:pctHeight>
            </wp14:sizeRelV>
          </wp:anchor>
        </w:drawing>
      </w:r>
      <w:r w:rsidRPr="00230254">
        <w:rPr>
          <w:sz w:val="72"/>
          <w:szCs w:val="72"/>
        </w:rPr>
        <w:t>bijstellingsystematiek investeringen Mobiliteitsfonds en Deltafonds</w:t>
      </w:r>
    </w:p>
    <w:sdt>
      <w:sdtPr>
        <w:id w:val="-1146362895"/>
        <w:placeholder>
          <w:docPart w:val="29C954B428D64F5082DAFE2C0CF06047"/>
        </w:placeholder>
      </w:sdtPr>
      <w:sdtEndPr/>
      <w:sdtContent>
        <w:p w:rsidR="00977D3C" w:rsidP="005307CA" w:rsidRDefault="004B7274" w14:paraId="7CEE98A8" w14:textId="308DE999">
          <w:pPr>
            <w:pStyle w:val="Ondertitel"/>
            <w:spacing w:line="240" w:lineRule="auto"/>
          </w:pPr>
          <w:r>
            <w:t xml:space="preserve">Bijlage bij Kamerbrief over uitvoering motie </w:t>
          </w:r>
          <w:proofErr w:type="spellStart"/>
          <w:r>
            <w:t>Grinwis</w:t>
          </w:r>
          <w:proofErr w:type="spellEnd"/>
          <w:r>
            <w:t xml:space="preserve"> c.s.  </w:t>
          </w:r>
        </w:p>
      </w:sdtContent>
    </w:sdt>
    <w:bookmarkEnd w:displacedByCustomXml="prev" w:id="0"/>
    <w:p w:rsidRPr="00B86914" w:rsidR="003815E9" w:rsidP="00B86914" w:rsidRDefault="003815E9" w14:paraId="68636229" w14:textId="77777777"/>
    <w:p w:rsidRPr="00B86914" w:rsidR="003815E9" w:rsidP="00B86914" w:rsidRDefault="003815E9" w14:paraId="47B9A5EC" w14:textId="77777777"/>
    <w:p w:rsidRPr="002004F3" w:rsidR="00934D4C" w:rsidP="00B86914" w:rsidRDefault="003815E9" w14:paraId="381F1F35" w14:textId="77777777">
      <w:pPr>
        <w:rPr>
          <w:rStyle w:val="FINAccent1-Vet"/>
        </w:rPr>
      </w:pPr>
      <w:r w:rsidRPr="002004F3">
        <w:rPr>
          <w:rStyle w:val="FINAccent1-Vet"/>
        </w:rPr>
        <w:t>Datum</w:t>
      </w:r>
    </w:p>
    <w:p w:rsidR="00AE44C7" w:rsidP="00B86914" w:rsidRDefault="00FE70E6" w14:paraId="1CFD113E" w14:textId="02E0BB07">
      <w:r>
        <w:t>26 september</w:t>
      </w:r>
      <w:r w:rsidR="004B7274">
        <w:t xml:space="preserve"> 2024</w:t>
      </w:r>
    </w:p>
    <w:p w:rsidRPr="00B86914" w:rsidR="003815E9" w:rsidP="00B86914" w:rsidRDefault="003815E9" w14:paraId="338B3AF6" w14:textId="77777777"/>
    <w:p w:rsidRPr="004B201D" w:rsidR="00A21B3C" w:rsidP="00276FAF" w:rsidRDefault="001A6A1A" w14:paraId="40FBCDF1" w14:textId="74C74B0A">
      <w:r w:rsidRPr="004B201D">
        <w:br w:type="page"/>
      </w:r>
    </w:p>
    <w:sdt>
      <w:sdtPr>
        <w:rPr>
          <w:rFonts w:eastAsia="Times New Roman" w:cs="Calibri (Hoofdtekst)"/>
          <w:b w:val="0"/>
          <w:iCs/>
          <w:sz w:val="26"/>
          <w:szCs w:val="20"/>
          <w:lang w:eastAsia="nl-NL"/>
        </w:rPr>
        <w:id w:val="-1332290351"/>
        <w:docPartObj>
          <w:docPartGallery w:val="Table of Contents"/>
          <w:docPartUnique/>
        </w:docPartObj>
      </w:sdtPr>
      <w:sdtEndPr>
        <w:rPr>
          <w:bCs/>
          <w:noProof/>
        </w:rPr>
      </w:sdtEndPr>
      <w:sdtContent>
        <w:p w:rsidR="00885F9F" w:rsidRDefault="00885F9F" w14:paraId="478D0F4D" w14:textId="2E3F9534">
          <w:pPr>
            <w:pStyle w:val="Kopvaninhoudsopgave"/>
          </w:pPr>
          <w:r>
            <w:t>Inhoudsopgave</w:t>
          </w:r>
        </w:p>
        <w:p w:rsidRPr="00D97DE7" w:rsidR="00885F9F" w:rsidP="00D97DE7" w:rsidRDefault="00885F9F" w14:paraId="65946008" w14:textId="15766606">
          <w:pPr>
            <w:pStyle w:val="Inhopg2"/>
            <w:rPr>
              <w:rFonts w:eastAsiaTheme="minorEastAsia"/>
              <w:noProof/>
            </w:rPr>
          </w:pPr>
          <w:r w:rsidRPr="00D97DE7">
            <w:fldChar w:fldCharType="begin"/>
          </w:r>
          <w:r w:rsidRPr="00D97DE7">
            <w:instrText>TOC \o "1-3" \h \z \u</w:instrText>
          </w:r>
          <w:r w:rsidRPr="00D97DE7">
            <w:fldChar w:fldCharType="separate"/>
          </w:r>
          <w:hyperlink w:history="1" w:anchor="_Toc178245256">
            <w:r w:rsidRPr="00D97DE7">
              <w:rPr>
                <w:rStyle w:val="Hyperlink"/>
                <w:rFonts w:eastAsiaTheme="majorEastAsia"/>
                <w:i w:val="0"/>
                <w:noProof/>
                <w:color w:val="0066A4"/>
                <w:u w:val="none"/>
              </w:rPr>
              <w:t>Inleiding</w:t>
            </w:r>
            <w:r w:rsidRPr="00D97DE7">
              <w:rPr>
                <w:noProof/>
                <w:webHidden/>
              </w:rPr>
              <w:tab/>
            </w:r>
            <w:r w:rsidR="00A96E9E">
              <w:rPr>
                <w:noProof/>
                <w:webHidden/>
              </w:rPr>
              <w:tab/>
            </w:r>
            <w:r w:rsidR="00A96E9E">
              <w:rPr>
                <w:noProof/>
                <w:webHidden/>
              </w:rPr>
              <w:tab/>
            </w:r>
            <w:r w:rsidR="00A96E9E">
              <w:rPr>
                <w:noProof/>
                <w:webHidden/>
              </w:rPr>
              <w:tab/>
            </w:r>
            <w:r w:rsidR="00A96E9E">
              <w:rPr>
                <w:noProof/>
                <w:webHidden/>
              </w:rPr>
              <w:tab/>
            </w:r>
            <w:r w:rsidR="00A96E9E">
              <w:rPr>
                <w:noProof/>
                <w:webHidden/>
              </w:rPr>
              <w:tab/>
            </w:r>
            <w:r w:rsidR="00A96E9E">
              <w:rPr>
                <w:noProof/>
                <w:webHidden/>
              </w:rPr>
              <w:tab/>
            </w:r>
            <w:r w:rsidR="00A96E9E">
              <w:rPr>
                <w:noProof/>
                <w:webHidden/>
              </w:rPr>
              <w:tab/>
            </w:r>
            <w:r w:rsidR="00A96E9E">
              <w:rPr>
                <w:noProof/>
                <w:webHidden/>
              </w:rPr>
              <w:tab/>
            </w:r>
            <w:r w:rsidR="00A96E9E">
              <w:rPr>
                <w:noProof/>
                <w:webHidden/>
              </w:rPr>
              <w:tab/>
            </w:r>
            <w:r w:rsidR="00A96E9E">
              <w:rPr>
                <w:noProof/>
                <w:webHidden/>
              </w:rPr>
              <w:tab/>
            </w:r>
            <w:r w:rsidR="00B81201">
              <w:rPr>
                <w:noProof/>
                <w:webHidden/>
              </w:rPr>
              <w:t xml:space="preserve">pg. </w:t>
            </w:r>
            <w:r w:rsidRPr="00D97DE7">
              <w:rPr>
                <w:noProof/>
                <w:webHidden/>
              </w:rPr>
              <w:fldChar w:fldCharType="begin"/>
            </w:r>
            <w:r w:rsidRPr="00D97DE7">
              <w:rPr>
                <w:noProof/>
                <w:webHidden/>
              </w:rPr>
              <w:instrText xml:space="preserve"> PAGEREF _Toc178245256 \h </w:instrText>
            </w:r>
            <w:r w:rsidRPr="00D97DE7">
              <w:rPr>
                <w:noProof/>
                <w:webHidden/>
              </w:rPr>
            </w:r>
            <w:r w:rsidRPr="00D97DE7">
              <w:rPr>
                <w:noProof/>
                <w:webHidden/>
              </w:rPr>
              <w:fldChar w:fldCharType="separate"/>
            </w:r>
            <w:r w:rsidR="0077235B">
              <w:rPr>
                <w:noProof/>
                <w:webHidden/>
              </w:rPr>
              <w:t>3</w:t>
            </w:r>
            <w:r w:rsidRPr="00D97DE7">
              <w:rPr>
                <w:noProof/>
                <w:webHidden/>
              </w:rPr>
              <w:fldChar w:fldCharType="end"/>
            </w:r>
          </w:hyperlink>
        </w:p>
        <w:p w:rsidRPr="00D97DE7" w:rsidR="00885F9F" w:rsidP="00D97DE7" w:rsidRDefault="00D3691D" w14:paraId="083500C1" w14:textId="470CBE32">
          <w:pPr>
            <w:pStyle w:val="Inhopg2"/>
            <w:rPr>
              <w:rFonts w:eastAsiaTheme="minorEastAsia"/>
              <w:noProof/>
            </w:rPr>
          </w:pPr>
          <w:hyperlink w:history="1" w:anchor="_Toc178245257">
            <w:r w:rsidRPr="00D97DE7" w:rsidR="00885F9F">
              <w:rPr>
                <w:rStyle w:val="Hyperlink"/>
                <w:rFonts w:eastAsiaTheme="majorEastAsia"/>
                <w:i w:val="0"/>
                <w:noProof/>
                <w:color w:val="0066A4"/>
                <w:u w:val="none"/>
              </w:rPr>
              <w:t>1.</w:t>
            </w:r>
            <w:r w:rsidRPr="00D97DE7" w:rsidR="00885F9F">
              <w:rPr>
                <w:rFonts w:eastAsiaTheme="minorEastAsia"/>
                <w:noProof/>
              </w:rPr>
              <w:tab/>
            </w:r>
            <w:r w:rsidRPr="00D97DE7" w:rsidR="00885F9F">
              <w:rPr>
                <w:rStyle w:val="Hyperlink"/>
                <w:rFonts w:eastAsiaTheme="majorEastAsia"/>
                <w:i w:val="0"/>
                <w:noProof/>
                <w:color w:val="0066A4"/>
                <w:u w:val="none"/>
              </w:rPr>
              <w:t>Wat is de huidige prijsbijstellingssystematiek?</w:t>
            </w:r>
            <w:r w:rsidRPr="00D97DE7" w:rsidR="00885F9F">
              <w:rPr>
                <w:noProof/>
                <w:webHidden/>
              </w:rPr>
              <w:tab/>
            </w:r>
            <w:r w:rsidR="00A96E9E">
              <w:rPr>
                <w:noProof/>
                <w:webHidden/>
              </w:rPr>
              <w:tab/>
            </w:r>
            <w:r w:rsidR="00A96E9E">
              <w:rPr>
                <w:noProof/>
                <w:webHidden/>
              </w:rPr>
              <w:tab/>
            </w:r>
            <w:r w:rsidR="00A96E9E">
              <w:rPr>
                <w:noProof/>
                <w:webHidden/>
              </w:rPr>
              <w:tab/>
            </w:r>
            <w:r w:rsidR="00A96E9E">
              <w:rPr>
                <w:noProof/>
                <w:webHidden/>
              </w:rPr>
              <w:tab/>
            </w:r>
            <w:r w:rsidR="00B81201">
              <w:rPr>
                <w:noProof/>
                <w:webHidden/>
              </w:rPr>
              <w:t xml:space="preserve">pg. </w:t>
            </w:r>
            <w:r w:rsidRPr="00D97DE7" w:rsidR="00885F9F">
              <w:rPr>
                <w:noProof/>
                <w:webHidden/>
              </w:rPr>
              <w:fldChar w:fldCharType="begin"/>
            </w:r>
            <w:r w:rsidRPr="00D97DE7" w:rsidR="00885F9F">
              <w:rPr>
                <w:noProof/>
                <w:webHidden/>
              </w:rPr>
              <w:instrText xml:space="preserve"> PAGEREF _Toc178245257 \h </w:instrText>
            </w:r>
            <w:r w:rsidRPr="00D97DE7" w:rsidR="00885F9F">
              <w:rPr>
                <w:noProof/>
                <w:webHidden/>
              </w:rPr>
            </w:r>
            <w:r w:rsidRPr="00D97DE7" w:rsidR="00885F9F">
              <w:rPr>
                <w:noProof/>
                <w:webHidden/>
              </w:rPr>
              <w:fldChar w:fldCharType="separate"/>
            </w:r>
            <w:r w:rsidR="0077235B">
              <w:rPr>
                <w:noProof/>
                <w:webHidden/>
              </w:rPr>
              <w:t>4</w:t>
            </w:r>
            <w:r w:rsidRPr="00D97DE7" w:rsidR="00885F9F">
              <w:rPr>
                <w:noProof/>
                <w:webHidden/>
              </w:rPr>
              <w:fldChar w:fldCharType="end"/>
            </w:r>
          </w:hyperlink>
        </w:p>
        <w:p w:rsidRPr="00D97DE7" w:rsidR="00885F9F" w:rsidP="00D97DE7" w:rsidRDefault="00D3691D" w14:paraId="746AAA87" w14:textId="69552335">
          <w:pPr>
            <w:pStyle w:val="Inhopg2"/>
            <w:rPr>
              <w:rFonts w:eastAsiaTheme="minorEastAsia"/>
              <w:noProof/>
            </w:rPr>
          </w:pPr>
          <w:hyperlink w:history="1" w:anchor="_Toc178245258">
            <w:r w:rsidRPr="00D97DE7" w:rsidR="00885F9F">
              <w:rPr>
                <w:rStyle w:val="Hyperlink"/>
                <w:rFonts w:eastAsiaTheme="majorEastAsia"/>
                <w:i w:val="0"/>
                <w:noProof/>
                <w:color w:val="0066A4"/>
                <w:u w:val="none"/>
              </w:rPr>
              <w:t>2.</w:t>
            </w:r>
            <w:r w:rsidRPr="00D97DE7" w:rsidR="00885F9F">
              <w:rPr>
                <w:rFonts w:eastAsiaTheme="minorEastAsia"/>
                <w:noProof/>
              </w:rPr>
              <w:tab/>
            </w:r>
            <w:r w:rsidRPr="00D97DE7" w:rsidR="00885F9F">
              <w:rPr>
                <w:rStyle w:val="Hyperlink"/>
                <w:rFonts w:eastAsiaTheme="majorEastAsia"/>
                <w:i w:val="0"/>
                <w:noProof/>
                <w:color w:val="0066A4"/>
                <w:u w:val="none"/>
              </w:rPr>
              <w:t>Wat zijn voordelen en nadelen van de huidige systematiek?</w:t>
            </w:r>
            <w:r w:rsidRPr="00D97DE7" w:rsidR="00885F9F">
              <w:rPr>
                <w:noProof/>
                <w:webHidden/>
              </w:rPr>
              <w:tab/>
            </w:r>
            <w:r w:rsidR="00A96E9E">
              <w:rPr>
                <w:noProof/>
                <w:webHidden/>
              </w:rPr>
              <w:tab/>
            </w:r>
            <w:r w:rsidR="00A96E9E">
              <w:rPr>
                <w:noProof/>
                <w:webHidden/>
              </w:rPr>
              <w:tab/>
            </w:r>
            <w:r w:rsidR="00B81201">
              <w:rPr>
                <w:noProof/>
                <w:webHidden/>
              </w:rPr>
              <w:t xml:space="preserve">pg. </w:t>
            </w:r>
            <w:r w:rsidRPr="00D97DE7" w:rsidR="00885F9F">
              <w:rPr>
                <w:noProof/>
                <w:webHidden/>
              </w:rPr>
              <w:fldChar w:fldCharType="begin"/>
            </w:r>
            <w:r w:rsidRPr="00D97DE7" w:rsidR="00885F9F">
              <w:rPr>
                <w:noProof/>
                <w:webHidden/>
              </w:rPr>
              <w:instrText xml:space="preserve"> PAGEREF _Toc178245258 \h </w:instrText>
            </w:r>
            <w:r w:rsidRPr="00D97DE7" w:rsidR="00885F9F">
              <w:rPr>
                <w:noProof/>
                <w:webHidden/>
              </w:rPr>
            </w:r>
            <w:r w:rsidRPr="00D97DE7" w:rsidR="00885F9F">
              <w:rPr>
                <w:noProof/>
                <w:webHidden/>
              </w:rPr>
              <w:fldChar w:fldCharType="separate"/>
            </w:r>
            <w:r w:rsidR="0077235B">
              <w:rPr>
                <w:noProof/>
                <w:webHidden/>
              </w:rPr>
              <w:t>5</w:t>
            </w:r>
            <w:r w:rsidRPr="00D97DE7" w:rsidR="00885F9F">
              <w:rPr>
                <w:noProof/>
                <w:webHidden/>
              </w:rPr>
              <w:fldChar w:fldCharType="end"/>
            </w:r>
          </w:hyperlink>
        </w:p>
        <w:p w:rsidRPr="00D97DE7" w:rsidR="00885F9F" w:rsidP="00D97DE7" w:rsidRDefault="00D3691D" w14:paraId="3B1CE2A5" w14:textId="35135183">
          <w:pPr>
            <w:pStyle w:val="Inhopg2"/>
            <w:rPr>
              <w:rFonts w:eastAsiaTheme="minorEastAsia"/>
              <w:noProof/>
            </w:rPr>
          </w:pPr>
          <w:hyperlink w:history="1" w:anchor="_Toc178245259">
            <w:r w:rsidRPr="00D97DE7" w:rsidR="00885F9F">
              <w:rPr>
                <w:rStyle w:val="Hyperlink"/>
                <w:rFonts w:eastAsiaTheme="majorEastAsia"/>
                <w:i w:val="0"/>
                <w:noProof/>
                <w:color w:val="0066A4"/>
                <w:u w:val="none"/>
              </w:rPr>
              <w:t>3.</w:t>
            </w:r>
            <w:r w:rsidRPr="00D97DE7" w:rsidR="00885F9F">
              <w:rPr>
                <w:rFonts w:eastAsiaTheme="minorEastAsia"/>
                <w:noProof/>
              </w:rPr>
              <w:tab/>
            </w:r>
            <w:r w:rsidRPr="00D97DE7" w:rsidR="00885F9F">
              <w:rPr>
                <w:rStyle w:val="Hyperlink"/>
                <w:rFonts w:eastAsiaTheme="majorEastAsia"/>
                <w:i w:val="0"/>
                <w:noProof/>
                <w:color w:val="0066A4"/>
                <w:u w:val="none"/>
              </w:rPr>
              <w:t>Welke indices zijn voorhanden om de prijsontwikkeling te volgen voor projecten binnen het Mobiliteitsfonds en Deltafonds?</w:t>
            </w:r>
            <w:r w:rsidRPr="00D97DE7" w:rsidR="00885F9F">
              <w:rPr>
                <w:noProof/>
                <w:webHidden/>
              </w:rPr>
              <w:tab/>
            </w:r>
            <w:r w:rsidR="00A96E9E">
              <w:rPr>
                <w:noProof/>
                <w:webHidden/>
              </w:rPr>
              <w:tab/>
            </w:r>
            <w:r w:rsidR="00A96E9E">
              <w:rPr>
                <w:noProof/>
                <w:webHidden/>
              </w:rPr>
              <w:tab/>
            </w:r>
            <w:r w:rsidR="00A96E9E">
              <w:rPr>
                <w:noProof/>
                <w:webHidden/>
              </w:rPr>
              <w:tab/>
            </w:r>
            <w:r w:rsidR="00A96E9E">
              <w:rPr>
                <w:noProof/>
                <w:webHidden/>
              </w:rPr>
              <w:tab/>
            </w:r>
            <w:r w:rsidR="00B81201">
              <w:rPr>
                <w:noProof/>
                <w:webHidden/>
              </w:rPr>
              <w:t xml:space="preserve">pg. </w:t>
            </w:r>
            <w:r w:rsidRPr="00D97DE7" w:rsidR="00885F9F">
              <w:rPr>
                <w:noProof/>
                <w:webHidden/>
              </w:rPr>
              <w:fldChar w:fldCharType="begin"/>
            </w:r>
            <w:r w:rsidRPr="00D97DE7" w:rsidR="00885F9F">
              <w:rPr>
                <w:noProof/>
                <w:webHidden/>
              </w:rPr>
              <w:instrText xml:space="preserve"> PAGEREF _Toc178245259 \h </w:instrText>
            </w:r>
            <w:r w:rsidRPr="00D97DE7" w:rsidR="00885F9F">
              <w:rPr>
                <w:noProof/>
                <w:webHidden/>
              </w:rPr>
            </w:r>
            <w:r w:rsidRPr="00D97DE7" w:rsidR="00885F9F">
              <w:rPr>
                <w:noProof/>
                <w:webHidden/>
              </w:rPr>
              <w:fldChar w:fldCharType="separate"/>
            </w:r>
            <w:r w:rsidR="0077235B">
              <w:rPr>
                <w:noProof/>
                <w:webHidden/>
              </w:rPr>
              <w:t>6</w:t>
            </w:r>
            <w:r w:rsidRPr="00D97DE7" w:rsidR="00885F9F">
              <w:rPr>
                <w:noProof/>
                <w:webHidden/>
              </w:rPr>
              <w:fldChar w:fldCharType="end"/>
            </w:r>
          </w:hyperlink>
        </w:p>
        <w:p w:rsidRPr="00D97DE7" w:rsidR="00885F9F" w:rsidP="00D97DE7" w:rsidRDefault="00D3691D" w14:paraId="5E2FB978" w14:textId="22245AAE">
          <w:pPr>
            <w:pStyle w:val="Inhopg2"/>
            <w:rPr>
              <w:rFonts w:eastAsiaTheme="minorEastAsia"/>
              <w:noProof/>
            </w:rPr>
          </w:pPr>
          <w:hyperlink w:history="1" w:anchor="_Toc178245260">
            <w:r w:rsidRPr="00D97DE7" w:rsidR="00885F9F">
              <w:rPr>
                <w:rStyle w:val="Hyperlink"/>
                <w:rFonts w:eastAsiaTheme="majorEastAsia"/>
                <w:i w:val="0"/>
                <w:noProof/>
                <w:color w:val="0066A4"/>
                <w:u w:val="none"/>
              </w:rPr>
              <w:t>4.</w:t>
            </w:r>
            <w:r w:rsidRPr="00D97DE7" w:rsidR="00885F9F">
              <w:rPr>
                <w:rFonts w:eastAsiaTheme="minorEastAsia"/>
                <w:noProof/>
              </w:rPr>
              <w:tab/>
            </w:r>
            <w:r w:rsidRPr="00D97DE7" w:rsidR="00885F9F">
              <w:rPr>
                <w:rStyle w:val="Hyperlink"/>
                <w:rFonts w:eastAsiaTheme="majorEastAsia"/>
                <w:i w:val="0"/>
                <w:noProof/>
                <w:color w:val="0066A4"/>
                <w:u w:val="none"/>
              </w:rPr>
              <w:t>In welke mate komt het verloop van de indices overeen met de voor de fondsen ontvangen prijsbijstellingen?</w:t>
            </w:r>
            <w:r w:rsidRPr="00D97DE7" w:rsidR="00885F9F">
              <w:rPr>
                <w:noProof/>
                <w:webHidden/>
              </w:rPr>
              <w:tab/>
            </w:r>
            <w:r w:rsidR="00A96E9E">
              <w:rPr>
                <w:noProof/>
                <w:webHidden/>
              </w:rPr>
              <w:tab/>
            </w:r>
            <w:r w:rsidR="00A96E9E">
              <w:rPr>
                <w:noProof/>
                <w:webHidden/>
              </w:rPr>
              <w:tab/>
            </w:r>
            <w:r w:rsidR="00A96E9E">
              <w:rPr>
                <w:noProof/>
                <w:webHidden/>
              </w:rPr>
              <w:tab/>
            </w:r>
            <w:r w:rsidR="00A96E9E">
              <w:rPr>
                <w:noProof/>
                <w:webHidden/>
              </w:rPr>
              <w:tab/>
            </w:r>
            <w:r w:rsidR="00A96E9E">
              <w:rPr>
                <w:noProof/>
                <w:webHidden/>
              </w:rPr>
              <w:tab/>
            </w:r>
            <w:r w:rsidR="00B81201">
              <w:rPr>
                <w:noProof/>
                <w:webHidden/>
              </w:rPr>
              <w:t xml:space="preserve">          pg. </w:t>
            </w:r>
            <w:r w:rsidRPr="00D97DE7" w:rsidR="00885F9F">
              <w:rPr>
                <w:noProof/>
                <w:webHidden/>
              </w:rPr>
              <w:fldChar w:fldCharType="begin"/>
            </w:r>
            <w:r w:rsidRPr="00D97DE7" w:rsidR="00885F9F">
              <w:rPr>
                <w:noProof/>
                <w:webHidden/>
              </w:rPr>
              <w:instrText xml:space="preserve"> PAGEREF _Toc178245260 \h </w:instrText>
            </w:r>
            <w:r w:rsidRPr="00D97DE7" w:rsidR="00885F9F">
              <w:rPr>
                <w:noProof/>
                <w:webHidden/>
              </w:rPr>
            </w:r>
            <w:r w:rsidRPr="00D97DE7" w:rsidR="00885F9F">
              <w:rPr>
                <w:noProof/>
                <w:webHidden/>
              </w:rPr>
              <w:fldChar w:fldCharType="separate"/>
            </w:r>
            <w:r w:rsidR="0077235B">
              <w:rPr>
                <w:noProof/>
                <w:webHidden/>
              </w:rPr>
              <w:t>11</w:t>
            </w:r>
            <w:r w:rsidRPr="00D97DE7" w:rsidR="00885F9F">
              <w:rPr>
                <w:noProof/>
                <w:webHidden/>
              </w:rPr>
              <w:fldChar w:fldCharType="end"/>
            </w:r>
          </w:hyperlink>
        </w:p>
        <w:p w:rsidRPr="00D97DE7" w:rsidR="00885F9F" w:rsidP="00D97DE7" w:rsidRDefault="00D3691D" w14:paraId="67EB0F27" w14:textId="04952A00">
          <w:pPr>
            <w:pStyle w:val="Inhopg2"/>
            <w:rPr>
              <w:rFonts w:eastAsiaTheme="minorEastAsia"/>
              <w:noProof/>
            </w:rPr>
          </w:pPr>
          <w:hyperlink w:history="1" w:anchor="_Toc178245261">
            <w:r w:rsidRPr="00D97DE7" w:rsidR="00885F9F">
              <w:rPr>
                <w:rStyle w:val="Hyperlink"/>
                <w:rFonts w:eastAsiaTheme="majorEastAsia"/>
                <w:i w:val="0"/>
                <w:noProof/>
                <w:color w:val="0066A4"/>
                <w:u w:val="none"/>
              </w:rPr>
              <w:t>5.</w:t>
            </w:r>
            <w:r w:rsidRPr="00D97DE7" w:rsidR="00885F9F">
              <w:rPr>
                <w:rFonts w:eastAsiaTheme="minorEastAsia"/>
                <w:noProof/>
              </w:rPr>
              <w:tab/>
            </w:r>
            <w:r w:rsidRPr="00D97DE7" w:rsidR="00885F9F">
              <w:rPr>
                <w:rStyle w:val="Hyperlink"/>
                <w:rFonts w:eastAsiaTheme="majorEastAsia"/>
                <w:i w:val="0"/>
                <w:noProof/>
                <w:color w:val="0066A4"/>
                <w:u w:val="none"/>
              </w:rPr>
              <w:t>In hoeverre verloopt de kostenontwikkeling binnen infrastructuurprojecten gelijk aan de indices?</w:t>
            </w:r>
            <w:r w:rsidRPr="00D97DE7" w:rsidR="00885F9F">
              <w:rPr>
                <w:noProof/>
                <w:webHidden/>
              </w:rPr>
              <w:tab/>
            </w:r>
            <w:r w:rsidR="00B81201">
              <w:rPr>
                <w:noProof/>
                <w:webHidden/>
              </w:rPr>
              <w:tab/>
            </w:r>
            <w:r w:rsidR="00B81201">
              <w:rPr>
                <w:noProof/>
                <w:webHidden/>
              </w:rPr>
              <w:tab/>
            </w:r>
            <w:r w:rsidR="00B81201">
              <w:rPr>
                <w:noProof/>
                <w:webHidden/>
              </w:rPr>
              <w:tab/>
            </w:r>
            <w:r w:rsidR="00B81201">
              <w:rPr>
                <w:noProof/>
                <w:webHidden/>
              </w:rPr>
              <w:tab/>
            </w:r>
            <w:r w:rsidR="00B81201">
              <w:rPr>
                <w:noProof/>
                <w:webHidden/>
              </w:rPr>
              <w:tab/>
            </w:r>
            <w:r w:rsidR="00B81201">
              <w:rPr>
                <w:noProof/>
                <w:webHidden/>
              </w:rPr>
              <w:tab/>
            </w:r>
            <w:r w:rsidR="00B81201">
              <w:rPr>
                <w:noProof/>
                <w:webHidden/>
              </w:rPr>
              <w:tab/>
              <w:t xml:space="preserve">          pg. </w:t>
            </w:r>
            <w:r w:rsidRPr="00D97DE7" w:rsidR="00885F9F">
              <w:rPr>
                <w:noProof/>
                <w:webHidden/>
              </w:rPr>
              <w:fldChar w:fldCharType="begin"/>
            </w:r>
            <w:r w:rsidRPr="00D97DE7" w:rsidR="00885F9F">
              <w:rPr>
                <w:noProof/>
                <w:webHidden/>
              </w:rPr>
              <w:instrText xml:space="preserve"> PAGEREF _Toc178245261 \h </w:instrText>
            </w:r>
            <w:r w:rsidRPr="00D97DE7" w:rsidR="00885F9F">
              <w:rPr>
                <w:noProof/>
                <w:webHidden/>
              </w:rPr>
            </w:r>
            <w:r w:rsidRPr="00D97DE7" w:rsidR="00885F9F">
              <w:rPr>
                <w:noProof/>
                <w:webHidden/>
              </w:rPr>
              <w:fldChar w:fldCharType="separate"/>
            </w:r>
            <w:r w:rsidR="0077235B">
              <w:rPr>
                <w:noProof/>
                <w:webHidden/>
              </w:rPr>
              <w:t>15</w:t>
            </w:r>
            <w:r w:rsidRPr="00D97DE7" w:rsidR="00885F9F">
              <w:rPr>
                <w:noProof/>
                <w:webHidden/>
              </w:rPr>
              <w:fldChar w:fldCharType="end"/>
            </w:r>
          </w:hyperlink>
        </w:p>
        <w:p w:rsidR="00885F9F" w:rsidP="00D97DE7" w:rsidRDefault="00885F9F" w14:paraId="0990D731" w14:textId="5FF0A6E5">
          <w:pPr>
            <w:pStyle w:val="Inhopg2"/>
          </w:pPr>
          <w:r w:rsidRPr="00D97DE7">
            <w:fldChar w:fldCharType="end"/>
          </w:r>
        </w:p>
      </w:sdtContent>
    </w:sdt>
    <w:p w:rsidR="00B81201" w:rsidP="00B81201" w:rsidRDefault="00B81201" w14:paraId="36113786" w14:textId="77777777">
      <w:pPr>
        <w:rPr>
          <w:rFonts w:cs="Calibri (Hoofdtekst)" w:asciiTheme="minorHAnsi" w:hAnsiTheme="minorHAnsi"/>
          <w:iCs/>
          <w:color w:val="0066A4"/>
          <w:sz w:val="26"/>
          <w:szCs w:val="20"/>
        </w:rPr>
      </w:pPr>
    </w:p>
    <w:p w:rsidRPr="00B81201" w:rsidR="00B81201" w:rsidP="00B81201" w:rsidRDefault="00B81201" w14:paraId="07B63118" w14:textId="73860A95">
      <w:pPr>
        <w:tabs>
          <w:tab w:val="left" w:pos="6320"/>
        </w:tabs>
      </w:pPr>
      <w:r>
        <w:tab/>
      </w:r>
    </w:p>
    <w:p w:rsidRPr="00F97747" w:rsidR="004B7274" w:rsidP="004B7274" w:rsidRDefault="004B7274" w14:paraId="6F161F0C" w14:textId="55B8578D">
      <w:pPr>
        <w:pStyle w:val="FINKopSamenvatting"/>
      </w:pPr>
      <w:bookmarkStart w:name="_Toc178245256" w:id="1"/>
      <w:r>
        <w:lastRenderedPageBreak/>
        <w:t>Inleiding</w:t>
      </w:r>
      <w:bookmarkEnd w:id="1"/>
    </w:p>
    <w:p w:rsidRPr="00BC162B" w:rsidR="00BC162B" w:rsidP="00B0591C" w:rsidRDefault="00BC162B" w14:paraId="1DDAEB09" w14:textId="77777777">
      <w:pPr>
        <w:spacing w:after="0" w:line="276" w:lineRule="auto"/>
        <w:jc w:val="both"/>
      </w:pPr>
      <w:r w:rsidRPr="00BC162B">
        <w:t xml:space="preserve">Op 25 januari 2024 heeft de Tweede Kamer de motie van het lid </w:t>
      </w:r>
      <w:proofErr w:type="spellStart"/>
      <w:r w:rsidRPr="00BC162B">
        <w:t>Grinwis</w:t>
      </w:r>
      <w:proofErr w:type="spellEnd"/>
      <w:r w:rsidRPr="00BC162B">
        <w:t xml:space="preserve"> c.s. aangenomen. In deze motie vraagt de Kamer om: </w:t>
      </w:r>
    </w:p>
    <w:p w:rsidRPr="00BC162B" w:rsidR="00BC162B" w:rsidP="00B0591C" w:rsidRDefault="00BC162B" w14:paraId="727777A8" w14:textId="77777777">
      <w:pPr>
        <w:spacing w:after="0" w:line="276" w:lineRule="auto"/>
        <w:jc w:val="both"/>
      </w:pPr>
    </w:p>
    <w:p w:rsidRPr="00BC162B" w:rsidR="00BC162B" w:rsidP="00365602" w:rsidRDefault="00BC162B" w14:paraId="6C365B7E" w14:textId="77777777">
      <w:pPr>
        <w:numPr>
          <w:ilvl w:val="0"/>
          <w:numId w:val="38"/>
        </w:numPr>
        <w:spacing w:after="0" w:line="276" w:lineRule="auto"/>
      </w:pPr>
      <w:r w:rsidRPr="00BC162B">
        <w:t>Een evaluatie uit te voeren naar de prijsbijstellingssystematiek voor investeringen uit het Mobiliteitsfonds en Deltafonds in het afgelopen decennium;</w:t>
      </w:r>
    </w:p>
    <w:p w:rsidR="00365602" w:rsidP="00D97DE7" w:rsidRDefault="00BC162B" w14:paraId="1D143A34" w14:textId="77777777">
      <w:pPr>
        <w:numPr>
          <w:ilvl w:val="0"/>
          <w:numId w:val="38"/>
        </w:numPr>
        <w:spacing w:after="0" w:line="276" w:lineRule="auto"/>
        <w:jc w:val="both"/>
      </w:pPr>
      <w:r w:rsidRPr="00BC162B">
        <w:t xml:space="preserve">Daarbij </w:t>
      </w:r>
      <w:proofErr w:type="gramStart"/>
      <w:r w:rsidRPr="00BC162B">
        <w:t>tevens</w:t>
      </w:r>
      <w:proofErr w:type="gramEnd"/>
      <w:r w:rsidRPr="00BC162B">
        <w:t xml:space="preserve"> vooruit te blikken op het komende decennium en; </w:t>
      </w:r>
    </w:p>
    <w:p w:rsidR="004B7274" w:rsidP="00365602" w:rsidRDefault="00BC162B" w14:paraId="4FD2C657" w14:textId="2DF4A2BF">
      <w:pPr>
        <w:numPr>
          <w:ilvl w:val="0"/>
          <w:numId w:val="38"/>
        </w:numPr>
        <w:spacing w:after="0" w:line="276" w:lineRule="auto"/>
      </w:pPr>
      <w:r w:rsidRPr="00BC162B">
        <w:t xml:space="preserve">Waar nodig en mogelijk met verbetervoorstellen te </w:t>
      </w:r>
      <w:r w:rsidRPr="00D97DE7">
        <w:t>komen</w:t>
      </w:r>
      <w:r w:rsidRPr="00BC162B">
        <w:t xml:space="preserve"> zodat de prijsbijstellingssystematiek de reële kostenontwikkeling structureel bijhoudt</w:t>
      </w:r>
      <w:r w:rsidRPr="008A74B7" w:rsidR="004B7274">
        <w:t>.”</w:t>
      </w:r>
      <w:r w:rsidRPr="008A74B7" w:rsidR="004B7274">
        <w:rPr>
          <w:rStyle w:val="Voetnootmarkering"/>
        </w:rPr>
        <w:footnoteReference w:id="1"/>
      </w:r>
    </w:p>
    <w:p w:rsidRPr="008A74B7" w:rsidR="004B7274" w:rsidP="00B0591C" w:rsidRDefault="004B7274" w14:paraId="640FCDB2" w14:textId="77777777">
      <w:pPr>
        <w:spacing w:after="0" w:line="276" w:lineRule="auto"/>
        <w:jc w:val="both"/>
      </w:pPr>
    </w:p>
    <w:p w:rsidR="004B7274" w:rsidP="00B0591C" w:rsidRDefault="004B7274" w14:paraId="4D531A8D" w14:textId="051C87A6">
      <w:pPr>
        <w:spacing w:after="0" w:line="276" w:lineRule="auto"/>
        <w:jc w:val="both"/>
      </w:pPr>
      <w:r w:rsidRPr="008A74B7">
        <w:t xml:space="preserve">Om aan de motie te kunnen voldoen hebben </w:t>
      </w:r>
      <w:r>
        <w:t>het ministerie</w:t>
      </w:r>
      <w:r w:rsidRPr="008A74B7">
        <w:t xml:space="preserve"> van Financiën en</w:t>
      </w:r>
      <w:r>
        <w:t xml:space="preserve"> het ministerie</w:t>
      </w:r>
      <w:r w:rsidRPr="008A74B7">
        <w:t xml:space="preserve"> van Infrastructuur en Waterstaat</w:t>
      </w:r>
      <w:r>
        <w:t xml:space="preserve"> (IenW)</w:t>
      </w:r>
      <w:r w:rsidRPr="008A74B7">
        <w:t xml:space="preserve"> samen de huidige </w:t>
      </w:r>
      <w:r>
        <w:t>prijsbijstellingssystematiek voor investeringen uit het Mobiliteitsfonds en Deltafonds geëvalueerd zoals verzocht in het eerste onderdeel van de motie</w:t>
      </w:r>
      <w:r w:rsidR="00BC162B">
        <w:t>.</w:t>
      </w:r>
      <w:r w:rsidRPr="008A74B7">
        <w:t xml:space="preserve"> </w:t>
      </w:r>
    </w:p>
    <w:p w:rsidRPr="008A74B7" w:rsidR="004B7274" w:rsidP="00B0591C" w:rsidRDefault="004B7274" w14:paraId="082E7ADA" w14:textId="77777777">
      <w:pPr>
        <w:spacing w:after="0" w:line="276" w:lineRule="auto"/>
      </w:pPr>
    </w:p>
    <w:p w:rsidRPr="008A74B7" w:rsidR="004B7274" w:rsidP="00B0591C" w:rsidRDefault="004B7274" w14:paraId="7A2BB8AF" w14:textId="77777777">
      <w:pPr>
        <w:spacing w:after="0" w:line="276" w:lineRule="auto"/>
      </w:pPr>
      <w:r w:rsidRPr="008A74B7">
        <w:t xml:space="preserve">De evaluatie valt uiteen in </w:t>
      </w:r>
      <w:r>
        <w:t>vijf</w:t>
      </w:r>
      <w:r w:rsidRPr="008A74B7">
        <w:t xml:space="preserve"> verschillende deelvragen:</w:t>
      </w:r>
    </w:p>
    <w:p w:rsidRPr="008A74B7" w:rsidR="004B7274" w:rsidP="00B0591C" w:rsidRDefault="004B7274" w14:paraId="7A591A51" w14:textId="77777777">
      <w:pPr>
        <w:numPr>
          <w:ilvl w:val="0"/>
          <w:numId w:val="27"/>
        </w:numPr>
        <w:spacing w:after="0" w:line="276" w:lineRule="auto"/>
        <w:contextualSpacing w:val="0"/>
      </w:pPr>
      <w:r w:rsidRPr="008A74B7">
        <w:t xml:space="preserve">Wat is de huidige </w:t>
      </w:r>
      <w:r>
        <w:t>prijsbijstellings</w:t>
      </w:r>
      <w:r w:rsidRPr="008A74B7">
        <w:t>systematiek?</w:t>
      </w:r>
    </w:p>
    <w:p w:rsidRPr="008A74B7" w:rsidR="004B7274" w:rsidP="00B0591C" w:rsidRDefault="004B7274" w14:paraId="4753824C" w14:textId="77777777">
      <w:pPr>
        <w:numPr>
          <w:ilvl w:val="0"/>
          <w:numId w:val="27"/>
        </w:numPr>
        <w:spacing w:after="0" w:line="276" w:lineRule="auto"/>
        <w:contextualSpacing w:val="0"/>
      </w:pPr>
      <w:r w:rsidRPr="008A74B7">
        <w:t xml:space="preserve">Wat zijn voordelen en nadelen van de huidige </w:t>
      </w:r>
      <w:r>
        <w:t>prijsbijstellings</w:t>
      </w:r>
      <w:r w:rsidRPr="008A74B7">
        <w:t>systematiek?</w:t>
      </w:r>
    </w:p>
    <w:p w:rsidRPr="008A74B7" w:rsidR="004B7274" w:rsidP="00B0591C" w:rsidRDefault="004B7274" w14:paraId="69BA7499" w14:textId="77777777">
      <w:pPr>
        <w:numPr>
          <w:ilvl w:val="0"/>
          <w:numId w:val="27"/>
        </w:numPr>
        <w:spacing w:after="0" w:line="276" w:lineRule="auto"/>
        <w:contextualSpacing w:val="0"/>
      </w:pPr>
      <w:r>
        <w:t>W</w:t>
      </w:r>
      <w:r w:rsidRPr="008A74B7">
        <w:t xml:space="preserve">elke indices zijn voorhanden om de prijsontwikkeling te volgen voor </w:t>
      </w:r>
      <w:r>
        <w:t>projecten binnen het Mobiliteitsfonds en het Deltafonds</w:t>
      </w:r>
      <w:r w:rsidRPr="008A74B7">
        <w:t>?</w:t>
      </w:r>
    </w:p>
    <w:p w:rsidRPr="008A74B7" w:rsidR="004B7274" w:rsidP="00B0591C" w:rsidRDefault="004B7274" w14:paraId="31180D5D" w14:textId="77777777">
      <w:pPr>
        <w:numPr>
          <w:ilvl w:val="0"/>
          <w:numId w:val="27"/>
        </w:numPr>
        <w:spacing w:after="0" w:line="276" w:lineRule="auto"/>
        <w:contextualSpacing w:val="0"/>
      </w:pPr>
      <w:r w:rsidRPr="008A74B7">
        <w:t xml:space="preserve">In welke mate komt het verloop van de indices overeen met de voor de fondsen ontvangen </w:t>
      </w:r>
      <w:r>
        <w:t>prijsbijstellingen</w:t>
      </w:r>
      <w:r w:rsidRPr="008A74B7">
        <w:t>?</w:t>
      </w:r>
    </w:p>
    <w:p w:rsidR="004B7274" w:rsidP="00B0591C" w:rsidRDefault="004B7274" w14:paraId="02C58553" w14:textId="77777777">
      <w:pPr>
        <w:numPr>
          <w:ilvl w:val="0"/>
          <w:numId w:val="27"/>
        </w:numPr>
        <w:spacing w:after="0" w:line="276" w:lineRule="auto"/>
        <w:contextualSpacing w:val="0"/>
      </w:pPr>
      <w:r w:rsidRPr="008A74B7">
        <w:t>In hoeverre verloopt de kostenontwikkeling binnen infrastructuurprojecten gelijk aan de indices?</w:t>
      </w:r>
    </w:p>
    <w:p w:rsidR="004B7274" w:rsidP="00B0591C" w:rsidRDefault="004B7274" w14:paraId="6E988123" w14:textId="77777777">
      <w:pPr>
        <w:spacing w:after="0" w:line="276" w:lineRule="auto"/>
      </w:pPr>
    </w:p>
    <w:p w:rsidR="004B7274" w:rsidP="00B0591C" w:rsidRDefault="004B7274" w14:paraId="6B9F2090" w14:textId="294DEBC5">
      <w:pPr>
        <w:spacing w:after="0" w:line="276" w:lineRule="auto"/>
      </w:pPr>
      <w:r>
        <w:t xml:space="preserve">Na een algemene inleiding </w:t>
      </w:r>
      <w:r w:rsidR="00A26536">
        <w:t>over</w:t>
      </w:r>
      <w:r>
        <w:t xml:space="preserve"> de prijsbijstellingssystematiek </w:t>
      </w:r>
      <w:r w:rsidR="009E234C">
        <w:t>en</w:t>
      </w:r>
      <w:r>
        <w:t xml:space="preserve"> de specifieke</w:t>
      </w:r>
      <w:r w:rsidR="00CA6EEA">
        <w:t xml:space="preserve"> </w:t>
      </w:r>
      <w:r>
        <w:t>prijsbijstellingssystematiek voor IenW (</w:t>
      </w:r>
      <w:r w:rsidR="009E234C">
        <w:t>de antwoorden op vragen 1 en 2)</w:t>
      </w:r>
      <w:r>
        <w:t>,</w:t>
      </w:r>
      <w:r w:rsidR="009E234C">
        <w:t xml:space="preserve"> wordt nader ingegaan op de</w:t>
      </w:r>
      <w:r>
        <w:t xml:space="preserve"> beschikbare indices (</w:t>
      </w:r>
      <w:r w:rsidR="00A26536">
        <w:t xml:space="preserve">het </w:t>
      </w:r>
      <w:r>
        <w:t>antwoord op vraag 3), de prijsontwikkeling van de afgelopen jaren (</w:t>
      </w:r>
      <w:r w:rsidR="00A26536">
        <w:t xml:space="preserve">het </w:t>
      </w:r>
      <w:r>
        <w:t>antwoord vraag op 4) en tot slot wordt de kostenontwikkeling binnen infrastructuurprojecten vergelijken met de indices (</w:t>
      </w:r>
      <w:r w:rsidR="00A26536">
        <w:t xml:space="preserve">het </w:t>
      </w:r>
      <w:r>
        <w:t>antwoord op vraag 5).</w:t>
      </w:r>
      <w:r w:rsidRPr="008A74B7">
        <w:t xml:space="preserve"> Deze evaluatie is zelfstandig leesbaar</w:t>
      </w:r>
      <w:r>
        <w:t xml:space="preserve"> en</w:t>
      </w:r>
      <w:r w:rsidRPr="008A74B7">
        <w:t xml:space="preserve"> vormt de basis voor de reactie van het kabinet op de motie van de Tweede Kamer.</w:t>
      </w:r>
    </w:p>
    <w:p w:rsidR="004B7274" w:rsidP="004B7274" w:rsidRDefault="004B7274" w14:paraId="545EAAA6" w14:textId="77777777">
      <w:pPr>
        <w:spacing w:after="0" w:line="240" w:lineRule="atLeast"/>
      </w:pPr>
    </w:p>
    <w:p w:rsidR="004B7274" w:rsidP="004B7274" w:rsidRDefault="004B7274" w14:paraId="0B640DE0" w14:textId="77777777">
      <w:pPr>
        <w:spacing w:after="0" w:line="240" w:lineRule="atLeast"/>
      </w:pPr>
    </w:p>
    <w:p w:rsidR="004B7274" w:rsidP="004B7274" w:rsidRDefault="004B7274" w14:paraId="5B2746C5" w14:textId="77777777">
      <w:pPr>
        <w:spacing w:after="0" w:line="240" w:lineRule="atLeast"/>
      </w:pPr>
    </w:p>
    <w:p w:rsidR="004B7274" w:rsidP="004B7274" w:rsidRDefault="004B7274" w14:paraId="12604F71" w14:textId="77777777">
      <w:pPr>
        <w:spacing w:after="0" w:line="240" w:lineRule="atLeast"/>
      </w:pPr>
    </w:p>
    <w:p w:rsidR="004B7274" w:rsidP="004B7274" w:rsidRDefault="004B7274" w14:paraId="55773B7B" w14:textId="77777777">
      <w:pPr>
        <w:spacing w:after="0" w:line="240" w:lineRule="atLeast"/>
      </w:pPr>
    </w:p>
    <w:p w:rsidR="004B7274" w:rsidP="004B7274" w:rsidRDefault="004B7274" w14:paraId="3F718BD4" w14:textId="77777777">
      <w:pPr>
        <w:spacing w:after="0" w:line="240" w:lineRule="atLeast"/>
      </w:pPr>
    </w:p>
    <w:p w:rsidR="004B7274" w:rsidP="004B7274" w:rsidRDefault="004B7274" w14:paraId="70D320CA" w14:textId="77777777">
      <w:pPr>
        <w:spacing w:after="0" w:line="240" w:lineRule="atLeast"/>
      </w:pPr>
    </w:p>
    <w:p w:rsidR="004B7274" w:rsidP="004B7274" w:rsidRDefault="004B7274" w14:paraId="3AE22FB7" w14:textId="77777777">
      <w:pPr>
        <w:spacing w:after="0" w:line="240" w:lineRule="atLeast"/>
      </w:pPr>
    </w:p>
    <w:p w:rsidR="004B7274" w:rsidP="004B7274" w:rsidRDefault="004B7274" w14:paraId="3D6B24D2" w14:textId="77777777">
      <w:pPr>
        <w:spacing w:after="0" w:line="240" w:lineRule="atLeast"/>
      </w:pPr>
    </w:p>
    <w:p w:rsidR="004B7274" w:rsidP="004B7274" w:rsidRDefault="004B7274" w14:paraId="3EE23C73" w14:textId="77777777">
      <w:pPr>
        <w:spacing w:after="0" w:line="240" w:lineRule="atLeast"/>
      </w:pPr>
    </w:p>
    <w:p w:rsidR="004B7274" w:rsidP="004B7274" w:rsidRDefault="004B7274" w14:paraId="183F6380" w14:textId="77777777">
      <w:pPr>
        <w:spacing w:after="0" w:line="240" w:lineRule="atLeast"/>
      </w:pPr>
    </w:p>
    <w:p w:rsidR="004B7274" w:rsidP="004B7274" w:rsidRDefault="004B7274" w14:paraId="675B9A36" w14:textId="77777777">
      <w:pPr>
        <w:spacing w:after="0" w:line="240" w:lineRule="atLeast"/>
      </w:pPr>
    </w:p>
    <w:p w:rsidR="004B7274" w:rsidP="004B7274" w:rsidRDefault="004B7274" w14:paraId="3C378481" w14:textId="77777777">
      <w:pPr>
        <w:spacing w:after="0" w:line="240" w:lineRule="atLeast"/>
      </w:pPr>
    </w:p>
    <w:p w:rsidR="004B7274" w:rsidP="004B7274" w:rsidRDefault="004B7274" w14:paraId="799DC8C1" w14:textId="77777777">
      <w:pPr>
        <w:spacing w:after="0" w:line="240" w:lineRule="atLeast"/>
      </w:pPr>
    </w:p>
    <w:p w:rsidR="004B7274" w:rsidP="004B7274" w:rsidRDefault="004B7274" w14:paraId="61CF113A" w14:textId="77777777">
      <w:pPr>
        <w:spacing w:after="0" w:line="240" w:lineRule="atLeast"/>
      </w:pPr>
    </w:p>
    <w:p w:rsidR="004B7274" w:rsidP="004B7274" w:rsidRDefault="004B7274" w14:paraId="7F7D8D5B" w14:textId="77777777">
      <w:pPr>
        <w:spacing w:after="0" w:line="240" w:lineRule="atLeast"/>
      </w:pPr>
    </w:p>
    <w:p w:rsidR="004B7274" w:rsidP="004B7274" w:rsidRDefault="004B7274" w14:paraId="6401FAE9" w14:textId="77777777">
      <w:pPr>
        <w:spacing w:after="0" w:line="240" w:lineRule="atLeast"/>
      </w:pPr>
    </w:p>
    <w:p w:rsidRPr="008A74B7" w:rsidR="004B7274" w:rsidP="004B7274" w:rsidRDefault="004B7274" w14:paraId="3FF05509" w14:textId="77777777">
      <w:pPr>
        <w:spacing w:after="0" w:line="240" w:lineRule="atLeast"/>
      </w:pPr>
    </w:p>
    <w:p w:rsidRPr="009E558A" w:rsidR="004B7274" w:rsidP="009E558A" w:rsidRDefault="004B7274" w14:paraId="24814CC3" w14:textId="671C543D">
      <w:pPr>
        <w:pStyle w:val="Kop1"/>
      </w:pPr>
      <w:bookmarkStart w:name="_Toc178245257" w:id="2"/>
      <w:r w:rsidRPr="009E558A">
        <w:lastRenderedPageBreak/>
        <w:t>Wat is de huidige prijsbijstellingssystematiek?</w:t>
      </w:r>
      <w:bookmarkEnd w:id="2"/>
    </w:p>
    <w:p w:rsidR="0078186A" w:rsidP="0078186A" w:rsidRDefault="0022544D" w14:paraId="5D51BEA6" w14:textId="70D5023C">
      <w:pPr>
        <w:spacing w:after="0" w:line="240" w:lineRule="atLeast"/>
      </w:pPr>
      <w:bookmarkStart w:name="_Hlk178104602" w:id="3"/>
      <w:r w:rsidRPr="0022544D">
        <w:t xml:space="preserve">Over de jaren heen stijgen prijzen in de economie. Als op de begroting geen rekening wordt gehouden met deze ontwikkeling, is het budget voor uitgaven die vandaag worden geraamd, tegen de tijd van besteding (bijvoorbeeld enkele jaren later) onvoldoende waard om (het oorspronkelijke doel van) de uitgave te financieren. Om dit probleem te ondervangen maakt het kabinet gebruik van de prijsbijstellingssystematiek. Bij de besluitvorming over de Voorjaarsnota beslist het kabinet om de voor dat jaar bepaalde prijsbijstelling over te hevelen naar de departementale begrotingen. Departementen bepalen vervolgens zelf hoe zij de prijsbijstelling op hun begroting inzetten, waarbij zij zich uiteraard houden aan wettelijk bindende afspraken met partijen over indexatie (bijvoorbeeld vastgelegd in contracten). Zij kunnen besluiten een deel van de prijsbijstelling in te zetten voor een ander doel dan de gestegen prijzen. Dat gebeurt in de praktijk met regelmaat. </w:t>
      </w:r>
    </w:p>
    <w:p w:rsidR="0078186A" w:rsidP="0078186A" w:rsidRDefault="0078186A" w14:paraId="240BC6D0" w14:textId="77777777">
      <w:pPr>
        <w:spacing w:after="0" w:line="240" w:lineRule="atLeast"/>
      </w:pPr>
    </w:p>
    <w:p w:rsidRPr="0078186A" w:rsidR="0078186A" w:rsidP="0078186A" w:rsidRDefault="0078186A" w14:paraId="72D6F19A" w14:textId="77777777">
      <w:pPr>
        <w:spacing w:after="0" w:line="240" w:lineRule="atLeast"/>
        <w:rPr>
          <w:b/>
          <w:bCs/>
        </w:rPr>
      </w:pPr>
      <w:r w:rsidRPr="0078186A">
        <w:rPr>
          <w:b/>
          <w:bCs/>
        </w:rPr>
        <w:t>Werking van de prijsbijstellingssystematiek</w:t>
      </w:r>
    </w:p>
    <w:p w:rsidR="0078186A" w:rsidP="0078186A" w:rsidRDefault="0078186A" w14:paraId="3AFF8B32" w14:textId="77777777">
      <w:pPr>
        <w:spacing w:after="0" w:line="240" w:lineRule="atLeast"/>
      </w:pPr>
      <w:r>
        <w:t xml:space="preserve">Een prijsstijging in de economie wordt inflatie genoemd. De prijsstijging per product of dienst kan worden verwerkt in een index. Een index is een bepaalde mix van goederen en diensten waarvan de gemiddelde stijging van de prijzen over een bepaalde periode wordt bijgehouden. Het Centraal Bureau voor de Statistiek (CBS) bepaalt de samenstelling van de index. De bekendste index om de inflatie te duiden is de consumentenprijsindex (CPI). Voorbeelden van andere indices zijn de prijsindex materiële overheidsconsumptie (IMOC), de grond- weg- en waterbouw-index (GWW-index) en de index bruto overheidsinvesteringen (IBOI). Per index verschilt de samenstelling van de goederen -en dienstenmix. In de systematiek van de prijsbijstelling maakt het kabinet gebruik van zeven van deze door het CBS bepaalde prijsindices. </w:t>
      </w:r>
    </w:p>
    <w:p w:rsidR="0078186A" w:rsidP="0078186A" w:rsidRDefault="0078186A" w14:paraId="788BC684" w14:textId="77777777">
      <w:pPr>
        <w:spacing w:after="0" w:line="240" w:lineRule="atLeast"/>
      </w:pPr>
    </w:p>
    <w:p w:rsidR="00205F11" w:rsidP="0078186A" w:rsidRDefault="0078186A" w14:paraId="6C2067C8" w14:textId="70F3FC1D">
      <w:pPr>
        <w:spacing w:after="0" w:line="240" w:lineRule="atLeast"/>
      </w:pPr>
      <w:r>
        <w:t xml:space="preserve">Iedere uitgave op de begroting wordt gekoppeld aan de index die het meest aansluit bij het type uitgave. Zo worden uitgaven gerelateerd aan overheidsinvesteringen geïndexeerd met de IBOI en kantooruitgaven met de IMOC. De classificering gebeurt door het verantwoordelijke beleidsdepartement en wordt vervolgens getoetst, in het najaar, door het ministerie van Financiën. Het verloop van de gebruikte prijsindices wordt meerjarig geraamd in de macro economische ramingen van het Centraal Planbureau (CPB). Het gebruik van onafhankelijk geraamde indices van het CPB is </w:t>
      </w:r>
      <w:proofErr w:type="gramStart"/>
      <w:r>
        <w:t>conform</w:t>
      </w:r>
      <w:proofErr w:type="gramEnd"/>
      <w:r>
        <w:t xml:space="preserve"> de wet Houdbare Overheidsfinanciën (de wet HOF). Het kabinet gebruikt de ramingen van het CPB om het daadwerkelijke bedrag van de uit te keren prijsbijstelling te bepalen.</w:t>
      </w:r>
    </w:p>
    <w:p w:rsidR="0078186A" w:rsidP="0078186A" w:rsidRDefault="0078186A" w14:paraId="5D2509C0" w14:textId="77777777">
      <w:pPr>
        <w:spacing w:after="0" w:line="240" w:lineRule="atLeast"/>
      </w:pPr>
    </w:p>
    <w:p w:rsidRPr="00C657B9" w:rsidR="00205F11" w:rsidP="009E234C" w:rsidRDefault="00B40625" w14:paraId="68AFF96C" w14:textId="6CEBB1ED">
      <w:pPr>
        <w:spacing w:after="0" w:line="240" w:lineRule="atLeast"/>
        <w:rPr>
          <w:b/>
          <w:bCs/>
        </w:rPr>
      </w:pPr>
      <w:r w:rsidRPr="00C657B9">
        <w:rPr>
          <w:b/>
          <w:bCs/>
        </w:rPr>
        <w:t>Huidige systematiek IenW</w:t>
      </w:r>
    </w:p>
    <w:p w:rsidRPr="009E234C" w:rsidR="009E234C" w:rsidP="009E234C" w:rsidRDefault="0087686C" w14:paraId="46323325" w14:textId="62105F7B">
      <w:pPr>
        <w:spacing w:after="0" w:line="240" w:lineRule="atLeast"/>
      </w:pPr>
      <w:r w:rsidRPr="00C152BC">
        <w:t xml:space="preserve">Het Mobiliteitsfonds en Deltafonds worden via de IBOI geïndexeerd. </w:t>
      </w:r>
      <w:r w:rsidRPr="009E234C" w:rsidR="009E234C">
        <w:t xml:space="preserve">De IBOI wordt gebruikt omdat deze index gebaseerd is op de door het CPB berekende prijsstijgingen van de bruto investeringen in de collectieve sector. Deze investeringen bestaan onder meer uit infrastructuur, vervoersmiddelen en software. Infrastructuur beslaat ruim 50% van de overheidsinvesteringen en weegt relatief gezien zwaar mee in de IBOI. </w:t>
      </w:r>
    </w:p>
    <w:p w:rsidR="009E234C" w:rsidP="004B7274" w:rsidRDefault="009E234C" w14:paraId="479B1739" w14:textId="77777777">
      <w:pPr>
        <w:spacing w:after="0" w:line="240" w:lineRule="atLeast"/>
      </w:pPr>
    </w:p>
    <w:bookmarkEnd w:id="3"/>
    <w:p w:rsidR="004B7274" w:rsidP="004B7274" w:rsidRDefault="004B7274" w14:paraId="7E2A6551" w14:textId="77777777">
      <w:pPr>
        <w:spacing w:after="0" w:line="240" w:lineRule="atLeast"/>
      </w:pPr>
    </w:p>
    <w:p w:rsidR="0034466E" w:rsidP="004B7274" w:rsidRDefault="0034466E" w14:paraId="1EF7C211" w14:textId="77777777">
      <w:pPr>
        <w:spacing w:after="0" w:line="240" w:lineRule="atLeast"/>
      </w:pPr>
    </w:p>
    <w:p w:rsidR="0034466E" w:rsidP="004B7274" w:rsidRDefault="0034466E" w14:paraId="52E60BCE" w14:textId="77777777">
      <w:pPr>
        <w:spacing w:after="0" w:line="240" w:lineRule="atLeast"/>
      </w:pPr>
    </w:p>
    <w:p w:rsidR="0034466E" w:rsidP="004B7274" w:rsidRDefault="0034466E" w14:paraId="1C3DF52E" w14:textId="77777777">
      <w:pPr>
        <w:spacing w:after="0" w:line="240" w:lineRule="atLeast"/>
      </w:pPr>
    </w:p>
    <w:p w:rsidR="0034466E" w:rsidP="004B7274" w:rsidRDefault="0034466E" w14:paraId="13E602F6" w14:textId="77777777">
      <w:pPr>
        <w:spacing w:after="0" w:line="240" w:lineRule="atLeast"/>
      </w:pPr>
    </w:p>
    <w:p w:rsidR="0034466E" w:rsidP="004B7274" w:rsidRDefault="0034466E" w14:paraId="43B17CE0" w14:textId="77777777">
      <w:pPr>
        <w:spacing w:after="0" w:line="240" w:lineRule="atLeast"/>
      </w:pPr>
    </w:p>
    <w:p w:rsidR="0034466E" w:rsidP="004B7274" w:rsidRDefault="0034466E" w14:paraId="113050DD" w14:textId="77777777">
      <w:pPr>
        <w:spacing w:after="0" w:line="240" w:lineRule="atLeast"/>
      </w:pPr>
    </w:p>
    <w:p w:rsidR="0034466E" w:rsidP="004B7274" w:rsidRDefault="0034466E" w14:paraId="22A87DF2" w14:textId="77777777">
      <w:pPr>
        <w:spacing w:after="0" w:line="240" w:lineRule="atLeast"/>
      </w:pPr>
    </w:p>
    <w:p w:rsidR="0034466E" w:rsidP="004B7274" w:rsidRDefault="0034466E" w14:paraId="1E5C2B6A" w14:textId="77777777">
      <w:pPr>
        <w:spacing w:after="0" w:line="240" w:lineRule="atLeast"/>
      </w:pPr>
    </w:p>
    <w:p w:rsidR="0034466E" w:rsidP="004B7274" w:rsidRDefault="0034466E" w14:paraId="2EA3819C" w14:textId="77777777">
      <w:pPr>
        <w:spacing w:after="0" w:line="240" w:lineRule="atLeast"/>
      </w:pPr>
    </w:p>
    <w:p w:rsidR="0034466E" w:rsidP="004B7274" w:rsidRDefault="0034466E" w14:paraId="6A57DBB6" w14:textId="77777777">
      <w:pPr>
        <w:spacing w:after="0" w:line="240" w:lineRule="atLeast"/>
      </w:pPr>
    </w:p>
    <w:p w:rsidR="0034466E" w:rsidP="004B7274" w:rsidRDefault="0034466E" w14:paraId="2EF47413" w14:textId="77777777">
      <w:pPr>
        <w:spacing w:after="0" w:line="240" w:lineRule="atLeast"/>
      </w:pPr>
    </w:p>
    <w:p w:rsidR="0034466E" w:rsidP="004B7274" w:rsidRDefault="0034466E" w14:paraId="2324BF04" w14:textId="77777777">
      <w:pPr>
        <w:spacing w:after="0" w:line="240" w:lineRule="atLeast"/>
      </w:pPr>
    </w:p>
    <w:p w:rsidR="0034466E" w:rsidP="004B7274" w:rsidRDefault="0034466E" w14:paraId="5D99E42A" w14:textId="77777777">
      <w:pPr>
        <w:spacing w:after="0" w:line="240" w:lineRule="atLeast"/>
      </w:pPr>
    </w:p>
    <w:p w:rsidRPr="009E558A" w:rsidR="004B7274" w:rsidP="009E558A" w:rsidRDefault="004B7274" w14:paraId="3B7DD89A" w14:textId="1FEE1AD4">
      <w:pPr>
        <w:pStyle w:val="Kop1"/>
      </w:pPr>
      <w:bookmarkStart w:name="_Toc178245258" w:id="4"/>
      <w:r w:rsidRPr="009E558A">
        <w:lastRenderedPageBreak/>
        <w:t>Wat zijn voordelen en nadelen van de huidige systematiek?</w:t>
      </w:r>
      <w:bookmarkEnd w:id="4"/>
    </w:p>
    <w:p w:rsidRPr="002E20AC" w:rsidR="002E20AC" w:rsidP="00E7157D" w:rsidRDefault="002E20AC" w14:paraId="4E611E0B" w14:textId="77777777">
      <w:pPr>
        <w:spacing w:after="0" w:line="240" w:lineRule="atLeast"/>
      </w:pPr>
      <w:bookmarkStart w:name="_Hlk178104643" w:id="5"/>
      <w:bookmarkStart w:name="_Hlk178236736" w:id="6"/>
      <w:r w:rsidRPr="002E20AC">
        <w:t xml:space="preserve">Met de prijsbijstellingssystematiek wil het kabinet een deel van de prijsstijgingen die departementen ervaren compenseren. Het beperkte aantal van zeven prijsindices maakt de huidige prijsbijstellingssystematiek uniform en algemeen. Het kan daardoor voorkomen dat de daadwerkelijke prijsstijgingen in een specifieke sector, bijvoorbeeld de grond- weg en waterbouwsector, niet volledig aansluit bij de door het kabinet uitgekeerde prijsbijstelling aan het departement. Departementen kunnen daardoor in het voorjaar meer of minder prijsbijstelling ontvangen ten opzichte van prijsontwikkelingen in de markt. Het is in eerste instantie aan het departement om dit verschil op te vangen. Bij grote afwijkingen tussen de verwachte prijzen en de gerealiseerde prijzen kan het kabinet besluiten om departementen extra te compenseren voor prijsstijgingen zoals bij Voorjaarsnota 2023 is gebeurd. Met deze extra compensatie zijn overigens niet alle prijsstijgingen volledig gecompenseerd. </w:t>
      </w:r>
    </w:p>
    <w:p w:rsidRPr="002E20AC" w:rsidR="002E20AC" w:rsidP="00E7157D" w:rsidRDefault="002E20AC" w14:paraId="7ECA76D7" w14:textId="77777777">
      <w:pPr>
        <w:spacing w:after="0" w:line="240" w:lineRule="atLeast"/>
      </w:pPr>
    </w:p>
    <w:p w:rsidRPr="002E20AC" w:rsidR="002E20AC" w:rsidP="00E7157D" w:rsidRDefault="002E20AC" w14:paraId="383E170F" w14:textId="77777777">
      <w:pPr>
        <w:spacing w:after="0" w:line="240" w:lineRule="atLeast"/>
      </w:pPr>
      <w:r w:rsidRPr="002E20AC">
        <w:t>De keuze voor de huidige prijsbijstellingssystematiek kent een aantal redenen:</w:t>
      </w:r>
    </w:p>
    <w:p w:rsidRPr="002E20AC" w:rsidR="002E20AC" w:rsidP="00E7157D" w:rsidRDefault="002E20AC" w14:paraId="41076527" w14:textId="77777777">
      <w:pPr>
        <w:spacing w:after="0" w:line="240" w:lineRule="atLeast"/>
      </w:pPr>
    </w:p>
    <w:p w:rsidRPr="00F82688" w:rsidR="00394CDA" w:rsidP="00394CDA" w:rsidRDefault="00394CDA" w14:paraId="384EB805" w14:textId="77777777">
      <w:pPr>
        <w:pStyle w:val="Lijstalinea"/>
        <w:numPr>
          <w:ilvl w:val="0"/>
          <w:numId w:val="35"/>
        </w:numPr>
        <w:spacing w:line="276" w:lineRule="auto"/>
        <w:rPr>
          <w:rFonts w:ascii="Verdana" w:hAnsi="Verdana"/>
          <w:sz w:val="18"/>
          <w:szCs w:val="18"/>
        </w:rPr>
      </w:pPr>
      <w:bookmarkStart w:name="_Hlk177636834" w:id="7"/>
      <w:bookmarkEnd w:id="5"/>
      <w:bookmarkEnd w:id="6"/>
      <w:r w:rsidRPr="00F82688">
        <w:rPr>
          <w:rFonts w:ascii="Verdana" w:hAnsi="Verdana"/>
          <w:sz w:val="18"/>
          <w:szCs w:val="18"/>
          <w:u w:val="single"/>
        </w:rPr>
        <w:t>Het in stand laten van een prijsprikkel</w:t>
      </w:r>
      <w:r w:rsidRPr="00F82688">
        <w:rPr>
          <w:rFonts w:ascii="Verdana" w:hAnsi="Verdana"/>
          <w:sz w:val="18"/>
          <w:szCs w:val="18"/>
        </w:rPr>
        <w:t xml:space="preserve">: Indexering heeft niet als doel prijscompensatie te bieden. Stijgende prijzen zijn veelal een oorzaak van schaarste in bijvoorbeeld personeel en/of grondstoffen. De oorzaak van schaarste is een hogere vraag dan aanbod. </w:t>
      </w:r>
      <w:proofErr w:type="gramStart"/>
      <w:r w:rsidRPr="00F82688">
        <w:rPr>
          <w:rFonts w:ascii="Verdana" w:hAnsi="Verdana"/>
          <w:sz w:val="18"/>
          <w:szCs w:val="18"/>
        </w:rPr>
        <w:t>Indien</w:t>
      </w:r>
      <w:proofErr w:type="gramEnd"/>
      <w:r w:rsidRPr="00F82688">
        <w:rPr>
          <w:rFonts w:ascii="Verdana" w:hAnsi="Verdana"/>
          <w:sz w:val="18"/>
          <w:szCs w:val="18"/>
        </w:rPr>
        <w:t xml:space="preserve"> prijsstijgingen volledig worden gecompenseerd, gaan inkopers van de overheid niet meer op zoek naar een goedkoper alternatief en blijft de vraag (te) hoog. Door generiekere indices te hanteren blijft deze prijsprikkel voor de inkopers bij de overheid in stand omdat niet de volledige prijsstijging wordt gecompenseerd. </w:t>
      </w:r>
      <w:r w:rsidRPr="00F82688">
        <w:rPr>
          <w:rFonts w:ascii="Verdana" w:hAnsi="Verdana" w:eastAsia="Times New Roman" w:cs="Calibri"/>
          <w:sz w:val="18"/>
          <w:szCs w:val="18"/>
        </w:rPr>
        <w:t>Wanneer bijvoorbeeld de staalprijs stijgt, is het belangrijk dat dit inkopers stimuleert om naar alternatieven te zoeken.</w:t>
      </w:r>
      <w:bookmarkEnd w:id="7"/>
    </w:p>
    <w:p w:rsidRPr="00F82688" w:rsidR="00394CDA" w:rsidP="00394CDA" w:rsidRDefault="00394CDA" w14:paraId="3EF66E5C" w14:textId="77777777">
      <w:pPr>
        <w:pStyle w:val="Lijstalinea"/>
        <w:spacing w:line="276" w:lineRule="auto"/>
        <w:ind w:left="360"/>
        <w:rPr>
          <w:rFonts w:ascii="Verdana" w:hAnsi="Verdana"/>
          <w:sz w:val="18"/>
          <w:szCs w:val="18"/>
        </w:rPr>
      </w:pPr>
    </w:p>
    <w:p w:rsidRPr="004B2237" w:rsidR="00394CDA" w:rsidP="00394CDA" w:rsidRDefault="00394CDA" w14:paraId="0EF49166" w14:textId="77777777">
      <w:pPr>
        <w:pStyle w:val="Lijstalinea"/>
        <w:numPr>
          <w:ilvl w:val="0"/>
          <w:numId w:val="34"/>
        </w:numPr>
        <w:spacing w:line="276" w:lineRule="auto"/>
        <w:rPr>
          <w:rFonts w:ascii="Verdana" w:hAnsi="Verdana"/>
          <w:sz w:val="18"/>
          <w:szCs w:val="18"/>
        </w:rPr>
      </w:pPr>
      <w:r>
        <w:rPr>
          <w:rFonts w:ascii="Verdana" w:hAnsi="Verdana"/>
          <w:sz w:val="18"/>
          <w:szCs w:val="18"/>
          <w:u w:val="single"/>
        </w:rPr>
        <w:t>Voorkomen prijsopdrijvend effect markt</w:t>
      </w:r>
      <w:r w:rsidRPr="004B2237">
        <w:rPr>
          <w:rFonts w:ascii="Verdana" w:hAnsi="Verdana"/>
          <w:sz w:val="18"/>
          <w:szCs w:val="18"/>
        </w:rPr>
        <w:t>: Hoe specifieker de groep diensten, personeel of materieel op basis waarvan de prijsbijstelling wordt berekend, hoe meer de prijsbijstelling te beïnvloeden is door een kleine groep aanbieders.</w:t>
      </w:r>
      <w:bookmarkStart w:name="_Hlk177547199" w:id="8"/>
      <w:r>
        <w:rPr>
          <w:rFonts w:ascii="Verdana" w:hAnsi="Verdana"/>
          <w:sz w:val="18"/>
          <w:szCs w:val="18"/>
        </w:rPr>
        <w:t xml:space="preserve"> Het risico is dat de beperkte groep aanbieders steeds hogere prijzen hanteert ten koste van de overheidsfinanciën. Daarnaast neemt volledige compensatie van prijsstijgingen </w:t>
      </w:r>
      <w:r w:rsidRPr="004B2237">
        <w:rPr>
          <w:rFonts w:ascii="Verdana" w:hAnsi="Verdana"/>
          <w:sz w:val="18"/>
          <w:szCs w:val="18"/>
        </w:rPr>
        <w:t xml:space="preserve">de prikkel weg voor aanbieders om </w:t>
      </w:r>
      <w:r>
        <w:rPr>
          <w:rFonts w:ascii="Verdana" w:hAnsi="Verdana"/>
          <w:sz w:val="18"/>
          <w:szCs w:val="18"/>
        </w:rPr>
        <w:t xml:space="preserve">met elkaar te concurreren en </w:t>
      </w:r>
      <w:r w:rsidRPr="004B2237">
        <w:rPr>
          <w:rFonts w:ascii="Verdana" w:hAnsi="Verdana"/>
          <w:sz w:val="18"/>
          <w:szCs w:val="18"/>
        </w:rPr>
        <w:t>naar goedkope of nieuwe innovatieve alternatieven te zoeken</w:t>
      </w:r>
      <w:r>
        <w:rPr>
          <w:rFonts w:ascii="Verdana" w:hAnsi="Verdana"/>
          <w:sz w:val="18"/>
          <w:szCs w:val="18"/>
        </w:rPr>
        <w:t>.</w:t>
      </w:r>
    </w:p>
    <w:p w:rsidRPr="004B2237" w:rsidR="00394CDA" w:rsidP="00394CDA" w:rsidRDefault="00394CDA" w14:paraId="577A9E97" w14:textId="77777777">
      <w:pPr>
        <w:pStyle w:val="Lijstalinea"/>
        <w:spacing w:line="276" w:lineRule="auto"/>
        <w:rPr>
          <w:rFonts w:ascii="Verdana" w:hAnsi="Verdana"/>
          <w:sz w:val="18"/>
          <w:szCs w:val="18"/>
          <w:u w:val="single"/>
        </w:rPr>
      </w:pPr>
    </w:p>
    <w:p w:rsidRPr="004B2237" w:rsidR="00394CDA" w:rsidP="00394CDA" w:rsidRDefault="00394CDA" w14:paraId="1622EAF6" w14:textId="77777777">
      <w:pPr>
        <w:pStyle w:val="Lijstalinea"/>
        <w:numPr>
          <w:ilvl w:val="0"/>
          <w:numId w:val="34"/>
        </w:numPr>
        <w:spacing w:line="276" w:lineRule="auto"/>
        <w:rPr>
          <w:rFonts w:ascii="Verdana" w:hAnsi="Verdana" w:eastAsia="Times New Roman"/>
          <w:sz w:val="18"/>
          <w:szCs w:val="18"/>
          <w:u w:val="single"/>
        </w:rPr>
      </w:pPr>
      <w:r w:rsidRPr="004B2237">
        <w:rPr>
          <w:rFonts w:ascii="Verdana" w:hAnsi="Verdana"/>
          <w:sz w:val="18"/>
          <w:szCs w:val="18"/>
          <w:u w:val="single"/>
        </w:rPr>
        <w:t>Hoge mate van stabiliteit</w:t>
      </w:r>
      <w:r w:rsidRPr="004B2237">
        <w:rPr>
          <w:rFonts w:ascii="Verdana" w:hAnsi="Verdana"/>
          <w:sz w:val="18"/>
          <w:szCs w:val="18"/>
        </w:rPr>
        <w:t xml:space="preserve">: </w:t>
      </w:r>
      <w:bookmarkEnd w:id="8"/>
      <w:r w:rsidRPr="004B2237">
        <w:rPr>
          <w:rFonts w:ascii="Verdana" w:hAnsi="Verdana" w:eastAsia="Times New Roman"/>
          <w:sz w:val="18"/>
          <w:szCs w:val="18"/>
        </w:rPr>
        <w:t>De goederen</w:t>
      </w:r>
      <w:r>
        <w:rPr>
          <w:rFonts w:ascii="Verdana" w:hAnsi="Verdana" w:eastAsia="Times New Roman"/>
          <w:sz w:val="18"/>
          <w:szCs w:val="18"/>
        </w:rPr>
        <w:t xml:space="preserve"> -</w:t>
      </w:r>
      <w:r w:rsidRPr="004B2237">
        <w:rPr>
          <w:rFonts w:ascii="Verdana" w:hAnsi="Verdana" w:eastAsia="Times New Roman"/>
          <w:sz w:val="18"/>
          <w:szCs w:val="18"/>
        </w:rPr>
        <w:t>en dienstenmix in een prijsindex kan een breed en een smal scala aan goederen en diensten bevatten. Des te smaller de index des te hoger de volatiliteit van de index.</w:t>
      </w:r>
      <w:r>
        <w:rPr>
          <w:rFonts w:ascii="Verdana" w:hAnsi="Verdana" w:eastAsia="Times New Roman"/>
          <w:sz w:val="18"/>
          <w:szCs w:val="18"/>
        </w:rPr>
        <w:t xml:space="preserve"> </w:t>
      </w:r>
      <w:r w:rsidRPr="004B2237">
        <w:rPr>
          <w:rFonts w:ascii="Verdana" w:hAnsi="Verdana" w:eastAsia="Times New Roman"/>
          <w:sz w:val="18"/>
          <w:szCs w:val="18"/>
        </w:rPr>
        <w:t>Een volatiele index is lastiger te ramen en biedt departementen minder zekerheid dan een index die is samengesteld uit een breder assortiment aan goederen en diensten. Met het oog op stabiele en betrouwbare ramingen kiest het kabinet daarom voor breder samengestelde prijsindices.</w:t>
      </w:r>
      <w:r>
        <w:rPr>
          <w:rFonts w:ascii="Verdana" w:hAnsi="Verdana" w:eastAsia="Times New Roman"/>
          <w:sz w:val="18"/>
          <w:szCs w:val="18"/>
        </w:rPr>
        <w:t xml:space="preserve"> Smallere indices als de GWW-index kunnen in specifieke jaren zelfs tot afromingen leiden. Dit kan in de praktijk tot grote problemen leiden, aangezien departementen al rekening hebben gehouden met het ontvangen van prijsbijstelling.</w:t>
      </w:r>
      <w:r w:rsidRPr="004B2237">
        <w:rPr>
          <w:rFonts w:ascii="Verdana" w:hAnsi="Verdana" w:eastAsia="Times New Roman"/>
          <w:sz w:val="18"/>
          <w:szCs w:val="18"/>
        </w:rPr>
        <w:t xml:space="preserve"> </w:t>
      </w:r>
    </w:p>
    <w:p w:rsidRPr="004B2237" w:rsidR="00394CDA" w:rsidP="00394CDA" w:rsidRDefault="00394CDA" w14:paraId="549CAC9E" w14:textId="77777777">
      <w:pPr>
        <w:pStyle w:val="Lijstalinea"/>
        <w:spacing w:line="276" w:lineRule="auto"/>
        <w:ind w:left="360"/>
        <w:rPr>
          <w:rFonts w:ascii="Verdana" w:hAnsi="Verdana"/>
          <w:sz w:val="18"/>
          <w:szCs w:val="18"/>
          <w:u w:val="single"/>
        </w:rPr>
      </w:pPr>
    </w:p>
    <w:p w:rsidRPr="001E3E3B" w:rsidR="00394CDA" w:rsidP="00394CDA" w:rsidRDefault="00394CDA" w14:paraId="19970DA8" w14:textId="77777777">
      <w:pPr>
        <w:pStyle w:val="Lijstalinea"/>
        <w:numPr>
          <w:ilvl w:val="0"/>
          <w:numId w:val="34"/>
        </w:numPr>
        <w:spacing w:line="276" w:lineRule="auto"/>
        <w:rPr>
          <w:rFonts w:ascii="Verdana" w:hAnsi="Verdana"/>
          <w:sz w:val="18"/>
          <w:szCs w:val="18"/>
        </w:rPr>
      </w:pPr>
      <w:r w:rsidRPr="004B2237">
        <w:rPr>
          <w:rFonts w:ascii="Verdana" w:hAnsi="Verdana"/>
          <w:sz w:val="18"/>
          <w:szCs w:val="18"/>
          <w:u w:val="single"/>
        </w:rPr>
        <w:t>Goed uitvoerbaar:</w:t>
      </w:r>
      <w:r w:rsidRPr="004B2237">
        <w:rPr>
          <w:rFonts w:ascii="Verdana" w:hAnsi="Verdana"/>
          <w:sz w:val="18"/>
          <w:szCs w:val="18"/>
        </w:rPr>
        <w:t xml:space="preserve"> De huidige prijsbijstellingssystematiek is een relatief eenvoudige methode om departementen te compenseren voor prijsstijgingen in de economie. Het gebruik van de zeven onafhankelijk geraamde indices is overzichtelijk en administratief goed uitvoerbaar. Volledige prijscompensatie per sector zou werken met een wildgroei aan indices betekenen</w:t>
      </w:r>
      <w:r>
        <w:rPr>
          <w:rFonts w:ascii="Verdana" w:hAnsi="Verdana"/>
          <w:sz w:val="18"/>
          <w:szCs w:val="18"/>
        </w:rPr>
        <w:t>,</w:t>
      </w:r>
      <w:r w:rsidRPr="004B2237">
        <w:rPr>
          <w:rFonts w:ascii="Verdana" w:hAnsi="Verdana"/>
          <w:sz w:val="18"/>
          <w:szCs w:val="18"/>
        </w:rPr>
        <w:t xml:space="preserve"> met als resultaat toenemende administratieve lasten bij verschillende ambtelijke organisaties.</w:t>
      </w:r>
    </w:p>
    <w:p w:rsidR="004B7274" w:rsidP="004B7274" w:rsidRDefault="004B7274" w14:paraId="26E22BAC" w14:textId="77777777">
      <w:pPr>
        <w:spacing w:after="0" w:line="240" w:lineRule="atLeast"/>
        <w:jc w:val="both"/>
      </w:pPr>
    </w:p>
    <w:p w:rsidR="004B7274" w:rsidP="004B7274" w:rsidRDefault="004B7274" w14:paraId="4DB21EA7" w14:textId="77777777">
      <w:pPr>
        <w:spacing w:after="0" w:line="240" w:lineRule="atLeast"/>
        <w:jc w:val="both"/>
      </w:pPr>
    </w:p>
    <w:p w:rsidR="0034466E" w:rsidP="004B7274" w:rsidRDefault="0034466E" w14:paraId="6BBCD6BA" w14:textId="77777777">
      <w:pPr>
        <w:spacing w:after="0" w:line="240" w:lineRule="atLeast"/>
        <w:jc w:val="both"/>
      </w:pPr>
    </w:p>
    <w:p w:rsidR="0034466E" w:rsidP="004B7274" w:rsidRDefault="0034466E" w14:paraId="21743335" w14:textId="77777777">
      <w:pPr>
        <w:spacing w:after="0" w:line="240" w:lineRule="atLeast"/>
        <w:jc w:val="both"/>
      </w:pPr>
    </w:p>
    <w:p w:rsidRPr="009E558A" w:rsidR="004B7274" w:rsidP="009E558A" w:rsidRDefault="004B7274" w14:paraId="454EDD36" w14:textId="77777777">
      <w:pPr>
        <w:pStyle w:val="Kop1"/>
      </w:pPr>
      <w:bookmarkStart w:name="_Toc178245259" w:id="9"/>
      <w:r w:rsidRPr="009E558A">
        <w:lastRenderedPageBreak/>
        <w:t>Welke indices zijn voorhanden om de prijsontwikkeling te volgen voor projecten binnen het Mobiliteitsfonds en Deltafonds?</w:t>
      </w:r>
      <w:bookmarkEnd w:id="9"/>
    </w:p>
    <w:p w:rsidR="004B7274" w:rsidP="005B6B1D" w:rsidRDefault="004B7274" w14:paraId="58459994" w14:textId="082992EC">
      <w:pPr>
        <w:spacing w:after="0" w:line="276" w:lineRule="auto"/>
      </w:pPr>
      <w:r w:rsidRPr="008A74B7">
        <w:t>Het Ministerie van Infrastructuur en Waterstaat wordt gecompenseerd voor prijsstijgingen in de vorm van prijsbijstelling</w:t>
      </w:r>
      <w:r w:rsidR="00042059">
        <w:t>.</w:t>
      </w:r>
      <w:r w:rsidRPr="008A74B7">
        <w:t xml:space="preserve"> </w:t>
      </w:r>
      <w:r w:rsidR="00042059">
        <w:t>Voor</w:t>
      </w:r>
      <w:r w:rsidRPr="008A74B7">
        <w:t xml:space="preserve"> haar eigen begroting als voor de begroting van het Mobiliteitsfonds</w:t>
      </w:r>
      <w:r>
        <w:t xml:space="preserve"> en </w:t>
      </w:r>
      <w:r w:rsidRPr="008A74B7">
        <w:t xml:space="preserve">Deltafonds. </w:t>
      </w:r>
      <w:r w:rsidR="00DA34AD">
        <w:t xml:space="preserve">Zoals </w:t>
      </w:r>
      <w:r w:rsidR="00042059">
        <w:t>bij het</w:t>
      </w:r>
      <w:r w:rsidR="00DA34AD">
        <w:t xml:space="preserve"> antwoord op vraag 1 aangegeven, gebeurt dit met het gebruik van de IBOI. </w:t>
      </w:r>
      <w:r w:rsidRPr="008A74B7">
        <w:t>De huidige systematiek is geïntroduceerd tegelijk met het ontwikkelen van het MIT en het Infrafonds (1993)</w:t>
      </w:r>
      <w:r>
        <w:t>, de</w:t>
      </w:r>
      <w:r w:rsidRPr="008A74B7">
        <w:t xml:space="preserve"> voorlopers van het MIRT (2008), Deltafonds (2013) en Mobiliteitsfonds (2022). Het </w:t>
      </w:r>
      <w:r>
        <w:t>I</w:t>
      </w:r>
      <w:r w:rsidRPr="008A74B7">
        <w:t>nfrastructuurfonds had een looptijd tot 2020</w:t>
      </w:r>
      <w:r>
        <w:t>.</w:t>
      </w:r>
      <w:r w:rsidRPr="008A74B7">
        <w:t xml:space="preserve"> </w:t>
      </w:r>
      <w:r>
        <w:t>De looptijd is</w:t>
      </w:r>
      <w:r w:rsidRPr="008A74B7">
        <w:t xml:space="preserve"> in 2012 verlengd tot 2028 en in 2016 tot 2030. Sinds 2017 wordt het fonds automatisch elk jaar verlengd.</w:t>
      </w:r>
    </w:p>
    <w:p w:rsidR="004B7274" w:rsidP="005B6B1D" w:rsidRDefault="004B7274" w14:paraId="012195A4" w14:textId="77777777">
      <w:pPr>
        <w:spacing w:after="0" w:line="276" w:lineRule="auto"/>
      </w:pPr>
    </w:p>
    <w:p w:rsidR="004B7274" w:rsidP="005B6B1D" w:rsidRDefault="004B7274" w14:paraId="00766403" w14:textId="592B1B84">
      <w:pPr>
        <w:pStyle w:val="Geenafstand"/>
        <w:spacing w:line="276" w:lineRule="auto"/>
        <w:rPr>
          <w:szCs w:val="18"/>
          <w:lang w:val="nl-NL"/>
        </w:rPr>
      </w:pPr>
      <w:r>
        <w:rPr>
          <w:szCs w:val="18"/>
          <w:lang w:val="nl-NL"/>
        </w:rPr>
        <w:t>Het ministerie van Financiën berekent d</w:t>
      </w:r>
      <w:r w:rsidRPr="00F918A1">
        <w:rPr>
          <w:szCs w:val="18"/>
          <w:lang w:val="nl-NL"/>
        </w:rPr>
        <w:t xml:space="preserve">e indexering over de stand ontwerpbegroting van het jaar ervoor. </w:t>
      </w:r>
      <w:r>
        <w:rPr>
          <w:szCs w:val="18"/>
          <w:lang w:val="nl-NL"/>
        </w:rPr>
        <w:t>D</w:t>
      </w:r>
      <w:r w:rsidRPr="00F918A1">
        <w:rPr>
          <w:szCs w:val="18"/>
          <w:lang w:val="nl-NL"/>
        </w:rPr>
        <w:t xml:space="preserve">e </w:t>
      </w:r>
      <w:r>
        <w:rPr>
          <w:szCs w:val="18"/>
          <w:lang w:val="nl-NL"/>
        </w:rPr>
        <w:t>prijsbijstelling</w:t>
      </w:r>
      <w:r w:rsidRPr="00F918A1">
        <w:rPr>
          <w:szCs w:val="18"/>
          <w:lang w:val="nl-NL"/>
        </w:rPr>
        <w:t xml:space="preserve"> </w:t>
      </w:r>
      <w:r>
        <w:rPr>
          <w:szCs w:val="18"/>
          <w:lang w:val="nl-NL"/>
        </w:rPr>
        <w:t xml:space="preserve">wordt </w:t>
      </w:r>
      <w:r w:rsidRPr="00F918A1">
        <w:rPr>
          <w:szCs w:val="18"/>
          <w:lang w:val="nl-NL"/>
        </w:rPr>
        <w:t>toegevoegd aan de investeringsruimte op de fondsen. De uitkering naar de projecten geschiedt op basis van de actuele ramingen</w:t>
      </w:r>
      <w:r>
        <w:rPr>
          <w:szCs w:val="18"/>
          <w:lang w:val="nl-NL"/>
        </w:rPr>
        <w:t xml:space="preserve"> van het ministerie van Infrastructuur en Waterstaat</w:t>
      </w:r>
      <w:r w:rsidRPr="00F918A1">
        <w:rPr>
          <w:szCs w:val="18"/>
          <w:lang w:val="nl-NL"/>
        </w:rPr>
        <w:t>. De indexering wordt uitgekeerd over de nog niet gerealiseerde budgetten van het lopende jaar en verder</w:t>
      </w:r>
      <w:r w:rsidR="005B6B1D">
        <w:rPr>
          <w:szCs w:val="18"/>
          <w:lang w:val="nl-NL"/>
        </w:rPr>
        <w:t>. V</w:t>
      </w:r>
      <w:r w:rsidR="00A70521">
        <w:rPr>
          <w:szCs w:val="18"/>
          <w:lang w:val="nl-NL"/>
        </w:rPr>
        <w:t>aak betreffen het langjarige contracten</w:t>
      </w:r>
      <w:r w:rsidR="00795381">
        <w:rPr>
          <w:szCs w:val="18"/>
          <w:lang w:val="nl-NL"/>
        </w:rPr>
        <w:t>.</w:t>
      </w:r>
      <w:r w:rsidR="00A70521">
        <w:rPr>
          <w:szCs w:val="18"/>
          <w:lang w:val="nl-NL"/>
        </w:rPr>
        <w:t xml:space="preserve"> </w:t>
      </w:r>
      <w:r w:rsidR="00795381">
        <w:rPr>
          <w:szCs w:val="18"/>
          <w:lang w:val="nl-NL"/>
        </w:rPr>
        <w:t xml:space="preserve">Het </w:t>
      </w:r>
      <w:r w:rsidR="00A70521">
        <w:rPr>
          <w:szCs w:val="18"/>
          <w:lang w:val="nl-NL"/>
        </w:rPr>
        <w:t xml:space="preserve">Hoogwaterbeschermingsprogramma </w:t>
      </w:r>
      <w:r w:rsidR="00795381">
        <w:rPr>
          <w:szCs w:val="18"/>
          <w:lang w:val="nl-NL"/>
        </w:rPr>
        <w:t>(</w:t>
      </w:r>
      <w:r w:rsidR="00A70521">
        <w:rPr>
          <w:szCs w:val="18"/>
          <w:lang w:val="nl-NL"/>
        </w:rPr>
        <w:t>HBWP</w:t>
      </w:r>
      <w:r w:rsidR="00795381">
        <w:rPr>
          <w:szCs w:val="18"/>
          <w:lang w:val="nl-NL"/>
        </w:rPr>
        <w:t>)</w:t>
      </w:r>
      <w:r w:rsidR="00A70521">
        <w:rPr>
          <w:szCs w:val="18"/>
          <w:lang w:val="nl-NL"/>
        </w:rPr>
        <w:t xml:space="preserve"> wordt</w:t>
      </w:r>
      <w:r w:rsidR="00795381">
        <w:rPr>
          <w:szCs w:val="18"/>
          <w:lang w:val="nl-NL"/>
        </w:rPr>
        <w:t xml:space="preserve"> bijvoorbeeld</w:t>
      </w:r>
      <w:r w:rsidR="00A70521">
        <w:rPr>
          <w:szCs w:val="18"/>
          <w:lang w:val="nl-NL"/>
        </w:rPr>
        <w:t xml:space="preserve"> tot 2050 geïndexeerd</w:t>
      </w:r>
      <w:r w:rsidRPr="00F918A1">
        <w:rPr>
          <w:szCs w:val="18"/>
          <w:lang w:val="nl-NL"/>
        </w:rPr>
        <w:t xml:space="preserve">. Voor </w:t>
      </w:r>
      <w:r>
        <w:rPr>
          <w:szCs w:val="18"/>
          <w:lang w:val="nl-NL"/>
        </w:rPr>
        <w:t>prijsbijstellingen van budgetten</w:t>
      </w:r>
      <w:r w:rsidRPr="00F918A1">
        <w:rPr>
          <w:szCs w:val="18"/>
          <w:lang w:val="nl-NL"/>
        </w:rPr>
        <w:t xml:space="preserve"> van de Aanvullende Post worden </w:t>
      </w:r>
      <w:r>
        <w:rPr>
          <w:szCs w:val="18"/>
          <w:lang w:val="nl-NL"/>
        </w:rPr>
        <w:t>separate</w:t>
      </w:r>
      <w:r w:rsidRPr="00F918A1">
        <w:rPr>
          <w:szCs w:val="18"/>
          <w:lang w:val="nl-NL"/>
        </w:rPr>
        <w:t xml:space="preserve"> afspraken gemaakt met het ministerie van Financiën. </w:t>
      </w:r>
    </w:p>
    <w:p w:rsidRPr="007815C7" w:rsidR="004B7274" w:rsidP="00D725A2" w:rsidRDefault="004B7274" w14:paraId="58E779BE" w14:textId="77777777">
      <w:pPr>
        <w:pStyle w:val="Geenafstand"/>
        <w:spacing w:line="276" w:lineRule="auto"/>
        <w:jc w:val="both"/>
        <w:rPr>
          <w:szCs w:val="18"/>
          <w:lang w:val="nl-NL"/>
        </w:rPr>
      </w:pPr>
    </w:p>
    <w:p w:rsidR="004B7274" w:rsidP="005B6B1D" w:rsidRDefault="004B7274" w14:paraId="43364B45" w14:textId="77777777">
      <w:pPr>
        <w:spacing w:after="0" w:line="276" w:lineRule="auto"/>
        <w:rPr>
          <w:rFonts w:cstheme="minorHAnsi"/>
        </w:rPr>
      </w:pPr>
      <w:r>
        <w:rPr>
          <w:rFonts w:cstheme="minorHAnsi"/>
          <w:b/>
          <w:bCs/>
        </w:rPr>
        <w:t>Prijsindices voor prijsontwikkelingen op het Mobiliteit- en Deltafonds</w:t>
      </w:r>
    </w:p>
    <w:p w:rsidRPr="009E234C" w:rsidR="004B7274" w:rsidP="005B6B1D" w:rsidRDefault="004B7274" w14:paraId="744AC4A7" w14:textId="3BF2B1F8">
      <w:pPr>
        <w:spacing w:after="0" w:line="276" w:lineRule="auto"/>
      </w:pPr>
      <w:r>
        <w:rPr>
          <w:rFonts w:cstheme="minorHAnsi"/>
          <w:color w:val="000000"/>
        </w:rPr>
        <w:t xml:space="preserve">Naast de IBOI kunnen prijsontwikkelingen op het Mobiliteit- en Deltafonds ook op andere manieren worden bijgehouden. </w:t>
      </w:r>
      <w:r w:rsidRPr="008A74B7">
        <w:rPr>
          <w:rFonts w:cstheme="minorHAnsi"/>
          <w:color w:val="000000"/>
        </w:rPr>
        <w:t xml:space="preserve">Voor </w:t>
      </w:r>
      <w:r>
        <w:rPr>
          <w:rFonts w:cstheme="minorHAnsi"/>
          <w:color w:val="000000"/>
        </w:rPr>
        <w:t>onderstaande</w:t>
      </w:r>
      <w:r w:rsidRPr="008A74B7">
        <w:rPr>
          <w:rFonts w:cstheme="minorHAnsi"/>
          <w:color w:val="000000"/>
        </w:rPr>
        <w:t xml:space="preserve"> indices geldt dat deze zijn gebaseerd op de productprijzen zoals bijgehouden door het CBS. </w:t>
      </w:r>
      <w:r>
        <w:rPr>
          <w:rFonts w:cstheme="minorHAnsi"/>
          <w:color w:val="000000"/>
        </w:rPr>
        <w:t>In het antwoord op vraag 3</w:t>
      </w:r>
      <w:r w:rsidRPr="008A74B7">
        <w:rPr>
          <w:rFonts w:cstheme="minorHAnsi"/>
          <w:color w:val="000000"/>
        </w:rPr>
        <w:t xml:space="preserve"> </w:t>
      </w:r>
      <w:r w:rsidRPr="008A74B7">
        <w:rPr>
          <w:rFonts w:cstheme="minorHAnsi"/>
        </w:rPr>
        <w:t>wordt ingegaan op de volgende</w:t>
      </w:r>
      <w:r>
        <w:rPr>
          <w:rFonts w:cstheme="minorHAnsi"/>
        </w:rPr>
        <w:t xml:space="preserve"> vijf</w:t>
      </w:r>
      <w:r w:rsidRPr="008A74B7">
        <w:rPr>
          <w:rFonts w:cstheme="minorHAnsi"/>
        </w:rPr>
        <w:t xml:space="preserve"> indices:</w:t>
      </w:r>
    </w:p>
    <w:p w:rsidRPr="008A74B7" w:rsidR="004B7274" w:rsidP="005B6B1D" w:rsidRDefault="004B7274" w14:paraId="73672643" w14:textId="77777777">
      <w:pPr>
        <w:pStyle w:val="Lijstalinea"/>
        <w:numPr>
          <w:ilvl w:val="0"/>
          <w:numId w:val="30"/>
        </w:numPr>
        <w:spacing w:after="0" w:line="276" w:lineRule="auto"/>
        <w:rPr>
          <w:rFonts w:ascii="Verdana" w:hAnsi="Verdana" w:cstheme="minorHAnsi"/>
          <w:sz w:val="18"/>
          <w:szCs w:val="18"/>
        </w:rPr>
      </w:pPr>
      <w:r w:rsidRPr="008A74B7">
        <w:rPr>
          <w:rFonts w:ascii="Verdana" w:hAnsi="Verdana" w:cstheme="minorHAnsi"/>
          <w:sz w:val="18"/>
          <w:szCs w:val="18"/>
        </w:rPr>
        <w:t>Index Bruto Overheidsinvesteringen (IBOI)</w:t>
      </w:r>
    </w:p>
    <w:p w:rsidRPr="008A74B7" w:rsidR="004B7274" w:rsidP="005B6B1D" w:rsidRDefault="004B7274" w14:paraId="5733D23F" w14:textId="77777777">
      <w:pPr>
        <w:pStyle w:val="Lijstalinea"/>
        <w:numPr>
          <w:ilvl w:val="0"/>
          <w:numId w:val="30"/>
        </w:numPr>
        <w:spacing w:after="0" w:line="276" w:lineRule="auto"/>
        <w:rPr>
          <w:rFonts w:ascii="Verdana" w:hAnsi="Verdana" w:cstheme="minorHAnsi"/>
          <w:sz w:val="18"/>
          <w:szCs w:val="18"/>
        </w:rPr>
      </w:pPr>
      <w:r w:rsidRPr="008A74B7">
        <w:rPr>
          <w:rFonts w:ascii="Verdana" w:hAnsi="Verdana" w:cstheme="minorHAnsi"/>
          <w:sz w:val="18"/>
          <w:szCs w:val="18"/>
        </w:rPr>
        <w:t>Inputprijsindex Grond-, Weg- en Waterbouw (GWW)</w:t>
      </w:r>
    </w:p>
    <w:p w:rsidRPr="008A74B7" w:rsidR="004B7274" w:rsidP="005B6B1D" w:rsidRDefault="004B7274" w14:paraId="7A15A91A" w14:textId="77777777">
      <w:pPr>
        <w:pStyle w:val="Lijstalinea"/>
        <w:numPr>
          <w:ilvl w:val="0"/>
          <w:numId w:val="30"/>
        </w:numPr>
        <w:spacing w:after="0" w:line="276" w:lineRule="auto"/>
        <w:rPr>
          <w:rFonts w:ascii="Verdana" w:hAnsi="Verdana" w:cstheme="minorHAnsi"/>
          <w:sz w:val="18"/>
          <w:szCs w:val="18"/>
        </w:rPr>
      </w:pPr>
      <w:r w:rsidRPr="008A74B7">
        <w:rPr>
          <w:rFonts w:ascii="Verdana" w:hAnsi="Verdana" w:cstheme="minorHAnsi"/>
          <w:sz w:val="18"/>
          <w:szCs w:val="18"/>
        </w:rPr>
        <w:t>Indexen Risicoregeling Grond- Weg- en Waterbouw (“CROW-index”)</w:t>
      </w:r>
    </w:p>
    <w:p w:rsidRPr="008A74B7" w:rsidR="004B7274" w:rsidP="005B6B1D" w:rsidRDefault="004B7274" w14:paraId="2C055211" w14:textId="5A2C4087">
      <w:pPr>
        <w:pStyle w:val="Lijstalinea"/>
        <w:numPr>
          <w:ilvl w:val="0"/>
          <w:numId w:val="30"/>
        </w:numPr>
        <w:spacing w:after="0" w:line="276" w:lineRule="auto"/>
        <w:rPr>
          <w:rFonts w:ascii="Verdana" w:hAnsi="Verdana" w:cstheme="minorHAnsi"/>
          <w:sz w:val="18"/>
          <w:szCs w:val="18"/>
        </w:rPr>
      </w:pPr>
      <w:r w:rsidRPr="008A74B7">
        <w:rPr>
          <w:rFonts w:ascii="Verdana" w:hAnsi="Verdana" w:cstheme="minorHAnsi"/>
          <w:sz w:val="18"/>
          <w:szCs w:val="18"/>
        </w:rPr>
        <w:t>Consumenten</w:t>
      </w:r>
      <w:r w:rsidR="00E44123">
        <w:rPr>
          <w:rFonts w:ascii="Verdana" w:hAnsi="Verdana" w:cstheme="minorHAnsi"/>
          <w:sz w:val="18"/>
          <w:szCs w:val="18"/>
        </w:rPr>
        <w:t>p</w:t>
      </w:r>
      <w:r w:rsidRPr="008A74B7">
        <w:rPr>
          <w:rFonts w:ascii="Verdana" w:hAnsi="Verdana" w:cstheme="minorHAnsi"/>
          <w:sz w:val="18"/>
          <w:szCs w:val="18"/>
        </w:rPr>
        <w:t>rijsindex (CPI)</w:t>
      </w:r>
    </w:p>
    <w:p w:rsidRPr="008A74B7" w:rsidR="004B7274" w:rsidP="005B6B1D" w:rsidRDefault="004B7274" w14:paraId="632A2752" w14:textId="61F9EA90">
      <w:pPr>
        <w:pStyle w:val="Lijstalinea"/>
        <w:numPr>
          <w:ilvl w:val="0"/>
          <w:numId w:val="30"/>
        </w:numPr>
        <w:spacing w:after="0" w:line="276" w:lineRule="auto"/>
        <w:rPr>
          <w:rFonts w:ascii="Verdana" w:hAnsi="Verdana" w:cstheme="minorHAnsi"/>
          <w:color w:val="000000"/>
          <w:sz w:val="18"/>
          <w:szCs w:val="18"/>
        </w:rPr>
      </w:pPr>
      <w:r w:rsidRPr="008A74B7">
        <w:rPr>
          <w:rFonts w:ascii="Verdana" w:hAnsi="Verdana" w:cstheme="minorHAnsi"/>
          <w:sz w:val="18"/>
          <w:szCs w:val="18"/>
        </w:rPr>
        <w:t>Rijkswaterstaat-index</w:t>
      </w:r>
      <w:r w:rsidR="00D777E0">
        <w:rPr>
          <w:rFonts w:ascii="Verdana" w:hAnsi="Verdana" w:cstheme="minorHAnsi"/>
          <w:sz w:val="18"/>
          <w:szCs w:val="18"/>
        </w:rPr>
        <w:t xml:space="preserve"> (RWS-index)</w:t>
      </w:r>
    </w:p>
    <w:p w:rsidRPr="008A74B7" w:rsidR="004B7274" w:rsidP="004B7274" w:rsidRDefault="004B7274" w14:paraId="63336A20" w14:textId="77777777">
      <w:pPr>
        <w:spacing w:after="0" w:line="240" w:lineRule="atLeast"/>
        <w:jc w:val="both"/>
        <w:rPr>
          <w:rFonts w:cstheme="minorHAnsi"/>
          <w:color w:val="000000"/>
        </w:rPr>
      </w:pPr>
    </w:p>
    <w:tbl>
      <w:tblPr>
        <w:tblStyle w:val="Tabelraster"/>
        <w:tblW w:w="9154" w:type="dxa"/>
        <w:tblInd w:w="55" w:type="dxa"/>
        <w:tblCellMar>
          <w:left w:w="70" w:type="dxa"/>
          <w:right w:w="70" w:type="dxa"/>
        </w:tblCellMar>
        <w:tblLook w:val="0000" w:firstRow="0" w:lastRow="0" w:firstColumn="0" w:lastColumn="0" w:noHBand="0" w:noVBand="0"/>
      </w:tblPr>
      <w:tblGrid>
        <w:gridCol w:w="1295"/>
        <w:gridCol w:w="7859"/>
      </w:tblGrid>
      <w:tr w:rsidRPr="008A74B7" w:rsidR="004B7274" w:rsidTr="00E648E3" w14:paraId="003AF429" w14:textId="77777777">
        <w:tc>
          <w:tcPr>
            <w:tcW w:w="9154" w:type="dxa"/>
            <w:gridSpan w:val="2"/>
          </w:tcPr>
          <w:p w:rsidRPr="008A74B7" w:rsidR="004B7274" w:rsidP="00E648E3" w:rsidRDefault="004B7274" w14:paraId="467B38B3" w14:textId="77777777">
            <w:pPr>
              <w:spacing w:line="240" w:lineRule="atLeast"/>
              <w:jc w:val="both"/>
              <w:rPr>
                <w:rFonts w:cstheme="minorHAnsi"/>
                <w:b/>
                <w:bCs/>
              </w:rPr>
            </w:pPr>
            <w:r w:rsidRPr="008A74B7">
              <w:rPr>
                <w:rFonts w:cstheme="minorHAnsi"/>
                <w:b/>
                <w:bCs/>
              </w:rPr>
              <w:t>Ad. 1 Index Bruto Overheidsinvesteringen (IBOI)</w:t>
            </w:r>
          </w:p>
        </w:tc>
      </w:tr>
      <w:tr w:rsidRPr="008A74B7" w:rsidR="004B7274" w:rsidTr="00E648E3" w14:paraId="3C348158" w14:textId="77777777">
        <w:tc>
          <w:tcPr>
            <w:tcW w:w="1192" w:type="dxa"/>
          </w:tcPr>
          <w:p w:rsidRPr="008A74B7" w:rsidR="004B7274" w:rsidP="00E648E3" w:rsidRDefault="004B7274" w14:paraId="70B58728" w14:textId="77777777">
            <w:pPr>
              <w:spacing w:line="240" w:lineRule="atLeast"/>
              <w:jc w:val="both"/>
              <w:rPr>
                <w:rFonts w:cstheme="minorHAnsi"/>
              </w:rPr>
            </w:pPr>
            <w:r w:rsidRPr="008A74B7">
              <w:rPr>
                <w:rFonts w:cstheme="minorHAnsi"/>
                <w:b/>
                <w:bCs/>
              </w:rPr>
              <w:t>Kenmerken</w:t>
            </w:r>
          </w:p>
        </w:tc>
        <w:tc>
          <w:tcPr>
            <w:tcW w:w="7962" w:type="dxa"/>
          </w:tcPr>
          <w:p w:rsidRPr="008A74B7" w:rsidR="004B7274" w:rsidP="00E648E3" w:rsidRDefault="004B7274" w14:paraId="7F0F078F" w14:textId="77777777">
            <w:pPr>
              <w:spacing w:line="240" w:lineRule="atLeast"/>
              <w:jc w:val="both"/>
              <w:rPr>
                <w:rFonts w:cstheme="minorHAnsi"/>
              </w:rPr>
            </w:pPr>
            <w:r w:rsidRPr="008A74B7">
              <w:rPr>
                <w:rFonts w:cstheme="minorHAnsi"/>
              </w:rPr>
              <w:t>Bron: CPB</w:t>
            </w:r>
          </w:p>
          <w:p w:rsidRPr="008A74B7" w:rsidR="004B7274" w:rsidP="00E648E3" w:rsidRDefault="004B7274" w14:paraId="7EA1F51A" w14:textId="0D2D4A13">
            <w:pPr>
              <w:spacing w:line="240" w:lineRule="atLeast"/>
              <w:jc w:val="both"/>
              <w:rPr>
                <w:rFonts w:cstheme="minorHAnsi"/>
              </w:rPr>
            </w:pPr>
            <w:r w:rsidRPr="008A74B7">
              <w:rPr>
                <w:rFonts w:cstheme="minorHAnsi"/>
              </w:rPr>
              <w:t>Ex ante</w:t>
            </w:r>
            <w:r w:rsidR="00E82559">
              <w:rPr>
                <w:rFonts w:cstheme="minorHAnsi"/>
              </w:rPr>
              <w:t xml:space="preserve"> of ex post</w:t>
            </w:r>
            <w:r w:rsidRPr="008A74B7">
              <w:rPr>
                <w:rFonts w:cstheme="minorHAnsi"/>
              </w:rPr>
              <w:t xml:space="preserve">: </w:t>
            </w:r>
            <w:r w:rsidR="006364B4">
              <w:rPr>
                <w:rFonts w:cstheme="minorHAnsi"/>
              </w:rPr>
              <w:t>D</w:t>
            </w:r>
            <w:r>
              <w:rPr>
                <w:rFonts w:cstheme="minorHAnsi"/>
              </w:rPr>
              <w:t>e prijsbijstelling</w:t>
            </w:r>
            <w:r w:rsidRPr="008A74B7">
              <w:rPr>
                <w:rFonts w:cstheme="minorHAnsi"/>
              </w:rPr>
              <w:t xml:space="preserve"> is gebaseerd op</w:t>
            </w:r>
            <w:r>
              <w:rPr>
                <w:rFonts w:cstheme="minorHAnsi"/>
              </w:rPr>
              <w:t xml:space="preserve"> een jaarlijkse </w:t>
            </w:r>
            <w:r w:rsidRPr="008A74B7">
              <w:rPr>
                <w:rFonts w:cstheme="minorHAnsi"/>
              </w:rPr>
              <w:t>raming in maart</w:t>
            </w:r>
            <w:r>
              <w:rPr>
                <w:rFonts w:cstheme="minorHAnsi"/>
              </w:rPr>
              <w:t xml:space="preserve"> van het</w:t>
            </w:r>
            <w:r w:rsidRPr="008A74B7">
              <w:rPr>
                <w:rFonts w:cstheme="minorHAnsi"/>
              </w:rPr>
              <w:t xml:space="preserve"> Centraal Economisch Plan (CEP)</w:t>
            </w:r>
            <w:r w:rsidR="00A82CBE">
              <w:rPr>
                <w:rFonts w:cstheme="minorHAnsi"/>
              </w:rPr>
              <w:t xml:space="preserve"> en vindt ex ante plaats</w:t>
            </w:r>
            <w:r w:rsidRPr="008A74B7">
              <w:rPr>
                <w:rFonts w:cstheme="minorHAnsi"/>
              </w:rPr>
              <w:t>.</w:t>
            </w:r>
          </w:p>
          <w:p w:rsidRPr="008A74B7" w:rsidR="004B7274" w:rsidP="00E648E3" w:rsidRDefault="004B7274" w14:paraId="2644E5E6" w14:textId="3F2734FA">
            <w:pPr>
              <w:spacing w:line="240" w:lineRule="atLeast"/>
              <w:jc w:val="both"/>
              <w:rPr>
                <w:rFonts w:cstheme="minorHAnsi"/>
              </w:rPr>
            </w:pPr>
            <w:r>
              <w:rPr>
                <w:rFonts w:cstheme="minorHAnsi"/>
              </w:rPr>
              <w:t>Huidige t</w:t>
            </w:r>
            <w:r w:rsidRPr="008A74B7">
              <w:rPr>
                <w:rFonts w:cstheme="minorHAnsi"/>
              </w:rPr>
              <w:t xml:space="preserve">oepassing: </w:t>
            </w:r>
            <w:r w:rsidR="006364B4">
              <w:rPr>
                <w:rFonts w:cstheme="minorHAnsi"/>
              </w:rPr>
              <w:t>D</w:t>
            </w:r>
            <w:r>
              <w:rPr>
                <w:rFonts w:cstheme="minorHAnsi"/>
              </w:rPr>
              <w:t xml:space="preserve">e IBOI is de </w:t>
            </w:r>
            <w:r w:rsidRPr="008A74B7">
              <w:rPr>
                <w:rFonts w:cstheme="minorHAnsi"/>
              </w:rPr>
              <w:t xml:space="preserve">huidige indexatiegrondslag binnen </w:t>
            </w:r>
            <w:r>
              <w:rPr>
                <w:rFonts w:cstheme="minorHAnsi"/>
              </w:rPr>
              <w:t xml:space="preserve">de </w:t>
            </w:r>
            <w:r w:rsidRPr="008A74B7">
              <w:rPr>
                <w:rFonts w:cstheme="minorHAnsi"/>
              </w:rPr>
              <w:t>Rijksbegroting voor lange termijn investeringen.</w:t>
            </w:r>
          </w:p>
        </w:tc>
      </w:tr>
      <w:tr w:rsidRPr="008A74B7" w:rsidR="004B7274" w:rsidTr="00E648E3" w14:paraId="6CB0C5C5" w14:textId="77777777">
        <w:tc>
          <w:tcPr>
            <w:tcW w:w="9154" w:type="dxa"/>
            <w:gridSpan w:val="2"/>
          </w:tcPr>
          <w:p w:rsidRPr="008A74B7" w:rsidR="004B7274" w:rsidP="00E648E3" w:rsidRDefault="004B7274" w14:paraId="4552F02C" w14:textId="2122C2D2">
            <w:pPr>
              <w:spacing w:line="240" w:lineRule="atLeast"/>
              <w:jc w:val="both"/>
              <w:rPr>
                <w:rFonts w:cstheme="minorHAnsi"/>
                <w:i/>
                <w:iCs/>
              </w:rPr>
            </w:pPr>
            <w:r w:rsidRPr="008A74B7">
              <w:rPr>
                <w:rFonts w:cstheme="minorHAnsi"/>
                <w:i/>
                <w:iCs/>
              </w:rPr>
              <w:t>Toelichting</w:t>
            </w:r>
          </w:p>
          <w:p w:rsidRPr="008A74B7" w:rsidR="004B7274" w:rsidP="00E648E3" w:rsidRDefault="004B7274" w14:paraId="19D4B4B5" w14:textId="77777777">
            <w:pPr>
              <w:spacing w:line="240" w:lineRule="atLeast"/>
              <w:jc w:val="both"/>
              <w:rPr>
                <w:rFonts w:cstheme="minorHAnsi"/>
              </w:rPr>
            </w:pPr>
            <w:r w:rsidRPr="008A74B7">
              <w:rPr>
                <w:rFonts w:cstheme="minorHAnsi"/>
              </w:rPr>
              <w:t>De IBOI is de gemiddelde prijsstijging van de bruto investeringen van de collectieve sector. De investeringen bestaan onder meer uit infrastructuur, vervoermiddelen</w:t>
            </w:r>
            <w:r>
              <w:rPr>
                <w:rFonts w:cstheme="minorHAnsi"/>
              </w:rPr>
              <w:t xml:space="preserve"> en</w:t>
            </w:r>
            <w:r w:rsidRPr="008A74B7">
              <w:rPr>
                <w:rFonts w:cstheme="minorHAnsi"/>
              </w:rPr>
              <w:t xml:space="preserve"> software</w:t>
            </w:r>
            <w:r>
              <w:rPr>
                <w:rFonts w:cstheme="minorHAnsi"/>
              </w:rPr>
              <w:t xml:space="preserve">. </w:t>
            </w:r>
            <w:r w:rsidRPr="008A74B7">
              <w:rPr>
                <w:rFonts w:cstheme="minorHAnsi"/>
              </w:rPr>
              <w:t xml:space="preserve">Cijfermatig staat dit onderbouwd in de </w:t>
            </w:r>
            <w:r>
              <w:rPr>
                <w:rFonts w:cstheme="minorHAnsi"/>
              </w:rPr>
              <w:t>n</w:t>
            </w:r>
            <w:r w:rsidRPr="008A74B7">
              <w:rPr>
                <w:rFonts w:cstheme="minorHAnsi"/>
              </w:rPr>
              <w:t>ationale rekeningen in tabel G20. Hierin staan ook de wegingsfactoren</w:t>
            </w:r>
            <w:r>
              <w:rPr>
                <w:rFonts w:cstheme="minorHAnsi"/>
              </w:rPr>
              <w:t>;</w:t>
            </w:r>
            <w:r w:rsidRPr="008A74B7">
              <w:rPr>
                <w:rFonts w:cstheme="minorHAnsi"/>
              </w:rPr>
              <w:t xml:space="preserve"> infrastructuur beslaat ruim 50% van de overheidsinvesteringen.</w:t>
            </w:r>
          </w:p>
          <w:p w:rsidRPr="008A74B7" w:rsidR="004B7274" w:rsidP="00E648E3" w:rsidRDefault="004B7274" w14:paraId="10254CBD" w14:textId="77777777">
            <w:pPr>
              <w:spacing w:line="240" w:lineRule="atLeast"/>
              <w:jc w:val="both"/>
              <w:rPr>
                <w:rFonts w:cstheme="minorHAnsi"/>
              </w:rPr>
            </w:pPr>
          </w:p>
          <w:p w:rsidRPr="008A74B7" w:rsidR="004B7274" w:rsidP="00E648E3" w:rsidRDefault="004B7274" w14:paraId="01FD9EFE" w14:textId="77777777">
            <w:pPr>
              <w:spacing w:line="240" w:lineRule="atLeast"/>
              <w:jc w:val="both"/>
              <w:rPr>
                <w:rFonts w:cstheme="minorHAnsi"/>
                <w:i/>
                <w:iCs/>
              </w:rPr>
            </w:pPr>
            <w:r w:rsidRPr="008A74B7">
              <w:rPr>
                <w:rFonts w:cstheme="minorHAnsi"/>
                <w:i/>
                <w:iCs/>
              </w:rPr>
              <w:t>Totstandkoming</w:t>
            </w:r>
          </w:p>
          <w:p w:rsidR="004B7274" w:rsidP="00E648E3" w:rsidRDefault="004B7274" w14:paraId="0A24665C" w14:textId="7429316F">
            <w:pPr>
              <w:spacing w:line="240" w:lineRule="atLeast"/>
              <w:jc w:val="both"/>
              <w:rPr>
                <w:rFonts w:cstheme="minorHAnsi"/>
              </w:rPr>
            </w:pPr>
            <w:r w:rsidRPr="008A74B7">
              <w:rPr>
                <w:rFonts w:cstheme="minorHAnsi"/>
              </w:rPr>
              <w:t>De IBOI wordt door het CPB geraamd op basis van ramingen van de gecumuleerde kostenquotes (inclusief marge-ontwikkeling</w:t>
            </w:r>
            <w:r w:rsidR="00B84E2E">
              <w:rPr>
                <w:rFonts w:cstheme="minorHAnsi"/>
              </w:rPr>
              <w:t>)</w:t>
            </w:r>
            <w:r w:rsidR="0048769B">
              <w:rPr>
                <w:rStyle w:val="Voetnootmarkering"/>
                <w:rFonts w:cstheme="minorHAnsi"/>
              </w:rPr>
              <w:footnoteReference w:id="2"/>
            </w:r>
            <w:r w:rsidRPr="008A74B7">
              <w:rPr>
                <w:rFonts w:cstheme="minorHAnsi"/>
              </w:rPr>
              <w:t>. Zo werken loonstijgingen voor 54% door in de investeringsprijs van de overheid; bij prijsstijgingen van de invoer van grondstoffen is het 12%. Ook wordt rekening gehouden met autonome prijsmutaties, zoals de invoering van BTW op openbaar vervoerprojecten.</w:t>
            </w:r>
          </w:p>
          <w:p w:rsidR="00483E77" w:rsidP="00E648E3" w:rsidRDefault="00483E77" w14:paraId="546B7075" w14:textId="77777777">
            <w:pPr>
              <w:spacing w:line="240" w:lineRule="atLeast"/>
              <w:jc w:val="both"/>
              <w:rPr>
                <w:rFonts w:cstheme="minorHAnsi"/>
              </w:rPr>
            </w:pPr>
          </w:p>
          <w:p w:rsidRPr="008A74B7" w:rsidR="00483E77" w:rsidP="00483E77" w:rsidRDefault="00483E77" w14:paraId="38C608D4" w14:textId="77777777">
            <w:pPr>
              <w:spacing w:line="240" w:lineRule="atLeast"/>
              <w:jc w:val="both"/>
              <w:rPr>
                <w:rFonts w:cstheme="minorHAnsi"/>
                <w:i/>
                <w:iCs/>
              </w:rPr>
            </w:pPr>
            <w:r w:rsidRPr="008A74B7">
              <w:rPr>
                <w:rFonts w:cstheme="minorHAnsi"/>
                <w:i/>
                <w:iCs/>
              </w:rPr>
              <w:t>Toepassing</w:t>
            </w:r>
          </w:p>
          <w:p w:rsidRPr="00483E77" w:rsidR="00483E77" w:rsidP="00E648E3" w:rsidRDefault="00483E77" w14:paraId="5790E512" w14:textId="085B5573">
            <w:pPr>
              <w:spacing w:line="240" w:lineRule="atLeast"/>
              <w:jc w:val="both"/>
              <w:rPr>
                <w:rFonts w:cstheme="minorHAnsi"/>
                <w:i/>
                <w:iCs/>
              </w:rPr>
            </w:pPr>
            <w:r w:rsidRPr="008A74B7">
              <w:rPr>
                <w:rFonts w:cstheme="minorHAnsi"/>
              </w:rPr>
              <w:lastRenderedPageBreak/>
              <w:t>De IBOI wordt vaak gebruikt voor het indexeren van projecten, afspraken en begrotingen in constante prijzen</w:t>
            </w:r>
            <w:r>
              <w:rPr>
                <w:rFonts w:cstheme="minorHAnsi"/>
              </w:rPr>
              <w:t>. Dit geldt</w:t>
            </w:r>
            <w:r w:rsidRPr="008A74B7">
              <w:rPr>
                <w:rFonts w:cstheme="minorHAnsi"/>
              </w:rPr>
              <w:t xml:space="preserve"> bijvoorbeeld voor </w:t>
            </w:r>
            <w:r>
              <w:rPr>
                <w:rFonts w:cstheme="minorHAnsi"/>
              </w:rPr>
              <w:t>projecten van</w:t>
            </w:r>
            <w:r w:rsidRPr="008A74B7">
              <w:rPr>
                <w:rFonts w:cstheme="minorHAnsi"/>
              </w:rPr>
              <w:t xml:space="preserve"> het </w:t>
            </w:r>
            <w:r w:rsidR="00B84E2E">
              <w:rPr>
                <w:rFonts w:cstheme="minorHAnsi"/>
              </w:rPr>
              <w:t>m</w:t>
            </w:r>
            <w:r w:rsidRPr="008A74B7">
              <w:rPr>
                <w:rFonts w:cstheme="minorHAnsi"/>
              </w:rPr>
              <w:t>inisterie van Infrastructuur en Waterstaat en voor afspraken tussen een gemeente en een wegenbouwer.</w:t>
            </w:r>
          </w:p>
        </w:tc>
      </w:tr>
    </w:tbl>
    <w:p w:rsidRPr="008A74B7" w:rsidR="004B7274" w:rsidP="004B7274" w:rsidRDefault="004B7274" w14:paraId="549FF56D" w14:textId="77777777">
      <w:pPr>
        <w:spacing w:after="0" w:line="240" w:lineRule="atLeast"/>
        <w:jc w:val="both"/>
        <w:rPr>
          <w:rFonts w:cstheme="minorHAnsi"/>
          <w:b/>
          <w:bCs/>
        </w:rPr>
      </w:pPr>
    </w:p>
    <w:tbl>
      <w:tblPr>
        <w:tblStyle w:val="Tabelraster"/>
        <w:tblW w:w="9154" w:type="dxa"/>
        <w:tblInd w:w="55" w:type="dxa"/>
        <w:tblCellMar>
          <w:left w:w="70" w:type="dxa"/>
          <w:right w:w="70" w:type="dxa"/>
        </w:tblCellMar>
        <w:tblLook w:val="0000" w:firstRow="0" w:lastRow="0" w:firstColumn="0" w:lastColumn="0" w:noHBand="0" w:noVBand="0"/>
      </w:tblPr>
      <w:tblGrid>
        <w:gridCol w:w="1295"/>
        <w:gridCol w:w="7859"/>
      </w:tblGrid>
      <w:tr w:rsidRPr="008A74B7" w:rsidR="004B7274" w:rsidTr="00E648E3" w14:paraId="1DF08CF3" w14:textId="77777777">
        <w:tc>
          <w:tcPr>
            <w:tcW w:w="9154" w:type="dxa"/>
            <w:gridSpan w:val="2"/>
          </w:tcPr>
          <w:p w:rsidRPr="008A74B7" w:rsidR="004B7274" w:rsidP="00E648E3" w:rsidRDefault="004B7274" w14:paraId="17972EF1" w14:textId="77777777">
            <w:pPr>
              <w:spacing w:line="240" w:lineRule="atLeast"/>
              <w:jc w:val="both"/>
              <w:rPr>
                <w:rFonts w:cstheme="minorHAnsi"/>
                <w:b/>
                <w:bCs/>
              </w:rPr>
            </w:pPr>
            <w:r w:rsidRPr="008A74B7">
              <w:rPr>
                <w:rFonts w:cstheme="minorHAnsi"/>
                <w:b/>
                <w:bCs/>
              </w:rPr>
              <w:t>Ad. 2 Inputprijsindex Grond- Weg- en Waterbouw (GWW)</w:t>
            </w:r>
          </w:p>
        </w:tc>
      </w:tr>
      <w:tr w:rsidRPr="008A74B7" w:rsidR="004B7274" w:rsidTr="00E648E3" w14:paraId="1D82C03F" w14:textId="77777777">
        <w:tc>
          <w:tcPr>
            <w:tcW w:w="1192" w:type="dxa"/>
          </w:tcPr>
          <w:p w:rsidRPr="008A74B7" w:rsidR="004B7274" w:rsidP="00E648E3" w:rsidRDefault="004B7274" w14:paraId="305BFF00" w14:textId="77777777">
            <w:pPr>
              <w:spacing w:line="240" w:lineRule="atLeast"/>
              <w:jc w:val="both"/>
              <w:rPr>
                <w:rFonts w:cstheme="minorHAnsi"/>
              </w:rPr>
            </w:pPr>
            <w:r w:rsidRPr="008A74B7">
              <w:rPr>
                <w:rFonts w:cstheme="minorHAnsi"/>
                <w:b/>
                <w:bCs/>
              </w:rPr>
              <w:t>Kenmerken</w:t>
            </w:r>
          </w:p>
        </w:tc>
        <w:tc>
          <w:tcPr>
            <w:tcW w:w="7962" w:type="dxa"/>
          </w:tcPr>
          <w:p w:rsidRPr="008A74B7" w:rsidR="004B7274" w:rsidP="00E648E3" w:rsidRDefault="004B7274" w14:paraId="545269BB" w14:textId="77777777">
            <w:pPr>
              <w:spacing w:line="240" w:lineRule="atLeast"/>
              <w:jc w:val="both"/>
              <w:rPr>
                <w:rFonts w:cstheme="minorHAnsi"/>
              </w:rPr>
            </w:pPr>
            <w:r w:rsidRPr="008A74B7">
              <w:rPr>
                <w:rFonts w:cstheme="minorHAnsi"/>
              </w:rPr>
              <w:t>Bron: CBS</w:t>
            </w:r>
          </w:p>
          <w:p w:rsidRPr="008A74B7" w:rsidR="004B7274" w:rsidP="00E648E3" w:rsidRDefault="004B7274" w14:paraId="78AF16C1" w14:textId="44954776">
            <w:pPr>
              <w:spacing w:line="240" w:lineRule="atLeast"/>
              <w:jc w:val="both"/>
              <w:rPr>
                <w:rFonts w:cstheme="minorHAnsi"/>
              </w:rPr>
            </w:pPr>
            <w:r w:rsidRPr="008A74B7">
              <w:rPr>
                <w:rFonts w:cstheme="minorHAnsi"/>
              </w:rPr>
              <w:t xml:space="preserve">Ex </w:t>
            </w:r>
            <w:r w:rsidR="00E82559">
              <w:rPr>
                <w:rFonts w:cstheme="minorHAnsi"/>
              </w:rPr>
              <w:t xml:space="preserve">ante of ex </w:t>
            </w:r>
            <w:r w:rsidRPr="008A74B7">
              <w:rPr>
                <w:rFonts w:cstheme="minorHAnsi"/>
              </w:rPr>
              <w:t>post: 4</w:t>
            </w:r>
            <w:r>
              <w:rPr>
                <w:rFonts w:cstheme="minorHAnsi"/>
              </w:rPr>
              <w:t xml:space="preserve"> keer per jaar</w:t>
            </w:r>
            <w:r w:rsidRPr="008A74B7">
              <w:rPr>
                <w:rFonts w:cstheme="minorHAnsi"/>
              </w:rPr>
              <w:t>, 2 maanden na peildatum</w:t>
            </w:r>
            <w:r w:rsidR="0047254A">
              <w:rPr>
                <w:rFonts w:cstheme="minorHAnsi"/>
              </w:rPr>
              <w:t>.</w:t>
            </w:r>
            <w:r w:rsidR="00E82559">
              <w:rPr>
                <w:rFonts w:cstheme="minorHAnsi"/>
              </w:rPr>
              <w:t xml:space="preserve"> </w:t>
            </w:r>
            <w:r w:rsidR="0047254A">
              <w:rPr>
                <w:rFonts w:cstheme="minorHAnsi"/>
              </w:rPr>
              <w:t>Da</w:t>
            </w:r>
            <w:r w:rsidR="00E82559">
              <w:rPr>
                <w:rFonts w:cstheme="minorHAnsi"/>
              </w:rPr>
              <w:t>armee is de GWW een ex post index.</w:t>
            </w:r>
          </w:p>
          <w:p w:rsidRPr="008A74B7" w:rsidR="004B7274" w:rsidP="00E648E3" w:rsidRDefault="004B7274" w14:paraId="7008D290" w14:textId="34306316">
            <w:pPr>
              <w:spacing w:line="240" w:lineRule="atLeast"/>
              <w:jc w:val="both"/>
              <w:rPr>
                <w:rFonts w:cstheme="minorHAnsi"/>
              </w:rPr>
            </w:pPr>
            <w:r>
              <w:rPr>
                <w:rFonts w:cstheme="minorHAnsi"/>
              </w:rPr>
              <w:t>Huidige t</w:t>
            </w:r>
            <w:r w:rsidRPr="008A74B7">
              <w:rPr>
                <w:rFonts w:cstheme="minorHAnsi"/>
              </w:rPr>
              <w:t xml:space="preserve">oepassing: </w:t>
            </w:r>
            <w:r w:rsidR="00B84E2E">
              <w:rPr>
                <w:rFonts w:cstheme="minorHAnsi"/>
              </w:rPr>
              <w:t>Voor m</w:t>
            </w:r>
            <w:r w:rsidRPr="008A74B7">
              <w:rPr>
                <w:rFonts w:cstheme="minorHAnsi"/>
              </w:rPr>
              <w:t>onitoring</w:t>
            </w:r>
            <w:r w:rsidR="00B84E2E">
              <w:rPr>
                <w:rFonts w:cstheme="minorHAnsi"/>
              </w:rPr>
              <w:t xml:space="preserve"> van</w:t>
            </w:r>
            <w:r w:rsidRPr="008A74B7">
              <w:rPr>
                <w:rFonts w:cstheme="minorHAnsi"/>
              </w:rPr>
              <w:t xml:space="preserve"> prijsontwikkeling</w:t>
            </w:r>
            <w:r w:rsidR="00B84E2E">
              <w:rPr>
                <w:rFonts w:cstheme="minorHAnsi"/>
              </w:rPr>
              <w:t>en.</w:t>
            </w:r>
            <w:r w:rsidRPr="008A74B7">
              <w:rPr>
                <w:rFonts w:cstheme="minorHAnsi"/>
              </w:rPr>
              <w:t xml:space="preserve"> </w:t>
            </w:r>
          </w:p>
        </w:tc>
      </w:tr>
      <w:tr w:rsidRPr="008A74B7" w:rsidR="004B7274" w:rsidTr="00E648E3" w14:paraId="41918739" w14:textId="77777777">
        <w:tc>
          <w:tcPr>
            <w:tcW w:w="9154" w:type="dxa"/>
            <w:gridSpan w:val="2"/>
          </w:tcPr>
          <w:p w:rsidRPr="008A74B7" w:rsidR="004B7274" w:rsidP="00E648E3" w:rsidRDefault="004B7274" w14:paraId="3C15F3F3" w14:textId="4D6F11E4">
            <w:pPr>
              <w:spacing w:line="240" w:lineRule="atLeast"/>
              <w:jc w:val="both"/>
              <w:rPr>
                <w:rFonts w:cstheme="minorHAnsi"/>
                <w:i/>
                <w:iCs/>
              </w:rPr>
            </w:pPr>
            <w:r w:rsidRPr="008A74B7">
              <w:rPr>
                <w:rFonts w:cstheme="minorHAnsi"/>
                <w:i/>
                <w:iCs/>
              </w:rPr>
              <w:t>Toelichting</w:t>
            </w:r>
          </w:p>
          <w:p w:rsidRPr="008A74B7" w:rsidR="004B7274" w:rsidP="00E648E3" w:rsidRDefault="000944D4" w14:paraId="313C7A8F" w14:textId="463DA60E">
            <w:pPr>
              <w:spacing w:line="240" w:lineRule="atLeast"/>
              <w:jc w:val="both"/>
              <w:rPr>
                <w:rFonts w:cstheme="minorHAnsi"/>
              </w:rPr>
            </w:pPr>
            <w:r>
              <w:rPr>
                <w:rFonts w:cstheme="minorHAnsi"/>
              </w:rPr>
              <w:t xml:space="preserve">Twee maanden na dato van de </w:t>
            </w:r>
            <w:r w:rsidRPr="008A74B7" w:rsidR="004B7274">
              <w:rPr>
                <w:rFonts w:cstheme="minorHAnsi"/>
              </w:rPr>
              <w:t>peildatum</w:t>
            </w:r>
            <w:r>
              <w:rPr>
                <w:rFonts w:cstheme="minorHAnsi"/>
              </w:rPr>
              <w:t xml:space="preserve"> van de GWW in</w:t>
            </w:r>
            <w:r w:rsidRPr="008A74B7" w:rsidR="004B7274">
              <w:rPr>
                <w:rFonts w:cstheme="minorHAnsi"/>
              </w:rPr>
              <w:t xml:space="preserve"> januari, april, juli en oktober worden </w:t>
            </w:r>
            <w:r>
              <w:rPr>
                <w:rFonts w:cstheme="minorHAnsi"/>
              </w:rPr>
              <w:t>de voorlopige</w:t>
            </w:r>
            <w:r w:rsidRPr="008A74B7" w:rsidR="004B7274">
              <w:rPr>
                <w:rFonts w:cstheme="minorHAnsi"/>
              </w:rPr>
              <w:t xml:space="preserve"> </w:t>
            </w:r>
            <w:r>
              <w:rPr>
                <w:rFonts w:cstheme="minorHAnsi"/>
              </w:rPr>
              <w:t>GWW-</w:t>
            </w:r>
            <w:r w:rsidRPr="008A74B7" w:rsidR="004B7274">
              <w:rPr>
                <w:rFonts w:cstheme="minorHAnsi"/>
              </w:rPr>
              <w:t>cijfers gepubliceerd. Definitieve cijfers worden 4</w:t>
            </w:r>
            <w:r w:rsidR="004B7274">
              <w:rPr>
                <w:rFonts w:cstheme="minorHAnsi"/>
              </w:rPr>
              <w:t xml:space="preserve"> tot </w:t>
            </w:r>
            <w:r w:rsidRPr="008A74B7" w:rsidR="004B7274">
              <w:rPr>
                <w:rFonts w:cstheme="minorHAnsi"/>
              </w:rPr>
              <w:t>16 maanden na de periode waarover de cijfers worden berekend vastgesteld</w:t>
            </w:r>
            <w:r w:rsidR="00EE0065">
              <w:rPr>
                <w:rFonts w:cstheme="minorHAnsi"/>
              </w:rPr>
              <w:t>. Dit is</w:t>
            </w:r>
            <w:r w:rsidRPr="008A74B7" w:rsidR="004B7274">
              <w:rPr>
                <w:rFonts w:cstheme="minorHAnsi"/>
              </w:rPr>
              <w:t xml:space="preserve"> afhankelijk van bij de GWW</w:t>
            </w:r>
            <w:r w:rsidR="004B7274">
              <w:rPr>
                <w:rFonts w:cstheme="minorHAnsi"/>
              </w:rPr>
              <w:t>-index</w:t>
            </w:r>
            <w:r w:rsidRPr="008A74B7" w:rsidR="004B7274">
              <w:rPr>
                <w:rFonts w:cstheme="minorHAnsi"/>
              </w:rPr>
              <w:t xml:space="preserve"> betrokken cao’s.</w:t>
            </w:r>
          </w:p>
          <w:p w:rsidRPr="008A74B7" w:rsidR="004B7274" w:rsidP="00E648E3" w:rsidRDefault="004B7274" w14:paraId="78368C26" w14:textId="77777777">
            <w:pPr>
              <w:spacing w:line="240" w:lineRule="atLeast"/>
              <w:jc w:val="both"/>
              <w:rPr>
                <w:rFonts w:cstheme="minorHAnsi"/>
                <w:color w:val="000000"/>
              </w:rPr>
            </w:pPr>
          </w:p>
          <w:p w:rsidRPr="008A74B7" w:rsidR="004B7274" w:rsidP="00E648E3" w:rsidRDefault="004B7274" w14:paraId="5FAB8397" w14:textId="77777777">
            <w:pPr>
              <w:spacing w:line="240" w:lineRule="atLeast"/>
              <w:jc w:val="both"/>
              <w:rPr>
                <w:rFonts w:cstheme="minorHAnsi"/>
                <w:i/>
                <w:iCs/>
                <w:color w:val="000000"/>
              </w:rPr>
            </w:pPr>
            <w:r w:rsidRPr="008A74B7">
              <w:rPr>
                <w:rFonts w:cstheme="minorHAnsi"/>
                <w:i/>
                <w:iCs/>
                <w:color w:val="000000"/>
              </w:rPr>
              <w:t>Totstandkoming</w:t>
            </w:r>
          </w:p>
          <w:p w:rsidRPr="008A74B7" w:rsidR="004B7274" w:rsidP="00E648E3" w:rsidRDefault="004B7274" w14:paraId="51E42660" w14:textId="33794B3D">
            <w:pPr>
              <w:spacing w:line="240" w:lineRule="atLeast"/>
              <w:jc w:val="both"/>
              <w:rPr>
                <w:rFonts w:cstheme="minorHAnsi"/>
              </w:rPr>
            </w:pPr>
            <w:r w:rsidRPr="008A74B7">
              <w:rPr>
                <w:rFonts w:cstheme="minorHAnsi"/>
              </w:rPr>
              <w:t>De bronnen voor deze index zijn gegevens die bij het CBS aanwezig zijn. De loonontwikkeling is gebaseerd op de ontwikkeling van de contractuele loonkosten van cao-lonen. De ontwikkeling van de materieel</w:t>
            </w:r>
            <w:r w:rsidR="00EE0065">
              <w:rPr>
                <w:rFonts w:cstheme="minorHAnsi"/>
              </w:rPr>
              <w:t xml:space="preserve"> -</w:t>
            </w:r>
            <w:r w:rsidRPr="008A74B7">
              <w:rPr>
                <w:rFonts w:cstheme="minorHAnsi"/>
              </w:rPr>
              <w:t xml:space="preserve">en de materiaalprijzen wordt berekend op basis van prijsindexcijfers die ontleend zijn aan de statistiek Producentenprijs Index (PPI), de prijsindexcijfers van de statistiek Dienstenprijzen (DPI) of </w:t>
            </w:r>
            <w:r w:rsidR="00EE0065">
              <w:rPr>
                <w:rFonts w:cstheme="minorHAnsi"/>
              </w:rPr>
              <w:t xml:space="preserve">de </w:t>
            </w:r>
            <w:r w:rsidRPr="008A74B7">
              <w:rPr>
                <w:rFonts w:cstheme="minorHAnsi"/>
              </w:rPr>
              <w:t>Consumentenprij</w:t>
            </w:r>
            <w:r w:rsidR="00EE0065">
              <w:rPr>
                <w:rFonts w:cstheme="minorHAnsi"/>
              </w:rPr>
              <w:t>s</w:t>
            </w:r>
            <w:r>
              <w:rPr>
                <w:rFonts w:cstheme="minorHAnsi"/>
              </w:rPr>
              <w:t>index</w:t>
            </w:r>
            <w:r w:rsidRPr="008A74B7">
              <w:rPr>
                <w:rFonts w:cstheme="minorHAnsi"/>
              </w:rPr>
              <w:t xml:space="preserve"> (CPI).</w:t>
            </w:r>
          </w:p>
          <w:p w:rsidRPr="008A74B7" w:rsidR="004B7274" w:rsidP="00E648E3" w:rsidRDefault="004B7274" w14:paraId="38A107A5" w14:textId="77777777">
            <w:pPr>
              <w:spacing w:line="240" w:lineRule="atLeast"/>
              <w:jc w:val="both"/>
              <w:rPr>
                <w:rFonts w:cstheme="minorHAnsi"/>
              </w:rPr>
            </w:pPr>
          </w:p>
          <w:p w:rsidRPr="008A74B7" w:rsidR="004B7274" w:rsidP="00E648E3" w:rsidRDefault="004B7274" w14:paraId="71BB30F8" w14:textId="1E341EE3">
            <w:pPr>
              <w:spacing w:line="240" w:lineRule="atLeast"/>
              <w:jc w:val="both"/>
              <w:rPr>
                <w:rFonts w:cstheme="minorHAnsi"/>
              </w:rPr>
            </w:pPr>
            <w:r w:rsidRPr="008A74B7">
              <w:rPr>
                <w:rFonts w:cstheme="minorHAnsi"/>
              </w:rPr>
              <w:t>De prijsindex van de verschillende deelgebieden binnen de GWW</w:t>
            </w:r>
            <w:r>
              <w:rPr>
                <w:rFonts w:cstheme="minorHAnsi"/>
              </w:rPr>
              <w:t>-sector</w:t>
            </w:r>
            <w:r w:rsidRPr="008A74B7">
              <w:rPr>
                <w:rFonts w:cstheme="minorHAnsi"/>
              </w:rPr>
              <w:t xml:space="preserve"> wordt berekend door het wegen van prijsontwikkelingen van bepaalde groepen die beschikbaar zijn vanuit </w:t>
            </w:r>
            <w:r>
              <w:rPr>
                <w:rFonts w:cstheme="minorHAnsi"/>
              </w:rPr>
              <w:t>de</w:t>
            </w:r>
            <w:r w:rsidRPr="008A74B7">
              <w:rPr>
                <w:rFonts w:cstheme="minorHAnsi"/>
              </w:rPr>
              <w:t xml:space="preserve"> </w:t>
            </w:r>
            <w:r>
              <w:rPr>
                <w:rFonts w:cstheme="minorHAnsi"/>
              </w:rPr>
              <w:t>PPI</w:t>
            </w:r>
            <w:r w:rsidRPr="008A74B7">
              <w:rPr>
                <w:rFonts w:cstheme="minorHAnsi"/>
              </w:rPr>
              <w:t>, D</w:t>
            </w:r>
            <w:r>
              <w:rPr>
                <w:rFonts w:cstheme="minorHAnsi"/>
              </w:rPr>
              <w:t xml:space="preserve">PI </w:t>
            </w:r>
            <w:r w:rsidRPr="008A74B7">
              <w:rPr>
                <w:rFonts w:cstheme="minorHAnsi"/>
              </w:rPr>
              <w:t xml:space="preserve">en </w:t>
            </w:r>
            <w:r>
              <w:rPr>
                <w:rFonts w:cstheme="minorHAnsi"/>
              </w:rPr>
              <w:t>CPI</w:t>
            </w:r>
            <w:r w:rsidRPr="008A74B7">
              <w:rPr>
                <w:rFonts w:cstheme="minorHAnsi"/>
              </w:rPr>
              <w:t xml:space="preserve"> </w:t>
            </w:r>
            <w:r>
              <w:rPr>
                <w:rFonts w:cstheme="minorHAnsi"/>
              </w:rPr>
              <w:t>en</w:t>
            </w:r>
            <w:r w:rsidRPr="008A74B7">
              <w:rPr>
                <w:rFonts w:cstheme="minorHAnsi"/>
              </w:rPr>
              <w:t xml:space="preserve"> de ontwikkeling van de </w:t>
            </w:r>
            <w:r>
              <w:rPr>
                <w:rFonts w:cstheme="minorHAnsi"/>
              </w:rPr>
              <w:t>c</w:t>
            </w:r>
            <w:r w:rsidRPr="008A74B7">
              <w:rPr>
                <w:rFonts w:cstheme="minorHAnsi"/>
              </w:rPr>
              <w:t>ontractuele lonen. Als basis van het wegingsschema zijn de resultaten van een onderzoek naar kosten van representatieve projecten in de verschillende deelgebieden gebruikt. Daarbij is het verbruik van bouwmaterialen, diensten en arbeid vastgesteld.</w:t>
            </w:r>
            <w:r w:rsidR="00A65915">
              <w:rPr>
                <w:rFonts w:cstheme="minorHAnsi"/>
              </w:rPr>
              <w:t xml:space="preserve"> </w:t>
            </w:r>
            <w:r w:rsidRPr="008A74B7">
              <w:rPr>
                <w:rFonts w:cstheme="minorHAnsi"/>
              </w:rPr>
              <w:t>Het betreft het gemiddelde gebruik van bouwmaterialen, diensten en arbeid in de volgende deelgebieden:</w:t>
            </w:r>
          </w:p>
          <w:p w:rsidRPr="008A74B7" w:rsidR="004B7274" w:rsidP="004B7274" w:rsidRDefault="004B7274" w14:paraId="35528D42" w14:textId="77777777">
            <w:pPr>
              <w:pStyle w:val="Lijstalinea"/>
              <w:numPr>
                <w:ilvl w:val="0"/>
                <w:numId w:val="28"/>
              </w:numPr>
              <w:spacing w:after="0" w:line="240" w:lineRule="atLeast"/>
              <w:jc w:val="both"/>
              <w:rPr>
                <w:rFonts w:ascii="Verdana" w:hAnsi="Verdana" w:cstheme="minorHAnsi"/>
                <w:color w:val="000000"/>
                <w:sz w:val="18"/>
                <w:szCs w:val="18"/>
              </w:rPr>
            </w:pPr>
            <w:r w:rsidRPr="008A74B7">
              <w:rPr>
                <w:rFonts w:ascii="Verdana" w:hAnsi="Verdana" w:cstheme="minorHAnsi"/>
                <w:color w:val="000000"/>
                <w:sz w:val="18"/>
                <w:szCs w:val="18"/>
              </w:rPr>
              <w:t>4211a Wegen, fiets- en voetpaden met open verharding</w:t>
            </w:r>
            <w:r w:rsidRPr="008A74B7">
              <w:rPr>
                <w:rFonts w:ascii="Verdana" w:hAnsi="Verdana" w:cstheme="minorHAnsi"/>
                <w:color w:val="000000"/>
                <w:sz w:val="18"/>
                <w:szCs w:val="18"/>
              </w:rPr>
              <w:tab/>
            </w:r>
          </w:p>
          <w:p w:rsidRPr="008A74B7" w:rsidR="004B7274" w:rsidP="004B7274" w:rsidRDefault="004B7274" w14:paraId="3B01FDDC" w14:textId="77777777">
            <w:pPr>
              <w:numPr>
                <w:ilvl w:val="0"/>
                <w:numId w:val="28"/>
              </w:numPr>
              <w:spacing w:after="0" w:line="240" w:lineRule="atLeast"/>
              <w:contextualSpacing w:val="0"/>
              <w:jc w:val="both"/>
              <w:rPr>
                <w:rFonts w:cstheme="minorHAnsi"/>
                <w:color w:val="000000"/>
              </w:rPr>
            </w:pPr>
            <w:r w:rsidRPr="008A74B7">
              <w:rPr>
                <w:rFonts w:cstheme="minorHAnsi"/>
                <w:color w:val="000000"/>
              </w:rPr>
              <w:t>4211b Geasfalteerde wegen en fietspaden met gesloten verharding</w:t>
            </w:r>
            <w:r w:rsidRPr="008A74B7">
              <w:rPr>
                <w:rFonts w:cstheme="minorHAnsi"/>
                <w:color w:val="000000"/>
              </w:rPr>
              <w:tab/>
            </w:r>
          </w:p>
          <w:p w:rsidRPr="008A74B7" w:rsidR="004B7274" w:rsidP="004B7274" w:rsidRDefault="004B7274" w14:paraId="5674B571" w14:textId="77777777">
            <w:pPr>
              <w:numPr>
                <w:ilvl w:val="0"/>
                <w:numId w:val="28"/>
              </w:numPr>
              <w:spacing w:after="0" w:line="240" w:lineRule="atLeast"/>
              <w:contextualSpacing w:val="0"/>
              <w:jc w:val="both"/>
              <w:rPr>
                <w:rFonts w:cstheme="minorHAnsi"/>
                <w:color w:val="000000"/>
              </w:rPr>
            </w:pPr>
            <w:r w:rsidRPr="008A74B7">
              <w:rPr>
                <w:rFonts w:cstheme="minorHAnsi"/>
                <w:color w:val="000000"/>
              </w:rPr>
              <w:t>4211c Onderhoud aan wegen met gesloten verharding</w:t>
            </w:r>
            <w:r w:rsidRPr="008A74B7">
              <w:rPr>
                <w:rFonts w:cstheme="minorHAnsi"/>
                <w:color w:val="000000"/>
              </w:rPr>
              <w:tab/>
            </w:r>
          </w:p>
          <w:p w:rsidRPr="008A74B7" w:rsidR="004B7274" w:rsidP="004B7274" w:rsidRDefault="004B7274" w14:paraId="566185B1" w14:textId="77777777">
            <w:pPr>
              <w:numPr>
                <w:ilvl w:val="0"/>
                <w:numId w:val="28"/>
              </w:numPr>
              <w:spacing w:after="0" w:line="240" w:lineRule="atLeast"/>
              <w:contextualSpacing w:val="0"/>
              <w:jc w:val="both"/>
              <w:rPr>
                <w:rFonts w:cstheme="minorHAnsi"/>
                <w:color w:val="000000"/>
              </w:rPr>
            </w:pPr>
            <w:r w:rsidRPr="008A74B7">
              <w:rPr>
                <w:rFonts w:cstheme="minorHAnsi"/>
                <w:color w:val="000000"/>
              </w:rPr>
              <w:t>4212 Boven- en ondergrondse spoorwegen.</w:t>
            </w:r>
          </w:p>
          <w:p w:rsidRPr="008A74B7" w:rsidR="004B7274" w:rsidP="004B7274" w:rsidRDefault="004B7274" w14:paraId="7652C8BD" w14:textId="77777777">
            <w:pPr>
              <w:numPr>
                <w:ilvl w:val="0"/>
                <w:numId w:val="28"/>
              </w:numPr>
              <w:spacing w:after="0" w:line="240" w:lineRule="atLeast"/>
              <w:contextualSpacing w:val="0"/>
              <w:jc w:val="both"/>
              <w:rPr>
                <w:rFonts w:cstheme="minorHAnsi"/>
                <w:color w:val="000000"/>
              </w:rPr>
            </w:pPr>
            <w:r w:rsidRPr="008A74B7">
              <w:rPr>
                <w:rFonts w:cstheme="minorHAnsi"/>
                <w:color w:val="000000"/>
              </w:rPr>
              <w:t>4212a Spoorwegen; Aanleg</w:t>
            </w:r>
          </w:p>
          <w:p w:rsidRPr="008A74B7" w:rsidR="004B7274" w:rsidP="004B7274" w:rsidRDefault="004B7274" w14:paraId="60EBFB03" w14:textId="77777777">
            <w:pPr>
              <w:numPr>
                <w:ilvl w:val="0"/>
                <w:numId w:val="28"/>
              </w:numPr>
              <w:spacing w:after="0" w:line="240" w:lineRule="atLeast"/>
              <w:contextualSpacing w:val="0"/>
              <w:jc w:val="both"/>
              <w:rPr>
                <w:rFonts w:cstheme="minorHAnsi"/>
                <w:color w:val="000000"/>
              </w:rPr>
            </w:pPr>
            <w:r w:rsidRPr="008A74B7">
              <w:rPr>
                <w:rFonts w:cstheme="minorHAnsi"/>
                <w:color w:val="000000"/>
              </w:rPr>
              <w:t>4212b Spoorwegen; Exploitatie/onderhoud</w:t>
            </w:r>
          </w:p>
          <w:p w:rsidRPr="008A74B7" w:rsidR="004B7274" w:rsidP="004B7274" w:rsidRDefault="004B7274" w14:paraId="580981C6" w14:textId="77777777">
            <w:pPr>
              <w:numPr>
                <w:ilvl w:val="0"/>
                <w:numId w:val="28"/>
              </w:numPr>
              <w:spacing w:after="0" w:line="240" w:lineRule="atLeast"/>
              <w:contextualSpacing w:val="0"/>
              <w:jc w:val="both"/>
              <w:rPr>
                <w:rFonts w:cstheme="minorHAnsi"/>
                <w:color w:val="000000"/>
              </w:rPr>
            </w:pPr>
            <w:r w:rsidRPr="008A74B7">
              <w:rPr>
                <w:rFonts w:cstheme="minorHAnsi"/>
                <w:color w:val="000000"/>
              </w:rPr>
              <w:t>4213 Bruggen en tunnels; bouw van bruggen en tunnels.</w:t>
            </w:r>
            <w:r w:rsidRPr="008A74B7">
              <w:rPr>
                <w:rFonts w:cstheme="minorHAnsi"/>
                <w:color w:val="000000"/>
              </w:rPr>
              <w:tab/>
            </w:r>
          </w:p>
          <w:p w:rsidRPr="008A74B7" w:rsidR="004B7274" w:rsidP="004B7274" w:rsidRDefault="004B7274" w14:paraId="7FC4610B" w14:textId="77777777">
            <w:pPr>
              <w:numPr>
                <w:ilvl w:val="0"/>
                <w:numId w:val="28"/>
              </w:numPr>
              <w:spacing w:after="0" w:line="240" w:lineRule="atLeast"/>
              <w:contextualSpacing w:val="0"/>
              <w:jc w:val="both"/>
              <w:rPr>
                <w:rFonts w:cstheme="minorHAnsi"/>
                <w:color w:val="000000"/>
              </w:rPr>
            </w:pPr>
            <w:r w:rsidRPr="008A74B7">
              <w:rPr>
                <w:rFonts w:cstheme="minorHAnsi"/>
                <w:color w:val="000000"/>
              </w:rPr>
              <w:t>4221 Civieltechnische werken en bouw van civieltechnische werken, voor vloeistoffen</w:t>
            </w:r>
            <w:r w:rsidRPr="008A74B7">
              <w:rPr>
                <w:rFonts w:cstheme="minorHAnsi"/>
                <w:color w:val="000000"/>
              </w:rPr>
              <w:tab/>
            </w:r>
          </w:p>
          <w:p w:rsidRPr="008A74B7" w:rsidR="004B7274" w:rsidP="004B7274" w:rsidRDefault="004B7274" w14:paraId="2BCBD437" w14:textId="77777777">
            <w:pPr>
              <w:numPr>
                <w:ilvl w:val="0"/>
                <w:numId w:val="28"/>
              </w:numPr>
              <w:spacing w:after="0" w:line="240" w:lineRule="atLeast"/>
              <w:contextualSpacing w:val="0"/>
              <w:jc w:val="both"/>
              <w:rPr>
                <w:rFonts w:cstheme="minorHAnsi"/>
                <w:color w:val="000000"/>
              </w:rPr>
            </w:pPr>
            <w:r w:rsidRPr="008A74B7">
              <w:rPr>
                <w:rFonts w:cstheme="minorHAnsi"/>
                <w:color w:val="000000"/>
              </w:rPr>
              <w:t>4291 Waterbouwkundige werken en bouw van waterbouwkundige werken</w:t>
            </w:r>
          </w:p>
          <w:p w:rsidRPr="008A74B7" w:rsidR="004B7274" w:rsidP="004B7274" w:rsidRDefault="004B7274" w14:paraId="45990724" w14:textId="77777777">
            <w:pPr>
              <w:numPr>
                <w:ilvl w:val="0"/>
                <w:numId w:val="28"/>
              </w:numPr>
              <w:spacing w:after="0" w:line="240" w:lineRule="atLeast"/>
              <w:contextualSpacing w:val="0"/>
              <w:jc w:val="both"/>
              <w:rPr>
                <w:rFonts w:cstheme="minorHAnsi"/>
                <w:color w:val="000000"/>
              </w:rPr>
            </w:pPr>
            <w:r w:rsidRPr="008A74B7">
              <w:rPr>
                <w:rFonts w:cstheme="minorHAnsi"/>
                <w:color w:val="000000"/>
              </w:rPr>
              <w:t>4312 Bouwrijp maken van terreinen</w:t>
            </w:r>
          </w:p>
          <w:p w:rsidRPr="008A74B7" w:rsidR="004B7274" w:rsidP="004B7274" w:rsidRDefault="004B7274" w14:paraId="1AB3BCA8" w14:textId="77777777">
            <w:pPr>
              <w:numPr>
                <w:ilvl w:val="0"/>
                <w:numId w:val="28"/>
              </w:numPr>
              <w:spacing w:after="0" w:line="240" w:lineRule="atLeast"/>
              <w:contextualSpacing w:val="0"/>
              <w:jc w:val="both"/>
              <w:rPr>
                <w:rFonts w:cstheme="minorHAnsi"/>
                <w:color w:val="000000"/>
              </w:rPr>
            </w:pPr>
            <w:r w:rsidRPr="008A74B7">
              <w:rPr>
                <w:rFonts w:cstheme="minorHAnsi"/>
                <w:color w:val="000000"/>
              </w:rPr>
              <w:t>4321 Elektrische installatie</w:t>
            </w:r>
          </w:p>
          <w:p w:rsidRPr="008A74B7" w:rsidR="004B7274" w:rsidP="00E648E3" w:rsidRDefault="004B7274" w14:paraId="7C5944EE" w14:textId="77777777">
            <w:pPr>
              <w:spacing w:line="240" w:lineRule="atLeast"/>
              <w:jc w:val="both"/>
              <w:rPr>
                <w:rFonts w:cstheme="minorHAnsi"/>
              </w:rPr>
            </w:pPr>
          </w:p>
          <w:p w:rsidR="004B7274" w:rsidP="00E648E3" w:rsidRDefault="004B7274" w14:paraId="5570839D" w14:textId="7DC6B3D2">
            <w:pPr>
              <w:spacing w:line="240" w:lineRule="atLeast"/>
              <w:jc w:val="both"/>
              <w:rPr>
                <w:rFonts w:cstheme="minorHAnsi"/>
                <w:color w:val="000000"/>
              </w:rPr>
            </w:pPr>
            <w:r w:rsidRPr="008A74B7">
              <w:rPr>
                <w:rFonts w:cstheme="minorHAnsi"/>
              </w:rPr>
              <w:t xml:space="preserve">Met behulp van het </w:t>
            </w:r>
            <w:proofErr w:type="spellStart"/>
            <w:r w:rsidRPr="008A74B7">
              <w:rPr>
                <w:rFonts w:cstheme="minorHAnsi"/>
              </w:rPr>
              <w:t>wegingschema</w:t>
            </w:r>
            <w:proofErr w:type="spellEnd"/>
            <w:r w:rsidRPr="008A74B7">
              <w:rPr>
                <w:rFonts w:cstheme="minorHAnsi"/>
              </w:rPr>
              <w:t xml:space="preserve"> worden de prijsindices van de diverse materialen, diensten en lonen samen gewogen tot één prijsindex voor een van de deelgebieden.</w:t>
            </w:r>
            <w:r>
              <w:rPr>
                <w:rFonts w:cstheme="minorHAnsi"/>
              </w:rPr>
              <w:t xml:space="preserve"> </w:t>
            </w:r>
            <w:r w:rsidRPr="008A74B7">
              <w:rPr>
                <w:rFonts w:cstheme="minorHAnsi"/>
              </w:rPr>
              <w:t>Om vanuit de indexcijfers van de deelgebieden te komen tot prijsindexcijfers voor de totale GWW</w:t>
            </w:r>
            <w:r>
              <w:rPr>
                <w:rFonts w:cstheme="minorHAnsi"/>
              </w:rPr>
              <w:t>-sector</w:t>
            </w:r>
            <w:r w:rsidRPr="008A74B7">
              <w:rPr>
                <w:rFonts w:cstheme="minorHAnsi"/>
              </w:rPr>
              <w:t xml:space="preserve"> wordt gebruik gemaakt van een </w:t>
            </w:r>
            <w:proofErr w:type="spellStart"/>
            <w:r w:rsidRPr="008A74B7">
              <w:rPr>
                <w:rFonts w:cstheme="minorHAnsi"/>
              </w:rPr>
              <w:t>wegingschema</w:t>
            </w:r>
            <w:proofErr w:type="spellEnd"/>
            <w:r w:rsidRPr="008A74B7">
              <w:rPr>
                <w:rFonts w:cstheme="minorHAnsi"/>
              </w:rPr>
              <w:t xml:space="preserve"> dat ontleend is aan de uitkomsten van Nationale Rekeningen (NR) van 2016 met een </w:t>
            </w:r>
            <w:r>
              <w:rPr>
                <w:rFonts w:cstheme="minorHAnsi"/>
              </w:rPr>
              <w:t>update</w:t>
            </w:r>
            <w:r w:rsidRPr="008A74B7">
              <w:rPr>
                <w:rFonts w:cstheme="minorHAnsi"/>
              </w:rPr>
              <w:t xml:space="preserve"> naar 2018.</w:t>
            </w:r>
            <w:r w:rsidRPr="008A74B7">
              <w:rPr>
                <w:rFonts w:cstheme="minorHAnsi"/>
                <w:color w:val="000000"/>
              </w:rPr>
              <w:t xml:space="preserve"> </w:t>
            </w:r>
          </w:p>
          <w:p w:rsidR="00483E77" w:rsidP="00E648E3" w:rsidRDefault="00483E77" w14:paraId="4395DCCF" w14:textId="77777777">
            <w:pPr>
              <w:spacing w:line="240" w:lineRule="atLeast"/>
              <w:jc w:val="both"/>
              <w:rPr>
                <w:rFonts w:cstheme="minorHAnsi"/>
                <w:color w:val="000000"/>
              </w:rPr>
            </w:pPr>
          </w:p>
          <w:p w:rsidRPr="008A74B7" w:rsidR="00483E77" w:rsidP="00483E77" w:rsidRDefault="00483E77" w14:paraId="6744D9A6" w14:textId="77777777">
            <w:pPr>
              <w:spacing w:line="240" w:lineRule="atLeast"/>
              <w:jc w:val="both"/>
              <w:rPr>
                <w:rFonts w:cstheme="minorHAnsi"/>
                <w:i/>
                <w:iCs/>
              </w:rPr>
            </w:pPr>
            <w:r w:rsidRPr="008A74B7">
              <w:rPr>
                <w:rFonts w:cstheme="minorHAnsi"/>
                <w:i/>
                <w:iCs/>
              </w:rPr>
              <w:t>Toepassing</w:t>
            </w:r>
          </w:p>
          <w:p w:rsidR="00483E77" w:rsidP="00483E77" w:rsidRDefault="00483E77" w14:paraId="575E9716" w14:textId="3A84FF82">
            <w:pPr>
              <w:spacing w:line="240" w:lineRule="atLeast"/>
              <w:jc w:val="both"/>
              <w:rPr>
                <w:rFonts w:cstheme="minorHAnsi"/>
              </w:rPr>
            </w:pPr>
            <w:r w:rsidRPr="008A74B7">
              <w:rPr>
                <w:rFonts w:cstheme="minorHAnsi"/>
              </w:rPr>
              <w:t>De GWW</w:t>
            </w:r>
            <w:r>
              <w:rPr>
                <w:rFonts w:cstheme="minorHAnsi"/>
              </w:rPr>
              <w:t>-</w:t>
            </w:r>
            <w:r w:rsidRPr="008A74B7">
              <w:rPr>
                <w:rFonts w:cstheme="minorHAnsi"/>
              </w:rPr>
              <w:t>index wordt gebruikt voor het monitoren van de prijzen in de sector</w:t>
            </w:r>
            <w:r>
              <w:rPr>
                <w:rFonts w:cstheme="minorHAnsi"/>
              </w:rPr>
              <w:t xml:space="preserve"> door onder andere Rijkswaterstaat en ProRail</w:t>
            </w:r>
            <w:r w:rsidRPr="008A74B7">
              <w:rPr>
                <w:rFonts w:cstheme="minorHAnsi"/>
              </w:rPr>
              <w:t xml:space="preserve">. De index geeft een goed beeld van de </w:t>
            </w:r>
            <w:r>
              <w:rPr>
                <w:rFonts w:cstheme="minorHAnsi"/>
              </w:rPr>
              <w:t xml:space="preserve">feitelijke </w:t>
            </w:r>
            <w:r w:rsidRPr="008A74B7">
              <w:rPr>
                <w:rFonts w:cstheme="minorHAnsi"/>
              </w:rPr>
              <w:t>ontwikkeling in bouwkosten. De deelindexen 4212a, 4212b en 4213 worden toegepast in contracten van ProRail met aannemers.</w:t>
            </w:r>
            <w:r>
              <w:rPr>
                <w:rFonts w:cstheme="minorHAnsi"/>
              </w:rPr>
              <w:t xml:space="preserve"> </w:t>
            </w:r>
            <w:r w:rsidRPr="008A74B7">
              <w:rPr>
                <w:rFonts w:cstheme="minorHAnsi"/>
              </w:rPr>
              <w:t xml:space="preserve">Voor de instandhouding van het spoornetwerk (exploitatie, onderhoud en vernieuwing) houdt ProRail een egalisatiereserve aan voor het verschil tussen IBOI en CPI. </w:t>
            </w:r>
            <w:proofErr w:type="gramStart"/>
            <w:r w:rsidRPr="008A74B7">
              <w:rPr>
                <w:rFonts w:cstheme="minorHAnsi"/>
              </w:rPr>
              <w:t>in</w:t>
            </w:r>
            <w:proofErr w:type="gramEnd"/>
            <w:r w:rsidRPr="008A74B7">
              <w:rPr>
                <w:rFonts w:cstheme="minorHAnsi"/>
              </w:rPr>
              <w:t xml:space="preserve"> geval de cumulatieve verschillen &gt;2.5% van de omzet overstijgen gaan</w:t>
            </w:r>
            <w:r w:rsidR="00EE0065">
              <w:rPr>
                <w:rFonts w:cstheme="minorHAnsi"/>
              </w:rPr>
              <w:t xml:space="preserve"> het beleidsdepartement </w:t>
            </w:r>
            <w:r w:rsidRPr="008A74B7">
              <w:rPr>
                <w:rFonts w:cstheme="minorHAnsi"/>
              </w:rPr>
              <w:t xml:space="preserve">en </w:t>
            </w:r>
            <w:r w:rsidR="00EE0065">
              <w:rPr>
                <w:rFonts w:cstheme="minorHAnsi"/>
              </w:rPr>
              <w:t xml:space="preserve">de </w:t>
            </w:r>
            <w:r w:rsidRPr="008A74B7">
              <w:rPr>
                <w:rFonts w:cstheme="minorHAnsi"/>
              </w:rPr>
              <w:t xml:space="preserve">uitvoeringsdienst in gesprek. Verschillen zijn in het verleden gedekt uit de investeringsruimte van het </w:t>
            </w:r>
            <w:r>
              <w:rPr>
                <w:rFonts w:cstheme="minorHAnsi"/>
              </w:rPr>
              <w:t>Mobiliteitsfonds</w:t>
            </w:r>
            <w:r w:rsidRPr="008A74B7">
              <w:rPr>
                <w:rFonts w:cstheme="minorHAnsi"/>
              </w:rPr>
              <w:t>.</w:t>
            </w:r>
          </w:p>
          <w:p w:rsidRPr="007F52CD" w:rsidR="00483E77" w:rsidP="00483E77" w:rsidRDefault="00483E77" w14:paraId="62D70267" w14:textId="77777777">
            <w:pPr>
              <w:spacing w:line="240" w:lineRule="atLeast"/>
              <w:jc w:val="both"/>
              <w:rPr>
                <w:rFonts w:cstheme="minorHAnsi"/>
              </w:rPr>
            </w:pPr>
          </w:p>
          <w:p w:rsidR="005B6A19" w:rsidP="00E648E3" w:rsidRDefault="00483E77" w14:paraId="0CFF79A9" w14:textId="77777777">
            <w:pPr>
              <w:spacing w:line="240" w:lineRule="atLeast"/>
              <w:jc w:val="both"/>
              <w:rPr>
                <w:rFonts w:cstheme="minorHAnsi"/>
              </w:rPr>
            </w:pPr>
            <w:r w:rsidRPr="008A74B7">
              <w:rPr>
                <w:rFonts w:cstheme="minorHAnsi"/>
              </w:rPr>
              <w:lastRenderedPageBreak/>
              <w:t>De investeringen uit de fondsen zijn breder dan enkel de bouwkosten</w:t>
            </w:r>
            <w:r w:rsidR="00EE0065">
              <w:rPr>
                <w:rFonts w:cstheme="minorHAnsi"/>
              </w:rPr>
              <w:t xml:space="preserve"> waaruit de GWW-index bestaat.</w:t>
            </w:r>
            <w:r w:rsidRPr="008A74B7">
              <w:rPr>
                <w:rFonts w:cstheme="minorHAnsi"/>
              </w:rPr>
              <w:t xml:space="preserve"> </w:t>
            </w:r>
            <w:r w:rsidR="00EE0065">
              <w:rPr>
                <w:rFonts w:cstheme="minorHAnsi"/>
              </w:rPr>
              <w:t xml:space="preserve">De investeringen </w:t>
            </w:r>
            <w:r w:rsidRPr="008A74B7">
              <w:rPr>
                <w:rFonts w:cstheme="minorHAnsi"/>
              </w:rPr>
              <w:t xml:space="preserve">bestaan bijvoorbeeld ook uit grondverwervingskosten, ingenieursdiensten en subsidies. Het zwaartepunt ligt wel bij </w:t>
            </w:r>
            <w:r>
              <w:rPr>
                <w:rFonts w:cstheme="minorHAnsi"/>
              </w:rPr>
              <w:t xml:space="preserve">de </w:t>
            </w:r>
            <w:r w:rsidRPr="008A74B7">
              <w:rPr>
                <w:rFonts w:cstheme="minorHAnsi"/>
              </w:rPr>
              <w:t xml:space="preserve">bouwkosten. </w:t>
            </w:r>
          </w:p>
          <w:p w:rsidR="005B6A19" w:rsidP="00E648E3" w:rsidRDefault="005B6A19" w14:paraId="37B035F3" w14:textId="77777777">
            <w:pPr>
              <w:spacing w:line="240" w:lineRule="atLeast"/>
              <w:jc w:val="both"/>
              <w:rPr>
                <w:rFonts w:cstheme="minorHAnsi"/>
              </w:rPr>
            </w:pPr>
          </w:p>
          <w:p w:rsidRPr="00483E77" w:rsidR="00483E77" w:rsidP="00E648E3" w:rsidRDefault="00483E77" w14:paraId="1535873A" w14:textId="5D873606">
            <w:pPr>
              <w:spacing w:line="240" w:lineRule="atLeast"/>
              <w:jc w:val="both"/>
              <w:rPr>
                <w:rFonts w:cstheme="minorHAnsi"/>
                <w:color w:val="000000"/>
              </w:rPr>
            </w:pPr>
            <w:r w:rsidRPr="008A74B7">
              <w:rPr>
                <w:rFonts w:cstheme="minorHAnsi"/>
              </w:rPr>
              <w:t xml:space="preserve">Voor </w:t>
            </w:r>
            <w:r w:rsidR="00EE0065">
              <w:rPr>
                <w:rFonts w:cstheme="minorHAnsi"/>
              </w:rPr>
              <w:t>de GWW-index</w:t>
            </w:r>
            <w:r w:rsidRPr="008A74B7">
              <w:rPr>
                <w:rFonts w:cstheme="minorHAnsi"/>
              </w:rPr>
              <w:t xml:space="preserve"> </w:t>
            </w:r>
            <w:r w:rsidR="00EE0065">
              <w:rPr>
                <w:rFonts w:cstheme="minorHAnsi"/>
              </w:rPr>
              <w:t>wordt</w:t>
            </w:r>
            <w:r w:rsidRPr="008A74B7">
              <w:rPr>
                <w:rFonts w:cstheme="minorHAnsi"/>
              </w:rPr>
              <w:t xml:space="preserve"> geen raming</w:t>
            </w:r>
            <w:r>
              <w:rPr>
                <w:rFonts w:cstheme="minorHAnsi"/>
              </w:rPr>
              <w:t xml:space="preserve"> en/of </w:t>
            </w:r>
            <w:r w:rsidRPr="008A74B7">
              <w:rPr>
                <w:rFonts w:cstheme="minorHAnsi"/>
              </w:rPr>
              <w:t>prognose opgesteld. Indexering van budgetten kan dus enkel ex post plaatsvinden</w:t>
            </w:r>
            <w:r>
              <w:rPr>
                <w:rFonts w:cstheme="minorHAnsi"/>
              </w:rPr>
              <w:t>. Dit druist in tegen de huidig gehanteerde systematiek binnen de Rijksoverheid</w:t>
            </w:r>
            <w:r w:rsidRPr="008A74B7">
              <w:rPr>
                <w:rFonts w:cstheme="minorHAnsi"/>
              </w:rPr>
              <w:t>.</w:t>
            </w:r>
            <w:r>
              <w:rPr>
                <w:rFonts w:cstheme="minorHAnsi"/>
              </w:rPr>
              <w:t xml:space="preserve"> Daarbij is de GWW-index heel volatiel. </w:t>
            </w:r>
            <w:r w:rsidRPr="004E5603">
              <w:rPr>
                <w:rFonts w:cstheme="minorHAnsi"/>
              </w:rPr>
              <w:t xml:space="preserve">De GWW-index was soms (zoals in 2015) zelfs negatief. In praktijk had het gebruik van de GWW-index dan betekend dat een </w:t>
            </w:r>
            <w:r>
              <w:rPr>
                <w:rFonts w:cstheme="minorHAnsi"/>
              </w:rPr>
              <w:t>afroming</w:t>
            </w:r>
            <w:r w:rsidRPr="004E5603">
              <w:rPr>
                <w:rFonts w:cstheme="minorHAnsi"/>
              </w:rPr>
              <w:t xml:space="preserve"> op het Mobiliteitsfonds en Deltafonds had moeten plaatsvinden. Dat zou grote problemen tot gevolg hebben gehad, gegeven de verplichtingen die op de fondsen rusten. Daarnaast kan aansluiten bij de prijsontwikkelingen van de GWW-sector bovendien prijsopdrijvend werken in deze sector. </w:t>
            </w:r>
            <w:r w:rsidRPr="008A74B7">
              <w:rPr>
                <w:rFonts w:cstheme="minorHAnsi"/>
                <w:color w:val="000000"/>
              </w:rPr>
              <w:t>De GWW-index wordt niet geraamd door het CPB</w:t>
            </w:r>
            <w:r>
              <w:rPr>
                <w:rFonts w:cstheme="minorHAnsi"/>
                <w:color w:val="000000"/>
              </w:rPr>
              <w:t>, is daarmee niet onafhankelijk</w:t>
            </w:r>
            <w:r w:rsidRPr="008A74B7">
              <w:rPr>
                <w:rFonts w:cstheme="minorHAnsi"/>
                <w:color w:val="000000"/>
              </w:rPr>
              <w:t xml:space="preserve"> en wijkt af van de reguliere systematiek</w:t>
            </w:r>
            <w:r>
              <w:rPr>
                <w:rFonts w:cstheme="minorHAnsi"/>
                <w:color w:val="000000"/>
              </w:rPr>
              <w:t xml:space="preserve"> binnen de Rijksoverheid</w:t>
            </w:r>
            <w:r w:rsidRPr="008A74B7">
              <w:rPr>
                <w:rFonts w:cstheme="minorHAnsi"/>
                <w:color w:val="000000"/>
              </w:rPr>
              <w:t>.</w:t>
            </w:r>
          </w:p>
        </w:tc>
      </w:tr>
    </w:tbl>
    <w:p w:rsidRPr="008A74B7" w:rsidR="004B7274" w:rsidP="004B7274" w:rsidRDefault="004B7274" w14:paraId="06FD76AB" w14:textId="77777777">
      <w:pPr>
        <w:spacing w:after="0" w:line="240" w:lineRule="atLeast"/>
        <w:jc w:val="both"/>
        <w:rPr>
          <w:rFonts w:cstheme="minorHAnsi"/>
          <w:b/>
          <w:bCs/>
        </w:rPr>
      </w:pPr>
    </w:p>
    <w:tbl>
      <w:tblPr>
        <w:tblStyle w:val="Tabelraster"/>
        <w:tblW w:w="9154" w:type="dxa"/>
        <w:tblInd w:w="55" w:type="dxa"/>
        <w:tblCellMar>
          <w:left w:w="70" w:type="dxa"/>
          <w:right w:w="70" w:type="dxa"/>
        </w:tblCellMar>
        <w:tblLook w:val="0000" w:firstRow="0" w:lastRow="0" w:firstColumn="0" w:lastColumn="0" w:noHBand="0" w:noVBand="0"/>
      </w:tblPr>
      <w:tblGrid>
        <w:gridCol w:w="1295"/>
        <w:gridCol w:w="7859"/>
      </w:tblGrid>
      <w:tr w:rsidRPr="008A74B7" w:rsidR="004B7274" w:rsidTr="00E648E3" w14:paraId="4FC0C968" w14:textId="77777777">
        <w:tc>
          <w:tcPr>
            <w:tcW w:w="9154" w:type="dxa"/>
            <w:gridSpan w:val="2"/>
          </w:tcPr>
          <w:p w:rsidRPr="008A74B7" w:rsidR="004B7274" w:rsidP="00E648E3" w:rsidRDefault="004B7274" w14:paraId="44BE333F" w14:textId="77777777">
            <w:pPr>
              <w:spacing w:line="240" w:lineRule="atLeast"/>
              <w:jc w:val="both"/>
              <w:rPr>
                <w:rFonts w:cstheme="minorHAnsi"/>
                <w:b/>
                <w:bCs/>
              </w:rPr>
            </w:pPr>
            <w:r w:rsidRPr="008A74B7">
              <w:rPr>
                <w:rFonts w:cstheme="minorHAnsi"/>
                <w:b/>
                <w:bCs/>
              </w:rPr>
              <w:t xml:space="preserve">Ad. 3 </w:t>
            </w:r>
            <w:bookmarkStart w:name="_Hlk178105995" w:id="10"/>
            <w:r w:rsidRPr="008A74B7">
              <w:rPr>
                <w:rFonts w:cstheme="minorHAnsi"/>
                <w:b/>
                <w:bCs/>
              </w:rPr>
              <w:t xml:space="preserve">Indexen Risicoregeling Grond- Weg- en Waterbouw </w:t>
            </w:r>
            <w:bookmarkEnd w:id="10"/>
            <w:r w:rsidRPr="008A74B7">
              <w:rPr>
                <w:rFonts w:cstheme="minorHAnsi"/>
                <w:b/>
                <w:bCs/>
              </w:rPr>
              <w:t>(CROW</w:t>
            </w:r>
            <w:r>
              <w:rPr>
                <w:rFonts w:cstheme="minorHAnsi"/>
                <w:b/>
                <w:bCs/>
              </w:rPr>
              <w:t>-</w:t>
            </w:r>
            <w:r w:rsidRPr="008A74B7">
              <w:rPr>
                <w:rFonts w:cstheme="minorHAnsi"/>
                <w:b/>
                <w:bCs/>
              </w:rPr>
              <w:t>index)</w:t>
            </w:r>
          </w:p>
        </w:tc>
      </w:tr>
      <w:tr w:rsidRPr="008A74B7" w:rsidR="004B7274" w:rsidTr="00E648E3" w14:paraId="2EF7B396" w14:textId="77777777">
        <w:tc>
          <w:tcPr>
            <w:tcW w:w="1192" w:type="dxa"/>
          </w:tcPr>
          <w:p w:rsidRPr="008A74B7" w:rsidR="004B7274" w:rsidP="00E648E3" w:rsidRDefault="004B7274" w14:paraId="31FB8C99" w14:textId="77777777">
            <w:pPr>
              <w:spacing w:line="240" w:lineRule="atLeast"/>
              <w:jc w:val="both"/>
              <w:rPr>
                <w:rFonts w:cstheme="minorHAnsi"/>
              </w:rPr>
            </w:pPr>
            <w:bookmarkStart w:name="_Hlk178109077" w:id="11"/>
            <w:r w:rsidRPr="008A74B7">
              <w:rPr>
                <w:rFonts w:cstheme="minorHAnsi"/>
                <w:b/>
                <w:bCs/>
              </w:rPr>
              <w:t>Kenmerken</w:t>
            </w:r>
          </w:p>
        </w:tc>
        <w:tc>
          <w:tcPr>
            <w:tcW w:w="7962" w:type="dxa"/>
          </w:tcPr>
          <w:p w:rsidRPr="008A74B7" w:rsidR="004B7274" w:rsidP="00E648E3" w:rsidRDefault="004B7274" w14:paraId="1A4DA00D" w14:textId="77777777">
            <w:pPr>
              <w:spacing w:line="240" w:lineRule="atLeast"/>
              <w:jc w:val="both"/>
              <w:rPr>
                <w:rFonts w:cstheme="minorHAnsi"/>
              </w:rPr>
            </w:pPr>
            <w:r w:rsidRPr="008A74B7">
              <w:rPr>
                <w:rFonts w:cstheme="minorHAnsi"/>
              </w:rPr>
              <w:t>Bron: kennisplatform CROW</w:t>
            </w:r>
          </w:p>
          <w:p w:rsidRPr="008A74B7" w:rsidR="004B7274" w:rsidP="00E648E3" w:rsidRDefault="004B7274" w14:paraId="2F01DDBA" w14:textId="20851278">
            <w:pPr>
              <w:spacing w:line="240" w:lineRule="atLeast"/>
              <w:jc w:val="both"/>
              <w:rPr>
                <w:rFonts w:cstheme="minorHAnsi"/>
              </w:rPr>
            </w:pPr>
            <w:r w:rsidRPr="008A74B7">
              <w:rPr>
                <w:rFonts w:cstheme="minorHAnsi"/>
              </w:rPr>
              <w:t xml:space="preserve">Ex </w:t>
            </w:r>
            <w:r w:rsidR="00374DD7">
              <w:rPr>
                <w:rFonts w:cstheme="minorHAnsi"/>
              </w:rPr>
              <w:t xml:space="preserve">ante of ex </w:t>
            </w:r>
            <w:r w:rsidRPr="008A74B7">
              <w:rPr>
                <w:rFonts w:cstheme="minorHAnsi"/>
              </w:rPr>
              <w:t>post: 12</w:t>
            </w:r>
            <w:r w:rsidR="00AA748A">
              <w:rPr>
                <w:rFonts w:cstheme="minorHAnsi"/>
              </w:rPr>
              <w:t xml:space="preserve"> keer</w:t>
            </w:r>
            <w:r>
              <w:rPr>
                <w:rFonts w:cstheme="minorHAnsi"/>
              </w:rPr>
              <w:t xml:space="preserve"> per </w:t>
            </w:r>
            <w:r w:rsidRPr="008A74B7">
              <w:rPr>
                <w:rFonts w:cstheme="minorHAnsi"/>
              </w:rPr>
              <w:t>jaar</w:t>
            </w:r>
            <w:r w:rsidR="00374DD7">
              <w:rPr>
                <w:rFonts w:cstheme="minorHAnsi"/>
              </w:rPr>
              <w:t xml:space="preserve"> vindt publicatie plaats</w:t>
            </w:r>
            <w:r w:rsidRPr="008A74B7">
              <w:rPr>
                <w:rFonts w:cstheme="minorHAnsi"/>
              </w:rPr>
              <w:t>, 4 maanden na peildatum</w:t>
            </w:r>
            <w:r w:rsidR="00374DD7">
              <w:rPr>
                <w:rFonts w:cstheme="minorHAnsi"/>
              </w:rPr>
              <w:t>. De index is daarmee ex post</w:t>
            </w:r>
            <w:r w:rsidR="00FD7448">
              <w:rPr>
                <w:rFonts w:cstheme="minorHAnsi"/>
              </w:rPr>
              <w:t>.</w:t>
            </w:r>
            <w:r w:rsidR="00374DD7">
              <w:rPr>
                <w:rFonts w:cstheme="minorHAnsi"/>
              </w:rPr>
              <w:t xml:space="preserve"> </w:t>
            </w:r>
          </w:p>
          <w:p w:rsidRPr="008A74B7" w:rsidR="004B7274" w:rsidP="00E648E3" w:rsidRDefault="004B7274" w14:paraId="75A3FB97" w14:textId="77777777">
            <w:pPr>
              <w:spacing w:line="240" w:lineRule="atLeast"/>
              <w:jc w:val="both"/>
              <w:rPr>
                <w:rFonts w:cstheme="minorHAnsi"/>
              </w:rPr>
            </w:pPr>
            <w:r w:rsidRPr="008A74B7">
              <w:rPr>
                <w:rFonts w:cstheme="minorHAnsi"/>
              </w:rPr>
              <w:t xml:space="preserve">Toepassing: Risicoregeling GWW 1995 voor verrekening loon- en prijsontwikkelingen tussen opdrachtgever en aannemer </w:t>
            </w:r>
          </w:p>
        </w:tc>
      </w:tr>
      <w:bookmarkEnd w:id="11"/>
      <w:tr w:rsidRPr="008A74B7" w:rsidR="004B7274" w:rsidTr="00E648E3" w14:paraId="7948C2D6" w14:textId="77777777">
        <w:tc>
          <w:tcPr>
            <w:tcW w:w="9154" w:type="dxa"/>
            <w:gridSpan w:val="2"/>
          </w:tcPr>
          <w:p w:rsidRPr="008A74B7" w:rsidR="004B7274" w:rsidP="00E648E3" w:rsidRDefault="004B7274" w14:paraId="6FB15256" w14:textId="6B7A3B6E">
            <w:pPr>
              <w:spacing w:line="240" w:lineRule="atLeast"/>
              <w:jc w:val="both"/>
              <w:rPr>
                <w:rFonts w:cstheme="minorHAnsi"/>
                <w:i/>
                <w:iCs/>
              </w:rPr>
            </w:pPr>
            <w:r w:rsidRPr="008A74B7">
              <w:rPr>
                <w:rFonts w:cstheme="minorHAnsi"/>
                <w:i/>
                <w:iCs/>
              </w:rPr>
              <w:t>Toelichting</w:t>
            </w:r>
          </w:p>
          <w:p w:rsidRPr="008A74B7" w:rsidR="004B7274" w:rsidP="00E648E3" w:rsidRDefault="004B7274" w14:paraId="00B0AD13" w14:textId="29E16724">
            <w:pPr>
              <w:spacing w:line="240" w:lineRule="atLeast"/>
              <w:jc w:val="both"/>
              <w:rPr>
                <w:rFonts w:cstheme="minorHAnsi"/>
              </w:rPr>
            </w:pPr>
            <w:r w:rsidRPr="008A74B7">
              <w:rPr>
                <w:rFonts w:cstheme="minorHAnsi"/>
              </w:rPr>
              <w:t xml:space="preserve">Het kennisplatform CROW publiceert maandelijks de ontwikkeling van een aantal prijzen. Dit is niet zozeer een index van een (deel) sector, maar de ontwikkeling van sectorrelevante prijzen. </w:t>
            </w:r>
            <w:r w:rsidRPr="008A74B7" w:rsidR="005E4800">
              <w:rPr>
                <w:rFonts w:cstheme="minorHAnsi"/>
              </w:rPr>
              <w:t>Er is geen sprake van een gewogen standaard index voor de GWW</w:t>
            </w:r>
            <w:r w:rsidR="005E4800">
              <w:rPr>
                <w:rFonts w:cstheme="minorHAnsi"/>
              </w:rPr>
              <w:t>-</w:t>
            </w:r>
            <w:r w:rsidRPr="008A74B7" w:rsidR="005E4800">
              <w:rPr>
                <w:rFonts w:cstheme="minorHAnsi"/>
              </w:rPr>
              <w:t>sector. Er is dus geen sprake van een algemene “CROW-index” die direct geschikt is voor toepassing op de fondsen</w:t>
            </w:r>
            <w:r w:rsidR="005E4800">
              <w:rPr>
                <w:rFonts w:cstheme="minorHAnsi"/>
              </w:rPr>
              <w:t xml:space="preserve">. </w:t>
            </w:r>
            <w:r w:rsidRPr="008A74B7" w:rsidR="005E4800">
              <w:rPr>
                <w:rFonts w:cstheme="minorHAnsi"/>
                <w:color w:val="000000"/>
              </w:rPr>
              <w:t>De CROW-index wordt niet geraamd door het CPB en wijkt daarmee af van de reguliere systematiek.</w:t>
            </w:r>
          </w:p>
          <w:p w:rsidRPr="008A74B7" w:rsidR="004B7274" w:rsidP="00E648E3" w:rsidRDefault="004B7274" w14:paraId="14EC60E3" w14:textId="77777777">
            <w:pPr>
              <w:spacing w:line="240" w:lineRule="atLeast"/>
              <w:jc w:val="both"/>
              <w:rPr>
                <w:rFonts w:cstheme="minorHAnsi"/>
              </w:rPr>
            </w:pPr>
          </w:p>
          <w:p w:rsidRPr="008A74B7" w:rsidR="004B7274" w:rsidP="00E648E3" w:rsidRDefault="004B7274" w14:paraId="4B4D93AC" w14:textId="77777777">
            <w:pPr>
              <w:spacing w:line="240" w:lineRule="atLeast"/>
              <w:jc w:val="both"/>
              <w:rPr>
                <w:rFonts w:cstheme="minorHAnsi"/>
                <w:i/>
              </w:rPr>
            </w:pPr>
            <w:r w:rsidRPr="008A74B7">
              <w:rPr>
                <w:rFonts w:cstheme="minorHAnsi"/>
                <w:i/>
              </w:rPr>
              <w:t>Totstandkoming</w:t>
            </w:r>
          </w:p>
          <w:p w:rsidR="00B00B98" w:rsidP="00E648E3" w:rsidRDefault="004B7274" w14:paraId="50C5C8B4" w14:textId="77777777">
            <w:pPr>
              <w:spacing w:line="240" w:lineRule="atLeast"/>
              <w:jc w:val="both"/>
              <w:rPr>
                <w:rFonts w:cstheme="minorHAnsi"/>
              </w:rPr>
            </w:pPr>
            <w:r w:rsidRPr="008A74B7">
              <w:rPr>
                <w:rFonts w:cstheme="minorHAnsi"/>
              </w:rPr>
              <w:t>De indices zijn ontleend aan de statistiek Producentenprijs Index (PPI), de prijsindexcijfers van de statistiek Dienstenprijzen (DPI) of van de Consumentenp</w:t>
            </w:r>
            <w:r w:rsidR="00B00B98">
              <w:rPr>
                <w:rFonts w:cstheme="minorHAnsi"/>
              </w:rPr>
              <w:t>rijsindex</w:t>
            </w:r>
            <w:r w:rsidRPr="008A74B7">
              <w:rPr>
                <w:rFonts w:cstheme="minorHAnsi"/>
              </w:rPr>
              <w:t xml:space="preserve"> (CPI) van het CBS. </w:t>
            </w:r>
            <w:r w:rsidR="00B00B98">
              <w:rPr>
                <w:rFonts w:cstheme="minorHAnsi"/>
              </w:rPr>
              <w:t>De indices van de CROW</w:t>
            </w:r>
            <w:r w:rsidRPr="008A74B7">
              <w:rPr>
                <w:rFonts w:cstheme="minorHAnsi"/>
              </w:rPr>
              <w:t xml:space="preserve"> komen overeen met de producentenprijzen die het CBS publiceert of </w:t>
            </w:r>
            <w:r w:rsidR="00B00B98">
              <w:rPr>
                <w:rFonts w:cstheme="minorHAnsi"/>
              </w:rPr>
              <w:t>zijn</w:t>
            </w:r>
            <w:r w:rsidRPr="008A74B7">
              <w:rPr>
                <w:rFonts w:cstheme="minorHAnsi"/>
              </w:rPr>
              <w:t xml:space="preserve"> opgebouwd uit een sectorspecifieke gewogen producentenprijs van meerdere </w:t>
            </w:r>
            <w:proofErr w:type="gramStart"/>
            <w:r w:rsidRPr="008A74B7">
              <w:rPr>
                <w:rFonts w:cstheme="minorHAnsi"/>
              </w:rPr>
              <w:t>CBS producentenprijzen</w:t>
            </w:r>
            <w:proofErr w:type="gramEnd"/>
            <w:r w:rsidRPr="008A74B7">
              <w:rPr>
                <w:rFonts w:cstheme="minorHAnsi"/>
              </w:rPr>
              <w:t xml:space="preserve">. De </w:t>
            </w:r>
            <w:proofErr w:type="gramStart"/>
            <w:r w:rsidRPr="008A74B7">
              <w:rPr>
                <w:rFonts w:cstheme="minorHAnsi"/>
              </w:rPr>
              <w:t>CROW index</w:t>
            </w:r>
            <w:proofErr w:type="gramEnd"/>
            <w:r w:rsidRPr="008A74B7">
              <w:rPr>
                <w:rFonts w:cstheme="minorHAnsi"/>
              </w:rPr>
              <w:t xml:space="preserve"> 18 betonstaal is bijvoorbeeld identiek aan de CBS producentenprijs 27106010 betonstaal. De index voor 19 staal exclusief betonstaal is daarentegen een sectorspecifieke gewogen gemiddelde van diverse </w:t>
            </w:r>
            <w:proofErr w:type="gramStart"/>
            <w:r w:rsidRPr="008A74B7">
              <w:rPr>
                <w:rFonts w:cstheme="minorHAnsi"/>
              </w:rPr>
              <w:t>CBS producentenprijzen</w:t>
            </w:r>
            <w:proofErr w:type="gramEnd"/>
            <w:r w:rsidRPr="008A74B7">
              <w:rPr>
                <w:rFonts w:cstheme="minorHAnsi"/>
              </w:rPr>
              <w:t xml:space="preserve"> zoals koudgewalst bandstaal, ruwstaal, gietwerk van staal etc. </w:t>
            </w:r>
          </w:p>
          <w:p w:rsidR="00B00B98" w:rsidP="00E648E3" w:rsidRDefault="00B00B98" w14:paraId="0DA86BE1" w14:textId="77777777">
            <w:pPr>
              <w:spacing w:line="240" w:lineRule="atLeast"/>
              <w:jc w:val="both"/>
              <w:rPr>
                <w:rFonts w:cstheme="minorHAnsi"/>
              </w:rPr>
            </w:pPr>
          </w:p>
          <w:p w:rsidRPr="008A74B7" w:rsidR="004B7274" w:rsidP="00E648E3" w:rsidRDefault="004B7274" w14:paraId="44C86E84" w14:textId="4EB194DB">
            <w:pPr>
              <w:spacing w:line="240" w:lineRule="atLeast"/>
              <w:jc w:val="both"/>
              <w:rPr>
                <w:rFonts w:cstheme="minorHAnsi"/>
              </w:rPr>
            </w:pPr>
            <w:r w:rsidRPr="008A74B7">
              <w:rPr>
                <w:rFonts w:cstheme="minorHAnsi"/>
              </w:rPr>
              <w:t>De door CROW gepubliceerde indices zijn:</w:t>
            </w:r>
          </w:p>
          <w:p w:rsidRPr="008A74B7" w:rsidR="004B7274" w:rsidP="004B7274" w:rsidRDefault="004B7274" w14:paraId="58448DE7" w14:textId="77777777">
            <w:pPr>
              <w:pStyle w:val="Lijstalinea"/>
              <w:numPr>
                <w:ilvl w:val="0"/>
                <w:numId w:val="28"/>
              </w:numPr>
              <w:spacing w:after="0" w:line="240" w:lineRule="atLeast"/>
              <w:jc w:val="both"/>
              <w:rPr>
                <w:rFonts w:ascii="Verdana" w:hAnsi="Verdana" w:cstheme="minorHAnsi"/>
                <w:sz w:val="18"/>
                <w:szCs w:val="18"/>
              </w:rPr>
            </w:pPr>
            <w:r w:rsidRPr="008A74B7">
              <w:rPr>
                <w:rFonts w:ascii="Verdana" w:hAnsi="Verdana" w:cstheme="minorHAnsi"/>
                <w:sz w:val="18"/>
                <w:szCs w:val="18"/>
              </w:rPr>
              <w:t>00 Loonkosten</w:t>
            </w:r>
          </w:p>
          <w:p w:rsidRPr="008A74B7" w:rsidR="004B7274" w:rsidP="004B7274" w:rsidRDefault="004B7274" w14:paraId="5904A97D" w14:textId="77777777">
            <w:pPr>
              <w:pStyle w:val="Lijstalinea"/>
              <w:numPr>
                <w:ilvl w:val="0"/>
                <w:numId w:val="28"/>
              </w:numPr>
              <w:spacing w:after="0" w:line="240" w:lineRule="atLeast"/>
              <w:jc w:val="both"/>
              <w:rPr>
                <w:rFonts w:ascii="Verdana" w:hAnsi="Verdana" w:cstheme="minorHAnsi"/>
                <w:sz w:val="18"/>
                <w:szCs w:val="18"/>
              </w:rPr>
            </w:pPr>
            <w:r w:rsidRPr="008A74B7">
              <w:rPr>
                <w:rFonts w:ascii="Verdana" w:hAnsi="Verdana" w:cstheme="minorHAnsi"/>
                <w:sz w:val="18"/>
                <w:szCs w:val="18"/>
              </w:rPr>
              <w:t>01 Gasolie hoog accijnstarief</w:t>
            </w:r>
          </w:p>
          <w:p w:rsidRPr="008A74B7" w:rsidR="004B7274" w:rsidP="004B7274" w:rsidRDefault="004B7274" w14:paraId="22E700B2" w14:textId="77777777">
            <w:pPr>
              <w:pStyle w:val="Lijstalinea"/>
              <w:numPr>
                <w:ilvl w:val="0"/>
                <w:numId w:val="28"/>
              </w:numPr>
              <w:spacing w:after="0" w:line="240" w:lineRule="atLeast"/>
              <w:jc w:val="both"/>
              <w:rPr>
                <w:rFonts w:ascii="Verdana" w:hAnsi="Verdana" w:cstheme="minorHAnsi"/>
                <w:sz w:val="18"/>
                <w:szCs w:val="18"/>
              </w:rPr>
            </w:pPr>
            <w:r w:rsidRPr="008A74B7">
              <w:rPr>
                <w:rFonts w:ascii="Verdana" w:hAnsi="Verdana" w:cstheme="minorHAnsi"/>
                <w:sz w:val="18"/>
                <w:szCs w:val="18"/>
              </w:rPr>
              <w:t xml:space="preserve">02 Gasolie met laag accijnstarief </w:t>
            </w:r>
          </w:p>
          <w:p w:rsidRPr="008A74B7" w:rsidR="004B7274" w:rsidP="004B7274" w:rsidRDefault="004B7274" w14:paraId="13126FCE" w14:textId="77777777">
            <w:pPr>
              <w:pStyle w:val="Lijstalinea"/>
              <w:numPr>
                <w:ilvl w:val="0"/>
                <w:numId w:val="28"/>
              </w:numPr>
              <w:spacing w:after="0" w:line="240" w:lineRule="atLeast"/>
              <w:jc w:val="both"/>
              <w:rPr>
                <w:rFonts w:ascii="Verdana" w:hAnsi="Verdana" w:cstheme="minorHAnsi"/>
                <w:sz w:val="18"/>
                <w:szCs w:val="18"/>
              </w:rPr>
            </w:pPr>
            <w:r w:rsidRPr="008A74B7">
              <w:rPr>
                <w:rFonts w:ascii="Verdana" w:hAnsi="Verdana" w:cstheme="minorHAnsi"/>
                <w:sz w:val="18"/>
                <w:szCs w:val="18"/>
              </w:rPr>
              <w:t>03 Gasolie exclusief accijns</w:t>
            </w:r>
          </w:p>
          <w:p w:rsidRPr="008A74B7" w:rsidR="004B7274" w:rsidP="004B7274" w:rsidRDefault="004B7274" w14:paraId="4557DBB9" w14:textId="77777777">
            <w:pPr>
              <w:pStyle w:val="Lijstalinea"/>
              <w:numPr>
                <w:ilvl w:val="0"/>
                <w:numId w:val="28"/>
              </w:numPr>
              <w:spacing w:after="0" w:line="240" w:lineRule="atLeast"/>
              <w:jc w:val="both"/>
              <w:rPr>
                <w:rFonts w:ascii="Verdana" w:hAnsi="Verdana" w:cstheme="minorHAnsi"/>
                <w:sz w:val="18"/>
                <w:szCs w:val="18"/>
              </w:rPr>
            </w:pPr>
            <w:r w:rsidRPr="008A74B7">
              <w:rPr>
                <w:rFonts w:ascii="Verdana" w:hAnsi="Verdana" w:cstheme="minorHAnsi"/>
                <w:sz w:val="18"/>
                <w:szCs w:val="18"/>
              </w:rPr>
              <w:t>04 Elektriciteit</w:t>
            </w:r>
          </w:p>
          <w:p w:rsidRPr="008A74B7" w:rsidR="004B7274" w:rsidP="004B7274" w:rsidRDefault="004B7274" w14:paraId="56951049" w14:textId="77777777">
            <w:pPr>
              <w:pStyle w:val="Lijstalinea"/>
              <w:numPr>
                <w:ilvl w:val="0"/>
                <w:numId w:val="28"/>
              </w:numPr>
              <w:spacing w:after="0" w:line="240" w:lineRule="atLeast"/>
              <w:jc w:val="both"/>
              <w:rPr>
                <w:rFonts w:ascii="Verdana" w:hAnsi="Verdana" w:cstheme="minorHAnsi"/>
                <w:sz w:val="18"/>
                <w:szCs w:val="18"/>
              </w:rPr>
            </w:pPr>
            <w:r w:rsidRPr="008A74B7">
              <w:rPr>
                <w:rFonts w:ascii="Verdana" w:hAnsi="Verdana" w:cstheme="minorHAnsi"/>
                <w:sz w:val="18"/>
                <w:szCs w:val="18"/>
              </w:rPr>
              <w:t>11 Grind en industriezand</w:t>
            </w:r>
          </w:p>
          <w:p w:rsidRPr="008A74B7" w:rsidR="004B7274" w:rsidP="004B7274" w:rsidRDefault="004B7274" w14:paraId="2F9EB6AF" w14:textId="77777777">
            <w:pPr>
              <w:pStyle w:val="Lijstalinea"/>
              <w:numPr>
                <w:ilvl w:val="0"/>
                <w:numId w:val="28"/>
              </w:numPr>
              <w:spacing w:after="0" w:line="240" w:lineRule="atLeast"/>
              <w:jc w:val="both"/>
              <w:rPr>
                <w:rFonts w:ascii="Verdana" w:hAnsi="Verdana" w:cstheme="minorHAnsi"/>
                <w:sz w:val="18"/>
                <w:szCs w:val="18"/>
              </w:rPr>
            </w:pPr>
            <w:r w:rsidRPr="008A74B7">
              <w:rPr>
                <w:rFonts w:ascii="Verdana" w:hAnsi="Verdana" w:cstheme="minorHAnsi"/>
                <w:sz w:val="18"/>
                <w:szCs w:val="18"/>
              </w:rPr>
              <w:t>12 Steenslag en brekerzand</w:t>
            </w:r>
          </w:p>
          <w:p w:rsidRPr="008A74B7" w:rsidR="004B7274" w:rsidP="004B7274" w:rsidRDefault="004B7274" w14:paraId="76D31C35" w14:textId="77777777">
            <w:pPr>
              <w:pStyle w:val="Lijstalinea"/>
              <w:numPr>
                <w:ilvl w:val="0"/>
                <w:numId w:val="28"/>
              </w:numPr>
              <w:spacing w:after="0" w:line="240" w:lineRule="atLeast"/>
              <w:jc w:val="both"/>
              <w:rPr>
                <w:rFonts w:ascii="Verdana" w:hAnsi="Verdana" w:cstheme="minorHAnsi"/>
                <w:sz w:val="18"/>
                <w:szCs w:val="18"/>
              </w:rPr>
            </w:pPr>
            <w:r w:rsidRPr="008A74B7">
              <w:rPr>
                <w:rFonts w:ascii="Verdana" w:hAnsi="Verdana" w:cstheme="minorHAnsi"/>
                <w:sz w:val="18"/>
                <w:szCs w:val="18"/>
              </w:rPr>
              <w:t>13 betonmortel</w:t>
            </w:r>
          </w:p>
          <w:p w:rsidRPr="008A74B7" w:rsidR="004B7274" w:rsidP="004B7274" w:rsidRDefault="004B7274" w14:paraId="1BEE05C8" w14:textId="77777777">
            <w:pPr>
              <w:pStyle w:val="Lijstalinea"/>
              <w:numPr>
                <w:ilvl w:val="0"/>
                <w:numId w:val="28"/>
              </w:numPr>
              <w:spacing w:after="0" w:line="240" w:lineRule="atLeast"/>
              <w:jc w:val="both"/>
              <w:rPr>
                <w:rFonts w:ascii="Verdana" w:hAnsi="Verdana" w:cstheme="minorHAnsi"/>
                <w:sz w:val="18"/>
                <w:szCs w:val="18"/>
              </w:rPr>
            </w:pPr>
            <w:r w:rsidRPr="008A74B7">
              <w:rPr>
                <w:rFonts w:ascii="Verdana" w:hAnsi="Verdana" w:cstheme="minorHAnsi"/>
                <w:sz w:val="18"/>
                <w:szCs w:val="18"/>
              </w:rPr>
              <w:t>14 betonproducten</w:t>
            </w:r>
          </w:p>
          <w:p w:rsidRPr="008A74B7" w:rsidR="004B7274" w:rsidP="004B7274" w:rsidRDefault="004B7274" w14:paraId="15608C1F" w14:textId="77777777">
            <w:pPr>
              <w:pStyle w:val="Lijstalinea"/>
              <w:numPr>
                <w:ilvl w:val="0"/>
                <w:numId w:val="28"/>
              </w:numPr>
              <w:spacing w:after="0" w:line="240" w:lineRule="atLeast"/>
              <w:jc w:val="both"/>
              <w:rPr>
                <w:rFonts w:ascii="Verdana" w:hAnsi="Verdana" w:cstheme="minorHAnsi"/>
                <w:sz w:val="18"/>
                <w:szCs w:val="18"/>
              </w:rPr>
            </w:pPr>
            <w:r w:rsidRPr="008A74B7">
              <w:rPr>
                <w:rFonts w:ascii="Verdana" w:hAnsi="Verdana" w:cstheme="minorHAnsi"/>
                <w:sz w:val="18"/>
                <w:szCs w:val="18"/>
              </w:rPr>
              <w:t>15 Cement</w:t>
            </w:r>
          </w:p>
          <w:p w:rsidRPr="008A74B7" w:rsidR="004B7274" w:rsidP="004B7274" w:rsidRDefault="004B7274" w14:paraId="33EC3929" w14:textId="77777777">
            <w:pPr>
              <w:pStyle w:val="Lijstalinea"/>
              <w:numPr>
                <w:ilvl w:val="0"/>
                <w:numId w:val="28"/>
              </w:numPr>
              <w:spacing w:after="0" w:line="240" w:lineRule="atLeast"/>
              <w:jc w:val="both"/>
              <w:rPr>
                <w:rFonts w:ascii="Verdana" w:hAnsi="Verdana" w:cstheme="minorHAnsi"/>
                <w:sz w:val="18"/>
                <w:szCs w:val="18"/>
              </w:rPr>
            </w:pPr>
            <w:r w:rsidRPr="008A74B7">
              <w:rPr>
                <w:rFonts w:ascii="Verdana" w:hAnsi="Verdana" w:cstheme="minorHAnsi"/>
                <w:sz w:val="18"/>
                <w:szCs w:val="18"/>
              </w:rPr>
              <w:t>16 Breuksteen</w:t>
            </w:r>
          </w:p>
          <w:p w:rsidRPr="008A74B7" w:rsidR="004B7274" w:rsidP="004B7274" w:rsidRDefault="004B7274" w14:paraId="0859A0B5" w14:textId="77777777">
            <w:pPr>
              <w:pStyle w:val="Lijstalinea"/>
              <w:numPr>
                <w:ilvl w:val="0"/>
                <w:numId w:val="28"/>
              </w:numPr>
              <w:spacing w:after="0" w:line="240" w:lineRule="atLeast"/>
              <w:jc w:val="both"/>
              <w:rPr>
                <w:rFonts w:ascii="Verdana" w:hAnsi="Verdana" w:cstheme="minorHAnsi"/>
                <w:sz w:val="18"/>
                <w:szCs w:val="18"/>
              </w:rPr>
            </w:pPr>
            <w:r w:rsidRPr="008A74B7">
              <w:rPr>
                <w:rFonts w:ascii="Verdana" w:hAnsi="Verdana" w:cstheme="minorHAnsi"/>
                <w:sz w:val="18"/>
                <w:szCs w:val="18"/>
              </w:rPr>
              <w:t xml:space="preserve">17 Kunststoffen inclusief PVC, exclusief </w:t>
            </w:r>
            <w:proofErr w:type="spellStart"/>
            <w:r w:rsidRPr="008A74B7">
              <w:rPr>
                <w:rFonts w:ascii="Verdana" w:hAnsi="Verdana" w:cstheme="minorHAnsi"/>
                <w:sz w:val="18"/>
                <w:szCs w:val="18"/>
              </w:rPr>
              <w:t>geosynthetica</w:t>
            </w:r>
            <w:proofErr w:type="spellEnd"/>
          </w:p>
          <w:p w:rsidRPr="008A74B7" w:rsidR="004B7274" w:rsidP="004B7274" w:rsidRDefault="004B7274" w14:paraId="7176E5D1" w14:textId="77777777">
            <w:pPr>
              <w:pStyle w:val="Lijstalinea"/>
              <w:numPr>
                <w:ilvl w:val="0"/>
                <w:numId w:val="28"/>
              </w:numPr>
              <w:spacing w:after="0" w:line="240" w:lineRule="atLeast"/>
              <w:jc w:val="both"/>
              <w:rPr>
                <w:rFonts w:ascii="Verdana" w:hAnsi="Verdana" w:cstheme="minorHAnsi"/>
                <w:sz w:val="18"/>
                <w:szCs w:val="18"/>
              </w:rPr>
            </w:pPr>
            <w:r w:rsidRPr="008A74B7">
              <w:rPr>
                <w:rFonts w:ascii="Verdana" w:hAnsi="Verdana" w:cstheme="minorHAnsi"/>
                <w:sz w:val="18"/>
                <w:szCs w:val="18"/>
              </w:rPr>
              <w:t>18 betonstaal</w:t>
            </w:r>
          </w:p>
          <w:p w:rsidRPr="008A74B7" w:rsidR="004B7274" w:rsidP="004B7274" w:rsidRDefault="004B7274" w14:paraId="795B6740" w14:textId="77777777">
            <w:pPr>
              <w:pStyle w:val="Lijstalinea"/>
              <w:numPr>
                <w:ilvl w:val="0"/>
                <w:numId w:val="28"/>
              </w:numPr>
              <w:spacing w:after="0" w:line="240" w:lineRule="atLeast"/>
              <w:jc w:val="both"/>
              <w:rPr>
                <w:rFonts w:ascii="Verdana" w:hAnsi="Verdana" w:cstheme="minorHAnsi"/>
                <w:sz w:val="18"/>
                <w:szCs w:val="18"/>
              </w:rPr>
            </w:pPr>
            <w:r w:rsidRPr="008A74B7">
              <w:rPr>
                <w:rFonts w:ascii="Verdana" w:hAnsi="Verdana" w:cstheme="minorHAnsi"/>
                <w:sz w:val="18"/>
                <w:szCs w:val="18"/>
              </w:rPr>
              <w:t>19 staal exclusief betonstaal</w:t>
            </w:r>
          </w:p>
          <w:p w:rsidRPr="008A74B7" w:rsidR="004B7274" w:rsidP="004B7274" w:rsidRDefault="004B7274" w14:paraId="42950AD8" w14:textId="77777777">
            <w:pPr>
              <w:pStyle w:val="Lijstalinea"/>
              <w:numPr>
                <w:ilvl w:val="0"/>
                <w:numId w:val="28"/>
              </w:numPr>
              <w:spacing w:after="0" w:line="240" w:lineRule="atLeast"/>
              <w:jc w:val="both"/>
              <w:rPr>
                <w:rFonts w:ascii="Verdana" w:hAnsi="Verdana" w:cstheme="minorHAnsi"/>
                <w:sz w:val="18"/>
                <w:szCs w:val="18"/>
              </w:rPr>
            </w:pPr>
            <w:r w:rsidRPr="008A74B7">
              <w:rPr>
                <w:rFonts w:ascii="Verdana" w:hAnsi="Verdana" w:cstheme="minorHAnsi"/>
                <w:sz w:val="18"/>
                <w:szCs w:val="18"/>
              </w:rPr>
              <w:t>20 wegenbouwbitumen</w:t>
            </w:r>
          </w:p>
          <w:p w:rsidRPr="008A74B7" w:rsidR="004B7274" w:rsidP="004B7274" w:rsidRDefault="004B7274" w14:paraId="6ACDDF67" w14:textId="77777777">
            <w:pPr>
              <w:pStyle w:val="Lijstalinea"/>
              <w:numPr>
                <w:ilvl w:val="0"/>
                <w:numId w:val="28"/>
              </w:numPr>
              <w:spacing w:after="0" w:line="240" w:lineRule="atLeast"/>
              <w:jc w:val="both"/>
              <w:rPr>
                <w:rFonts w:ascii="Verdana" w:hAnsi="Verdana" w:cstheme="minorHAnsi"/>
                <w:sz w:val="18"/>
                <w:szCs w:val="18"/>
              </w:rPr>
            </w:pPr>
            <w:r w:rsidRPr="008A74B7">
              <w:rPr>
                <w:rFonts w:ascii="Verdana" w:hAnsi="Verdana" w:cstheme="minorHAnsi"/>
                <w:sz w:val="18"/>
                <w:szCs w:val="18"/>
              </w:rPr>
              <w:t>21 bitumineuze bindmiddelen exclusief wegenbouwbitumen</w:t>
            </w:r>
          </w:p>
          <w:p w:rsidRPr="00291B65" w:rsidR="004B7274" w:rsidP="004B7274" w:rsidRDefault="004B7274" w14:paraId="77005193" w14:textId="77777777">
            <w:pPr>
              <w:pStyle w:val="Lijstalinea"/>
              <w:numPr>
                <w:ilvl w:val="0"/>
                <w:numId w:val="28"/>
              </w:numPr>
              <w:spacing w:after="0" w:line="240" w:lineRule="atLeast"/>
              <w:jc w:val="both"/>
              <w:rPr>
                <w:rFonts w:ascii="Verdana" w:hAnsi="Verdana" w:cstheme="minorHAnsi"/>
                <w:sz w:val="18"/>
                <w:szCs w:val="18"/>
              </w:rPr>
            </w:pPr>
            <w:r w:rsidRPr="008A74B7">
              <w:rPr>
                <w:rFonts w:ascii="Verdana" w:hAnsi="Verdana" w:cstheme="minorHAnsi"/>
                <w:sz w:val="18"/>
                <w:szCs w:val="18"/>
              </w:rPr>
              <w:t>22 mineraal asfaltmengsel inclusief brandstof, exclusief bitumen</w:t>
            </w:r>
          </w:p>
          <w:p w:rsidR="004B7274" w:rsidP="00E648E3" w:rsidRDefault="004B7274" w14:paraId="6246689D" w14:textId="77777777">
            <w:pPr>
              <w:spacing w:line="240" w:lineRule="atLeast"/>
              <w:jc w:val="both"/>
              <w:rPr>
                <w:rFonts w:cstheme="minorHAnsi"/>
                <w:i/>
                <w:iCs/>
              </w:rPr>
            </w:pPr>
          </w:p>
          <w:p w:rsidR="004B7274" w:rsidP="00E648E3" w:rsidRDefault="004B7274" w14:paraId="422844BF" w14:textId="77777777">
            <w:pPr>
              <w:spacing w:line="240" w:lineRule="atLeast"/>
              <w:jc w:val="both"/>
              <w:rPr>
                <w:rFonts w:cstheme="minorHAnsi"/>
                <w:i/>
                <w:iCs/>
              </w:rPr>
            </w:pPr>
            <w:r w:rsidRPr="008A74B7">
              <w:rPr>
                <w:rFonts w:cstheme="minorHAnsi"/>
                <w:i/>
                <w:iCs/>
              </w:rPr>
              <w:t>Toepassing</w:t>
            </w:r>
          </w:p>
          <w:p w:rsidRPr="008A74B7" w:rsidR="004B7274" w:rsidP="00E648E3" w:rsidRDefault="004B7274" w14:paraId="7C699367" w14:textId="0B3C7857">
            <w:pPr>
              <w:spacing w:line="240" w:lineRule="atLeast"/>
              <w:jc w:val="both"/>
              <w:rPr>
                <w:rFonts w:cstheme="minorHAnsi"/>
              </w:rPr>
            </w:pPr>
            <w:r w:rsidRPr="008A74B7">
              <w:rPr>
                <w:rFonts w:cstheme="minorHAnsi"/>
              </w:rPr>
              <w:lastRenderedPageBreak/>
              <w:t>De risicoregeling GWW 1995</w:t>
            </w:r>
            <w:r w:rsidRPr="008A74B7">
              <w:rPr>
                <w:rStyle w:val="Voetnootmarkering"/>
                <w:rFonts w:cstheme="minorHAnsi"/>
              </w:rPr>
              <w:footnoteReference w:id="3"/>
            </w:r>
            <w:r w:rsidRPr="008A74B7">
              <w:rPr>
                <w:rFonts w:cstheme="minorHAnsi"/>
              </w:rPr>
              <w:t xml:space="preserve"> met de onderliggende indices is de GWW</w:t>
            </w:r>
            <w:r w:rsidR="005E4800">
              <w:rPr>
                <w:rFonts w:cstheme="minorHAnsi"/>
              </w:rPr>
              <w:t>-</w:t>
            </w:r>
            <w:r w:rsidRPr="008A74B7">
              <w:rPr>
                <w:rFonts w:cstheme="minorHAnsi"/>
              </w:rPr>
              <w:t xml:space="preserve">sectorstandaard voor verrekening van loon- en prijsontwikkeling. In de regel gaat dat om verrekening tussen opdrachtgever en aannemer, maar wordt het ook wel toegepast tussen aannemer en toeleverancier. Er is geen sprake van een generieke gewogen index voor de gehele sector. Per contract wordt een percentage van de aanneemsom bepaald waarover loonkosten invloed hebben (loonkostenbestandsdeel). Daarnaast wordt vooraf per contract gespecificeerd welke indices van toepassing zijn. Een indexatievergoeding wordt in de regel enkel toegepast voor contracten die meerjarig zijn waarbij voor </w:t>
            </w:r>
            <w:proofErr w:type="gramStart"/>
            <w:r w:rsidRPr="008A74B7">
              <w:rPr>
                <w:rFonts w:cstheme="minorHAnsi"/>
              </w:rPr>
              <w:t>RWS contracten</w:t>
            </w:r>
            <w:proofErr w:type="gramEnd"/>
            <w:r w:rsidRPr="008A74B7">
              <w:rPr>
                <w:rFonts w:cstheme="minorHAnsi"/>
              </w:rPr>
              <w:t xml:space="preserve"> een vergoeding van 70% wordt gehanteerd.</w:t>
            </w:r>
          </w:p>
        </w:tc>
      </w:tr>
    </w:tbl>
    <w:p w:rsidRPr="008A74B7" w:rsidR="004B7274" w:rsidP="004B7274" w:rsidRDefault="004B7274" w14:paraId="776785A6" w14:textId="77777777">
      <w:pPr>
        <w:spacing w:after="0" w:line="240" w:lineRule="atLeast"/>
        <w:jc w:val="both"/>
        <w:rPr>
          <w:rFonts w:cstheme="minorHAnsi"/>
          <w:b/>
          <w:bCs/>
        </w:rPr>
      </w:pPr>
    </w:p>
    <w:tbl>
      <w:tblPr>
        <w:tblStyle w:val="Tabelraster"/>
        <w:tblW w:w="9154" w:type="dxa"/>
        <w:tblInd w:w="55" w:type="dxa"/>
        <w:tblCellMar>
          <w:left w:w="70" w:type="dxa"/>
          <w:right w:w="70" w:type="dxa"/>
        </w:tblCellMar>
        <w:tblLook w:val="0000" w:firstRow="0" w:lastRow="0" w:firstColumn="0" w:lastColumn="0" w:noHBand="0" w:noVBand="0"/>
      </w:tblPr>
      <w:tblGrid>
        <w:gridCol w:w="1295"/>
        <w:gridCol w:w="7859"/>
      </w:tblGrid>
      <w:tr w:rsidRPr="008A74B7" w:rsidR="004B7274" w:rsidTr="00E648E3" w14:paraId="7CE93902" w14:textId="77777777">
        <w:tc>
          <w:tcPr>
            <w:tcW w:w="9154" w:type="dxa"/>
            <w:gridSpan w:val="2"/>
          </w:tcPr>
          <w:p w:rsidRPr="008A74B7" w:rsidR="004B7274" w:rsidP="00E648E3" w:rsidRDefault="004B7274" w14:paraId="597F1F86" w14:textId="77777777">
            <w:pPr>
              <w:spacing w:line="240" w:lineRule="atLeast"/>
              <w:jc w:val="both"/>
              <w:rPr>
                <w:rFonts w:cstheme="minorHAnsi"/>
                <w:b/>
                <w:bCs/>
              </w:rPr>
            </w:pPr>
            <w:r w:rsidRPr="008A74B7">
              <w:rPr>
                <w:rFonts w:cstheme="minorHAnsi"/>
                <w:b/>
                <w:bCs/>
              </w:rPr>
              <w:t xml:space="preserve">Ad. </w:t>
            </w:r>
            <w:r>
              <w:rPr>
                <w:rFonts w:cstheme="minorHAnsi"/>
                <w:b/>
                <w:bCs/>
              </w:rPr>
              <w:t>4</w:t>
            </w:r>
            <w:r w:rsidRPr="008A74B7">
              <w:rPr>
                <w:rFonts w:cstheme="minorHAnsi"/>
                <w:b/>
                <w:bCs/>
              </w:rPr>
              <w:t xml:space="preserve"> Consumenten Prijs Index (CPI)</w:t>
            </w:r>
          </w:p>
        </w:tc>
      </w:tr>
      <w:tr w:rsidRPr="008A74B7" w:rsidR="004B7274" w:rsidTr="00E648E3" w14:paraId="2E4AAC6B" w14:textId="77777777">
        <w:tc>
          <w:tcPr>
            <w:tcW w:w="1295" w:type="dxa"/>
          </w:tcPr>
          <w:p w:rsidRPr="008A74B7" w:rsidR="004B7274" w:rsidP="00E648E3" w:rsidRDefault="004B7274" w14:paraId="1A3D000F" w14:textId="77777777">
            <w:pPr>
              <w:spacing w:line="240" w:lineRule="atLeast"/>
              <w:jc w:val="both"/>
              <w:rPr>
                <w:rFonts w:cstheme="minorHAnsi"/>
              </w:rPr>
            </w:pPr>
            <w:bookmarkStart w:name="_Hlk178109302" w:id="12"/>
            <w:r w:rsidRPr="008A74B7">
              <w:rPr>
                <w:rFonts w:cstheme="minorHAnsi"/>
                <w:b/>
                <w:bCs/>
              </w:rPr>
              <w:t>Kenmerken</w:t>
            </w:r>
          </w:p>
        </w:tc>
        <w:tc>
          <w:tcPr>
            <w:tcW w:w="7859" w:type="dxa"/>
          </w:tcPr>
          <w:p w:rsidRPr="00C763F4" w:rsidR="004B7274" w:rsidP="00E648E3" w:rsidRDefault="004B7274" w14:paraId="3137FC84" w14:textId="77777777">
            <w:pPr>
              <w:spacing w:line="240" w:lineRule="atLeast"/>
              <w:jc w:val="both"/>
              <w:rPr>
                <w:rFonts w:cstheme="minorHAnsi"/>
              </w:rPr>
            </w:pPr>
            <w:r w:rsidRPr="00C763F4">
              <w:rPr>
                <w:rFonts w:cstheme="minorHAnsi"/>
              </w:rPr>
              <w:t>Bron: CBS en CPB</w:t>
            </w:r>
          </w:p>
          <w:p w:rsidRPr="00C763F4" w:rsidR="004B7274" w:rsidP="00E648E3" w:rsidRDefault="004B7274" w14:paraId="4BDF2F37" w14:textId="578493D8">
            <w:pPr>
              <w:spacing w:line="240" w:lineRule="atLeast"/>
              <w:jc w:val="both"/>
              <w:rPr>
                <w:rFonts w:cstheme="minorHAnsi"/>
              </w:rPr>
            </w:pPr>
            <w:r w:rsidRPr="00C763F4">
              <w:rPr>
                <w:rFonts w:cstheme="minorHAnsi"/>
              </w:rPr>
              <w:t>Ex post (CBS): 12</w:t>
            </w:r>
            <w:r>
              <w:rPr>
                <w:rFonts w:cstheme="minorHAnsi"/>
              </w:rPr>
              <w:t xml:space="preserve"> keer per jaar.</w:t>
            </w:r>
            <w:r w:rsidRPr="00C763F4">
              <w:rPr>
                <w:rFonts w:cstheme="minorHAnsi"/>
              </w:rPr>
              <w:t xml:space="preserve"> </w:t>
            </w:r>
            <w:r>
              <w:rPr>
                <w:rFonts w:cstheme="minorHAnsi"/>
              </w:rPr>
              <w:t>P</w:t>
            </w:r>
            <w:r w:rsidRPr="00C763F4">
              <w:rPr>
                <w:rFonts w:cstheme="minorHAnsi"/>
              </w:rPr>
              <w:t>ublicatie</w:t>
            </w:r>
            <w:r>
              <w:rPr>
                <w:rFonts w:cstheme="minorHAnsi"/>
              </w:rPr>
              <w:t xml:space="preserve"> van de</w:t>
            </w:r>
            <w:r w:rsidRPr="00C763F4">
              <w:rPr>
                <w:rFonts w:cstheme="minorHAnsi"/>
              </w:rPr>
              <w:t xml:space="preserve"> raming</w:t>
            </w:r>
            <w:r>
              <w:rPr>
                <w:rFonts w:cstheme="minorHAnsi"/>
              </w:rPr>
              <w:t xml:space="preserve"> vindt plaats</w:t>
            </w:r>
            <w:r w:rsidRPr="00C763F4">
              <w:rPr>
                <w:rFonts w:cstheme="minorHAnsi"/>
              </w:rPr>
              <w:t xml:space="preserve"> op de laatste werkdag van de maand waarop de cijfers betrekking hebben</w:t>
            </w:r>
            <w:r>
              <w:rPr>
                <w:rFonts w:cstheme="minorHAnsi"/>
              </w:rPr>
              <w:t xml:space="preserve"> </w:t>
            </w:r>
            <w:r w:rsidRPr="00C763F4">
              <w:rPr>
                <w:rFonts w:cstheme="minorHAnsi"/>
              </w:rPr>
              <w:t>of kort daarna.</w:t>
            </w:r>
          </w:p>
          <w:p w:rsidRPr="008A74B7" w:rsidR="004B7274" w:rsidP="00E648E3" w:rsidRDefault="004B7274" w14:paraId="7D8D3C2E" w14:textId="5CF152BD">
            <w:pPr>
              <w:spacing w:line="240" w:lineRule="atLeast"/>
              <w:jc w:val="both"/>
              <w:rPr>
                <w:rFonts w:cstheme="minorHAnsi"/>
              </w:rPr>
            </w:pPr>
            <w:r w:rsidRPr="00C763F4">
              <w:rPr>
                <w:rFonts w:cstheme="minorHAnsi"/>
              </w:rPr>
              <w:t>Ex ante (CPB): 2</w:t>
            </w:r>
            <w:r>
              <w:rPr>
                <w:rFonts w:cstheme="minorHAnsi"/>
              </w:rPr>
              <w:t xml:space="preserve"> keer</w:t>
            </w:r>
            <w:r w:rsidRPr="007B0C0A">
              <w:rPr>
                <w:rFonts w:cstheme="minorHAnsi"/>
              </w:rPr>
              <w:t xml:space="preserve"> per </w:t>
            </w:r>
            <w:r w:rsidRPr="00C763F4">
              <w:rPr>
                <w:rFonts w:cstheme="minorHAnsi"/>
              </w:rPr>
              <w:t>j</w:t>
            </w:r>
            <w:r w:rsidRPr="007B0C0A">
              <w:rPr>
                <w:rFonts w:cstheme="minorHAnsi"/>
              </w:rPr>
              <w:t>aar</w:t>
            </w:r>
            <w:r w:rsidRPr="00C763F4">
              <w:rPr>
                <w:rFonts w:cstheme="minorHAnsi"/>
              </w:rPr>
              <w:t>,</w:t>
            </w:r>
            <w:r w:rsidRPr="007B0C0A">
              <w:rPr>
                <w:rFonts w:cstheme="minorHAnsi"/>
              </w:rPr>
              <w:t xml:space="preserve"> via het</w:t>
            </w:r>
            <w:r w:rsidRPr="00C763F4">
              <w:rPr>
                <w:rFonts w:cstheme="minorHAnsi"/>
              </w:rPr>
              <w:t xml:space="preserve"> CEP en </w:t>
            </w:r>
            <w:r>
              <w:rPr>
                <w:rFonts w:cstheme="minorHAnsi"/>
              </w:rPr>
              <w:t>de Macro-economische verkenningen (MEV)</w:t>
            </w:r>
            <w:r w:rsidRPr="00C763F4">
              <w:rPr>
                <w:rFonts w:cstheme="minorHAnsi"/>
              </w:rPr>
              <w:t>.</w:t>
            </w:r>
          </w:p>
        </w:tc>
      </w:tr>
      <w:bookmarkEnd w:id="12"/>
      <w:tr w:rsidRPr="008A74B7" w:rsidR="004B7274" w:rsidTr="00E648E3" w14:paraId="2E2FE231" w14:textId="77777777">
        <w:tc>
          <w:tcPr>
            <w:tcW w:w="9154" w:type="dxa"/>
            <w:gridSpan w:val="2"/>
          </w:tcPr>
          <w:p w:rsidRPr="008A74B7" w:rsidR="004B7274" w:rsidP="00E648E3" w:rsidRDefault="004B7274" w14:paraId="01C55A85" w14:textId="77777777">
            <w:pPr>
              <w:spacing w:line="240" w:lineRule="atLeast"/>
              <w:jc w:val="both"/>
              <w:rPr>
                <w:rFonts w:cstheme="minorHAnsi"/>
                <w:i/>
                <w:iCs/>
              </w:rPr>
            </w:pPr>
            <w:r w:rsidRPr="008A74B7">
              <w:rPr>
                <w:rFonts w:cstheme="minorHAnsi"/>
                <w:i/>
                <w:iCs/>
              </w:rPr>
              <w:t>Toelichting</w:t>
            </w:r>
          </w:p>
          <w:p w:rsidRPr="008A74B7" w:rsidR="004B7274" w:rsidP="00E648E3" w:rsidRDefault="004B7274" w14:paraId="0B2E4509" w14:textId="713B477E">
            <w:pPr>
              <w:spacing w:line="240" w:lineRule="atLeast"/>
              <w:jc w:val="both"/>
              <w:rPr>
                <w:rFonts w:cstheme="minorHAnsi"/>
              </w:rPr>
            </w:pPr>
            <w:r w:rsidRPr="008A74B7">
              <w:rPr>
                <w:rFonts w:cstheme="minorHAnsi"/>
              </w:rPr>
              <w:t xml:space="preserve">De CPI bevat cijfers over het prijsverloop van een pakket goederen en diensten dat een gemiddeld Nederlands huishouden aanschaft. Dit wordt de consumentenprijsindex (CPI) genoemd. </w:t>
            </w:r>
          </w:p>
          <w:p w:rsidRPr="008A74B7" w:rsidR="004B7274" w:rsidP="00E648E3" w:rsidRDefault="004B7274" w14:paraId="091B1DE7" w14:textId="77777777">
            <w:pPr>
              <w:spacing w:line="240" w:lineRule="atLeast"/>
              <w:jc w:val="both"/>
              <w:rPr>
                <w:rFonts w:cstheme="minorHAnsi"/>
              </w:rPr>
            </w:pPr>
          </w:p>
          <w:p w:rsidRPr="008A74B7" w:rsidR="004B7274" w:rsidP="00E648E3" w:rsidRDefault="004B7274" w14:paraId="7056D0CA" w14:textId="77777777">
            <w:pPr>
              <w:spacing w:line="240" w:lineRule="atLeast"/>
              <w:jc w:val="both"/>
              <w:rPr>
                <w:rFonts w:cstheme="minorHAnsi"/>
                <w:i/>
                <w:iCs/>
              </w:rPr>
            </w:pPr>
            <w:r w:rsidRPr="008A74B7">
              <w:rPr>
                <w:rFonts w:cstheme="minorHAnsi"/>
                <w:i/>
                <w:iCs/>
              </w:rPr>
              <w:t>Totstandkoming</w:t>
            </w:r>
          </w:p>
          <w:p w:rsidRPr="008A74B7" w:rsidR="004B7274" w:rsidP="00E648E3" w:rsidRDefault="004B7274" w14:paraId="4D94DAEF" w14:textId="77777777">
            <w:pPr>
              <w:spacing w:line="240" w:lineRule="atLeast"/>
              <w:jc w:val="both"/>
              <w:rPr>
                <w:rFonts w:cstheme="minorHAnsi"/>
              </w:rPr>
            </w:pPr>
            <w:r w:rsidRPr="008A74B7">
              <w:rPr>
                <w:rFonts w:cstheme="minorHAnsi"/>
              </w:rPr>
              <w:t xml:space="preserve">De CPI geeft de prijsontwikkeling weer van alle goederen en diensten die door de Nederlandse consumenten worden gekocht. Het gewicht waarmee deze goederen en diensten meewegen in de CPI is gelijk aan het bedrag dat de Nederlandse consumenten gemiddeld uitgeven aan deze goederen en diensten in verhouding tot de totale consumptieve uitgaven van de Nederlandse consumenten. Vervolgens worden de prijsstijgingen per categorie gewogen in het </w:t>
            </w:r>
            <w:r>
              <w:rPr>
                <w:rFonts w:cstheme="minorHAnsi"/>
              </w:rPr>
              <w:t>cijfer van het CPI</w:t>
            </w:r>
            <w:r w:rsidRPr="008A74B7">
              <w:rPr>
                <w:rFonts w:cstheme="minorHAnsi"/>
              </w:rPr>
              <w:t>. Het CBS meet de gegevens per kalendermaand. Het CPB doet dit jaarlijks vooruit op basis van eigen ramingsmethodiek.</w:t>
            </w:r>
          </w:p>
          <w:p w:rsidRPr="008A74B7" w:rsidR="004B7274" w:rsidP="00E648E3" w:rsidRDefault="004B7274" w14:paraId="629FD804" w14:textId="77777777">
            <w:pPr>
              <w:spacing w:line="240" w:lineRule="atLeast"/>
              <w:jc w:val="both"/>
              <w:rPr>
                <w:rFonts w:cstheme="minorHAnsi"/>
              </w:rPr>
            </w:pPr>
          </w:p>
          <w:p w:rsidRPr="008A74B7" w:rsidR="004B7274" w:rsidP="00E648E3" w:rsidRDefault="004B7274" w14:paraId="292EFF73" w14:textId="77777777">
            <w:pPr>
              <w:spacing w:line="240" w:lineRule="atLeast"/>
              <w:jc w:val="both"/>
              <w:rPr>
                <w:rFonts w:cstheme="minorHAnsi"/>
                <w:i/>
                <w:iCs/>
              </w:rPr>
            </w:pPr>
            <w:r w:rsidRPr="008A74B7">
              <w:rPr>
                <w:rFonts w:cstheme="minorHAnsi"/>
                <w:i/>
                <w:iCs/>
              </w:rPr>
              <w:t>Toepassing</w:t>
            </w:r>
          </w:p>
          <w:p w:rsidRPr="008A74B7" w:rsidR="004B7274" w:rsidP="00E648E3" w:rsidRDefault="004B7274" w14:paraId="35EBB29C" w14:textId="4318F9A4">
            <w:pPr>
              <w:spacing w:line="240" w:lineRule="atLeast"/>
              <w:jc w:val="both"/>
              <w:rPr>
                <w:rFonts w:cstheme="minorHAnsi"/>
              </w:rPr>
            </w:pPr>
            <w:r w:rsidRPr="008A74B7">
              <w:rPr>
                <w:rFonts w:cstheme="minorHAnsi"/>
              </w:rPr>
              <w:t>Veel partijen gebruiken de CPI</w:t>
            </w:r>
            <w:r w:rsidR="005B774D">
              <w:rPr>
                <w:rFonts w:cstheme="minorHAnsi"/>
              </w:rPr>
              <w:t xml:space="preserve"> (</w:t>
            </w:r>
            <w:r w:rsidRPr="008A74B7">
              <w:rPr>
                <w:rFonts w:cstheme="minorHAnsi"/>
              </w:rPr>
              <w:t xml:space="preserve">of een onderdeel </w:t>
            </w:r>
            <w:r w:rsidR="005B774D">
              <w:rPr>
                <w:rFonts w:cstheme="minorHAnsi"/>
              </w:rPr>
              <w:t>van de CPI)</w:t>
            </w:r>
            <w:r w:rsidRPr="008A74B7">
              <w:rPr>
                <w:rFonts w:cstheme="minorHAnsi"/>
              </w:rPr>
              <w:t xml:space="preserve"> voor het indexeren van huurcontracten, premies of andere tarieven en prijzen. Binnen de </w:t>
            </w:r>
            <w:r>
              <w:rPr>
                <w:rFonts w:cstheme="minorHAnsi"/>
              </w:rPr>
              <w:t>R</w:t>
            </w:r>
            <w:r w:rsidRPr="008A74B7">
              <w:rPr>
                <w:rFonts w:cstheme="minorHAnsi"/>
              </w:rPr>
              <w:t xml:space="preserve">ijksbegroting wordt het gebruikt voor de indexering van </w:t>
            </w:r>
            <w:r>
              <w:rPr>
                <w:rFonts w:cstheme="minorHAnsi"/>
              </w:rPr>
              <w:t xml:space="preserve">bijvoorbeeld </w:t>
            </w:r>
            <w:r w:rsidRPr="008A74B7">
              <w:rPr>
                <w:rFonts w:cstheme="minorHAnsi"/>
              </w:rPr>
              <w:t>de begroting</w:t>
            </w:r>
            <w:r>
              <w:rPr>
                <w:rFonts w:cstheme="minorHAnsi"/>
              </w:rPr>
              <w:t xml:space="preserve"> van Onderwijs, Cultuur en Wetenschap (OCW)</w:t>
            </w:r>
            <w:r w:rsidRPr="008A74B7">
              <w:rPr>
                <w:rFonts w:cstheme="minorHAnsi"/>
              </w:rPr>
              <w:t>.</w:t>
            </w:r>
            <w:r w:rsidR="00554F0D">
              <w:rPr>
                <w:rFonts w:cstheme="minorHAnsi"/>
              </w:rPr>
              <w:t xml:space="preserve"> </w:t>
            </w:r>
            <w:r w:rsidRPr="008A74B7">
              <w:rPr>
                <w:rFonts w:cstheme="minorHAnsi"/>
              </w:rPr>
              <w:t xml:space="preserve">De CPI wordt geraamd door het CPB en wordt door het ministerie van Financiën </w:t>
            </w:r>
            <w:proofErr w:type="gramStart"/>
            <w:r w:rsidRPr="008A74B7">
              <w:rPr>
                <w:rFonts w:cstheme="minorHAnsi"/>
              </w:rPr>
              <w:t>reeds</w:t>
            </w:r>
            <w:proofErr w:type="gramEnd"/>
            <w:r w:rsidRPr="008A74B7">
              <w:rPr>
                <w:rFonts w:cstheme="minorHAnsi"/>
              </w:rPr>
              <w:t xml:space="preserve"> toegepast als indexering op bepaalde budgetten. </w:t>
            </w:r>
          </w:p>
        </w:tc>
      </w:tr>
    </w:tbl>
    <w:p w:rsidRPr="008A74B7" w:rsidR="004B7274" w:rsidP="004B7274" w:rsidRDefault="004B7274" w14:paraId="2759DC1F" w14:textId="77777777">
      <w:pPr>
        <w:spacing w:after="0" w:line="240" w:lineRule="atLeast"/>
        <w:jc w:val="both"/>
        <w:rPr>
          <w:rFonts w:cstheme="minorHAnsi"/>
          <w:color w:val="000000"/>
        </w:rPr>
      </w:pPr>
    </w:p>
    <w:tbl>
      <w:tblPr>
        <w:tblStyle w:val="Tabelraster"/>
        <w:tblW w:w="9154" w:type="dxa"/>
        <w:tblInd w:w="55" w:type="dxa"/>
        <w:tblCellMar>
          <w:left w:w="70" w:type="dxa"/>
          <w:right w:w="70" w:type="dxa"/>
        </w:tblCellMar>
        <w:tblLook w:val="0000" w:firstRow="0" w:lastRow="0" w:firstColumn="0" w:lastColumn="0" w:noHBand="0" w:noVBand="0"/>
      </w:tblPr>
      <w:tblGrid>
        <w:gridCol w:w="1295"/>
        <w:gridCol w:w="7859"/>
      </w:tblGrid>
      <w:tr w:rsidRPr="008A74B7" w:rsidR="004B7274" w:rsidTr="00E648E3" w14:paraId="66CA3DF3" w14:textId="77777777">
        <w:tc>
          <w:tcPr>
            <w:tcW w:w="9154" w:type="dxa"/>
            <w:gridSpan w:val="2"/>
          </w:tcPr>
          <w:p w:rsidRPr="008A74B7" w:rsidR="004B7274" w:rsidP="00E648E3" w:rsidRDefault="004B7274" w14:paraId="3D5E5406" w14:textId="77777777">
            <w:pPr>
              <w:spacing w:line="240" w:lineRule="atLeast"/>
              <w:jc w:val="both"/>
              <w:rPr>
                <w:rFonts w:cstheme="minorHAnsi"/>
                <w:b/>
                <w:bCs/>
              </w:rPr>
            </w:pPr>
            <w:r w:rsidRPr="008A74B7">
              <w:rPr>
                <w:rFonts w:cstheme="minorHAnsi"/>
                <w:b/>
                <w:bCs/>
              </w:rPr>
              <w:t xml:space="preserve">Ad. </w:t>
            </w:r>
            <w:r>
              <w:rPr>
                <w:rFonts w:cstheme="minorHAnsi"/>
                <w:b/>
                <w:bCs/>
              </w:rPr>
              <w:t>5</w:t>
            </w:r>
            <w:r w:rsidRPr="008A74B7">
              <w:rPr>
                <w:rFonts w:cstheme="minorHAnsi"/>
                <w:b/>
                <w:bCs/>
              </w:rPr>
              <w:t xml:space="preserve"> Rijkswaterstaat-index</w:t>
            </w:r>
            <w:r>
              <w:rPr>
                <w:rFonts w:cstheme="minorHAnsi"/>
                <w:b/>
                <w:bCs/>
              </w:rPr>
              <w:t xml:space="preserve"> (RWS-index)</w:t>
            </w:r>
          </w:p>
        </w:tc>
      </w:tr>
      <w:tr w:rsidRPr="008A74B7" w:rsidR="004B7274" w:rsidTr="00E648E3" w14:paraId="289B6E37" w14:textId="77777777">
        <w:tc>
          <w:tcPr>
            <w:tcW w:w="1295" w:type="dxa"/>
          </w:tcPr>
          <w:p w:rsidRPr="008A74B7" w:rsidR="004B7274" w:rsidP="00E648E3" w:rsidRDefault="004B7274" w14:paraId="77B76FF6" w14:textId="77777777">
            <w:pPr>
              <w:spacing w:line="240" w:lineRule="atLeast"/>
              <w:jc w:val="both"/>
              <w:rPr>
                <w:rFonts w:cstheme="minorHAnsi"/>
              </w:rPr>
            </w:pPr>
            <w:r w:rsidRPr="008A74B7">
              <w:rPr>
                <w:rFonts w:cstheme="minorHAnsi"/>
                <w:b/>
                <w:bCs/>
              </w:rPr>
              <w:t>Kenmerken</w:t>
            </w:r>
          </w:p>
        </w:tc>
        <w:tc>
          <w:tcPr>
            <w:tcW w:w="7859" w:type="dxa"/>
          </w:tcPr>
          <w:p w:rsidRPr="008A74B7" w:rsidR="004B7274" w:rsidP="00E648E3" w:rsidRDefault="004B7274" w14:paraId="534F24A8" w14:textId="77777777">
            <w:pPr>
              <w:spacing w:line="240" w:lineRule="atLeast"/>
              <w:jc w:val="both"/>
              <w:rPr>
                <w:rFonts w:cstheme="minorHAnsi"/>
              </w:rPr>
            </w:pPr>
            <w:r w:rsidRPr="008A74B7">
              <w:rPr>
                <w:rFonts w:cstheme="minorHAnsi"/>
              </w:rPr>
              <w:t>Bron: Rijkswaterstaat</w:t>
            </w:r>
            <w:r>
              <w:rPr>
                <w:rFonts w:cstheme="minorHAnsi"/>
              </w:rPr>
              <w:t xml:space="preserve"> (RWS)</w:t>
            </w:r>
          </w:p>
          <w:p w:rsidRPr="00F918A1" w:rsidR="004B7274" w:rsidP="00E648E3" w:rsidRDefault="004B7274" w14:paraId="1E3E1747" w14:textId="6030E88E">
            <w:pPr>
              <w:spacing w:line="240" w:lineRule="atLeast"/>
              <w:jc w:val="both"/>
              <w:rPr>
                <w:rFonts w:cstheme="minorHAnsi"/>
              </w:rPr>
            </w:pPr>
            <w:r w:rsidRPr="00F918A1">
              <w:rPr>
                <w:rFonts w:cstheme="minorHAnsi"/>
              </w:rPr>
              <w:t>Ex post</w:t>
            </w:r>
            <w:r w:rsidR="00ED4501">
              <w:rPr>
                <w:rFonts w:cstheme="minorHAnsi"/>
              </w:rPr>
              <w:t xml:space="preserve"> of ex ante</w:t>
            </w:r>
            <w:r w:rsidRPr="00F918A1">
              <w:rPr>
                <w:rFonts w:cstheme="minorHAnsi"/>
              </w:rPr>
              <w:t>: 1</w:t>
            </w:r>
            <w:r>
              <w:rPr>
                <w:rFonts w:cstheme="minorHAnsi"/>
              </w:rPr>
              <w:t xml:space="preserve"> keer</w:t>
            </w:r>
            <w:r w:rsidRPr="00F918A1">
              <w:rPr>
                <w:rFonts w:cstheme="minorHAnsi"/>
              </w:rPr>
              <w:t xml:space="preserve"> per jaar </w:t>
            </w:r>
            <w:r w:rsidR="00ED4501">
              <w:rPr>
                <w:rFonts w:cstheme="minorHAnsi"/>
              </w:rPr>
              <w:t xml:space="preserve">wordt een analyse gedaan van de gerealiseerde prijsontwikkelingen. De index is daarmee ex post.  </w:t>
            </w:r>
          </w:p>
          <w:p w:rsidRPr="008A74B7" w:rsidR="004B7274" w:rsidP="00E648E3" w:rsidRDefault="004B7274" w14:paraId="4F0FB4E4" w14:textId="77777777">
            <w:pPr>
              <w:spacing w:line="240" w:lineRule="atLeast"/>
              <w:jc w:val="both"/>
              <w:rPr>
                <w:rFonts w:cstheme="minorHAnsi"/>
              </w:rPr>
            </w:pPr>
            <w:r w:rsidRPr="008A74B7">
              <w:rPr>
                <w:rFonts w:cstheme="minorHAnsi"/>
              </w:rPr>
              <w:t xml:space="preserve">Toepassing: </w:t>
            </w:r>
            <w:r>
              <w:rPr>
                <w:rFonts w:cstheme="minorHAnsi"/>
              </w:rPr>
              <w:t>A</w:t>
            </w:r>
            <w:r w:rsidRPr="008A74B7">
              <w:rPr>
                <w:rFonts w:cstheme="minorHAnsi"/>
              </w:rPr>
              <w:t>nalyse en monitoring prijsontwikkelingen specifiek voor RWS</w:t>
            </w:r>
          </w:p>
        </w:tc>
      </w:tr>
      <w:tr w:rsidRPr="008A74B7" w:rsidR="004B7274" w:rsidTr="00E648E3" w14:paraId="43BBF377" w14:textId="77777777">
        <w:tc>
          <w:tcPr>
            <w:tcW w:w="9154" w:type="dxa"/>
            <w:gridSpan w:val="2"/>
          </w:tcPr>
          <w:p w:rsidRPr="008A74B7" w:rsidR="004B7274" w:rsidP="00E648E3" w:rsidRDefault="004B7274" w14:paraId="6DDFF038" w14:textId="77777777">
            <w:pPr>
              <w:spacing w:line="240" w:lineRule="atLeast"/>
              <w:jc w:val="both"/>
              <w:rPr>
                <w:rFonts w:cstheme="minorHAnsi"/>
                <w:i/>
                <w:iCs/>
              </w:rPr>
            </w:pPr>
            <w:r w:rsidRPr="008A74B7">
              <w:rPr>
                <w:rFonts w:cstheme="minorHAnsi"/>
                <w:i/>
                <w:iCs/>
              </w:rPr>
              <w:t>Toelichting</w:t>
            </w:r>
          </w:p>
          <w:p w:rsidR="004B7274" w:rsidP="00E648E3" w:rsidRDefault="004B7274" w14:paraId="430F960B" w14:textId="50B5E863">
            <w:pPr>
              <w:spacing w:line="240" w:lineRule="atLeast"/>
              <w:jc w:val="both"/>
              <w:rPr>
                <w:rFonts w:cstheme="minorHAnsi"/>
              </w:rPr>
            </w:pPr>
            <w:r w:rsidRPr="008A74B7">
              <w:rPr>
                <w:rFonts w:cstheme="minorHAnsi"/>
              </w:rPr>
              <w:t>Rijkswaterstaat stelt jaarlijks een analyse op van de prijsontwikkelingen van projecten in de RWS-portefeuille van de afgelopen periode. Hiervoor wordt een RWS specifieke gewogen index opgesteld opgebouwd uit diverse CROW</w:t>
            </w:r>
            <w:r w:rsidR="00E34F05">
              <w:rPr>
                <w:rFonts w:cstheme="minorHAnsi"/>
              </w:rPr>
              <w:t>-indices</w:t>
            </w:r>
            <w:r w:rsidRPr="008A74B7">
              <w:rPr>
                <w:rFonts w:cstheme="minorHAnsi"/>
              </w:rPr>
              <w:t xml:space="preserve"> en </w:t>
            </w:r>
            <w:r w:rsidR="00E34F05">
              <w:rPr>
                <w:rFonts w:cstheme="minorHAnsi"/>
              </w:rPr>
              <w:t xml:space="preserve">de </w:t>
            </w:r>
            <w:r w:rsidRPr="008A74B7">
              <w:rPr>
                <w:rFonts w:cstheme="minorHAnsi"/>
              </w:rPr>
              <w:t>GW</w:t>
            </w:r>
            <w:r>
              <w:rPr>
                <w:rFonts w:cstheme="minorHAnsi"/>
              </w:rPr>
              <w:t>W-index</w:t>
            </w:r>
            <w:r w:rsidRPr="008A74B7">
              <w:rPr>
                <w:rFonts w:cstheme="minorHAnsi"/>
              </w:rPr>
              <w:t xml:space="preserve">. </w:t>
            </w:r>
            <w:r>
              <w:rPr>
                <w:rFonts w:cstheme="minorHAnsi"/>
              </w:rPr>
              <w:t>In d</w:t>
            </w:r>
            <w:r w:rsidRPr="008A74B7">
              <w:rPr>
                <w:rFonts w:cstheme="minorHAnsi"/>
              </w:rPr>
              <w:t xml:space="preserve">e GWW-index </w:t>
            </w:r>
            <w:r>
              <w:rPr>
                <w:rFonts w:cstheme="minorHAnsi"/>
              </w:rPr>
              <w:t>weegt</w:t>
            </w:r>
            <w:r w:rsidRPr="008A74B7">
              <w:rPr>
                <w:rFonts w:cstheme="minorHAnsi"/>
              </w:rPr>
              <w:t xml:space="preserve"> de prijsontwikkelingen van de bouwkosten en aannemerskosten</w:t>
            </w:r>
            <w:r>
              <w:rPr>
                <w:rFonts w:cstheme="minorHAnsi"/>
              </w:rPr>
              <w:t xml:space="preserve"> zwaar mee</w:t>
            </w:r>
            <w:r w:rsidRPr="008A74B7">
              <w:rPr>
                <w:rFonts w:cstheme="minorHAnsi"/>
              </w:rPr>
              <w:t xml:space="preserve">. Bij de RWS-index weegt </w:t>
            </w:r>
            <w:r>
              <w:rPr>
                <w:rFonts w:cstheme="minorHAnsi"/>
              </w:rPr>
              <w:t>onder andere</w:t>
            </w:r>
            <w:r w:rsidRPr="008A74B7">
              <w:rPr>
                <w:rFonts w:cstheme="minorHAnsi"/>
              </w:rPr>
              <w:t xml:space="preserve"> het looncomponent zwaarder</w:t>
            </w:r>
            <w:r>
              <w:rPr>
                <w:rFonts w:cstheme="minorHAnsi"/>
              </w:rPr>
              <w:t>.</w:t>
            </w:r>
            <w:r w:rsidRPr="008A74B7">
              <w:rPr>
                <w:rFonts w:cstheme="minorHAnsi"/>
              </w:rPr>
              <w:t xml:space="preserve"> </w:t>
            </w:r>
            <w:r>
              <w:rPr>
                <w:rFonts w:cstheme="minorHAnsi"/>
              </w:rPr>
              <w:t>Naas</w:t>
            </w:r>
            <w:r w:rsidRPr="008A74B7">
              <w:rPr>
                <w:rFonts w:cstheme="minorHAnsi"/>
              </w:rPr>
              <w:t xml:space="preserve">t de aannemerskosten </w:t>
            </w:r>
            <w:r>
              <w:rPr>
                <w:rFonts w:cstheme="minorHAnsi"/>
              </w:rPr>
              <w:t>is namelijk sprake</w:t>
            </w:r>
            <w:r w:rsidRPr="008A74B7">
              <w:rPr>
                <w:rFonts w:cstheme="minorHAnsi"/>
              </w:rPr>
              <w:t xml:space="preserve"> van voorbereiding door ingenieursbureaus. Daarnaast wegen aspecten als grondverwervingskosten en verleggen van kabels en leidingen zwaarder mee</w:t>
            </w:r>
            <w:r>
              <w:rPr>
                <w:rFonts w:cstheme="minorHAnsi"/>
              </w:rPr>
              <w:t xml:space="preserve"> in de RWS-index</w:t>
            </w:r>
            <w:r w:rsidRPr="008A74B7">
              <w:rPr>
                <w:rFonts w:cstheme="minorHAnsi"/>
              </w:rPr>
              <w:t xml:space="preserve"> </w:t>
            </w:r>
            <w:r w:rsidR="00C54049">
              <w:rPr>
                <w:rFonts w:cstheme="minorHAnsi"/>
              </w:rPr>
              <w:t>dan in</w:t>
            </w:r>
            <w:r w:rsidRPr="008A74B7">
              <w:rPr>
                <w:rFonts w:cstheme="minorHAnsi"/>
              </w:rPr>
              <w:t xml:space="preserve"> de GWW</w:t>
            </w:r>
            <w:r>
              <w:rPr>
                <w:rFonts w:cstheme="minorHAnsi"/>
              </w:rPr>
              <w:t>-index</w:t>
            </w:r>
            <w:r w:rsidRPr="008A74B7">
              <w:rPr>
                <w:rFonts w:cstheme="minorHAnsi"/>
              </w:rPr>
              <w:t>.</w:t>
            </w:r>
          </w:p>
          <w:p w:rsidRPr="008A74B7" w:rsidR="004B7274" w:rsidP="00E648E3" w:rsidRDefault="004B7274" w14:paraId="47FC0E05" w14:textId="77777777">
            <w:pPr>
              <w:spacing w:line="240" w:lineRule="atLeast"/>
              <w:jc w:val="both"/>
              <w:rPr>
                <w:rFonts w:cstheme="minorHAnsi"/>
              </w:rPr>
            </w:pPr>
          </w:p>
          <w:p w:rsidRPr="008A74B7" w:rsidR="004B7274" w:rsidP="00E648E3" w:rsidRDefault="004B7274" w14:paraId="2BB2B07B" w14:textId="77777777">
            <w:pPr>
              <w:spacing w:line="240" w:lineRule="atLeast"/>
              <w:jc w:val="both"/>
              <w:rPr>
                <w:rFonts w:cstheme="minorHAnsi"/>
                <w:i/>
                <w:iCs/>
              </w:rPr>
            </w:pPr>
            <w:r w:rsidRPr="008A74B7">
              <w:rPr>
                <w:rFonts w:cstheme="minorHAnsi"/>
                <w:i/>
                <w:iCs/>
              </w:rPr>
              <w:t>Totstandkoming</w:t>
            </w:r>
          </w:p>
          <w:p w:rsidRPr="008A74B7" w:rsidR="004B7274" w:rsidP="00E648E3" w:rsidRDefault="004B7274" w14:paraId="01293049" w14:textId="6C6D4EB4">
            <w:pPr>
              <w:spacing w:line="240" w:lineRule="atLeast"/>
              <w:jc w:val="both"/>
              <w:rPr>
                <w:rFonts w:cstheme="minorHAnsi"/>
              </w:rPr>
            </w:pPr>
            <w:r w:rsidRPr="008A74B7">
              <w:rPr>
                <w:rFonts w:cstheme="minorHAnsi"/>
              </w:rPr>
              <w:t xml:space="preserve">De indices zijn ontleend aan de </w:t>
            </w:r>
            <w:r>
              <w:rPr>
                <w:rFonts w:cstheme="minorHAnsi"/>
              </w:rPr>
              <w:t>PPI,</w:t>
            </w:r>
            <w:r w:rsidRPr="008A74B7">
              <w:rPr>
                <w:rFonts w:cstheme="minorHAnsi"/>
              </w:rPr>
              <w:t xml:space="preserve"> </w:t>
            </w:r>
            <w:r>
              <w:rPr>
                <w:rFonts w:cstheme="minorHAnsi"/>
              </w:rPr>
              <w:t>de DPI</w:t>
            </w:r>
            <w:r w:rsidRPr="008A74B7">
              <w:rPr>
                <w:rFonts w:cstheme="minorHAnsi"/>
              </w:rPr>
              <w:t xml:space="preserve"> en </w:t>
            </w:r>
            <w:r>
              <w:rPr>
                <w:rFonts w:cstheme="minorHAnsi"/>
              </w:rPr>
              <w:t>CPI</w:t>
            </w:r>
            <w:r w:rsidRPr="008A74B7">
              <w:rPr>
                <w:rFonts w:cstheme="minorHAnsi"/>
              </w:rPr>
              <w:t xml:space="preserve"> van het CBS aangevuld met sectorspecifieke producentenprijzen van het </w:t>
            </w:r>
            <w:r w:rsidR="00C54049">
              <w:rPr>
                <w:rFonts w:cstheme="minorHAnsi"/>
              </w:rPr>
              <w:t>CROW.</w:t>
            </w:r>
          </w:p>
          <w:p w:rsidRPr="008A74B7" w:rsidR="004B7274" w:rsidP="00E648E3" w:rsidRDefault="004B7274" w14:paraId="242E0C94" w14:textId="77777777">
            <w:pPr>
              <w:spacing w:line="240" w:lineRule="atLeast"/>
              <w:jc w:val="both"/>
              <w:rPr>
                <w:rFonts w:cstheme="minorHAnsi"/>
              </w:rPr>
            </w:pPr>
          </w:p>
          <w:p w:rsidRPr="008A74B7" w:rsidR="004B7274" w:rsidP="00E648E3" w:rsidRDefault="004B7274" w14:paraId="15A55C1E" w14:textId="77777777">
            <w:pPr>
              <w:spacing w:line="240" w:lineRule="atLeast"/>
              <w:jc w:val="both"/>
              <w:rPr>
                <w:rFonts w:cstheme="minorHAnsi"/>
                <w:i/>
                <w:iCs/>
              </w:rPr>
            </w:pPr>
            <w:r w:rsidRPr="008A74B7">
              <w:rPr>
                <w:rFonts w:cstheme="minorHAnsi"/>
                <w:i/>
                <w:iCs/>
              </w:rPr>
              <w:t>Toepassing</w:t>
            </w:r>
          </w:p>
          <w:p w:rsidRPr="008A74B7" w:rsidR="004B7274" w:rsidP="00E648E3" w:rsidRDefault="004B7274" w14:paraId="2A636F92" w14:textId="370BAFBC">
            <w:pPr>
              <w:spacing w:line="240" w:lineRule="atLeast"/>
              <w:jc w:val="both"/>
              <w:rPr>
                <w:rFonts w:cstheme="minorHAnsi"/>
              </w:rPr>
            </w:pPr>
            <w:r w:rsidRPr="008A74B7">
              <w:rPr>
                <w:rFonts w:cstheme="minorHAnsi"/>
              </w:rPr>
              <w:lastRenderedPageBreak/>
              <w:t xml:space="preserve">Prijsontwikkelingen zijn doorlopend input voor de actualisatie van de RWS-kostprijzendatabase. Op basis hiervan kan </w:t>
            </w:r>
            <w:proofErr w:type="gramStart"/>
            <w:r w:rsidRPr="008A74B7">
              <w:rPr>
                <w:rFonts w:cstheme="minorHAnsi"/>
              </w:rPr>
              <w:t>RWS ramingen</w:t>
            </w:r>
            <w:proofErr w:type="gramEnd"/>
            <w:r w:rsidRPr="008A74B7">
              <w:rPr>
                <w:rFonts w:cstheme="minorHAnsi"/>
              </w:rPr>
              <w:t xml:space="preserve"> opstellen. De analyse wordt gebruikt om een beeld te schetsen van de ontwikkelingen door de tijd heen en het signaleren van trends.</w:t>
            </w:r>
            <w:r w:rsidR="0032613E">
              <w:rPr>
                <w:rFonts w:cstheme="minorHAnsi"/>
              </w:rPr>
              <w:t xml:space="preserve"> </w:t>
            </w:r>
            <w:r w:rsidRPr="008A74B7">
              <w:rPr>
                <w:rFonts w:cstheme="minorHAnsi"/>
              </w:rPr>
              <w:t>De weging van de indexen worden door RWS zelf gedaan</w:t>
            </w:r>
            <w:r>
              <w:rPr>
                <w:rFonts w:cstheme="minorHAnsi"/>
              </w:rPr>
              <w:t>. De index is hierdoor niet onafhankelijk</w:t>
            </w:r>
            <w:r w:rsidRPr="008A74B7">
              <w:rPr>
                <w:rFonts w:cstheme="minorHAnsi"/>
              </w:rPr>
              <w:t>. Voor de index worden</w:t>
            </w:r>
            <w:r>
              <w:rPr>
                <w:rFonts w:cstheme="minorHAnsi"/>
              </w:rPr>
              <w:t xml:space="preserve"> ook</w:t>
            </w:r>
            <w:r w:rsidRPr="008A74B7">
              <w:rPr>
                <w:rFonts w:cstheme="minorHAnsi"/>
              </w:rPr>
              <w:t xml:space="preserve"> geen ramingen of prognoses opgesteld. Indexering van budgetten </w:t>
            </w:r>
            <w:r>
              <w:rPr>
                <w:rFonts w:cstheme="minorHAnsi"/>
              </w:rPr>
              <w:t>vindt</w:t>
            </w:r>
            <w:r w:rsidRPr="008A74B7">
              <w:rPr>
                <w:rFonts w:cstheme="minorHAnsi"/>
              </w:rPr>
              <w:t xml:space="preserve"> </w:t>
            </w:r>
            <w:r>
              <w:rPr>
                <w:rFonts w:cstheme="minorHAnsi"/>
              </w:rPr>
              <w:t xml:space="preserve">daardoor </w:t>
            </w:r>
            <w:r w:rsidRPr="008A74B7">
              <w:rPr>
                <w:rFonts w:cstheme="minorHAnsi"/>
              </w:rPr>
              <w:t>enkel ex post plaats.</w:t>
            </w:r>
            <w:r>
              <w:rPr>
                <w:rFonts w:cstheme="minorHAnsi"/>
              </w:rPr>
              <w:t xml:space="preserve"> </w:t>
            </w:r>
            <w:r w:rsidRPr="008A74B7">
              <w:rPr>
                <w:rFonts w:cstheme="minorHAnsi"/>
                <w:color w:val="000000"/>
              </w:rPr>
              <w:t xml:space="preserve">De RWS-index wordt niet geraamd door het CPB en wijkt daarmee af van de reguliere systematiek. </w:t>
            </w:r>
          </w:p>
        </w:tc>
      </w:tr>
    </w:tbl>
    <w:p w:rsidR="004B7274" w:rsidP="004B7274" w:rsidRDefault="004B7274" w14:paraId="1C780000" w14:textId="77777777">
      <w:pPr>
        <w:spacing w:after="0" w:line="240" w:lineRule="atLeast"/>
        <w:jc w:val="both"/>
        <w:rPr>
          <w:rFonts w:cstheme="minorHAnsi"/>
          <w:b/>
          <w:bCs/>
        </w:rPr>
      </w:pPr>
    </w:p>
    <w:p w:rsidRPr="005A2882" w:rsidR="0034466E" w:rsidP="00CB4618" w:rsidRDefault="004B7274" w14:paraId="15D691E1" w14:textId="418D2B50">
      <w:pPr>
        <w:spacing w:line="276" w:lineRule="auto"/>
        <w:rPr>
          <w:rFonts w:cstheme="minorHAnsi"/>
        </w:rPr>
      </w:pPr>
      <w:r w:rsidRPr="00A830BE">
        <w:rPr>
          <w:rFonts w:cstheme="minorHAnsi"/>
        </w:rPr>
        <w:t xml:space="preserve">In 2023 vond een </w:t>
      </w:r>
      <w:proofErr w:type="spellStart"/>
      <w:r w:rsidRPr="00A830BE">
        <w:rPr>
          <w:rFonts w:cstheme="minorHAnsi"/>
        </w:rPr>
        <w:t>herprioriteringsopgave</w:t>
      </w:r>
      <w:proofErr w:type="spellEnd"/>
      <w:r w:rsidRPr="00A830BE">
        <w:rPr>
          <w:rFonts w:cstheme="minorHAnsi"/>
        </w:rPr>
        <w:t xml:space="preserve"> op het Mobiliteitsfonds plaats. De </w:t>
      </w:r>
      <w:proofErr w:type="spellStart"/>
      <w:r w:rsidRPr="00A830BE">
        <w:rPr>
          <w:rFonts w:cstheme="minorHAnsi"/>
        </w:rPr>
        <w:t>herprioritering</w:t>
      </w:r>
      <w:proofErr w:type="spellEnd"/>
      <w:r w:rsidRPr="00A830BE">
        <w:rPr>
          <w:rFonts w:cstheme="minorHAnsi"/>
        </w:rPr>
        <w:t xml:space="preserve"> betekende een schuif van 2,7 miljard euro aan beschikbaar budget voor projecten in de verkenning -en plan/studiefase naar projecten in de aanlegfase. De schuif was nodig omdat bij de projecten in aanleg sprake was van (</w:t>
      </w:r>
      <w:r w:rsidR="00A70521">
        <w:rPr>
          <w:rFonts w:cstheme="minorHAnsi"/>
        </w:rPr>
        <w:t>on</w:t>
      </w:r>
      <w:r w:rsidRPr="00A830BE">
        <w:rPr>
          <w:rFonts w:cstheme="minorHAnsi"/>
        </w:rPr>
        <w:t>voorziene) tegenvallers als gevolg van hogere prijzen en</w:t>
      </w:r>
      <w:r w:rsidR="00A70521">
        <w:rPr>
          <w:rFonts w:cstheme="minorHAnsi"/>
        </w:rPr>
        <w:t xml:space="preserve"> andere</w:t>
      </w:r>
      <w:r w:rsidRPr="00A830BE">
        <w:rPr>
          <w:rFonts w:cstheme="minorHAnsi"/>
        </w:rPr>
        <w:t xml:space="preserve"> uitvoeringsrisico’s. In de motie wordt gevraagd of het nodig is om de huidige indexatiesystematiek aan te passen vanwege </w:t>
      </w:r>
      <w:r w:rsidR="00A70521">
        <w:rPr>
          <w:rFonts w:cstheme="minorHAnsi"/>
        </w:rPr>
        <w:t>de gevolgen van excessieve prijsstijgingen</w:t>
      </w:r>
      <w:r w:rsidR="005A2882">
        <w:rPr>
          <w:rFonts w:cstheme="minorHAnsi"/>
        </w:rPr>
        <w:t>.</w:t>
      </w:r>
      <w:r w:rsidRPr="00A830BE">
        <w:rPr>
          <w:rFonts w:cstheme="minorHAnsi"/>
        </w:rPr>
        <w:t xml:space="preserve"> Het kabinet is hier om verschillende redenen zeer terughoudend in. Het kabinet wil voorkomen dat prijsbijstellingen een prijsopdrijvend effect hebben in een markt waar grondstoffen en arbeid schaars zijn. Daarnaast wil het kabinet voorkomen dat de uitvoerbaarheid van de huidige systematiek onder druk komt te staan. </w:t>
      </w:r>
      <w:proofErr w:type="gramStart"/>
      <w:r w:rsidRPr="00A830BE">
        <w:rPr>
          <w:rFonts w:cstheme="minorHAnsi"/>
        </w:rPr>
        <w:t>Tevens</w:t>
      </w:r>
      <w:proofErr w:type="gramEnd"/>
      <w:r w:rsidRPr="00A830BE">
        <w:rPr>
          <w:rFonts w:cstheme="minorHAnsi"/>
        </w:rPr>
        <w:t xml:space="preserve"> wil het kabinet de onafhankelijkheid en stabiliteit van prijsbijstellingen waarborgen.</w:t>
      </w:r>
      <w:r w:rsidR="00591E07">
        <w:rPr>
          <w:rFonts w:cstheme="minorHAnsi"/>
        </w:rPr>
        <w:t xml:space="preserve"> </w:t>
      </w:r>
      <w:r>
        <w:rPr>
          <w:rFonts w:cstheme="minorHAnsi"/>
        </w:rPr>
        <w:t>Zie hiervoor ook het antwoord onder vraag 2.</w:t>
      </w:r>
      <w:r w:rsidRPr="00BB443C" w:rsidR="00BB443C">
        <w:rPr>
          <w:rFonts w:eastAsia="DejaVu Sans" w:cs="Lohit Hindi"/>
          <w:color w:val="000000"/>
        </w:rPr>
        <w:t xml:space="preserve"> </w:t>
      </w:r>
    </w:p>
    <w:p w:rsidR="005A2882" w:rsidP="00CB4618" w:rsidRDefault="005A2882" w14:paraId="24EB2363" w14:textId="77777777">
      <w:pPr>
        <w:spacing w:line="276" w:lineRule="auto"/>
        <w:rPr>
          <w:rFonts w:cstheme="minorHAnsi"/>
        </w:rPr>
      </w:pPr>
    </w:p>
    <w:p w:rsidRPr="004C2673" w:rsidR="004C2673" w:rsidP="00CB4618" w:rsidRDefault="00F335E9" w14:paraId="694A3A98" w14:textId="7169E46B">
      <w:pPr>
        <w:spacing w:line="276" w:lineRule="auto"/>
        <w:rPr>
          <w:rFonts w:cstheme="minorHAnsi"/>
        </w:rPr>
      </w:pPr>
      <w:r w:rsidRPr="00F335E9">
        <w:rPr>
          <w:rFonts w:cstheme="minorHAnsi"/>
        </w:rPr>
        <w:t>Naast de IBOI en de GWW-index kunnen prijsontwikkelingen binnen de GWW-sector ook op andere manieren in beeld worden gebracht</w:t>
      </w:r>
      <w:r>
        <w:rPr>
          <w:rFonts w:cstheme="minorHAnsi"/>
        </w:rPr>
        <w:t xml:space="preserve"> zoals hierboven duidelijk wordt</w:t>
      </w:r>
      <w:r w:rsidRPr="00F335E9">
        <w:rPr>
          <w:rFonts w:cstheme="minorHAnsi"/>
        </w:rPr>
        <w:t>. Rijkswaterstaat (RWS) stelt jaarlijks een analyse op van de prijsontwikkelingen van projecten van Rijkswaterstaat van de afgelopen periode. Hierbij geldt wel dat de index van RWS niet onafhankelijk is zoals</w:t>
      </w:r>
      <w:r w:rsidR="009E4A07">
        <w:rPr>
          <w:rFonts w:cstheme="minorHAnsi"/>
        </w:rPr>
        <w:t xml:space="preserve"> wel het geval is bij</w:t>
      </w:r>
      <w:r w:rsidRPr="00F335E9">
        <w:rPr>
          <w:rFonts w:cstheme="minorHAnsi"/>
        </w:rPr>
        <w:t xml:space="preserve"> </w:t>
      </w:r>
      <w:r w:rsidR="009E4A07">
        <w:rPr>
          <w:rFonts w:cstheme="minorHAnsi"/>
        </w:rPr>
        <w:t>een</w:t>
      </w:r>
      <w:r w:rsidRPr="00F335E9">
        <w:rPr>
          <w:rFonts w:cstheme="minorHAnsi"/>
        </w:rPr>
        <w:t xml:space="preserve"> index geraamd door het CBS. De RWS-index </w:t>
      </w:r>
      <w:r w:rsidR="009E4A07">
        <w:rPr>
          <w:rFonts w:cstheme="minorHAnsi"/>
        </w:rPr>
        <w:t>laat wel</w:t>
      </w:r>
      <w:r w:rsidRPr="00F335E9">
        <w:rPr>
          <w:rFonts w:cstheme="minorHAnsi"/>
        </w:rPr>
        <w:t xml:space="preserve"> een vollediger beeld zien van de daadwerkelijke prijsstijgingen bij RWS dan alleen de GWW-index of de Consumentenprijsindex (CPI). </w:t>
      </w:r>
      <w:r w:rsidRPr="0033189D" w:rsidR="005F236B">
        <w:t xml:space="preserve">De CPI wordt niet gebruikt als prijsindex voor investeringen van het Mobiliteitsfonds en het Deltafonds. </w:t>
      </w:r>
      <w:r w:rsidRPr="0033189D" w:rsidR="004C2673">
        <w:rPr>
          <w:rFonts w:cstheme="minorHAnsi"/>
        </w:rPr>
        <w:t xml:space="preserve">De CPI laat wel zien hoe hogere grondstofprijzen doorwerken in prijzen voor bijvoorbeeld consumenten en is daarom in de evaluatie meegenomen.  </w:t>
      </w:r>
      <w:r w:rsidR="00A428BD">
        <w:rPr>
          <w:rFonts w:cstheme="minorHAnsi"/>
        </w:rPr>
        <w:t xml:space="preserve"> </w:t>
      </w:r>
    </w:p>
    <w:p w:rsidR="004B7274" w:rsidP="004B7274" w:rsidRDefault="004B7274" w14:paraId="458E6996" w14:textId="5FB6B8FA">
      <w:pPr>
        <w:jc w:val="both"/>
        <w:rPr>
          <w:rFonts w:cstheme="minorHAnsi"/>
        </w:rPr>
      </w:pPr>
    </w:p>
    <w:p w:rsidRPr="000122D2" w:rsidR="004B7274" w:rsidP="004B7274" w:rsidRDefault="004B7274" w14:paraId="037567E0" w14:textId="77777777">
      <w:pPr>
        <w:rPr>
          <w:rFonts w:cstheme="minorHAnsi"/>
        </w:rPr>
        <w:sectPr w:rsidRPr="000122D2" w:rsidR="004B7274" w:rsidSect="0077235B">
          <w:footerReference w:type="default" r:id="rId8"/>
          <w:footerReference w:type="first" r:id="rId9"/>
          <w:pgSz w:w="11906" w:h="16838" w:code="9"/>
          <w:pgMar w:top="1417" w:right="1417" w:bottom="1417" w:left="1417" w:header="708" w:footer="708" w:gutter="0"/>
          <w:pgNumType w:start="1"/>
          <w:cols w:space="708"/>
          <w:titlePg/>
          <w:docGrid w:linePitch="360"/>
        </w:sectPr>
      </w:pPr>
    </w:p>
    <w:p w:rsidRPr="009E558A" w:rsidR="004B7274" w:rsidP="009E558A" w:rsidRDefault="004B7274" w14:paraId="4A1EC1AF" w14:textId="77777777">
      <w:pPr>
        <w:pStyle w:val="Kop1"/>
      </w:pPr>
      <w:bookmarkStart w:name="_Toc178245260" w:id="13"/>
      <w:r w:rsidRPr="009E558A">
        <w:lastRenderedPageBreak/>
        <w:t>In welke mate komt het verloop van de indices overeen met de voor de fondsen ontvangen prijsbijstellingen?</w:t>
      </w:r>
      <w:bookmarkEnd w:id="13"/>
    </w:p>
    <w:p w:rsidRPr="008A74B7" w:rsidR="004B7274" w:rsidP="004B7274" w:rsidRDefault="004B7274" w14:paraId="18F93117" w14:textId="77777777">
      <w:pPr>
        <w:pStyle w:val="Lijstalinea"/>
        <w:spacing w:after="0" w:line="240" w:lineRule="atLeast"/>
        <w:jc w:val="both"/>
        <w:rPr>
          <w:rFonts w:ascii="Verdana" w:hAnsi="Verdana" w:cstheme="minorHAnsi"/>
          <w:b/>
          <w:bCs/>
          <w:sz w:val="18"/>
          <w:szCs w:val="18"/>
        </w:rPr>
      </w:pPr>
    </w:p>
    <w:p w:rsidRPr="00A361E5" w:rsidR="004B7274" w:rsidP="00F15626" w:rsidRDefault="004B7274" w14:paraId="2ADD0304" w14:textId="77777777">
      <w:pPr>
        <w:spacing w:after="0" w:line="240" w:lineRule="atLeast"/>
        <w:rPr>
          <w:rFonts w:cstheme="minorHAnsi"/>
          <w:b/>
          <w:bCs/>
        </w:rPr>
      </w:pPr>
      <w:r w:rsidRPr="00A361E5">
        <w:rPr>
          <w:rFonts w:cstheme="minorHAnsi"/>
          <w:b/>
          <w:bCs/>
        </w:rPr>
        <w:t>Kwantitatieve vergelijking van de indexen</w:t>
      </w:r>
    </w:p>
    <w:p w:rsidRPr="008A74B7" w:rsidR="004B7274" w:rsidP="00F15626" w:rsidRDefault="004B7274" w14:paraId="7BC98B1D" w14:textId="5C90FD58">
      <w:pPr>
        <w:spacing w:after="0" w:line="276" w:lineRule="auto"/>
        <w:rPr>
          <w:rFonts w:cstheme="minorHAnsi"/>
        </w:rPr>
      </w:pPr>
      <w:r w:rsidRPr="008A74B7">
        <w:rPr>
          <w:rFonts w:cstheme="minorHAnsi"/>
        </w:rPr>
        <w:t>In figuur 1 is het verloop van de indices IBOI, CPI, GWW</w:t>
      </w:r>
      <w:r>
        <w:rPr>
          <w:rFonts w:cstheme="minorHAnsi"/>
        </w:rPr>
        <w:t>-index</w:t>
      </w:r>
      <w:r w:rsidRPr="008A74B7">
        <w:rPr>
          <w:rFonts w:cstheme="minorHAnsi"/>
        </w:rPr>
        <w:t xml:space="preserve"> en RWS</w:t>
      </w:r>
      <w:r>
        <w:rPr>
          <w:rFonts w:cstheme="minorHAnsi"/>
        </w:rPr>
        <w:t>-</w:t>
      </w:r>
      <w:r w:rsidRPr="008A74B7">
        <w:rPr>
          <w:rFonts w:cstheme="minorHAnsi"/>
        </w:rPr>
        <w:t xml:space="preserve">index weergegeven. </w:t>
      </w:r>
      <w:r w:rsidR="00467188">
        <w:rPr>
          <w:rFonts w:cstheme="minorHAnsi"/>
        </w:rPr>
        <w:t xml:space="preserve">In het figuur </w:t>
      </w:r>
      <w:r w:rsidRPr="008A74B7">
        <w:rPr>
          <w:rFonts w:cstheme="minorHAnsi"/>
        </w:rPr>
        <w:t>zijn de volgende uitgangspunten gehanteerd:</w:t>
      </w:r>
    </w:p>
    <w:p w:rsidRPr="00622AD5" w:rsidR="004B7274" w:rsidP="00F15626" w:rsidRDefault="004B7274" w14:paraId="7DEACF7E" w14:textId="3DD84E8B">
      <w:pPr>
        <w:pStyle w:val="Lijstalinea"/>
        <w:numPr>
          <w:ilvl w:val="0"/>
          <w:numId w:val="31"/>
        </w:numPr>
        <w:spacing w:after="0" w:line="276" w:lineRule="auto"/>
        <w:rPr>
          <w:rFonts w:ascii="Verdana" w:hAnsi="Verdana" w:cstheme="minorHAnsi"/>
          <w:sz w:val="18"/>
          <w:szCs w:val="18"/>
        </w:rPr>
      </w:pPr>
      <w:r w:rsidRPr="008A74B7">
        <w:rPr>
          <w:rFonts w:ascii="Verdana" w:hAnsi="Verdana" w:cstheme="minorHAnsi"/>
          <w:sz w:val="18"/>
          <w:szCs w:val="18"/>
        </w:rPr>
        <w:t>Voor alle indices geldt index 2014=100. De CPI en GWW</w:t>
      </w:r>
      <w:r>
        <w:rPr>
          <w:rFonts w:ascii="Verdana" w:hAnsi="Verdana" w:cstheme="minorHAnsi"/>
          <w:sz w:val="18"/>
          <w:szCs w:val="18"/>
        </w:rPr>
        <w:t xml:space="preserve">-index </w:t>
      </w:r>
      <w:r w:rsidRPr="008A74B7">
        <w:rPr>
          <w:rFonts w:ascii="Verdana" w:hAnsi="Verdana" w:cstheme="minorHAnsi"/>
          <w:sz w:val="18"/>
          <w:szCs w:val="18"/>
        </w:rPr>
        <w:t xml:space="preserve">worden door het CBS als indexcijfer gepresenteerd. De IBOI en de RWS-index zijn op basis van de jaarmutaties omgerekend naar indexcijfers. </w:t>
      </w:r>
      <w:r w:rsidR="00167F65">
        <w:rPr>
          <w:rFonts w:ascii="Verdana" w:hAnsi="Verdana" w:cstheme="minorHAnsi"/>
          <w:sz w:val="18"/>
          <w:szCs w:val="18"/>
        </w:rPr>
        <w:t xml:space="preserve">Alle in de figuur opgenomen </w:t>
      </w:r>
      <w:r w:rsidRPr="00622AD5">
        <w:rPr>
          <w:rFonts w:ascii="Verdana" w:hAnsi="Verdana" w:cstheme="minorHAnsi"/>
          <w:sz w:val="18"/>
          <w:szCs w:val="18"/>
        </w:rPr>
        <w:t xml:space="preserve">indices zijn </w:t>
      </w:r>
      <w:r>
        <w:rPr>
          <w:rFonts w:ascii="Verdana" w:hAnsi="Verdana" w:cstheme="minorHAnsi"/>
          <w:sz w:val="18"/>
          <w:szCs w:val="18"/>
        </w:rPr>
        <w:t xml:space="preserve">gebaseerd op gerealiseerde </w:t>
      </w:r>
      <w:r w:rsidR="00167F65">
        <w:rPr>
          <w:rFonts w:ascii="Verdana" w:hAnsi="Verdana" w:cstheme="minorHAnsi"/>
          <w:sz w:val="18"/>
          <w:szCs w:val="18"/>
        </w:rPr>
        <w:t>waardes</w:t>
      </w:r>
      <w:r>
        <w:rPr>
          <w:rFonts w:ascii="Verdana" w:hAnsi="Verdana" w:cstheme="minorHAnsi"/>
          <w:sz w:val="18"/>
          <w:szCs w:val="18"/>
        </w:rPr>
        <w:t xml:space="preserve">. </w:t>
      </w:r>
    </w:p>
    <w:p w:rsidRPr="00764E2E" w:rsidR="004B7274" w:rsidP="00F15626" w:rsidRDefault="004B7274" w14:paraId="34270DA2" w14:textId="77777777">
      <w:pPr>
        <w:pStyle w:val="Lijstalinea"/>
        <w:numPr>
          <w:ilvl w:val="0"/>
          <w:numId w:val="31"/>
        </w:numPr>
        <w:spacing w:after="0" w:line="276" w:lineRule="auto"/>
        <w:rPr>
          <w:rFonts w:ascii="Verdana" w:hAnsi="Verdana" w:cstheme="minorHAnsi"/>
          <w:sz w:val="18"/>
          <w:szCs w:val="18"/>
        </w:rPr>
      </w:pPr>
      <w:r w:rsidRPr="008A74B7">
        <w:rPr>
          <w:rFonts w:ascii="Verdana" w:hAnsi="Verdana" w:cstheme="minorHAnsi"/>
          <w:sz w:val="18"/>
          <w:szCs w:val="18"/>
        </w:rPr>
        <w:t xml:space="preserve">De GWW-cijfers zijn tot en met 2022 definitief. De overige prijsindexcijfers zijn voorlopig. De periode dat de prijsindexcijfers voorlopig zijn, is afhankelijk van het moment dat de bij de GWW betrokken cao's worden afgesloten. Deze periode kan variëren van 4 tot </w:t>
      </w:r>
      <w:proofErr w:type="gramStart"/>
      <w:r w:rsidRPr="008A74B7">
        <w:rPr>
          <w:rFonts w:ascii="Verdana" w:hAnsi="Verdana" w:cstheme="minorHAnsi"/>
          <w:sz w:val="18"/>
          <w:szCs w:val="18"/>
        </w:rPr>
        <w:t>circa</w:t>
      </w:r>
      <w:proofErr w:type="gramEnd"/>
      <w:r w:rsidRPr="008A74B7">
        <w:rPr>
          <w:rFonts w:ascii="Verdana" w:hAnsi="Verdana" w:cstheme="minorHAnsi"/>
          <w:sz w:val="18"/>
          <w:szCs w:val="18"/>
        </w:rPr>
        <w:t xml:space="preserve"> 16 maanden na de periode waarover de cijfers worden berekend.</w:t>
      </w:r>
      <w:r>
        <w:rPr>
          <w:rFonts w:ascii="Verdana" w:hAnsi="Verdana" w:cstheme="minorHAnsi"/>
          <w:sz w:val="18"/>
          <w:szCs w:val="18"/>
        </w:rPr>
        <w:t xml:space="preserve"> </w:t>
      </w:r>
      <w:r w:rsidRPr="00764E2E">
        <w:rPr>
          <w:rFonts w:ascii="Verdana" w:hAnsi="Verdana" w:cstheme="minorHAnsi"/>
          <w:sz w:val="18"/>
          <w:szCs w:val="18"/>
        </w:rPr>
        <w:t xml:space="preserve">Bij de IBOI is rekening gehouden met de nacalculatie in 2022 van 0,8% </w:t>
      </w:r>
      <w:proofErr w:type="gramStart"/>
      <w:r w:rsidRPr="00764E2E">
        <w:rPr>
          <w:rFonts w:ascii="Verdana" w:hAnsi="Verdana" w:cstheme="minorHAnsi"/>
          <w:sz w:val="18"/>
          <w:szCs w:val="18"/>
        </w:rPr>
        <w:t>bovenop</w:t>
      </w:r>
      <w:proofErr w:type="gramEnd"/>
      <w:r w:rsidRPr="00764E2E">
        <w:rPr>
          <w:rFonts w:ascii="Verdana" w:hAnsi="Verdana" w:cstheme="minorHAnsi"/>
          <w:sz w:val="18"/>
          <w:szCs w:val="18"/>
        </w:rPr>
        <w:t xml:space="preserve"> de oorspronkelijke IBOI in 2022 van 5,2%.</w:t>
      </w:r>
      <w:r>
        <w:rPr>
          <w:rFonts w:ascii="Verdana" w:hAnsi="Verdana" w:cstheme="minorHAnsi"/>
          <w:sz w:val="18"/>
          <w:szCs w:val="18"/>
        </w:rPr>
        <w:t xml:space="preserve"> </w:t>
      </w:r>
    </w:p>
    <w:p w:rsidR="004B7274" w:rsidP="00F15626" w:rsidRDefault="004B7274" w14:paraId="5942D93D" w14:textId="77777777">
      <w:pPr>
        <w:pStyle w:val="Lijstalinea"/>
        <w:numPr>
          <w:ilvl w:val="0"/>
          <w:numId w:val="31"/>
        </w:numPr>
        <w:spacing w:after="0" w:line="276" w:lineRule="auto"/>
        <w:rPr>
          <w:rFonts w:ascii="Verdana" w:hAnsi="Verdana" w:cstheme="minorHAnsi"/>
          <w:sz w:val="18"/>
          <w:szCs w:val="18"/>
        </w:rPr>
      </w:pPr>
      <w:r w:rsidRPr="008A74B7">
        <w:rPr>
          <w:rFonts w:ascii="Verdana" w:hAnsi="Verdana" w:cstheme="minorHAnsi"/>
          <w:sz w:val="18"/>
          <w:szCs w:val="18"/>
        </w:rPr>
        <w:t xml:space="preserve">De CPI is wel opnieuw berekend. CBS levert deze cijfers zowel in jaarlijkse mutaties als in indexcijfers, met 2015=100. Dit is omgerekend naar 2014=100, zodat overal hetzelfde basisjaar wordt gehanteerd. </w:t>
      </w:r>
    </w:p>
    <w:p w:rsidR="004B7274" w:rsidP="004B7274" w:rsidRDefault="004B7274" w14:paraId="7494EDBF" w14:textId="77777777">
      <w:pPr>
        <w:spacing w:after="0" w:line="240" w:lineRule="atLeast"/>
        <w:jc w:val="both"/>
        <w:rPr>
          <w:rFonts w:cstheme="minorHAnsi"/>
        </w:rPr>
      </w:pPr>
    </w:p>
    <w:p w:rsidR="004B7274" w:rsidP="004B7274" w:rsidRDefault="004B7274" w14:paraId="1071AA81" w14:textId="77777777">
      <w:pPr>
        <w:spacing w:line="276" w:lineRule="auto"/>
        <w:jc w:val="both"/>
        <w:rPr>
          <w:i/>
          <w:iCs/>
        </w:rPr>
      </w:pPr>
      <w:r>
        <w:rPr>
          <w:noProof/>
        </w:rPr>
        <w:drawing>
          <wp:inline distT="0" distB="0" distL="0" distR="0" wp14:anchorId="1DC20453" wp14:editId="31218701">
            <wp:extent cx="5577840" cy="3268980"/>
            <wp:effectExtent l="0" t="0" r="3810" b="7620"/>
            <wp:docPr id="17" name="Grafie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B7274" w:rsidP="004B7274" w:rsidRDefault="004B7274" w14:paraId="73A6E2EA" w14:textId="77777777">
      <w:pPr>
        <w:spacing w:after="0" w:line="240" w:lineRule="atLeast"/>
        <w:jc w:val="both"/>
        <w:rPr>
          <w:rFonts w:cstheme="minorHAnsi"/>
          <w:i/>
          <w:iCs/>
        </w:rPr>
      </w:pPr>
      <w:r w:rsidRPr="00686927">
        <w:rPr>
          <w:rFonts w:cstheme="minorHAnsi"/>
          <w:i/>
          <w:iCs/>
        </w:rPr>
        <w:t>Figuur 1: ontwikkeling indices (2014-2023) (Bron: MinFin, CBS en RWS)</w:t>
      </w:r>
    </w:p>
    <w:p w:rsidR="004B7274" w:rsidP="004B7274" w:rsidRDefault="004B7274" w14:paraId="645C12DB" w14:textId="77777777">
      <w:pPr>
        <w:spacing w:after="0" w:line="240" w:lineRule="atLeast"/>
        <w:jc w:val="both"/>
        <w:rPr>
          <w:rFonts w:cstheme="minorHAnsi"/>
          <w:i/>
          <w:iCs/>
        </w:rPr>
      </w:pPr>
    </w:p>
    <w:p w:rsidRPr="008A74B7" w:rsidR="004B7274" w:rsidP="005656A2" w:rsidRDefault="004B7274" w14:paraId="3B4C5278" w14:textId="77777777">
      <w:pPr>
        <w:spacing w:after="0" w:line="276" w:lineRule="auto"/>
        <w:rPr>
          <w:rFonts w:cstheme="minorHAnsi"/>
        </w:rPr>
      </w:pPr>
      <w:r w:rsidRPr="008A74B7">
        <w:rPr>
          <w:rFonts w:cstheme="minorHAnsi"/>
        </w:rPr>
        <w:t>Uit de grafiek komt het volgende naar voren:</w:t>
      </w:r>
    </w:p>
    <w:p w:rsidRPr="00230254" w:rsidR="004B7274" w:rsidP="005656A2" w:rsidRDefault="004B7274" w14:paraId="7A04A98B" w14:textId="6C838DA1">
      <w:pPr>
        <w:pStyle w:val="FINTabelBullets"/>
        <w:spacing w:line="276" w:lineRule="auto"/>
      </w:pPr>
      <w:r w:rsidRPr="00230254">
        <w:t xml:space="preserve">De GWW-index is van 2014 naar 2015 gedaald. Dit in tegenstelling tot de overige indices, die in 2015 nagenoeg </w:t>
      </w:r>
      <w:r w:rsidR="009E4A07">
        <w:t>gelijk</w:t>
      </w:r>
      <w:r w:rsidRPr="00230254">
        <w:t xml:space="preserve"> zijn gebleven. De GWW-index is in 2016 echter flink gestegen ten opzichte van 2015, waardoor de</w:t>
      </w:r>
      <w:r w:rsidR="005656A2">
        <w:t xml:space="preserve"> index</w:t>
      </w:r>
      <w:r w:rsidRPr="00230254">
        <w:t xml:space="preserve"> in 2016 hoger dan de overige indices ligt. </w:t>
      </w:r>
    </w:p>
    <w:p w:rsidRPr="00230254" w:rsidR="004B7274" w:rsidP="005656A2" w:rsidRDefault="004B7274" w14:paraId="1FE9458A" w14:textId="649518E2">
      <w:pPr>
        <w:pStyle w:val="FINTabelBullets"/>
        <w:spacing w:line="276" w:lineRule="auto"/>
      </w:pPr>
      <w:r w:rsidRPr="00230254">
        <w:t>In de periode t/m 2020 zijn de prijsstijgingen beperkt</w:t>
      </w:r>
      <w:r w:rsidR="0006008D">
        <w:t>.</w:t>
      </w:r>
      <w:r w:rsidRPr="00230254">
        <w:t xml:space="preserve"> </w:t>
      </w:r>
      <w:r w:rsidR="0006008D">
        <w:t>D</w:t>
      </w:r>
      <w:r w:rsidRPr="00230254">
        <w:t>e GWW-index en de RWS</w:t>
      </w:r>
      <w:r w:rsidRPr="00230254" w:rsidR="00E80901">
        <w:t>-</w:t>
      </w:r>
      <w:r w:rsidRPr="00230254">
        <w:t>index</w:t>
      </w:r>
      <w:r w:rsidR="0006008D">
        <w:t xml:space="preserve"> stijgen</w:t>
      </w:r>
      <w:r w:rsidRPr="00230254">
        <w:t xml:space="preserve"> wel harder dan de IBOI en CPI.</w:t>
      </w:r>
    </w:p>
    <w:p w:rsidRPr="00230254" w:rsidR="004B7274" w:rsidP="005656A2" w:rsidRDefault="004B7274" w14:paraId="531D8557" w14:textId="0084F156">
      <w:pPr>
        <w:pStyle w:val="FINTabelBullets"/>
        <w:spacing w:line="276" w:lineRule="auto"/>
      </w:pPr>
      <w:r w:rsidRPr="00230254">
        <w:t xml:space="preserve">Vanaf 2021 worden de prijsstijgingen extremer, met name veroorzaakt door de Russische inval in Oekraïne, waarbij de GWW </w:t>
      </w:r>
      <w:r w:rsidR="0006008D">
        <w:t>-</w:t>
      </w:r>
      <w:r w:rsidRPr="00230254">
        <w:t>en RWS-</w:t>
      </w:r>
      <w:r w:rsidR="0006008D">
        <w:t>index</w:t>
      </w:r>
      <w:r w:rsidRPr="00230254">
        <w:t xml:space="preserve"> nog harder stijgen dan de IBOI en CPI.</w:t>
      </w:r>
    </w:p>
    <w:p w:rsidRPr="00230254" w:rsidR="004B7274" w:rsidP="005656A2" w:rsidRDefault="004B7274" w14:paraId="2E913C03" w14:textId="072B0E24">
      <w:pPr>
        <w:pStyle w:val="FINTabelBullets"/>
        <w:spacing w:line="276" w:lineRule="auto"/>
      </w:pPr>
      <w:r w:rsidRPr="00230254">
        <w:lastRenderedPageBreak/>
        <w:t>De GWW-index is over het algemeen volatieler dan de andere indices. Dit geldt specifiek ook voor de periode 2008-2014. Een gevoeligheidsanalyse laat zien dat een alternatief basisjaar in de periode 2008-2016 (nu 2014) het prijspeil van de GWW</w:t>
      </w:r>
      <w:r w:rsidRPr="00230254" w:rsidR="004E20E8">
        <w:t>-index</w:t>
      </w:r>
      <w:r w:rsidRPr="00230254">
        <w:t xml:space="preserve"> dichter bij de IBOI/CPI kan liggen, maar in elk geval hoger uitkomt na 2020. </w:t>
      </w:r>
    </w:p>
    <w:p w:rsidRPr="008A74B7" w:rsidR="004B7274" w:rsidP="005656A2" w:rsidRDefault="004B7274" w14:paraId="14B81E07" w14:textId="77777777">
      <w:pPr>
        <w:pStyle w:val="Lijstalinea"/>
        <w:spacing w:after="0" w:line="276" w:lineRule="auto"/>
        <w:rPr>
          <w:rFonts w:ascii="Verdana" w:hAnsi="Verdana" w:cstheme="minorHAnsi"/>
          <w:sz w:val="18"/>
          <w:szCs w:val="18"/>
        </w:rPr>
      </w:pPr>
    </w:p>
    <w:p w:rsidRPr="008A74B7" w:rsidR="004B7274" w:rsidP="005656A2" w:rsidRDefault="004B7274" w14:paraId="7664AB56" w14:textId="77777777">
      <w:pPr>
        <w:spacing w:after="0" w:line="276" w:lineRule="auto"/>
        <w:rPr>
          <w:rFonts w:cstheme="minorHAnsi"/>
        </w:rPr>
      </w:pPr>
      <w:r w:rsidRPr="008A74B7">
        <w:rPr>
          <w:rFonts w:cstheme="minorHAnsi"/>
        </w:rPr>
        <w:t>In figuur 2 zijn de jaarmutaties en gemiddeldes over de periode 2015-2023 van de indices IBOI, CPI, GWW en RWS-index weergegeven. Hierbij zijn dezelfde uitgangspunten gehanteerd als bij figuur 1.</w:t>
      </w:r>
    </w:p>
    <w:p w:rsidR="004B7274" w:rsidP="004B7274" w:rsidRDefault="004B7274" w14:paraId="0F0DF64F" w14:textId="77777777">
      <w:pPr>
        <w:spacing w:after="0" w:line="240" w:lineRule="atLeast"/>
        <w:jc w:val="both"/>
        <w:rPr>
          <w:rFonts w:cstheme="minorHAnsi"/>
        </w:rPr>
      </w:pPr>
    </w:p>
    <w:p w:rsidR="004B7274" w:rsidP="004B7274" w:rsidRDefault="004B7274" w14:paraId="25AEF61D" w14:textId="77777777">
      <w:r>
        <w:rPr>
          <w:noProof/>
        </w:rPr>
        <w:drawing>
          <wp:inline distT="0" distB="0" distL="0" distR="0" wp14:anchorId="44CA6CC6" wp14:editId="24BBB4F5">
            <wp:extent cx="5791200" cy="3199765"/>
            <wp:effectExtent l="0" t="0" r="0" b="635"/>
            <wp:docPr id="1" name="Grafiek 1">
              <a:extLst xmlns:a="http://schemas.openxmlformats.org/drawingml/2006/main">
                <a:ext uri="{FF2B5EF4-FFF2-40B4-BE49-F238E27FC236}">
                  <a16:creationId xmlns:a16="http://schemas.microsoft.com/office/drawing/2014/main" id="{D9CB106C-F093-4DED-9841-94FAE353C7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B7274" w:rsidP="004B7274" w:rsidRDefault="004B7274" w14:paraId="44247FF7" w14:textId="77777777">
      <w:pPr>
        <w:rPr>
          <w:i/>
          <w:iCs/>
        </w:rPr>
      </w:pPr>
      <w:r w:rsidRPr="00E97CBC">
        <w:rPr>
          <w:i/>
          <w:iCs/>
        </w:rPr>
        <w:t>Figuur 2: jaarmutaties indices (2015-2023) (Bron: MinFin, CBS en RWS)</w:t>
      </w:r>
    </w:p>
    <w:p w:rsidRPr="006D4557" w:rsidR="00DA7003" w:rsidP="004B7274" w:rsidRDefault="00DA7003" w14:paraId="0DBE27BF" w14:textId="77777777">
      <w:pPr>
        <w:rPr>
          <w:i/>
          <w:iCs/>
        </w:rPr>
      </w:pPr>
    </w:p>
    <w:p w:rsidRPr="008A74B7" w:rsidR="004B7274" w:rsidP="00F50D9C" w:rsidRDefault="004B7274" w14:paraId="474E00DE" w14:textId="77777777">
      <w:pPr>
        <w:spacing w:after="0" w:line="276" w:lineRule="auto"/>
        <w:rPr>
          <w:rFonts w:cstheme="minorHAnsi"/>
        </w:rPr>
      </w:pPr>
      <w:r w:rsidRPr="008A74B7">
        <w:rPr>
          <w:rFonts w:cstheme="minorHAnsi"/>
        </w:rPr>
        <w:t>Uit de grafiek komt het volgende naar voren:</w:t>
      </w:r>
    </w:p>
    <w:p w:rsidRPr="00F66A4D" w:rsidR="004B7274" w:rsidP="00F50D9C" w:rsidRDefault="004B7274" w14:paraId="16843232" w14:textId="77777777">
      <w:pPr>
        <w:pStyle w:val="FINTabelBullets"/>
        <w:spacing w:line="276" w:lineRule="auto"/>
      </w:pPr>
      <w:r w:rsidRPr="00F66A4D">
        <w:t xml:space="preserve">De GWW (4,4%) en de </w:t>
      </w:r>
      <w:proofErr w:type="gramStart"/>
      <w:r w:rsidRPr="00F66A4D">
        <w:t>RWS index</w:t>
      </w:r>
      <w:proofErr w:type="gramEnd"/>
      <w:r w:rsidRPr="00F66A4D">
        <w:t xml:space="preserve"> (3,5%) zijn in de periode 2015-2023 per jaar gemiddeld harder gestegen dan de IBOI (2,2%) en CPI (2,7%).</w:t>
      </w:r>
    </w:p>
    <w:p w:rsidRPr="00F66A4D" w:rsidR="004B7274" w:rsidP="00F50D9C" w:rsidRDefault="004B7274" w14:paraId="68867111" w14:textId="77777777">
      <w:pPr>
        <w:pStyle w:val="FINTabelBullets"/>
        <w:spacing w:line="276" w:lineRule="auto"/>
      </w:pPr>
      <w:r w:rsidRPr="00F66A4D">
        <w:t xml:space="preserve">De IBOI en CPI ontlopen elkaar niet veel in de periode 2015-2023. Het verschil van </w:t>
      </w:r>
      <w:proofErr w:type="gramStart"/>
      <w:r w:rsidRPr="00F66A4D">
        <w:t>circa</w:t>
      </w:r>
      <w:proofErr w:type="gramEnd"/>
      <w:r w:rsidRPr="00F66A4D">
        <w:t xml:space="preserve"> 0,5 procentpunt wordt voornamelijk veroorzaakt door de CPI van 2022.</w:t>
      </w:r>
    </w:p>
    <w:p w:rsidRPr="00F66A4D" w:rsidR="004B7274" w:rsidP="00F50D9C" w:rsidRDefault="004B7274" w14:paraId="08AC8F44" w14:textId="10CE52A9">
      <w:pPr>
        <w:pStyle w:val="FINTabelBullets"/>
        <w:spacing w:line="276" w:lineRule="auto"/>
      </w:pPr>
      <w:r w:rsidRPr="00F66A4D">
        <w:t>De GWW-</w:t>
      </w:r>
      <w:r w:rsidRPr="00F66A4D" w:rsidR="004E20E8">
        <w:t>index</w:t>
      </w:r>
      <w:r w:rsidRPr="00F66A4D">
        <w:t xml:space="preserve"> en in mindere mate de RWS-index zijn volatieler dan de IBOI en CPI. Dit wordt goed zichtbaar in 2015</w:t>
      </w:r>
      <w:r w:rsidR="00AC0C1C">
        <w:t xml:space="preserve">, </w:t>
      </w:r>
      <w:r w:rsidRPr="00F66A4D">
        <w:t>2016</w:t>
      </w:r>
      <w:r w:rsidR="00AC0C1C">
        <w:t xml:space="preserve">, </w:t>
      </w:r>
      <w:r w:rsidRPr="00F66A4D">
        <w:t xml:space="preserve">2021 en 2022. De GWW-index en de RWS-index waren in 2015 zelfs negatief. </w:t>
      </w:r>
    </w:p>
    <w:p w:rsidRPr="00E01544" w:rsidR="004B7274" w:rsidP="00634043" w:rsidRDefault="004B7274" w14:paraId="1314B720" w14:textId="77777777">
      <w:pPr>
        <w:spacing w:after="0" w:line="240" w:lineRule="atLeast"/>
        <w:rPr>
          <w:rFonts w:cstheme="minorHAnsi"/>
        </w:rPr>
      </w:pPr>
    </w:p>
    <w:p w:rsidR="00D129A4" w:rsidP="00D129A4" w:rsidRDefault="000E3DA4" w14:paraId="6DC7C891" w14:textId="77777777">
      <w:pPr>
        <w:spacing w:line="276" w:lineRule="auto"/>
      </w:pPr>
      <w:bookmarkStart w:name="_Hlk178194142" w:id="14"/>
      <w:r>
        <w:t>De</w:t>
      </w:r>
      <w:r w:rsidRPr="00F50D9C" w:rsidR="00F50D9C">
        <w:t xml:space="preserve"> discrepantie tussen de IBOI en de GWW-index</w:t>
      </w:r>
      <w:r>
        <w:t xml:space="preserve"> laat</w:t>
      </w:r>
      <w:r w:rsidRPr="00F50D9C" w:rsidR="00F50D9C">
        <w:t xml:space="preserve"> de noodzaak</w:t>
      </w:r>
      <w:r>
        <w:t xml:space="preserve"> zien</w:t>
      </w:r>
      <w:r w:rsidRPr="00F50D9C" w:rsidR="00F50D9C">
        <w:t xml:space="preserve"> tot het scherp blijven monitoren van het verloop van de verschillende indices</w:t>
      </w:r>
      <w:bookmarkEnd w:id="14"/>
      <w:r w:rsidRPr="00F50D9C" w:rsidR="00F50D9C">
        <w:t>. In de praktijk doen zich wel degelijk budgettaire knelpunten voor op het Mobiliteitsfonds en Deltafonds als gevolg van prijsstijgingen.</w:t>
      </w:r>
      <w:r w:rsidRPr="00E01544" w:rsidR="004B7274">
        <w:rPr>
          <w:rFonts w:eastAsia="DejaVu Sans" w:cs="Lohit Hindi"/>
          <w:color w:val="000000"/>
        </w:rPr>
        <w:t xml:space="preserve"> </w:t>
      </w:r>
      <w:r w:rsidRPr="00E01544" w:rsidR="004B7274">
        <w:rPr>
          <w:rFonts w:cstheme="minorHAnsi"/>
        </w:rPr>
        <w:t xml:space="preserve">Tot nu toe zijn alle te vergoeden prijsstijgingen opgevangen binnen beide fondsen. De gestegen prijzen waren een van de oorzaken (naast andere tekorten op projecten door tegenvallers in de uitvoering) voor de </w:t>
      </w:r>
      <w:proofErr w:type="spellStart"/>
      <w:r w:rsidRPr="00E01544" w:rsidR="004B7274">
        <w:rPr>
          <w:rFonts w:cstheme="minorHAnsi"/>
        </w:rPr>
        <w:t>herprioritering</w:t>
      </w:r>
      <w:proofErr w:type="spellEnd"/>
      <w:r w:rsidRPr="00E01544" w:rsidR="004B7274">
        <w:rPr>
          <w:rFonts w:cstheme="minorHAnsi"/>
        </w:rPr>
        <w:t xml:space="preserve"> op het Mobiliteitsfonds in 2023. Het valt niet uit te sluiten dat dit nog eens nodig blijkt. </w:t>
      </w:r>
      <w:r w:rsidR="00A361E5">
        <w:t>De wijze waarop het uit elkaar lopen van de IBOI en prijsontwikkelingen in de GWW-sector zich uit in budgettaire tegenvallers, kan onderdeel uitmaken van de reguliere budgettaire besluitvorming binnen het kabinet</w:t>
      </w:r>
      <w:r w:rsidR="00D129A4">
        <w:t xml:space="preserve">. </w:t>
      </w:r>
      <w:r w:rsidRPr="00C97B14" w:rsidR="00D129A4">
        <w:t>Aankomend voorjaar is het eerstvolgende moment dat besproken wordt of aanvullende maatregelen nodig zijn.</w:t>
      </w:r>
    </w:p>
    <w:p w:rsidR="004B7274" w:rsidP="00634043" w:rsidRDefault="004B7274" w14:paraId="58C9E76F" w14:textId="77777777">
      <w:pPr>
        <w:spacing w:after="0" w:line="276" w:lineRule="auto"/>
        <w:rPr>
          <w:rFonts w:cstheme="minorHAnsi"/>
        </w:rPr>
      </w:pPr>
    </w:p>
    <w:p w:rsidRPr="003C1F7A" w:rsidR="003C1F7A" w:rsidP="00634043" w:rsidRDefault="003C1F7A" w14:paraId="54018F2E" w14:textId="74D5CEE8">
      <w:pPr>
        <w:pStyle w:val="Geenafstand"/>
        <w:spacing w:line="276" w:lineRule="auto"/>
        <w:rPr>
          <w:szCs w:val="18"/>
          <w:lang w:val="nl-NL"/>
        </w:rPr>
      </w:pPr>
      <w:r w:rsidRPr="003C1F7A">
        <w:rPr>
          <w:szCs w:val="18"/>
          <w:lang w:val="nl-NL"/>
        </w:rPr>
        <w:t>Een vooruitblik geven op de prijsontwikkelingen voor het komend decennium is ingewikkeld en ook niet passend. Toekomstige prijsontwikkelingen hangen in grote mate samen met economische ontwikkelingen. De overheid baseert zich hierbij niet voor niets op ramingen van onafhankelijke instituten.</w:t>
      </w:r>
      <w:r w:rsidR="00F50D9C">
        <w:rPr>
          <w:szCs w:val="18"/>
          <w:lang w:val="nl-NL"/>
        </w:rPr>
        <w:t xml:space="preserve"> </w:t>
      </w:r>
      <w:r w:rsidRPr="003C1F7A">
        <w:rPr>
          <w:szCs w:val="18"/>
          <w:lang w:val="nl-NL"/>
        </w:rPr>
        <w:t xml:space="preserve">In de komende jaren valt </w:t>
      </w:r>
      <w:r w:rsidR="00F50D9C">
        <w:rPr>
          <w:szCs w:val="18"/>
          <w:lang w:val="nl-NL"/>
        </w:rPr>
        <w:t xml:space="preserve">daarmee </w:t>
      </w:r>
      <w:r w:rsidRPr="003C1F7A">
        <w:rPr>
          <w:szCs w:val="18"/>
          <w:lang w:val="nl-NL"/>
        </w:rPr>
        <w:t>niet uit te sluiten dat de indices zoals de GWW-</w:t>
      </w:r>
      <w:r w:rsidRPr="003C1F7A">
        <w:rPr>
          <w:szCs w:val="18"/>
          <w:lang w:val="nl-NL"/>
        </w:rPr>
        <w:lastRenderedPageBreak/>
        <w:t xml:space="preserve">index, de RWS-index, de CPI en de IBOI opnieuw naar elkaar tenderen zoals in het verleden eerder is gebeurd. Dit is echter zeer afhankelijk van de ontwikkelingen in de wereld en specifiek de ontwikkelingen op de markt van energie (onder andere gas) en grondstoffen zoals staal.    </w:t>
      </w:r>
    </w:p>
    <w:p w:rsidR="004B7274" w:rsidP="004B7274" w:rsidRDefault="004B7274" w14:paraId="77A980BE" w14:textId="77777777">
      <w:pPr>
        <w:spacing w:after="0" w:line="240" w:lineRule="atLeast"/>
        <w:rPr>
          <w:rFonts w:cstheme="minorHAnsi"/>
        </w:rPr>
      </w:pPr>
    </w:p>
    <w:p w:rsidRPr="001B702A" w:rsidR="004B7274" w:rsidP="004B7274" w:rsidRDefault="004B7274" w14:paraId="3CBCE3B9" w14:textId="77777777">
      <w:pPr>
        <w:spacing w:after="0" w:line="240" w:lineRule="atLeast"/>
        <w:jc w:val="both"/>
        <w:rPr>
          <w:rFonts w:cstheme="minorHAnsi"/>
          <w:b/>
          <w:bCs/>
        </w:rPr>
      </w:pPr>
      <w:r w:rsidRPr="001B702A">
        <w:rPr>
          <w:rFonts w:cstheme="minorHAnsi"/>
          <w:b/>
          <w:bCs/>
        </w:rPr>
        <w:t>Ter achtergrond: nadere toelichting relevante productprijzen voor IenW</w:t>
      </w:r>
    </w:p>
    <w:p w:rsidR="004B7274" w:rsidP="004B7274" w:rsidRDefault="004B7274" w14:paraId="3578FCDC" w14:textId="473F1AC2">
      <w:pPr>
        <w:spacing w:after="0" w:line="240" w:lineRule="atLeast"/>
        <w:jc w:val="both"/>
        <w:rPr>
          <w:rFonts w:cstheme="minorHAnsi"/>
        </w:rPr>
      </w:pPr>
      <w:r w:rsidRPr="008A74B7">
        <w:rPr>
          <w:rFonts w:cstheme="minorHAnsi"/>
        </w:rPr>
        <w:t>In de kwantitatieve beschouwing is te zien dat alle ind</w:t>
      </w:r>
      <w:r>
        <w:rPr>
          <w:rFonts w:cstheme="minorHAnsi"/>
        </w:rPr>
        <w:t>ices</w:t>
      </w:r>
      <w:r w:rsidRPr="008A74B7">
        <w:rPr>
          <w:rFonts w:cstheme="minorHAnsi"/>
        </w:rPr>
        <w:t xml:space="preserve"> min of meer dezelfde trend vertonen. Daarbij is feitelijk zichtbaar </w:t>
      </w:r>
      <w:proofErr w:type="gramStart"/>
      <w:r w:rsidRPr="008A74B7">
        <w:rPr>
          <w:rFonts w:cstheme="minorHAnsi"/>
        </w:rPr>
        <w:t>dat  de</w:t>
      </w:r>
      <w:proofErr w:type="gramEnd"/>
      <w:r w:rsidRPr="008A74B7">
        <w:rPr>
          <w:rFonts w:cstheme="minorHAnsi"/>
        </w:rPr>
        <w:t xml:space="preserve"> GWW</w:t>
      </w:r>
      <w:r>
        <w:rPr>
          <w:rFonts w:cstheme="minorHAnsi"/>
        </w:rPr>
        <w:t>-index</w:t>
      </w:r>
      <w:r w:rsidRPr="008A74B7">
        <w:rPr>
          <w:rFonts w:cstheme="minorHAnsi"/>
        </w:rPr>
        <w:t xml:space="preserve"> en </w:t>
      </w:r>
      <w:r>
        <w:rPr>
          <w:rFonts w:cstheme="minorHAnsi"/>
        </w:rPr>
        <w:t xml:space="preserve">de </w:t>
      </w:r>
      <w:r w:rsidRPr="008A74B7">
        <w:rPr>
          <w:rFonts w:cstheme="minorHAnsi"/>
        </w:rPr>
        <w:t>RWS</w:t>
      </w:r>
      <w:r>
        <w:rPr>
          <w:rFonts w:cstheme="minorHAnsi"/>
        </w:rPr>
        <w:t>-index</w:t>
      </w:r>
      <w:r w:rsidRPr="008A74B7">
        <w:rPr>
          <w:rFonts w:cstheme="minorHAnsi"/>
        </w:rPr>
        <w:t xml:space="preserve"> netto een hoger prijspeil hebben </w:t>
      </w:r>
      <w:r>
        <w:rPr>
          <w:rFonts w:cstheme="minorHAnsi"/>
        </w:rPr>
        <w:t>ten opzichte van</w:t>
      </w:r>
      <w:r w:rsidRPr="008A74B7">
        <w:rPr>
          <w:rFonts w:cstheme="minorHAnsi"/>
        </w:rPr>
        <w:t xml:space="preserve"> het CPI en</w:t>
      </w:r>
      <w:r>
        <w:rPr>
          <w:rFonts w:cstheme="minorHAnsi"/>
        </w:rPr>
        <w:t xml:space="preserve"> de</w:t>
      </w:r>
      <w:r w:rsidRPr="008A74B7">
        <w:rPr>
          <w:rFonts w:cstheme="minorHAnsi"/>
        </w:rPr>
        <w:t xml:space="preserve"> IBOI</w:t>
      </w:r>
      <w:r w:rsidR="00F4179B">
        <w:rPr>
          <w:rFonts w:cstheme="minorHAnsi"/>
        </w:rPr>
        <w:t>.</w:t>
      </w:r>
      <w:r w:rsidRPr="008A74B7">
        <w:rPr>
          <w:rFonts w:cstheme="minorHAnsi"/>
        </w:rPr>
        <w:t xml:space="preserve"> </w:t>
      </w:r>
      <w:r w:rsidR="00F4179B">
        <w:rPr>
          <w:rFonts w:cstheme="minorHAnsi"/>
        </w:rPr>
        <w:t>Dit komt omdat</w:t>
      </w:r>
      <w:r w:rsidRPr="008A74B7">
        <w:rPr>
          <w:rFonts w:cstheme="minorHAnsi"/>
        </w:rPr>
        <w:t xml:space="preserve"> de</w:t>
      </w:r>
      <w:r w:rsidR="00F4179B">
        <w:rPr>
          <w:rFonts w:cstheme="minorHAnsi"/>
        </w:rPr>
        <w:t xml:space="preserve"> GWW-index en de RWS-index</w:t>
      </w:r>
      <w:r w:rsidRPr="008A74B7">
        <w:rPr>
          <w:rFonts w:cstheme="minorHAnsi"/>
        </w:rPr>
        <w:t xml:space="preserve"> op basis van de drie belangrijkste kostenbestanddelen: het materiaal, het materieel en de loonkosten van de werkelijke </w:t>
      </w:r>
      <w:proofErr w:type="gramStart"/>
      <w:r w:rsidRPr="008A74B7">
        <w:rPr>
          <w:rFonts w:cstheme="minorHAnsi"/>
        </w:rPr>
        <w:t>kosten ontwikkeling</w:t>
      </w:r>
      <w:proofErr w:type="gramEnd"/>
      <w:r w:rsidRPr="008A74B7">
        <w:rPr>
          <w:rFonts w:cstheme="minorHAnsi"/>
        </w:rPr>
        <w:t xml:space="preserve"> van de infrastructuur berekend zijn. </w:t>
      </w:r>
      <w:r w:rsidRPr="00A17E0C" w:rsidR="00A17E0C">
        <w:rPr>
          <w:rFonts w:cstheme="minorHAnsi"/>
        </w:rPr>
        <w:t>Hieronder wordt uiteengezet hoe de prijzen voor de voor IenW relevante productcategorieën zich hebben ontwikkeld</w:t>
      </w:r>
      <w:r w:rsidR="00AB7063">
        <w:rPr>
          <w:rFonts w:cstheme="minorHAnsi"/>
        </w:rPr>
        <w:t>.</w:t>
      </w:r>
    </w:p>
    <w:p w:rsidRPr="008A74B7" w:rsidR="004B7274" w:rsidP="004B7274" w:rsidRDefault="004B7274" w14:paraId="7D8956CA" w14:textId="77777777">
      <w:pPr>
        <w:spacing w:after="0" w:line="240" w:lineRule="atLeast"/>
        <w:jc w:val="both"/>
        <w:rPr>
          <w:rFonts w:cstheme="minorHAnsi"/>
        </w:rPr>
      </w:pPr>
    </w:p>
    <w:p w:rsidRPr="008A74B7" w:rsidR="004B7274" w:rsidP="004B7274" w:rsidRDefault="004B7274" w14:paraId="18D37F8B" w14:textId="77777777">
      <w:pPr>
        <w:spacing w:after="0" w:line="240" w:lineRule="atLeast"/>
        <w:jc w:val="both"/>
        <w:rPr>
          <w:rFonts w:cstheme="minorHAnsi"/>
        </w:rPr>
      </w:pPr>
      <w:r w:rsidRPr="008A74B7">
        <w:rPr>
          <w:rFonts w:cstheme="minorHAnsi"/>
        </w:rPr>
        <w:t xml:space="preserve">Prijzen gerelateerd aan </w:t>
      </w:r>
      <w:r>
        <w:rPr>
          <w:rFonts w:cstheme="minorHAnsi"/>
        </w:rPr>
        <w:t xml:space="preserve">de </w:t>
      </w:r>
      <w:r w:rsidRPr="008A74B7">
        <w:rPr>
          <w:rFonts w:cstheme="minorHAnsi"/>
        </w:rPr>
        <w:t>internationale economie zijn relatief stabiel in de periode 2012-2020. De oorzaken voor een hoger prijspeil in de GWW</w:t>
      </w:r>
      <w:r>
        <w:rPr>
          <w:rFonts w:cstheme="minorHAnsi"/>
        </w:rPr>
        <w:t>-sector</w:t>
      </w:r>
      <w:r w:rsidRPr="008A74B7">
        <w:rPr>
          <w:rFonts w:cstheme="minorHAnsi"/>
        </w:rPr>
        <w:t xml:space="preserve"> in de periode voor 2021 ligt voornamelijk bij de producentenprijzen die gerelateerd zijn aan de nationale economie. In 2021 beginnen staalproducten en energieprijzen enorm te stijgen, dat laatste vooral als gevolg van energiepolitiek van Rusland</w:t>
      </w:r>
      <w:r>
        <w:rPr>
          <w:rFonts w:cstheme="minorHAnsi"/>
        </w:rPr>
        <w:t>.</w:t>
      </w:r>
      <w:r w:rsidRPr="008A74B7">
        <w:rPr>
          <w:rFonts w:cstheme="minorHAnsi"/>
        </w:rPr>
        <w:t xml:space="preserve"> </w:t>
      </w:r>
      <w:r>
        <w:rPr>
          <w:rFonts w:cstheme="minorHAnsi"/>
        </w:rPr>
        <w:t>I</w:t>
      </w:r>
      <w:r w:rsidRPr="008A74B7">
        <w:rPr>
          <w:rFonts w:cstheme="minorHAnsi"/>
        </w:rPr>
        <w:t>n 2022</w:t>
      </w:r>
      <w:r>
        <w:rPr>
          <w:rFonts w:cstheme="minorHAnsi"/>
        </w:rPr>
        <w:t>,</w:t>
      </w:r>
      <w:r w:rsidRPr="008A74B7">
        <w:rPr>
          <w:rFonts w:cstheme="minorHAnsi"/>
        </w:rPr>
        <w:t xml:space="preserve"> na </w:t>
      </w:r>
      <w:r>
        <w:rPr>
          <w:rFonts w:cstheme="minorHAnsi"/>
        </w:rPr>
        <w:t xml:space="preserve">de </w:t>
      </w:r>
      <w:r w:rsidRPr="008A74B7">
        <w:rPr>
          <w:rFonts w:cstheme="minorHAnsi"/>
        </w:rPr>
        <w:t>inval in Oekraïne</w:t>
      </w:r>
      <w:r>
        <w:rPr>
          <w:rFonts w:cstheme="minorHAnsi"/>
        </w:rPr>
        <w:t>,</w:t>
      </w:r>
      <w:r w:rsidRPr="008A74B7">
        <w:rPr>
          <w:rFonts w:cstheme="minorHAnsi"/>
        </w:rPr>
        <w:t xml:space="preserve"> stijgt</w:t>
      </w:r>
      <w:r>
        <w:rPr>
          <w:rFonts w:cstheme="minorHAnsi"/>
        </w:rPr>
        <w:t xml:space="preserve"> de prijs</w:t>
      </w:r>
      <w:r w:rsidRPr="008A74B7">
        <w:rPr>
          <w:rFonts w:cstheme="minorHAnsi"/>
        </w:rPr>
        <w:t xml:space="preserve"> nog meer. Oekraïne was begin 2022 belangrijk voor </w:t>
      </w:r>
      <w:r>
        <w:rPr>
          <w:rFonts w:cstheme="minorHAnsi"/>
        </w:rPr>
        <w:t>onder andere</w:t>
      </w:r>
      <w:r w:rsidRPr="008A74B7">
        <w:rPr>
          <w:rFonts w:cstheme="minorHAnsi"/>
        </w:rPr>
        <w:t xml:space="preserve"> de doorvoer van energie en productie van staal. </w:t>
      </w:r>
    </w:p>
    <w:p w:rsidRPr="008A74B7" w:rsidR="004B7274" w:rsidP="004B7274" w:rsidRDefault="004B7274" w14:paraId="04D0AA3A" w14:textId="77777777">
      <w:pPr>
        <w:spacing w:after="0" w:line="240" w:lineRule="atLeast"/>
        <w:jc w:val="both"/>
        <w:rPr>
          <w:rFonts w:cstheme="minorHAnsi"/>
        </w:rPr>
      </w:pPr>
      <w:r w:rsidRPr="008A74B7">
        <w:rPr>
          <w:noProof/>
        </w:rPr>
        <w:drawing>
          <wp:inline distT="0" distB="0" distL="0" distR="0" wp14:anchorId="5019EA5A" wp14:editId="0D406640">
            <wp:extent cx="5940000" cy="3240000"/>
            <wp:effectExtent l="0" t="0" r="3810" b="17780"/>
            <wp:docPr id="5" name="Grafiek 5">
              <a:extLst xmlns:a="http://schemas.openxmlformats.org/drawingml/2006/main">
                <a:ext uri="{FF2B5EF4-FFF2-40B4-BE49-F238E27FC236}">
                  <a16:creationId xmlns:a16="http://schemas.microsoft.com/office/drawing/2014/main" id="{43BAB6C4-DA8A-141D-2251-25D4A25800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8A74B7" w:rsidR="004B7274" w:rsidP="004B7274" w:rsidRDefault="004B7274" w14:paraId="541F256C" w14:textId="77777777">
      <w:pPr>
        <w:spacing w:after="0" w:line="240" w:lineRule="atLeast"/>
        <w:jc w:val="both"/>
        <w:rPr>
          <w:rFonts w:cstheme="minorHAnsi"/>
          <w:i/>
          <w:iCs/>
        </w:rPr>
      </w:pPr>
      <w:r w:rsidRPr="008A74B7">
        <w:rPr>
          <w:rFonts w:cstheme="minorHAnsi"/>
          <w:i/>
          <w:iCs/>
        </w:rPr>
        <w:t xml:space="preserve">Figuur </w:t>
      </w:r>
      <w:r>
        <w:rPr>
          <w:rFonts w:cstheme="minorHAnsi"/>
          <w:i/>
          <w:iCs/>
        </w:rPr>
        <w:t>3.</w:t>
      </w:r>
      <w:r w:rsidRPr="008A74B7">
        <w:rPr>
          <w:rFonts w:cstheme="minorHAnsi"/>
          <w:i/>
          <w:iCs/>
        </w:rPr>
        <w:t xml:space="preserve"> Productprijzen gerelateerd aan de internationale economie</w:t>
      </w:r>
    </w:p>
    <w:p w:rsidRPr="008A74B7" w:rsidR="004B7274" w:rsidP="004B7274" w:rsidRDefault="004B7274" w14:paraId="49EB7C79" w14:textId="77777777">
      <w:pPr>
        <w:spacing w:after="0" w:line="240" w:lineRule="atLeast"/>
        <w:rPr>
          <w:rFonts w:cstheme="minorHAnsi"/>
        </w:rPr>
      </w:pPr>
    </w:p>
    <w:p w:rsidR="004B7274" w:rsidP="002D5402" w:rsidRDefault="004B7274" w14:paraId="6A12F86F" w14:textId="77777777">
      <w:pPr>
        <w:spacing w:after="0" w:line="276" w:lineRule="auto"/>
        <w:jc w:val="both"/>
        <w:rPr>
          <w:rFonts w:cstheme="minorHAnsi"/>
        </w:rPr>
      </w:pPr>
      <w:r w:rsidRPr="008A74B7">
        <w:rPr>
          <w:rFonts w:cstheme="minorHAnsi"/>
        </w:rPr>
        <w:t xml:space="preserve">Prijzen van producten die vaak uit Nederland komen en een direct verband hebben met de nationale economie, zoals grind, beton en steenproducten, kennen sinds 2016 een groeiende trend. Dit geldt ook voor de loonkosten. Als gevolg van verschillende ontwikkelingen in de sector (digitalisering, wetgeving e.d.) is de complexiteit van het werk flink toegenomen. De afgelopen jaren zijn daardoor relatief meer uitvoerend technisch-administratieve functies (UTA) bijgekomen ten opzichte van </w:t>
      </w:r>
      <w:proofErr w:type="spellStart"/>
      <w:r w:rsidRPr="008A74B7">
        <w:rPr>
          <w:rFonts w:cstheme="minorHAnsi"/>
        </w:rPr>
        <w:t>bouwplaatsmedewerkers</w:t>
      </w:r>
      <w:proofErr w:type="spellEnd"/>
      <w:r w:rsidRPr="008A74B7">
        <w:rPr>
          <w:rFonts w:cstheme="minorHAnsi"/>
        </w:rPr>
        <w:t>. Technisch-administratieve functies kennen een hoger gemiddelde loonsom. Daarnaast is de spanning op de arbeidsmarkt</w:t>
      </w:r>
      <w:r>
        <w:rPr>
          <w:rFonts w:cstheme="minorHAnsi"/>
        </w:rPr>
        <w:t xml:space="preserve"> voor de bouw</w:t>
      </w:r>
      <w:r w:rsidRPr="008A74B7">
        <w:rPr>
          <w:rFonts w:cstheme="minorHAnsi"/>
        </w:rPr>
        <w:t xml:space="preserve"> sterk toegenomen in de periode na 2016 met een piek in 2019</w:t>
      </w:r>
      <w:r w:rsidRPr="008A74B7">
        <w:rPr>
          <w:rStyle w:val="Voetnootmarkering"/>
          <w:rFonts w:cstheme="minorHAnsi"/>
        </w:rPr>
        <w:footnoteReference w:id="4"/>
      </w:r>
      <w:r w:rsidRPr="008A74B7">
        <w:rPr>
          <w:rFonts w:cstheme="minorHAnsi"/>
        </w:rPr>
        <w:t xml:space="preserve">. Deze factoren dragen bij aan een hogere loonontwikkeling in de bouw </w:t>
      </w:r>
      <w:r>
        <w:rPr>
          <w:rFonts w:cstheme="minorHAnsi"/>
        </w:rPr>
        <w:t>ten opzichte van</w:t>
      </w:r>
      <w:r w:rsidRPr="008A74B7">
        <w:rPr>
          <w:rFonts w:cstheme="minorHAnsi"/>
        </w:rPr>
        <w:t xml:space="preserve"> de gemiddelde loonontwikkeling. </w:t>
      </w:r>
    </w:p>
    <w:p w:rsidRPr="008A74B7" w:rsidR="004B7274" w:rsidP="002D5402" w:rsidRDefault="004B7274" w14:paraId="74D1A94A" w14:textId="77777777">
      <w:pPr>
        <w:spacing w:after="0" w:line="276" w:lineRule="auto"/>
        <w:jc w:val="both"/>
        <w:rPr>
          <w:rFonts w:cstheme="minorHAnsi"/>
        </w:rPr>
      </w:pPr>
    </w:p>
    <w:p w:rsidR="004B7274" w:rsidP="002D5402" w:rsidRDefault="004B7274" w14:paraId="2A587C76" w14:textId="092DF12C">
      <w:pPr>
        <w:spacing w:after="0" w:line="276" w:lineRule="auto"/>
        <w:jc w:val="both"/>
        <w:rPr>
          <w:rFonts w:cstheme="minorHAnsi"/>
        </w:rPr>
      </w:pPr>
      <w:r w:rsidRPr="008A74B7">
        <w:rPr>
          <w:rFonts w:cstheme="minorHAnsi"/>
        </w:rPr>
        <w:t>Voor een viertal productcategorieën (11 Grind en industriezand, 12 Steenslag en brekerzand, 13 betonmortel, 14 betonproducten), is de trend van de prijzen vergelijkbaar met de IBOI maar is het prijspeil hoger</w:t>
      </w:r>
      <w:r>
        <w:rPr>
          <w:rFonts w:cstheme="minorHAnsi"/>
        </w:rPr>
        <w:t xml:space="preserve"> (zie onderstaande grafiek)</w:t>
      </w:r>
      <w:r w:rsidRPr="008A74B7">
        <w:rPr>
          <w:rFonts w:cstheme="minorHAnsi"/>
        </w:rPr>
        <w:t xml:space="preserve">. Het hogere prijspeil in de jaren 2014-2021 gaat mogelijk om een inhaaleffect na de financiële crisis van 2008 en de Europese schuldencrisis van 2011. Een </w:t>
      </w:r>
      <w:r w:rsidRPr="008A74B7">
        <w:rPr>
          <w:rFonts w:cstheme="minorHAnsi"/>
        </w:rPr>
        <w:lastRenderedPageBreak/>
        <w:t>gevoeligheidsanalyse laat zien dat met een ander basisjaar (nu 2014) het prijspeil van de GWW dichter bij de IBOI/CPI kan liggen, maar in elk geval hoger uitkomt na 2020. Voor 2020 en verder is te zien dat Covid beperkt invloed heeft gehad</w:t>
      </w:r>
      <w:r w:rsidR="00F829FE">
        <w:rPr>
          <w:rFonts w:cstheme="minorHAnsi"/>
        </w:rPr>
        <w:t>.</w:t>
      </w:r>
      <w:r w:rsidRPr="008A74B7">
        <w:rPr>
          <w:rFonts w:cstheme="minorHAnsi"/>
        </w:rPr>
        <w:t xml:space="preserve"> </w:t>
      </w:r>
      <w:r w:rsidR="00F829FE">
        <w:rPr>
          <w:rFonts w:cstheme="minorHAnsi"/>
        </w:rPr>
        <w:t>De invloed</w:t>
      </w:r>
      <w:r w:rsidRPr="008A74B7">
        <w:rPr>
          <w:rFonts w:cstheme="minorHAnsi"/>
        </w:rPr>
        <w:t xml:space="preserve"> van de oorlog in Oekraïne </w:t>
      </w:r>
      <w:r w:rsidR="00F829FE">
        <w:rPr>
          <w:rFonts w:cstheme="minorHAnsi"/>
        </w:rPr>
        <w:t xml:space="preserve">is </w:t>
      </w:r>
      <w:r w:rsidRPr="008A74B7">
        <w:rPr>
          <w:rFonts w:cstheme="minorHAnsi"/>
        </w:rPr>
        <w:t>beperkter dan bij productprijzen die internationaal bepaald worden.</w:t>
      </w:r>
    </w:p>
    <w:p w:rsidRPr="008A74B7" w:rsidR="004B7274" w:rsidP="004B7274" w:rsidRDefault="004B7274" w14:paraId="1FAB8905" w14:textId="77777777">
      <w:pPr>
        <w:spacing w:after="0" w:line="240" w:lineRule="atLeast"/>
        <w:jc w:val="both"/>
        <w:rPr>
          <w:rFonts w:cstheme="minorHAnsi"/>
        </w:rPr>
      </w:pPr>
    </w:p>
    <w:p w:rsidRPr="008A74B7" w:rsidR="004B7274" w:rsidP="004B7274" w:rsidRDefault="004B7274" w14:paraId="12B4499B" w14:textId="77777777">
      <w:pPr>
        <w:spacing w:after="0" w:line="240" w:lineRule="atLeast"/>
        <w:jc w:val="both"/>
        <w:rPr>
          <w:rFonts w:cstheme="minorHAnsi"/>
          <w:u w:val="single"/>
        </w:rPr>
      </w:pPr>
      <w:r w:rsidRPr="008A74B7">
        <w:rPr>
          <w:noProof/>
        </w:rPr>
        <w:drawing>
          <wp:inline distT="0" distB="0" distL="0" distR="0" wp14:anchorId="7A9F59C6" wp14:editId="4E43E76E">
            <wp:extent cx="5838825" cy="3143250"/>
            <wp:effectExtent l="0" t="0" r="9525" b="0"/>
            <wp:docPr id="7" name="Grafiek 7">
              <a:extLst xmlns:a="http://schemas.openxmlformats.org/drawingml/2006/main">
                <a:ext uri="{FF2B5EF4-FFF2-40B4-BE49-F238E27FC236}">
                  <a16:creationId xmlns:a16="http://schemas.microsoft.com/office/drawing/2014/main" id="{9B7FC9EF-3A38-8171-68EA-EADA7C1470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8A74B7" w:rsidR="004B7274" w:rsidP="004B7274" w:rsidRDefault="004B7274" w14:paraId="2978690C" w14:textId="77777777">
      <w:pPr>
        <w:spacing w:after="0" w:line="240" w:lineRule="atLeast"/>
        <w:jc w:val="both"/>
        <w:rPr>
          <w:rFonts w:cstheme="minorHAnsi"/>
          <w:i/>
          <w:iCs/>
        </w:rPr>
      </w:pPr>
      <w:r w:rsidRPr="008A74B7">
        <w:rPr>
          <w:rFonts w:cstheme="minorHAnsi"/>
          <w:i/>
          <w:iCs/>
        </w:rPr>
        <w:t xml:space="preserve">Figuur </w:t>
      </w:r>
      <w:r>
        <w:rPr>
          <w:rFonts w:cstheme="minorHAnsi"/>
          <w:i/>
          <w:iCs/>
        </w:rPr>
        <w:t>4.</w:t>
      </w:r>
      <w:r w:rsidRPr="008A74B7">
        <w:rPr>
          <w:rFonts w:cstheme="minorHAnsi"/>
          <w:i/>
          <w:iCs/>
        </w:rPr>
        <w:t xml:space="preserve"> </w:t>
      </w:r>
      <w:proofErr w:type="gramStart"/>
      <w:r w:rsidRPr="008A74B7">
        <w:rPr>
          <w:rFonts w:cstheme="minorHAnsi"/>
          <w:i/>
          <w:iCs/>
        </w:rPr>
        <w:t>productprijzen</w:t>
      </w:r>
      <w:proofErr w:type="gramEnd"/>
      <w:r w:rsidRPr="008A74B7">
        <w:rPr>
          <w:rFonts w:cstheme="minorHAnsi"/>
          <w:i/>
          <w:iCs/>
        </w:rPr>
        <w:t xml:space="preserve"> gerelateerd aan nationale economie</w:t>
      </w:r>
    </w:p>
    <w:p w:rsidRPr="008A74B7" w:rsidR="004B7274" w:rsidP="004B7274" w:rsidRDefault="004B7274" w14:paraId="0B62AB82" w14:textId="77777777">
      <w:pPr>
        <w:spacing w:after="0" w:line="240" w:lineRule="atLeast"/>
        <w:rPr>
          <w:rFonts w:cstheme="minorHAnsi"/>
          <w:i/>
          <w:iCs/>
        </w:rPr>
      </w:pPr>
    </w:p>
    <w:p w:rsidR="004B7274" w:rsidP="004B7274" w:rsidRDefault="004B7274" w14:paraId="635A4BE7" w14:textId="77777777">
      <w:pPr>
        <w:spacing w:after="0" w:line="240" w:lineRule="atLeast"/>
        <w:jc w:val="both"/>
        <w:rPr>
          <w:rFonts w:cstheme="minorHAnsi"/>
          <w:u w:val="single"/>
        </w:rPr>
      </w:pPr>
    </w:p>
    <w:p w:rsidR="002D5402" w:rsidP="004B7274" w:rsidRDefault="002D5402" w14:paraId="2A184DE6" w14:textId="77777777">
      <w:pPr>
        <w:spacing w:after="0" w:line="240" w:lineRule="atLeast"/>
        <w:jc w:val="both"/>
        <w:rPr>
          <w:rFonts w:cstheme="minorHAnsi"/>
          <w:u w:val="single"/>
        </w:rPr>
      </w:pPr>
    </w:p>
    <w:p w:rsidR="002D5402" w:rsidP="004B7274" w:rsidRDefault="002D5402" w14:paraId="6EEA1CC5" w14:textId="77777777">
      <w:pPr>
        <w:spacing w:after="0" w:line="240" w:lineRule="atLeast"/>
        <w:jc w:val="both"/>
        <w:rPr>
          <w:rFonts w:cstheme="minorHAnsi"/>
          <w:u w:val="single"/>
        </w:rPr>
      </w:pPr>
    </w:p>
    <w:p w:rsidR="002D5402" w:rsidP="004B7274" w:rsidRDefault="002D5402" w14:paraId="193896E5" w14:textId="77777777">
      <w:pPr>
        <w:spacing w:after="0" w:line="240" w:lineRule="atLeast"/>
        <w:jc w:val="both"/>
        <w:rPr>
          <w:rFonts w:cstheme="minorHAnsi"/>
          <w:u w:val="single"/>
        </w:rPr>
      </w:pPr>
    </w:p>
    <w:p w:rsidR="002D5402" w:rsidP="004B7274" w:rsidRDefault="002D5402" w14:paraId="733E1474" w14:textId="77777777">
      <w:pPr>
        <w:spacing w:after="0" w:line="240" w:lineRule="atLeast"/>
        <w:jc w:val="both"/>
        <w:rPr>
          <w:rFonts w:cstheme="minorHAnsi"/>
          <w:u w:val="single"/>
        </w:rPr>
      </w:pPr>
    </w:p>
    <w:p w:rsidR="002D5402" w:rsidP="004B7274" w:rsidRDefault="002D5402" w14:paraId="35426381" w14:textId="77777777">
      <w:pPr>
        <w:spacing w:after="0" w:line="240" w:lineRule="atLeast"/>
        <w:jc w:val="both"/>
        <w:rPr>
          <w:rFonts w:cstheme="minorHAnsi"/>
          <w:u w:val="single"/>
        </w:rPr>
      </w:pPr>
    </w:p>
    <w:p w:rsidR="002D5402" w:rsidP="004B7274" w:rsidRDefault="002D5402" w14:paraId="6EBAD25C" w14:textId="77777777">
      <w:pPr>
        <w:spacing w:after="0" w:line="240" w:lineRule="atLeast"/>
        <w:jc w:val="both"/>
        <w:rPr>
          <w:rFonts w:cstheme="minorHAnsi"/>
          <w:u w:val="single"/>
        </w:rPr>
      </w:pPr>
    </w:p>
    <w:p w:rsidR="002D5402" w:rsidP="004B7274" w:rsidRDefault="002D5402" w14:paraId="790A1752" w14:textId="77777777">
      <w:pPr>
        <w:spacing w:after="0" w:line="240" w:lineRule="atLeast"/>
        <w:jc w:val="both"/>
        <w:rPr>
          <w:rFonts w:cstheme="minorHAnsi"/>
          <w:u w:val="single"/>
        </w:rPr>
      </w:pPr>
    </w:p>
    <w:p w:rsidR="002D5402" w:rsidP="004B7274" w:rsidRDefault="002D5402" w14:paraId="57ACA6C7" w14:textId="77777777">
      <w:pPr>
        <w:spacing w:after="0" w:line="240" w:lineRule="atLeast"/>
        <w:jc w:val="both"/>
        <w:rPr>
          <w:rFonts w:cstheme="minorHAnsi"/>
          <w:u w:val="single"/>
        </w:rPr>
      </w:pPr>
    </w:p>
    <w:p w:rsidR="002D5402" w:rsidP="004B7274" w:rsidRDefault="002D5402" w14:paraId="776A4E2F" w14:textId="77777777">
      <w:pPr>
        <w:spacing w:after="0" w:line="240" w:lineRule="atLeast"/>
        <w:jc w:val="both"/>
        <w:rPr>
          <w:rFonts w:cstheme="minorHAnsi"/>
          <w:u w:val="single"/>
        </w:rPr>
      </w:pPr>
    </w:p>
    <w:p w:rsidRPr="008A74B7" w:rsidR="0034466E" w:rsidP="004B7274" w:rsidRDefault="0034466E" w14:paraId="31BA22EC" w14:textId="77777777">
      <w:pPr>
        <w:spacing w:after="0" w:line="240" w:lineRule="atLeast"/>
        <w:jc w:val="both"/>
        <w:rPr>
          <w:rFonts w:cstheme="minorHAnsi"/>
          <w:u w:val="single"/>
        </w:rPr>
      </w:pPr>
    </w:p>
    <w:p w:rsidRPr="009E558A" w:rsidR="004B7274" w:rsidP="009E558A" w:rsidRDefault="004B7274" w14:paraId="1A1EC72B" w14:textId="6BFDF7DC">
      <w:pPr>
        <w:pStyle w:val="Kop1"/>
      </w:pPr>
      <w:bookmarkStart w:name="_Toc178245261" w:id="15"/>
      <w:bookmarkStart w:name="_Hlk169518491" w:id="16"/>
      <w:r w:rsidRPr="009E558A">
        <w:lastRenderedPageBreak/>
        <w:t>In hoeverre verloopt de kostenontwikkeling binnen infrastructuurprojecten gelijk aan de indices?</w:t>
      </w:r>
      <w:bookmarkEnd w:id="15"/>
    </w:p>
    <w:p w:rsidR="004B7274" w:rsidP="004B7274" w:rsidRDefault="004B7274" w14:paraId="29CB85D4" w14:textId="77777777">
      <w:pPr>
        <w:spacing w:after="0" w:line="240" w:lineRule="atLeast"/>
        <w:jc w:val="both"/>
        <w:rPr>
          <w:rFonts w:cstheme="minorHAnsi"/>
          <w:u w:val="single"/>
        </w:rPr>
      </w:pPr>
    </w:p>
    <w:p w:rsidRPr="00D54F4C" w:rsidR="004B7274" w:rsidP="00320A49" w:rsidRDefault="004B7274" w14:paraId="7FD9DB3F" w14:textId="77777777">
      <w:pPr>
        <w:spacing w:after="0" w:line="276" w:lineRule="auto"/>
        <w:rPr>
          <w:rFonts w:cstheme="minorHAnsi"/>
          <w:b/>
          <w:bCs/>
        </w:rPr>
      </w:pPr>
      <w:r w:rsidRPr="00D54F4C">
        <w:rPr>
          <w:rFonts w:cstheme="minorHAnsi"/>
          <w:b/>
          <w:bCs/>
        </w:rPr>
        <w:t>Contractvormen</w:t>
      </w:r>
    </w:p>
    <w:p w:rsidR="004B7274" w:rsidP="00320A49" w:rsidRDefault="004B7274" w14:paraId="63BCF9CB" w14:textId="4700D99D">
      <w:pPr>
        <w:spacing w:after="0" w:line="276" w:lineRule="auto"/>
        <w:rPr>
          <w:rFonts w:cstheme="minorHAnsi"/>
        </w:rPr>
      </w:pPr>
      <w:r w:rsidRPr="008A74B7">
        <w:rPr>
          <w:rFonts w:cstheme="minorHAnsi"/>
        </w:rPr>
        <w:t>Een groot deel van de kosten van infraprojecten kom</w:t>
      </w:r>
      <w:r>
        <w:rPr>
          <w:rFonts w:cstheme="minorHAnsi"/>
        </w:rPr>
        <w:t>t</w:t>
      </w:r>
      <w:r w:rsidRPr="008A74B7">
        <w:rPr>
          <w:rFonts w:cstheme="minorHAnsi"/>
        </w:rPr>
        <w:t xml:space="preserve"> voort uit contracten met de markt. De meest voorkomende contractvormen voor aanleg zijn UAV-GC-, D&amp;C- en DBFM-contracten</w:t>
      </w:r>
      <w:r w:rsidR="00AB7063">
        <w:rPr>
          <w:rFonts w:cstheme="minorHAnsi"/>
        </w:rPr>
        <w:t>,</w:t>
      </w:r>
      <w:r w:rsidRPr="008A74B7">
        <w:rPr>
          <w:rStyle w:val="Voetnootmarkering"/>
          <w:rFonts w:cstheme="minorHAnsi"/>
        </w:rPr>
        <w:footnoteReference w:id="5"/>
      </w:r>
      <w:r w:rsidRPr="008A74B7">
        <w:rPr>
          <w:rFonts w:cstheme="minorHAnsi"/>
        </w:rPr>
        <w:t xml:space="preserve"> en voor exploitatie en onderhoud </w:t>
      </w:r>
      <w:r>
        <w:rPr>
          <w:rFonts w:cstheme="minorHAnsi"/>
        </w:rPr>
        <w:t xml:space="preserve">worden </w:t>
      </w:r>
      <w:r w:rsidRPr="008A74B7">
        <w:rPr>
          <w:rFonts w:cstheme="minorHAnsi"/>
        </w:rPr>
        <w:t>prestatiecontracten</w:t>
      </w:r>
      <w:r>
        <w:rPr>
          <w:rFonts w:cstheme="minorHAnsi"/>
        </w:rPr>
        <w:t xml:space="preserve"> gebruikt</w:t>
      </w:r>
      <w:r w:rsidRPr="008A74B7">
        <w:rPr>
          <w:rFonts w:cstheme="minorHAnsi"/>
        </w:rPr>
        <w:t>. Voor deze contracten worden door RWS opgestelde modelcontracten gehanteerd</w:t>
      </w:r>
      <w:r w:rsidR="00AB7063">
        <w:rPr>
          <w:rFonts w:cstheme="minorHAnsi"/>
        </w:rPr>
        <w:t>,</w:t>
      </w:r>
      <w:r w:rsidRPr="008A74B7">
        <w:rPr>
          <w:rFonts w:cstheme="minorHAnsi"/>
        </w:rPr>
        <w:t xml:space="preserve"> waarin standaard de Risicoregeling GWW 1995 wordt toegepast. Deze regeling maakt duidelijk op welke prijsbijstelling de aannemer contractueel recht heeft. De regeling dekt niet de gehele prijsstijgingen af</w:t>
      </w:r>
      <w:r w:rsidR="007F317F">
        <w:rPr>
          <w:rFonts w:cstheme="minorHAnsi"/>
        </w:rPr>
        <w:t>.</w:t>
      </w:r>
      <w:r w:rsidRPr="008A74B7">
        <w:rPr>
          <w:rFonts w:cstheme="minorHAnsi"/>
        </w:rPr>
        <w:t xml:space="preserve"> </w:t>
      </w:r>
      <w:r w:rsidR="007F317F">
        <w:rPr>
          <w:rFonts w:cstheme="minorHAnsi"/>
        </w:rPr>
        <w:t>Wel</w:t>
      </w:r>
      <w:r w:rsidRPr="008A74B7">
        <w:rPr>
          <w:rFonts w:cstheme="minorHAnsi"/>
        </w:rPr>
        <w:t xml:space="preserve"> het grootste deel (</w:t>
      </w:r>
      <w:proofErr w:type="gramStart"/>
      <w:r w:rsidRPr="008A74B7">
        <w:rPr>
          <w:rFonts w:cstheme="minorHAnsi"/>
        </w:rPr>
        <w:t>circa</w:t>
      </w:r>
      <w:proofErr w:type="gramEnd"/>
      <w:r w:rsidRPr="008A74B7">
        <w:rPr>
          <w:rFonts w:cstheme="minorHAnsi"/>
        </w:rPr>
        <w:t xml:space="preserve"> 70%) van een vijftal vooraf bepaalde CROW</w:t>
      </w:r>
      <w:r w:rsidR="00DE6FCF">
        <w:rPr>
          <w:rFonts w:cstheme="minorHAnsi"/>
        </w:rPr>
        <w:t>-</w:t>
      </w:r>
      <w:r w:rsidRPr="008A74B7">
        <w:rPr>
          <w:rFonts w:cstheme="minorHAnsi"/>
        </w:rPr>
        <w:t>productprijsindexen. De keuze van de productgroepen is geldig voor de volledige duur van het contract</w:t>
      </w:r>
      <w:r w:rsidR="00AB7063">
        <w:rPr>
          <w:rFonts w:cstheme="minorHAnsi"/>
        </w:rPr>
        <w:t>,</w:t>
      </w:r>
      <w:r w:rsidRPr="008A74B7">
        <w:rPr>
          <w:rFonts w:cstheme="minorHAnsi"/>
        </w:rPr>
        <w:t xml:space="preserve"> en kan tussentijds niet worden aangepast. De verrekening vindt plaats volgens indexcijfers die periodiek door de Raadscommissie Risicoregeling GWW van het kennisplatvorm CROW worden vastgesteld.</w:t>
      </w:r>
    </w:p>
    <w:p w:rsidRPr="008A74B7" w:rsidR="004B7274" w:rsidP="00320A49" w:rsidRDefault="004B7274" w14:paraId="63C7CEF7" w14:textId="77777777">
      <w:pPr>
        <w:spacing w:after="0" w:line="276" w:lineRule="auto"/>
        <w:rPr>
          <w:rFonts w:cstheme="minorHAnsi"/>
        </w:rPr>
      </w:pPr>
    </w:p>
    <w:p w:rsidR="004B7274" w:rsidP="00320A49" w:rsidRDefault="004B7274" w14:paraId="71214CE8" w14:textId="2A545AC8">
      <w:pPr>
        <w:spacing w:after="0" w:line="276" w:lineRule="auto"/>
        <w:rPr>
          <w:rFonts w:cstheme="minorHAnsi"/>
        </w:rPr>
      </w:pPr>
      <w:r w:rsidRPr="008A74B7">
        <w:rPr>
          <w:rFonts w:cstheme="minorHAnsi"/>
        </w:rPr>
        <w:t xml:space="preserve">Het algemene beeld voor de D&amp;C-contracten is dat </w:t>
      </w:r>
      <w:r w:rsidR="00AB7063">
        <w:rPr>
          <w:rFonts w:cstheme="minorHAnsi"/>
        </w:rPr>
        <w:t xml:space="preserve">het </w:t>
      </w:r>
      <w:r w:rsidRPr="008A74B7">
        <w:rPr>
          <w:rFonts w:cstheme="minorHAnsi"/>
        </w:rPr>
        <w:t xml:space="preserve">toepassen van de contractbepalingen voldoende is om de aannemer te compenseren voor de sterk gestegen prijzen. In een aantal gevallen is sprake </w:t>
      </w:r>
      <w:proofErr w:type="gramStart"/>
      <w:r w:rsidRPr="008A74B7">
        <w:rPr>
          <w:rFonts w:cstheme="minorHAnsi"/>
        </w:rPr>
        <w:t>van  een</w:t>
      </w:r>
      <w:proofErr w:type="gramEnd"/>
      <w:r w:rsidRPr="008A74B7">
        <w:rPr>
          <w:rFonts w:cstheme="minorHAnsi"/>
        </w:rPr>
        <w:t xml:space="preserve"> situatie waarbij maatwerk nodig is omdat na het toepassen van de contractuele indexeringsregeling nog steeds sprake kan zijn van excessieve kostenstijgingen die het ondernemingsrisico overschrijden. Het ondernemersrisico is de maatlat die in het civielrecht gebruikt wordt om te bepalen of kosten nog redelijkerwijs gedragen </w:t>
      </w:r>
      <w:r w:rsidR="00E71A25">
        <w:rPr>
          <w:rFonts w:cstheme="minorHAnsi"/>
        </w:rPr>
        <w:t>kunnen</w:t>
      </w:r>
      <w:r w:rsidRPr="008A74B7">
        <w:rPr>
          <w:rFonts w:cstheme="minorHAnsi"/>
        </w:rPr>
        <w:t xml:space="preserve"> worden door de opdrachtnemer.</w:t>
      </w:r>
      <w:r w:rsidR="00B67F95">
        <w:rPr>
          <w:rFonts w:cstheme="minorHAnsi"/>
        </w:rPr>
        <w:t xml:space="preserve"> </w:t>
      </w:r>
      <w:r w:rsidRPr="008A74B7">
        <w:rPr>
          <w:rFonts w:cstheme="minorHAnsi"/>
        </w:rPr>
        <w:t>DBFM-contracten kennen in de aanlegfase geen indexeringsregeling (wel voor de onderhoudsfase die daardoor vergelijkbaar is met de D&amp;C-contracten). Hierdoor worden opdrachtnemers bij deze contracten het meeste getroffen door de plotseling sterk gestegen prijzen. Ondanks dat in het contract geen afspraken over compensatie zijn gemaakt</w:t>
      </w:r>
      <w:r w:rsidR="00C93E64">
        <w:rPr>
          <w:rFonts w:cstheme="minorHAnsi"/>
        </w:rPr>
        <w:t>,</w:t>
      </w:r>
      <w:r w:rsidRPr="008A74B7">
        <w:rPr>
          <w:rFonts w:cstheme="minorHAnsi"/>
        </w:rPr>
        <w:t xml:space="preserve"> kunnen hier </w:t>
      </w:r>
      <w:r w:rsidR="00C93E64">
        <w:rPr>
          <w:rFonts w:cstheme="minorHAnsi"/>
        </w:rPr>
        <w:t>maatwerkafspraken</w:t>
      </w:r>
      <w:r w:rsidRPr="008A74B7">
        <w:rPr>
          <w:rFonts w:cstheme="minorHAnsi"/>
        </w:rPr>
        <w:t xml:space="preserve"> </w:t>
      </w:r>
      <w:r w:rsidR="00C93E64">
        <w:rPr>
          <w:rFonts w:cstheme="minorHAnsi"/>
        </w:rPr>
        <w:t xml:space="preserve">worden </w:t>
      </w:r>
      <w:r w:rsidRPr="008A74B7">
        <w:rPr>
          <w:rFonts w:cstheme="minorHAnsi"/>
        </w:rPr>
        <w:t>getroffen voor prijsstijgingen die het ondernemersrisico overschrijden.</w:t>
      </w:r>
    </w:p>
    <w:p w:rsidRPr="008A74B7" w:rsidR="004B7274" w:rsidP="002D5402" w:rsidRDefault="004B7274" w14:paraId="259047AF" w14:textId="77777777">
      <w:pPr>
        <w:spacing w:after="0" w:line="276" w:lineRule="auto"/>
        <w:jc w:val="both"/>
        <w:rPr>
          <w:rFonts w:cstheme="minorHAnsi"/>
        </w:rPr>
      </w:pPr>
    </w:p>
    <w:p w:rsidRPr="00D54F4C" w:rsidR="004B7274" w:rsidP="00B67F95" w:rsidRDefault="004B7274" w14:paraId="2B1AD187" w14:textId="77777777">
      <w:pPr>
        <w:spacing w:after="0" w:line="276" w:lineRule="auto"/>
        <w:rPr>
          <w:rFonts w:cstheme="minorHAnsi"/>
          <w:b/>
          <w:bCs/>
        </w:rPr>
      </w:pPr>
      <w:r w:rsidRPr="00D54F4C">
        <w:rPr>
          <w:rFonts w:cstheme="minorHAnsi"/>
          <w:b/>
          <w:bCs/>
        </w:rPr>
        <w:t>Maatwerkafspraken</w:t>
      </w:r>
    </w:p>
    <w:p w:rsidR="004B7274" w:rsidP="00B67F95" w:rsidRDefault="004B7274" w14:paraId="3EE4F06D" w14:textId="0E1B5057">
      <w:pPr>
        <w:spacing w:after="0" w:line="276" w:lineRule="auto"/>
        <w:rPr>
          <w:rFonts w:cstheme="minorHAnsi"/>
        </w:rPr>
      </w:pPr>
      <w:r w:rsidRPr="008A74B7">
        <w:rPr>
          <w:rFonts w:cstheme="minorHAnsi"/>
        </w:rPr>
        <w:t>In enkele gevallen kan sprake zijn van maatwerkafspraken. Dit is bijvoorbeeld het geval bij het Project Selectieve onttrekking in IJmuiden waarbij afgesproken is dat de opdrachtgever risicodragend is voor de staalinkoop. Deze afspraak is gemaakt</w:t>
      </w:r>
      <w:r>
        <w:rPr>
          <w:rFonts w:cstheme="minorHAnsi"/>
        </w:rPr>
        <w:t>,</w:t>
      </w:r>
      <w:r w:rsidRPr="008A74B7">
        <w:rPr>
          <w:rFonts w:cstheme="minorHAnsi"/>
        </w:rPr>
        <w:t xml:space="preserve"> omdat ten tijde van de aanbesteding de staalprijzen enorm stegen</w:t>
      </w:r>
      <w:r w:rsidR="00BD65B2">
        <w:rPr>
          <w:rFonts w:cstheme="minorHAnsi"/>
        </w:rPr>
        <w:t>,</w:t>
      </w:r>
      <w:r w:rsidRPr="008A74B7">
        <w:rPr>
          <w:rFonts w:cstheme="minorHAnsi"/>
        </w:rPr>
        <w:t xml:space="preserve"> geen zicht was op stabilisatie van de prijzen. Bij o</w:t>
      </w:r>
      <w:r w:rsidR="00320A49">
        <w:rPr>
          <w:rFonts w:cstheme="minorHAnsi"/>
        </w:rPr>
        <w:t>nder andere</w:t>
      </w:r>
      <w:r w:rsidRPr="008A74B7">
        <w:rPr>
          <w:rFonts w:cstheme="minorHAnsi"/>
        </w:rPr>
        <w:t xml:space="preserve"> de Nieuwe Sluis Terneuzen is in het contract opgenomen dat binnen zes maanden na gunning een termijncontract moet worden afgesloten om de inkoopprijs van staal vast te leggen. Consequentie </w:t>
      </w:r>
      <w:r w:rsidR="00320A49">
        <w:rPr>
          <w:rFonts w:cstheme="minorHAnsi"/>
        </w:rPr>
        <w:t>is</w:t>
      </w:r>
      <w:r w:rsidRPr="008A74B7">
        <w:rPr>
          <w:rFonts w:cstheme="minorHAnsi"/>
        </w:rPr>
        <w:t xml:space="preserve"> dat de inkoopprijs hoger uitvalt dan de op dat moment geldende inkoopprijs, maar daarmee wel het risico van prijsstijgingen en het potentiële voordeel van prijsdalingen wordt geëlimineerd. Dergelijke afspraken worden incidenteel gemaakt en zijn niet standaard onderdeel van de contracten. Baggerbedrijven sluiten bijvoorbeeld termijncontracten af voor brandstofprijzen, maar dit wordt niet altijd contractueel opgelegd door de opdrachtgever.</w:t>
      </w:r>
    </w:p>
    <w:p w:rsidRPr="008A74B7" w:rsidR="004B7274" w:rsidP="002D5402" w:rsidRDefault="004B7274" w14:paraId="6FE84AE7" w14:textId="77777777">
      <w:pPr>
        <w:spacing w:after="0" w:line="276" w:lineRule="auto"/>
        <w:jc w:val="both"/>
        <w:rPr>
          <w:rFonts w:cstheme="minorHAnsi"/>
        </w:rPr>
      </w:pPr>
    </w:p>
    <w:p w:rsidRPr="00D54F4C" w:rsidR="004B7274" w:rsidP="00B67F95" w:rsidRDefault="004B7274" w14:paraId="3D8E80CC" w14:textId="77777777">
      <w:pPr>
        <w:spacing w:after="0" w:line="276" w:lineRule="auto"/>
        <w:rPr>
          <w:rFonts w:cstheme="minorHAnsi"/>
          <w:b/>
          <w:bCs/>
        </w:rPr>
      </w:pPr>
      <w:r w:rsidRPr="00D54F4C">
        <w:rPr>
          <w:rFonts w:cstheme="minorHAnsi"/>
          <w:b/>
          <w:bCs/>
        </w:rPr>
        <w:t>Ondernemersrisico</w:t>
      </w:r>
    </w:p>
    <w:p w:rsidRPr="008A74B7" w:rsidR="004B7274" w:rsidP="00B67F95" w:rsidRDefault="004B7274" w14:paraId="1EEFD5C6" w14:textId="57B2994F">
      <w:pPr>
        <w:spacing w:after="0" w:line="276" w:lineRule="auto"/>
        <w:rPr>
          <w:rFonts w:cstheme="minorHAnsi"/>
        </w:rPr>
      </w:pPr>
      <w:r w:rsidRPr="008A74B7">
        <w:rPr>
          <w:rFonts w:cstheme="minorHAnsi"/>
        </w:rPr>
        <w:t xml:space="preserve">De </w:t>
      </w:r>
      <w:r>
        <w:rPr>
          <w:rFonts w:cstheme="minorHAnsi"/>
        </w:rPr>
        <w:t>risico</w:t>
      </w:r>
      <w:r w:rsidRPr="008A74B7">
        <w:rPr>
          <w:rFonts w:cstheme="minorHAnsi"/>
        </w:rPr>
        <w:t>regeling dekt niet de gehele prijsstijgingen af, maar wel het grootste deel (</w:t>
      </w:r>
      <w:proofErr w:type="gramStart"/>
      <w:r w:rsidRPr="008A74B7">
        <w:rPr>
          <w:rFonts w:cstheme="minorHAnsi"/>
        </w:rPr>
        <w:t>circa</w:t>
      </w:r>
      <w:proofErr w:type="gramEnd"/>
      <w:r w:rsidRPr="008A74B7">
        <w:rPr>
          <w:rFonts w:cstheme="minorHAnsi"/>
        </w:rPr>
        <w:t xml:space="preserve"> 70%). Het resterende deel is voor rekening van de opdrachtnemer. Er kunnen marktomstandigheden zijn waardoor deze regeling ontoereikend kan zijn. Dit kan het geval zijn bij bijvoorbeeld:</w:t>
      </w:r>
    </w:p>
    <w:p w:rsidRPr="00A96E9E" w:rsidR="004B7274" w:rsidP="00B67F95" w:rsidRDefault="004B7274" w14:paraId="71E8C13A" w14:textId="6CFCF815">
      <w:pPr>
        <w:pStyle w:val="Lijstbullet"/>
        <w:numPr>
          <w:ilvl w:val="0"/>
          <w:numId w:val="40"/>
        </w:numPr>
        <w:spacing w:line="276" w:lineRule="auto"/>
        <w:rPr>
          <w:lang w:val="nl-NL"/>
        </w:rPr>
      </w:pPr>
      <w:r w:rsidRPr="00A96E9E">
        <w:rPr>
          <w:lang w:val="nl-NL"/>
        </w:rPr>
        <w:t xml:space="preserve">In de 30% die niet in aanmerking komt voor verrekening zitten toch hoge prijsstijgingen </w:t>
      </w:r>
      <w:r w:rsidR="00CD6A27">
        <w:rPr>
          <w:lang w:val="nl-NL"/>
        </w:rPr>
        <w:t>die de aannemer niet kan dragen</w:t>
      </w:r>
      <w:r w:rsidRPr="00A96E9E">
        <w:rPr>
          <w:lang w:val="nl-NL"/>
        </w:rPr>
        <w:t>.</w:t>
      </w:r>
    </w:p>
    <w:p w:rsidR="00B67F95" w:rsidP="00B67F95" w:rsidRDefault="004B7274" w14:paraId="610632EB" w14:textId="77777777">
      <w:pPr>
        <w:pStyle w:val="Lijstbullet"/>
        <w:numPr>
          <w:ilvl w:val="0"/>
          <w:numId w:val="40"/>
        </w:numPr>
        <w:spacing w:line="276" w:lineRule="auto"/>
      </w:pPr>
      <w:r w:rsidRPr="00A96E9E">
        <w:rPr>
          <w:lang w:val="nl-NL"/>
        </w:rPr>
        <w:lastRenderedPageBreak/>
        <w:t xml:space="preserve">In de vooraf door de aannemer gedefinieerde productgroepen ontbreekt een productgroep die onverwacht veel stijgt. </w:t>
      </w:r>
      <w:proofErr w:type="spellStart"/>
      <w:r w:rsidRPr="009E558A">
        <w:t>Bij</w:t>
      </w:r>
      <w:proofErr w:type="spellEnd"/>
      <w:r w:rsidRPr="009E558A">
        <w:t xml:space="preserve"> </w:t>
      </w:r>
      <w:proofErr w:type="spellStart"/>
      <w:r w:rsidRPr="009E558A">
        <w:t>contracten</w:t>
      </w:r>
      <w:proofErr w:type="spellEnd"/>
      <w:r w:rsidRPr="009E558A">
        <w:t xml:space="preserve"> die lang </w:t>
      </w:r>
      <w:proofErr w:type="spellStart"/>
      <w:r w:rsidRPr="009E558A">
        <w:t>lopen</w:t>
      </w:r>
      <w:proofErr w:type="spellEnd"/>
      <w:r w:rsidRPr="009E558A">
        <w:t xml:space="preserve"> is </w:t>
      </w:r>
      <w:proofErr w:type="spellStart"/>
      <w:r w:rsidRPr="009E558A">
        <w:t>dit</w:t>
      </w:r>
      <w:proofErr w:type="spellEnd"/>
      <w:r w:rsidRPr="009E558A">
        <w:t xml:space="preserve"> </w:t>
      </w:r>
      <w:proofErr w:type="spellStart"/>
      <w:r w:rsidRPr="009E558A">
        <w:t>risico</w:t>
      </w:r>
      <w:proofErr w:type="spellEnd"/>
      <w:r w:rsidRPr="009E558A">
        <w:t xml:space="preserve"> </w:t>
      </w:r>
      <w:proofErr w:type="spellStart"/>
      <w:r w:rsidRPr="009E558A">
        <w:t>groter</w:t>
      </w:r>
      <w:proofErr w:type="spellEnd"/>
      <w:r w:rsidRPr="009E558A">
        <w:t>.</w:t>
      </w:r>
    </w:p>
    <w:p w:rsidRPr="00B67F95" w:rsidR="004B7274" w:rsidP="00B67F95" w:rsidRDefault="004B7274" w14:paraId="6E3EF366" w14:textId="54447340">
      <w:pPr>
        <w:pStyle w:val="Lijstbullet"/>
        <w:numPr>
          <w:ilvl w:val="0"/>
          <w:numId w:val="40"/>
        </w:numPr>
        <w:spacing w:line="276" w:lineRule="auto"/>
        <w:rPr>
          <w:lang w:val="nl-NL"/>
        </w:rPr>
      </w:pPr>
      <w:r w:rsidRPr="00B67F95">
        <w:rPr>
          <w:lang w:val="nl-NL"/>
        </w:rPr>
        <w:t>Sommige materialen (zoals bijv. biobrandstoffen) kennen nog geen index.</w:t>
      </w:r>
    </w:p>
    <w:p w:rsidRPr="00B67F95" w:rsidR="004B7274" w:rsidP="00B67F95" w:rsidRDefault="004B7274" w14:paraId="7CF2E68D" w14:textId="5687F7BB">
      <w:pPr>
        <w:pStyle w:val="Lijstbullet"/>
        <w:numPr>
          <w:ilvl w:val="0"/>
          <w:numId w:val="40"/>
        </w:numPr>
        <w:spacing w:line="276" w:lineRule="auto"/>
        <w:rPr>
          <w:lang w:val="nl-NL"/>
        </w:rPr>
      </w:pPr>
      <w:r w:rsidRPr="00A96E9E">
        <w:rPr>
          <w:lang w:val="nl-NL"/>
        </w:rPr>
        <w:t>De werkelijk prijsstijgingen zijn (in een hoog volatiele markt) hoger dan de door d</w:t>
      </w:r>
      <w:r w:rsidR="00B67F95">
        <w:rPr>
          <w:lang w:val="nl-NL"/>
        </w:rPr>
        <w:t xml:space="preserve">e </w:t>
      </w:r>
      <w:r w:rsidRPr="00A96E9E">
        <w:rPr>
          <w:lang w:val="nl-NL"/>
        </w:rPr>
        <w:t>Raadscommissie Risicoregeling GWW vastgestelde indexcijfers.</w:t>
      </w:r>
    </w:p>
    <w:p w:rsidR="004B7274" w:rsidP="00B67F95" w:rsidRDefault="004B7274" w14:paraId="0D83A577" w14:textId="7BD47C38">
      <w:pPr>
        <w:spacing w:after="0" w:line="276" w:lineRule="auto"/>
        <w:rPr>
          <w:rFonts w:cstheme="minorHAnsi"/>
        </w:rPr>
      </w:pPr>
      <w:r w:rsidRPr="008A74B7">
        <w:rPr>
          <w:rFonts w:cstheme="minorHAnsi"/>
        </w:rPr>
        <w:t xml:space="preserve">Deze risico’s kunnen </w:t>
      </w:r>
      <w:proofErr w:type="gramStart"/>
      <w:r w:rsidRPr="008A74B7">
        <w:rPr>
          <w:rFonts w:cstheme="minorHAnsi"/>
        </w:rPr>
        <w:t>er toe</w:t>
      </w:r>
      <w:proofErr w:type="gramEnd"/>
      <w:r w:rsidRPr="008A74B7">
        <w:rPr>
          <w:rFonts w:cstheme="minorHAnsi"/>
        </w:rPr>
        <w:t xml:space="preserve"> leiden dat er sprake is van prijsstijgingen die niet voor verrekening in aanmerking komen. Aanvullende compensatie vindt plaats op basis van redelijkheid en billijkheid. Wat hieronder kan worden verstaan</w:t>
      </w:r>
      <w:r w:rsidR="00880DF0">
        <w:rPr>
          <w:rFonts w:cstheme="minorHAnsi"/>
        </w:rPr>
        <w:t>, is</w:t>
      </w:r>
      <w:r w:rsidRPr="008A74B7">
        <w:rPr>
          <w:rFonts w:cstheme="minorHAnsi"/>
        </w:rPr>
        <w:t xml:space="preserve"> op basis van jurisprudentie goed te onderbouwen. Om te bepalen of sprake is van excessieve prijsstijging en mogelijk tot aanvullende compensatie door de opdrachtgever moet worden overgegaan</w:t>
      </w:r>
      <w:r>
        <w:rPr>
          <w:rFonts w:cstheme="minorHAnsi"/>
        </w:rPr>
        <w:t>,</w:t>
      </w:r>
      <w:r w:rsidRPr="008A74B7">
        <w:rPr>
          <w:rFonts w:cstheme="minorHAnsi"/>
        </w:rPr>
        <w:t xml:space="preserve"> word</w:t>
      </w:r>
      <w:r>
        <w:rPr>
          <w:rFonts w:cstheme="minorHAnsi"/>
        </w:rPr>
        <w:t>t</w:t>
      </w:r>
      <w:r w:rsidRPr="008A74B7">
        <w:rPr>
          <w:rFonts w:cstheme="minorHAnsi"/>
        </w:rPr>
        <w:t xml:space="preserve"> een aantal stappen doorlopen</w:t>
      </w:r>
      <w:r w:rsidR="00880DF0">
        <w:rPr>
          <w:rFonts w:cstheme="minorHAnsi"/>
        </w:rPr>
        <w:t>. Het betreft de volgende stappen:</w:t>
      </w:r>
    </w:p>
    <w:p w:rsidRPr="008A74B7" w:rsidR="00B67F95" w:rsidP="00B67F95" w:rsidRDefault="00B67F95" w14:paraId="29699F5D" w14:textId="77777777">
      <w:pPr>
        <w:spacing w:after="0" w:line="276" w:lineRule="auto"/>
        <w:rPr>
          <w:rFonts w:cstheme="minorHAnsi"/>
        </w:rPr>
      </w:pPr>
    </w:p>
    <w:p w:rsidRPr="00A96E9E" w:rsidR="004B7274" w:rsidP="00B67F95" w:rsidRDefault="004B7274" w14:paraId="0E6F7943" w14:textId="77777777">
      <w:pPr>
        <w:pStyle w:val="Lijstbullet"/>
        <w:spacing w:line="276" w:lineRule="auto"/>
        <w:rPr>
          <w:lang w:val="nl-NL"/>
        </w:rPr>
      </w:pPr>
      <w:r w:rsidRPr="00A96E9E">
        <w:rPr>
          <w:lang w:val="nl-NL"/>
        </w:rPr>
        <w:t>Is één van de productgroepen (materialen) uit het contract met meer dan 10% gestegen en is de stijging hoger dan 5% van de inschrijfprijs, dan betreft het een excessieve stijging.</w:t>
      </w:r>
    </w:p>
    <w:p w:rsidRPr="009E558A" w:rsidR="004B7274" w:rsidP="00B67F95" w:rsidRDefault="004B7274" w14:paraId="658BA733" w14:textId="77777777">
      <w:pPr>
        <w:pStyle w:val="Lijstbullet"/>
        <w:spacing w:line="276" w:lineRule="auto"/>
      </w:pPr>
      <w:r w:rsidRPr="00A96E9E">
        <w:rPr>
          <w:lang w:val="nl-NL"/>
        </w:rPr>
        <w:t xml:space="preserve">Voor het deel van de aannemingssom dat niet volgens de contractuele bepaling in aanmerking komt voor verrekening had de aannemer een regulier te verwachten indexering moeten meenemen. </w:t>
      </w:r>
      <w:r w:rsidRPr="009E558A">
        <w:t xml:space="preserve">De </w:t>
      </w:r>
      <w:proofErr w:type="spellStart"/>
      <w:r w:rsidRPr="009E558A">
        <w:t>prijsontwikkeling</w:t>
      </w:r>
      <w:proofErr w:type="spellEnd"/>
      <w:r w:rsidRPr="009E558A">
        <w:t xml:space="preserve"> </w:t>
      </w:r>
      <w:proofErr w:type="spellStart"/>
      <w:r w:rsidRPr="009E558A">
        <w:t>wordt</w:t>
      </w:r>
      <w:proofErr w:type="spellEnd"/>
      <w:r w:rsidRPr="009E558A">
        <w:t xml:space="preserve"> </w:t>
      </w:r>
      <w:proofErr w:type="spellStart"/>
      <w:r w:rsidRPr="009E558A">
        <w:t>gecorrigeerd</w:t>
      </w:r>
      <w:proofErr w:type="spellEnd"/>
      <w:r w:rsidRPr="009E558A">
        <w:t xml:space="preserve"> met </w:t>
      </w:r>
      <w:proofErr w:type="spellStart"/>
      <w:r w:rsidRPr="009E558A">
        <w:t>deze</w:t>
      </w:r>
      <w:proofErr w:type="spellEnd"/>
      <w:r w:rsidRPr="009E558A">
        <w:t xml:space="preserve"> </w:t>
      </w:r>
      <w:proofErr w:type="spellStart"/>
      <w:r w:rsidRPr="009E558A">
        <w:t>indexering</w:t>
      </w:r>
      <w:proofErr w:type="spellEnd"/>
      <w:r w:rsidRPr="009E558A">
        <w:t xml:space="preserve">. </w:t>
      </w:r>
    </w:p>
    <w:p w:rsidRPr="00A96E9E" w:rsidR="004B7274" w:rsidP="00B67F95" w:rsidRDefault="004B7274" w14:paraId="399A41A5" w14:textId="77777777">
      <w:pPr>
        <w:pStyle w:val="Lijstbullet"/>
        <w:spacing w:line="276" w:lineRule="auto"/>
        <w:rPr>
          <w:lang w:val="nl-NL"/>
        </w:rPr>
      </w:pPr>
      <w:r w:rsidRPr="00A96E9E">
        <w:rPr>
          <w:lang w:val="nl-NL"/>
        </w:rPr>
        <w:t>De aannemer draagt zelf een deel in de vorm van ondernemersrisico.</w:t>
      </w:r>
    </w:p>
    <w:p w:rsidRPr="00B67F95" w:rsidR="004B7274" w:rsidP="00B67F95" w:rsidRDefault="004B7274" w14:paraId="24A97241" w14:textId="2B19EDF8">
      <w:pPr>
        <w:pStyle w:val="Lijstbullet"/>
        <w:spacing w:line="276" w:lineRule="auto"/>
        <w:rPr>
          <w:lang w:val="nl-NL"/>
        </w:rPr>
      </w:pPr>
      <w:r w:rsidRPr="00A96E9E">
        <w:rPr>
          <w:lang w:val="nl-NL"/>
        </w:rPr>
        <w:t>Hetgeen dat overblijft betreft de grondslag voor compensatie.</w:t>
      </w:r>
    </w:p>
    <w:p w:rsidRPr="00D54F4C" w:rsidR="004B7274" w:rsidP="002D5402" w:rsidRDefault="004B7274" w14:paraId="1390FC36" w14:textId="77777777">
      <w:pPr>
        <w:spacing w:after="0" w:line="276" w:lineRule="auto"/>
        <w:jc w:val="both"/>
        <w:rPr>
          <w:rFonts w:cstheme="minorHAnsi"/>
          <w:b/>
          <w:bCs/>
        </w:rPr>
      </w:pPr>
      <w:r w:rsidRPr="00D54F4C">
        <w:rPr>
          <w:rFonts w:cstheme="minorHAnsi"/>
          <w:b/>
          <w:bCs/>
        </w:rPr>
        <w:t>Kostenontwikkeling op projectniveau</w:t>
      </w:r>
    </w:p>
    <w:p w:rsidRPr="008A74B7" w:rsidR="004B7274" w:rsidP="002D5402" w:rsidRDefault="004B7274" w14:paraId="3C2859DE" w14:textId="3FC61D9D">
      <w:pPr>
        <w:spacing w:after="0" w:line="276" w:lineRule="auto"/>
        <w:jc w:val="both"/>
        <w:rPr>
          <w:rFonts w:cstheme="minorHAnsi"/>
        </w:rPr>
      </w:pPr>
      <w:r w:rsidRPr="008A74B7">
        <w:rPr>
          <w:rFonts w:cstheme="minorHAnsi"/>
        </w:rPr>
        <w:t>De hiervoor benoemde contractuele aspecten zijn met name in de realisatiefase relevant. Voor IenW</w:t>
      </w:r>
      <w:r>
        <w:rPr>
          <w:rFonts w:cstheme="minorHAnsi"/>
        </w:rPr>
        <w:t>-</w:t>
      </w:r>
      <w:r w:rsidRPr="008A74B7">
        <w:rPr>
          <w:rFonts w:cstheme="minorHAnsi"/>
        </w:rPr>
        <w:t>projecten is over het algemeen de MIRT</w:t>
      </w:r>
      <w:r>
        <w:rPr>
          <w:rFonts w:cstheme="minorHAnsi"/>
        </w:rPr>
        <w:t>-</w:t>
      </w:r>
      <w:r w:rsidRPr="008A74B7">
        <w:rPr>
          <w:rFonts w:cstheme="minorHAnsi"/>
        </w:rPr>
        <w:t>fasering van toepassing</w:t>
      </w:r>
      <w:r w:rsidR="00CD6A27">
        <w:rPr>
          <w:rFonts w:cstheme="minorHAnsi"/>
        </w:rPr>
        <w:t>,</w:t>
      </w:r>
      <w:r w:rsidRPr="008A74B7">
        <w:rPr>
          <w:rFonts w:cstheme="minorHAnsi"/>
        </w:rPr>
        <w:t xml:space="preserve"> met vaak een meerjarige doorlooptijd per fase. De projectscope wordt in elke opvolgende fase steeds verder uitgewerkt en concreter. </w:t>
      </w:r>
      <w:r>
        <w:rPr>
          <w:rFonts w:cstheme="minorHAnsi"/>
        </w:rPr>
        <w:t>E</w:t>
      </w:r>
      <w:r w:rsidRPr="008A74B7">
        <w:rPr>
          <w:rFonts w:cstheme="minorHAnsi"/>
        </w:rPr>
        <w:t>lke faseovergang gaat gepaard met een expliciet besluit van de bewindspersoon. Op dat moment moeten de financiën en de projectscope in lijn zijn met elkaar.</w:t>
      </w:r>
    </w:p>
    <w:p w:rsidRPr="008A74B7" w:rsidR="004B7274" w:rsidP="002D5402" w:rsidRDefault="004B7274" w14:paraId="730C609A" w14:textId="1089BBAA">
      <w:pPr>
        <w:pStyle w:val="Geenafstand"/>
        <w:spacing w:line="276" w:lineRule="auto"/>
        <w:jc w:val="both"/>
        <w:rPr>
          <w:szCs w:val="18"/>
          <w:lang w:val="nl-NL"/>
        </w:rPr>
      </w:pPr>
      <w:r w:rsidRPr="008A74B7">
        <w:rPr>
          <w:szCs w:val="18"/>
          <w:lang w:val="nl-NL"/>
        </w:rPr>
        <w:t>Wanneer een project in de voorbereidingsfase (verkenning en/of planning en studiefase) zit, wordt de jaarlijkse IBOI toegevoegd aan het projectbudget. Dit is nog vóór de aanbesteding. Tussen voorbereiding en aanbesteding kunnen nog veel wijzigingen voordoen. Pas als een project wordt gegund zijn de daar voorafgegane prijsontwikkelingen daadwerkelijk gerealiseerd. Vaak is niet exact te achterhalen welk deel van de prijsontwikkeling een gevolg is van ontwikkeling van productprijzen, mee- en tegenvallers in de uitwerking, gewijzigde wet- en regelgeving of beleidskeuzes in de scope.</w:t>
      </w:r>
    </w:p>
    <w:p w:rsidRPr="008A74B7" w:rsidR="004B7274" w:rsidP="002D5402" w:rsidRDefault="004B7274" w14:paraId="3CE2F4AC" w14:textId="77777777">
      <w:pPr>
        <w:pStyle w:val="Geenafstand"/>
        <w:spacing w:line="276" w:lineRule="auto"/>
        <w:jc w:val="both"/>
        <w:rPr>
          <w:szCs w:val="18"/>
          <w:lang w:val="nl-NL"/>
        </w:rPr>
      </w:pPr>
    </w:p>
    <w:p w:rsidRPr="008A74B7" w:rsidR="004B7274" w:rsidP="002D5402" w:rsidRDefault="004B7274" w14:paraId="69D146B8" w14:textId="075105D8">
      <w:pPr>
        <w:pStyle w:val="Geenafstand"/>
        <w:spacing w:line="276" w:lineRule="auto"/>
        <w:jc w:val="both"/>
        <w:rPr>
          <w:szCs w:val="18"/>
          <w:lang w:val="nl-NL"/>
        </w:rPr>
      </w:pPr>
      <w:r w:rsidRPr="008A74B7">
        <w:rPr>
          <w:szCs w:val="18"/>
          <w:lang w:val="nl-NL"/>
        </w:rPr>
        <w:t>Voor dit onderzoek zijn geen specifieke projecten uitgelicht omdat de impact van project tot project zeer uiteen kan lopen en op individuele basis niet representatief is voor het gehele werkpakket van IenW. Voor een groot deel van de reguliere beheer</w:t>
      </w:r>
      <w:r>
        <w:rPr>
          <w:szCs w:val="18"/>
          <w:lang w:val="nl-NL"/>
        </w:rPr>
        <w:t>-</w:t>
      </w:r>
      <w:r w:rsidRPr="008A74B7">
        <w:rPr>
          <w:szCs w:val="18"/>
          <w:lang w:val="nl-NL"/>
        </w:rPr>
        <w:t xml:space="preserve"> en onderhoud</w:t>
      </w:r>
      <w:r>
        <w:rPr>
          <w:szCs w:val="18"/>
          <w:lang w:val="nl-NL"/>
        </w:rPr>
        <w:t>s</w:t>
      </w:r>
      <w:r w:rsidRPr="008A74B7">
        <w:rPr>
          <w:szCs w:val="18"/>
          <w:lang w:val="nl-NL"/>
        </w:rPr>
        <w:t xml:space="preserve">projecten valt de prijsontwikkeling binnen de bandbreedte van de indexatie. Voor een project zoals Selectieve Onttrekking en de </w:t>
      </w:r>
      <w:r>
        <w:rPr>
          <w:szCs w:val="18"/>
          <w:lang w:val="nl-NL"/>
        </w:rPr>
        <w:t xml:space="preserve">Van </w:t>
      </w:r>
      <w:proofErr w:type="spellStart"/>
      <w:r w:rsidRPr="008A74B7">
        <w:rPr>
          <w:szCs w:val="18"/>
          <w:lang w:val="nl-NL"/>
        </w:rPr>
        <w:t>Brienenoordbrug</w:t>
      </w:r>
      <w:proofErr w:type="spellEnd"/>
      <w:r w:rsidRPr="008A74B7">
        <w:rPr>
          <w:szCs w:val="18"/>
          <w:lang w:val="nl-NL"/>
        </w:rPr>
        <w:t xml:space="preserve"> werkt de prijsontwikkeling van </w:t>
      </w:r>
      <w:proofErr w:type="gramStart"/>
      <w:r w:rsidRPr="008A74B7">
        <w:rPr>
          <w:szCs w:val="18"/>
          <w:lang w:val="nl-NL"/>
        </w:rPr>
        <w:t>staal sterk</w:t>
      </w:r>
      <w:proofErr w:type="gramEnd"/>
      <w:r w:rsidRPr="008A74B7">
        <w:rPr>
          <w:szCs w:val="18"/>
          <w:lang w:val="nl-NL"/>
        </w:rPr>
        <w:t xml:space="preserve"> door. Een baggerproject ondervindt daarentegen meer gevolg</w:t>
      </w:r>
      <w:r w:rsidR="00CD6A27">
        <w:rPr>
          <w:szCs w:val="18"/>
          <w:lang w:val="nl-NL"/>
        </w:rPr>
        <w:t>en</w:t>
      </w:r>
      <w:r w:rsidRPr="008A74B7">
        <w:rPr>
          <w:szCs w:val="18"/>
          <w:lang w:val="nl-NL"/>
        </w:rPr>
        <w:t xml:space="preserve"> van</w:t>
      </w:r>
      <w:r w:rsidR="00CD6A27">
        <w:rPr>
          <w:szCs w:val="18"/>
          <w:lang w:val="nl-NL"/>
        </w:rPr>
        <w:t xml:space="preserve"> bijvoorbeeld hogere</w:t>
      </w:r>
      <w:r w:rsidRPr="008A74B7">
        <w:rPr>
          <w:szCs w:val="18"/>
          <w:lang w:val="nl-NL"/>
        </w:rPr>
        <w:t xml:space="preserve"> brandstofprijzen.</w:t>
      </w:r>
    </w:p>
    <w:p w:rsidRPr="00D54F4C" w:rsidR="004B7274" w:rsidP="002D5402" w:rsidRDefault="004B7274" w14:paraId="4C4EB58B" w14:textId="5CE47ED9">
      <w:pPr>
        <w:spacing w:after="0" w:line="276" w:lineRule="auto"/>
        <w:rPr>
          <w:b/>
          <w:bCs/>
        </w:rPr>
      </w:pPr>
    </w:p>
    <w:p w:rsidRPr="00D54F4C" w:rsidR="004B7274" w:rsidP="002D5402" w:rsidRDefault="004B7274" w14:paraId="06A56745" w14:textId="79E39A70">
      <w:pPr>
        <w:spacing w:after="0" w:line="276" w:lineRule="auto"/>
      </w:pPr>
      <w:r w:rsidRPr="00D54F4C">
        <w:t>De kostenontwikkelingen binnen infraprojecten zijn niet één-op-één gelijk aan de indices.</w:t>
      </w:r>
      <w:r w:rsidR="00D54F4C">
        <w:t xml:space="preserve"> </w:t>
      </w:r>
      <w:r w:rsidRPr="00D54F4C">
        <w:t xml:space="preserve">Voor een groot deel van de contracten dat vanuit het Mobiliteitsfonds en Deltafonds wordt aangegaan, is de Risicoregeling GWW 1995 van toepassing. Deze regeling maakt duidelijk op welke prijsbijstelling de aannemer contractueel recht heeft. De regeling dekt niet de gehele prijsstijgingen af, maar wel het grootste deel (circa 70%) van een vijftal vooraf bepaalde </w:t>
      </w:r>
      <w:proofErr w:type="gramStart"/>
      <w:r w:rsidRPr="00D54F4C">
        <w:t>CROW productprijsindexen</w:t>
      </w:r>
      <w:proofErr w:type="gramEnd"/>
      <w:r w:rsidRPr="00D54F4C">
        <w:t xml:space="preserve">. Hierdoor kan voor deze contracten in de praktijk sprake zijn van een discrepantie tussen de vergoeding die IenW dient te betalen aan de opdrachtnemer en de hiervoor ontvangen prijsbijstelling (IBOI). </w:t>
      </w:r>
    </w:p>
    <w:p w:rsidR="00D54F4C" w:rsidP="002D5402" w:rsidRDefault="00D54F4C" w14:paraId="79365595" w14:textId="77777777">
      <w:pPr>
        <w:spacing w:after="0" w:line="276" w:lineRule="auto"/>
      </w:pPr>
    </w:p>
    <w:p w:rsidRPr="00D54F4C" w:rsidR="004B7274" w:rsidP="002D5402" w:rsidRDefault="004B7274" w14:paraId="0E7D404A" w14:textId="6C9F4CF0">
      <w:pPr>
        <w:spacing w:after="0" w:line="276" w:lineRule="auto"/>
      </w:pPr>
      <w:r w:rsidRPr="00D54F4C">
        <w:t xml:space="preserve">Dit betekent </w:t>
      </w:r>
      <w:r w:rsidR="00880DF0">
        <w:t>dat</w:t>
      </w:r>
      <w:r w:rsidRPr="00D54F4C">
        <w:t xml:space="preserve"> niet automatisch elke kostenstijging in de markt op de overheid afgewenteld kan worden. Dit is ook logisch, omdat de markt anders </w:t>
      </w:r>
      <w:proofErr w:type="gramStart"/>
      <w:r w:rsidRPr="00D54F4C">
        <w:t>teveel</w:t>
      </w:r>
      <w:proofErr w:type="gramEnd"/>
      <w:r w:rsidRPr="00D54F4C">
        <w:t xml:space="preserve"> macht krijgt en dit een prijsopdrijvend effect heeft. </w:t>
      </w:r>
      <w:r w:rsidR="00880DF0">
        <w:t>Er ontstaat op deze manier een</w:t>
      </w:r>
      <w:r w:rsidRPr="00D54F4C">
        <w:t xml:space="preserve"> gezonde spanning en </w:t>
      </w:r>
      <w:r w:rsidR="00880DF0">
        <w:t>de prikkel blijft</w:t>
      </w:r>
      <w:r w:rsidRPr="00D54F4C">
        <w:t xml:space="preserve"> bestaan om tot zorgvuldige risico-afweging te komen. Soms dekken de risicoregeling of andere specifieke </w:t>
      </w:r>
      <w:r w:rsidRPr="00D54F4C">
        <w:lastRenderedPageBreak/>
        <w:t xml:space="preserve">contractuele afspraken over de risico-verdeling echter het ontstane risico onvoldoende af. Dan is een maatwerkafspraak nodig, als het ondernemersrisico redelijkerwijs te groot wordt. </w:t>
      </w:r>
    </w:p>
    <w:p w:rsidRPr="00D54F4C" w:rsidR="004B7274" w:rsidP="002D5402" w:rsidRDefault="004B7274" w14:paraId="166D0957" w14:textId="2023CD97">
      <w:pPr>
        <w:spacing w:after="0" w:line="276" w:lineRule="auto"/>
      </w:pPr>
      <w:r w:rsidRPr="00D54F4C">
        <w:t>In beide gevallen, prijsstijgingen die onder de risicoregeling vallen of incidentele maatwerkafspraken, geldt de laatste jaren dat deze niet volledig gecompenseerd konden worden door de ontvangen prijsbijstelling (IBOI). Deze kosten zijn binnen het Mobiliteitsfonds en Deltafonds opgevangen, o</w:t>
      </w:r>
      <w:r w:rsidR="00395FD3">
        <w:t>nder andere</w:t>
      </w:r>
      <w:r w:rsidRPr="00D54F4C">
        <w:t xml:space="preserve"> met de </w:t>
      </w:r>
      <w:proofErr w:type="spellStart"/>
      <w:r w:rsidRPr="00D54F4C">
        <w:t>herprioritering</w:t>
      </w:r>
      <w:proofErr w:type="spellEnd"/>
      <w:r w:rsidRPr="00D54F4C">
        <w:t xml:space="preserve"> uit 2023. Tegelijkertijd ziet het kabinet de afgelopen jaren toegenomen vertragingen ontstaan binnen het Mobiliteitsfonds en Deltafonds. Het is belangrijk om rekening te houden met de uitvoerbaarheid van plannen i</w:t>
      </w:r>
      <w:bookmarkStart w:name="_Hlk177646950" w:id="17"/>
      <w:r w:rsidRPr="00D54F4C">
        <w:t>n een markt waar grondstoffen en arbeid schaars zijn, juist om prijsopdrijvende effecten te voorkomen</w:t>
      </w:r>
      <w:bookmarkEnd w:id="17"/>
      <w:r w:rsidRPr="00D54F4C">
        <w:t xml:space="preserve">. De afgelopen jaren zijn </w:t>
      </w:r>
      <w:r w:rsidR="00880DF0">
        <w:t xml:space="preserve">het ministerie van </w:t>
      </w:r>
      <w:r w:rsidRPr="00D54F4C">
        <w:t xml:space="preserve">Financiën en </w:t>
      </w:r>
      <w:r w:rsidR="00880DF0">
        <w:t>het ministerie van Infrastructuur en Waterstaat</w:t>
      </w:r>
      <w:r w:rsidRPr="00D54F4C">
        <w:t xml:space="preserve"> hierover constructief in gesprek.</w:t>
      </w:r>
    </w:p>
    <w:p w:rsidRPr="008A74B7" w:rsidR="004B7274" w:rsidP="002D5402" w:rsidRDefault="004B7274" w14:paraId="700BF9FD" w14:textId="77777777">
      <w:pPr>
        <w:pStyle w:val="Geenafstand"/>
        <w:spacing w:line="276" w:lineRule="auto"/>
        <w:jc w:val="both"/>
        <w:rPr>
          <w:szCs w:val="18"/>
          <w:lang w:val="nl-NL"/>
        </w:rPr>
      </w:pPr>
    </w:p>
    <w:bookmarkEnd w:id="16"/>
    <w:p w:rsidR="00D54F4C" w:rsidP="002D5402" w:rsidRDefault="00D54F4C" w14:paraId="7A3A0FCF" w14:textId="77777777">
      <w:pPr>
        <w:spacing w:line="276" w:lineRule="auto"/>
        <w:rPr>
          <w:b/>
          <w:bCs/>
        </w:rPr>
      </w:pPr>
      <w:r w:rsidRPr="002D05B4">
        <w:rPr>
          <w:b/>
          <w:bCs/>
        </w:rPr>
        <w:t>Tot slot</w:t>
      </w:r>
    </w:p>
    <w:p w:rsidR="00DD1A39" w:rsidP="009E558A" w:rsidRDefault="00D54F4C" w14:paraId="7D989DA9" w14:textId="222AAC3C">
      <w:pPr>
        <w:spacing w:after="0" w:line="276" w:lineRule="auto"/>
        <w:jc w:val="both"/>
      </w:pPr>
      <w:r>
        <w:t>P</w:t>
      </w:r>
      <w:r w:rsidRPr="004437BB">
        <w:t xml:space="preserve">rijsontwikkelingen van de GWW-sector </w:t>
      </w:r>
      <w:r>
        <w:t xml:space="preserve">blijven </w:t>
      </w:r>
      <w:r w:rsidRPr="004437BB">
        <w:t xml:space="preserve">de aandacht hebben van het kabinet. </w:t>
      </w:r>
      <w:r w:rsidRPr="00A75C53">
        <w:t>Dit najaar wordt</w:t>
      </w:r>
      <w:r>
        <w:t xml:space="preserve"> daarom ook</w:t>
      </w:r>
      <w:r w:rsidRPr="00A75C53">
        <w:t xml:space="preserve">, zoals </w:t>
      </w:r>
      <w:r>
        <w:t xml:space="preserve">ieder jaar </w:t>
      </w:r>
      <w:r w:rsidRPr="00A75C53">
        <w:t xml:space="preserve">gebruikelijk, </w:t>
      </w:r>
      <w:r>
        <w:t>per artikel van de begroting onderzocht of de toegewezen prijsindex passend is</w:t>
      </w:r>
      <w:r w:rsidR="002F1CCB">
        <w:t>.</w:t>
      </w:r>
    </w:p>
    <w:sectPr w:rsidR="00DD1A39" w:rsidSect="00DE57B8">
      <w:footerReference w:type="default" r:id="rId14"/>
      <w:headerReference w:type="first" r:id="rId15"/>
      <w:pgSz w:w="11906" w:h="16838"/>
      <w:pgMar w:top="1440" w:right="1440" w:bottom="1440" w:left="1440" w:header="709" w:footer="822"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14533" w14:textId="77777777" w:rsidR="000C78FF" w:rsidRDefault="000C78FF" w:rsidP="0022507E">
      <w:r>
        <w:separator/>
      </w:r>
    </w:p>
  </w:endnote>
  <w:endnote w:type="continuationSeparator" w:id="0">
    <w:p w14:paraId="2072A2BA" w14:textId="77777777" w:rsidR="000C78FF" w:rsidRDefault="000C78FF" w:rsidP="0022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Hoofdtekst)">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erriweather Sans Light">
    <w:charset w:val="00"/>
    <w:family w:val="auto"/>
    <w:pitch w:val="variable"/>
    <w:sig w:usb0="A00004FF" w:usb1="4000207B" w:usb2="00000000" w:usb3="00000000" w:csb0="00000193" w:csb1="00000000"/>
  </w:font>
  <w:font w:name="Times New Roman (Hoofdtekst CS)">
    <w:altName w:val="Times New Roman"/>
    <w:panose1 w:val="00000000000000000000"/>
    <w:charset w:val="00"/>
    <w:family w:val="roman"/>
    <w:notTrueType/>
    <w:pitch w:val="default"/>
  </w:font>
  <w:font w:name="DejaVu Sans">
    <w:altName w:val="Arial"/>
    <w:charset w:val="00"/>
    <w:family w:val="swiss"/>
    <w:pitch w:val="variable"/>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Univers LT St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457825"/>
      <w:docPartObj>
        <w:docPartGallery w:val="Page Numbers (Bottom of Page)"/>
        <w:docPartUnique/>
      </w:docPartObj>
    </w:sdtPr>
    <w:sdtEndPr/>
    <w:sdtContent>
      <w:p w14:paraId="20B9EAE6" w14:textId="5844A4E2" w:rsidR="0077235B" w:rsidRDefault="0077235B">
        <w:pPr>
          <w:pStyle w:val="Voettekst"/>
          <w:jc w:val="right"/>
        </w:pPr>
        <w:r>
          <w:fldChar w:fldCharType="begin"/>
        </w:r>
        <w:r>
          <w:instrText>PAGE   \* MERGEFORMAT</w:instrText>
        </w:r>
        <w:r>
          <w:fldChar w:fldCharType="separate"/>
        </w:r>
        <w:r>
          <w:t>2</w:t>
        </w:r>
        <w:r>
          <w:fldChar w:fldCharType="end"/>
        </w:r>
      </w:p>
    </w:sdtContent>
  </w:sdt>
  <w:p w14:paraId="4A8F74DE" w14:textId="77777777" w:rsidR="0034466E" w:rsidRDefault="003446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229354"/>
      <w:docPartObj>
        <w:docPartGallery w:val="Page Numbers (Bottom of Page)"/>
        <w:docPartUnique/>
      </w:docPartObj>
    </w:sdtPr>
    <w:sdtEndPr/>
    <w:sdtContent>
      <w:p w14:paraId="268CF83C" w14:textId="0B483002" w:rsidR="00467188" w:rsidRDefault="00467188">
        <w:pPr>
          <w:pStyle w:val="Voettekst"/>
          <w:jc w:val="right"/>
        </w:pPr>
        <w:r>
          <w:fldChar w:fldCharType="begin"/>
        </w:r>
        <w:r>
          <w:instrText>PAGE   \* MERGEFORMAT</w:instrText>
        </w:r>
        <w:r>
          <w:fldChar w:fldCharType="separate"/>
        </w:r>
        <w:r>
          <w:t>2</w:t>
        </w:r>
        <w:r>
          <w:fldChar w:fldCharType="end"/>
        </w:r>
      </w:p>
    </w:sdtContent>
  </w:sdt>
  <w:p w14:paraId="1E283C06" w14:textId="77777777" w:rsidR="0077235B" w:rsidRDefault="007723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DC42" w14:textId="702CB729" w:rsidR="0066650E" w:rsidRPr="005B1D3D" w:rsidRDefault="0066650E" w:rsidP="005B1D3D">
    <w:pPr>
      <w:pStyle w:val="Voettekst"/>
    </w:pPr>
    <w:r w:rsidRPr="005B1D3D">
      <w:tab/>
    </w:r>
    <w:r w:rsidRPr="005B1D3D">
      <w:fldChar w:fldCharType="begin"/>
    </w:r>
    <w:r w:rsidRPr="005B1D3D">
      <w:instrText xml:space="preserve"> PAGE  \* MERGEFORMAT </w:instrText>
    </w:r>
    <w:r w:rsidRPr="005B1D3D">
      <w:fldChar w:fldCharType="separate"/>
    </w:r>
    <w:r w:rsidRPr="005B1D3D">
      <w:t>3</w:t>
    </w:r>
    <w:r w:rsidRPr="005B1D3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DC72B" w14:textId="77777777" w:rsidR="000C78FF" w:rsidRPr="00D20563" w:rsidRDefault="000C78FF" w:rsidP="00D20563">
      <w:pPr>
        <w:pStyle w:val="Voettekstscheidingsteken"/>
      </w:pPr>
      <w:r w:rsidRPr="00D20563">
        <w:separator/>
      </w:r>
    </w:p>
  </w:footnote>
  <w:footnote w:type="continuationSeparator" w:id="0">
    <w:p w14:paraId="290D0D06" w14:textId="77777777" w:rsidR="000C78FF" w:rsidRDefault="000C78FF" w:rsidP="0022507E">
      <w:r>
        <w:continuationSeparator/>
      </w:r>
    </w:p>
  </w:footnote>
  <w:footnote w:id="1">
    <w:p w14:paraId="52B12707" w14:textId="77777777" w:rsidR="004B7274" w:rsidRPr="0079658F" w:rsidRDefault="004B7274" w:rsidP="004B7274">
      <w:pPr>
        <w:pStyle w:val="Voetnoottekst"/>
      </w:pPr>
      <w:r w:rsidRPr="0079658F">
        <w:rPr>
          <w:rStyle w:val="Voetnootmarkering"/>
        </w:rPr>
        <w:footnoteRef/>
      </w:r>
      <w:r w:rsidRPr="0079658F">
        <w:t xml:space="preserve"> Kamerstukken 36410 XII, 2023-24, nr. 50.</w:t>
      </w:r>
    </w:p>
  </w:footnote>
  <w:footnote w:id="2">
    <w:p w14:paraId="50E4462C" w14:textId="5C8A22C5" w:rsidR="0048769B" w:rsidRDefault="0048769B">
      <w:pPr>
        <w:pStyle w:val="Voetnoottekst"/>
      </w:pPr>
      <w:r>
        <w:rPr>
          <w:rStyle w:val="Voetnootmarkering"/>
        </w:rPr>
        <w:footnoteRef/>
      </w:r>
      <w:r>
        <w:t xml:space="preserve"> </w:t>
      </w:r>
      <w:r w:rsidRPr="0048769B">
        <w:t>CPB Document 217, SAFFIER II, 1 model voor de Nederlandse Economie in 2 hoedanigheden, voor 3 toepassingen</w:t>
      </w:r>
    </w:p>
  </w:footnote>
  <w:footnote w:id="3">
    <w:p w14:paraId="661E4626" w14:textId="77777777" w:rsidR="004B7274" w:rsidRDefault="004B7274" w:rsidP="004B7274">
      <w:pPr>
        <w:pStyle w:val="Voetnoottekst"/>
      </w:pPr>
      <w:r>
        <w:rPr>
          <w:rStyle w:val="Voetnootmarkering"/>
        </w:rPr>
        <w:footnoteRef/>
      </w:r>
      <w:r>
        <w:t xml:space="preserve"> </w:t>
      </w:r>
      <w:r w:rsidRPr="007B0C0A">
        <w:t>Gepubliceerd door stichting CROW: Centrum voor Regelgeving en Onderzoek in de Grond-, Water- en Wegenbouw en de Verkeerstechniek.</w:t>
      </w:r>
    </w:p>
  </w:footnote>
  <w:footnote w:id="4">
    <w:p w14:paraId="32761B36" w14:textId="77777777" w:rsidR="004B7274" w:rsidRPr="00546F74" w:rsidRDefault="004B7274" w:rsidP="004B7274">
      <w:pPr>
        <w:pStyle w:val="Voetnoottekst"/>
      </w:pPr>
      <w:r>
        <w:rPr>
          <w:rStyle w:val="Voetnootmarkering"/>
        </w:rPr>
        <w:footnoteRef/>
      </w:r>
      <w:r>
        <w:t xml:space="preserve"> </w:t>
      </w:r>
      <w:r w:rsidRPr="00546F74">
        <w:rPr>
          <w:rFonts w:cstheme="minorHAnsi"/>
        </w:rPr>
        <w:t>Economisch Instituut voor de Bouw (2024): Trends op de arbeidsmarkt 2018-2023</w:t>
      </w:r>
    </w:p>
  </w:footnote>
  <w:footnote w:id="5">
    <w:p w14:paraId="77FEC6AC" w14:textId="77777777" w:rsidR="004B7274" w:rsidRPr="001B6D1F" w:rsidRDefault="004B7274" w:rsidP="004B7274">
      <w:pPr>
        <w:pStyle w:val="Voetnoottekst"/>
        <w:rPr>
          <w:lang w:val="en-US"/>
        </w:rPr>
      </w:pPr>
      <w:r w:rsidRPr="00546F74">
        <w:rPr>
          <w:rStyle w:val="Voetnootmarkering"/>
        </w:rPr>
        <w:footnoteRef/>
      </w:r>
      <w:r w:rsidRPr="00546F74">
        <w:rPr>
          <w:lang w:val="en-US"/>
        </w:rPr>
        <w:t xml:space="preserve"> D&amp;C: Design &amp; Construct, DBFM: Design Build Finance Maintain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A69B" w14:textId="0EF33787" w:rsidR="006568FC" w:rsidRDefault="006568F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7421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4ECE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620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C63B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CCB4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187E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8AEA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DCEC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0EBA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4E3F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6E7"/>
    <w:multiLevelType w:val="hybridMultilevel"/>
    <w:tmpl w:val="AB7E8644"/>
    <w:lvl w:ilvl="0" w:tplc="8138C048">
      <w:start w:val="1"/>
      <w:numFmt w:val="bullet"/>
      <w:pStyle w:val="FINKaderGeelbullet"/>
      <w:lvlText w:val="·"/>
      <w:lvlJc w:val="left"/>
      <w:pPr>
        <w:ind w:left="0" w:firstLine="0"/>
      </w:pPr>
      <w:rPr>
        <w:rFonts w:ascii="Symbol" w:hAnsi="Symbol" w:cs="Symbol" w:hint="default"/>
        <w:b w:val="0"/>
        <w:bCs w:val="0"/>
        <w:i w:val="0"/>
        <w:iCs w:val="0"/>
        <w:caps w:val="0"/>
        <w:smallCaps w:val="0"/>
        <w:strike w:val="0"/>
        <w:dstrike w:val="0"/>
        <w:color w:val="0066A4"/>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11" w15:restartNumberingAfterBreak="0">
    <w:nsid w:val="04BA77E6"/>
    <w:multiLevelType w:val="hybridMultilevel"/>
    <w:tmpl w:val="D76CF20E"/>
    <w:lvl w:ilvl="0" w:tplc="8FC627B0">
      <w:start w:val="1"/>
      <w:numFmt w:val="bullet"/>
      <w:pStyle w:val="FINKaderBlancobullet"/>
      <w:lvlText w:val=""/>
      <w:lvlJc w:val="left"/>
      <w:pPr>
        <w:ind w:left="502"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84866D5"/>
    <w:multiLevelType w:val="hybridMultilevel"/>
    <w:tmpl w:val="E6F4E016"/>
    <w:lvl w:ilvl="0" w:tplc="E18C4322">
      <w:start w:val="3"/>
      <w:numFmt w:val="decimal"/>
      <w:lvlText w:val="%1."/>
      <w:lvlJc w:val="left"/>
      <w:pPr>
        <w:tabs>
          <w:tab w:val="num" w:pos="720"/>
        </w:tabs>
        <w:ind w:left="720" w:hanging="360"/>
      </w:pPr>
      <w:rPr>
        <w:rFonts w:hint="default"/>
      </w:rPr>
    </w:lvl>
    <w:lvl w:ilvl="1" w:tplc="3984F452" w:tentative="1">
      <w:start w:val="1"/>
      <w:numFmt w:val="decimal"/>
      <w:lvlText w:val="%2."/>
      <w:lvlJc w:val="left"/>
      <w:pPr>
        <w:tabs>
          <w:tab w:val="num" w:pos="1440"/>
        </w:tabs>
        <w:ind w:left="1440" w:hanging="360"/>
      </w:pPr>
    </w:lvl>
    <w:lvl w:ilvl="2" w:tplc="A0B4BFE4" w:tentative="1">
      <w:start w:val="1"/>
      <w:numFmt w:val="decimal"/>
      <w:lvlText w:val="%3."/>
      <w:lvlJc w:val="left"/>
      <w:pPr>
        <w:tabs>
          <w:tab w:val="num" w:pos="2160"/>
        </w:tabs>
        <w:ind w:left="2160" w:hanging="360"/>
      </w:pPr>
    </w:lvl>
    <w:lvl w:ilvl="3" w:tplc="2A3A5C56" w:tentative="1">
      <w:start w:val="1"/>
      <w:numFmt w:val="decimal"/>
      <w:lvlText w:val="%4."/>
      <w:lvlJc w:val="left"/>
      <w:pPr>
        <w:tabs>
          <w:tab w:val="num" w:pos="2880"/>
        </w:tabs>
        <w:ind w:left="2880" w:hanging="360"/>
      </w:pPr>
    </w:lvl>
    <w:lvl w:ilvl="4" w:tplc="DDE2AFE0" w:tentative="1">
      <w:start w:val="1"/>
      <w:numFmt w:val="decimal"/>
      <w:lvlText w:val="%5."/>
      <w:lvlJc w:val="left"/>
      <w:pPr>
        <w:tabs>
          <w:tab w:val="num" w:pos="3600"/>
        </w:tabs>
        <w:ind w:left="3600" w:hanging="360"/>
      </w:pPr>
    </w:lvl>
    <w:lvl w:ilvl="5" w:tplc="DAD47952" w:tentative="1">
      <w:start w:val="1"/>
      <w:numFmt w:val="decimal"/>
      <w:lvlText w:val="%6."/>
      <w:lvlJc w:val="left"/>
      <w:pPr>
        <w:tabs>
          <w:tab w:val="num" w:pos="4320"/>
        </w:tabs>
        <w:ind w:left="4320" w:hanging="360"/>
      </w:pPr>
    </w:lvl>
    <w:lvl w:ilvl="6" w:tplc="B0146296" w:tentative="1">
      <w:start w:val="1"/>
      <w:numFmt w:val="decimal"/>
      <w:lvlText w:val="%7."/>
      <w:lvlJc w:val="left"/>
      <w:pPr>
        <w:tabs>
          <w:tab w:val="num" w:pos="5040"/>
        </w:tabs>
        <w:ind w:left="5040" w:hanging="360"/>
      </w:pPr>
    </w:lvl>
    <w:lvl w:ilvl="7" w:tplc="9E9A1F30" w:tentative="1">
      <w:start w:val="1"/>
      <w:numFmt w:val="decimal"/>
      <w:lvlText w:val="%8."/>
      <w:lvlJc w:val="left"/>
      <w:pPr>
        <w:tabs>
          <w:tab w:val="num" w:pos="5760"/>
        </w:tabs>
        <w:ind w:left="5760" w:hanging="360"/>
      </w:pPr>
    </w:lvl>
    <w:lvl w:ilvl="8" w:tplc="BC908F14" w:tentative="1">
      <w:start w:val="1"/>
      <w:numFmt w:val="decimal"/>
      <w:lvlText w:val="%9."/>
      <w:lvlJc w:val="left"/>
      <w:pPr>
        <w:tabs>
          <w:tab w:val="num" w:pos="6480"/>
        </w:tabs>
        <w:ind w:left="6480" w:hanging="360"/>
      </w:pPr>
    </w:lvl>
  </w:abstractNum>
  <w:abstractNum w:abstractNumId="13" w15:restartNumberingAfterBreak="0">
    <w:nsid w:val="09FC2967"/>
    <w:multiLevelType w:val="hybridMultilevel"/>
    <w:tmpl w:val="52A031F4"/>
    <w:lvl w:ilvl="0" w:tplc="00E21D4C">
      <w:numFmt w:val="bullet"/>
      <w:lvlText w:val="-"/>
      <w:lvlJc w:val="left"/>
      <w:pPr>
        <w:ind w:left="720" w:hanging="360"/>
      </w:pPr>
      <w:rPr>
        <w:rFonts w:ascii="Verdana" w:eastAsiaTheme="minorHAnsi" w:hAnsi="Verdana"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AA934C3"/>
    <w:multiLevelType w:val="hybridMultilevel"/>
    <w:tmpl w:val="AE407894"/>
    <w:lvl w:ilvl="0" w:tplc="5DD87EAA">
      <w:start w:val="1"/>
      <w:numFmt w:val="bullet"/>
      <w:pStyle w:val="Lijststreepjetweedeniveau"/>
      <w:lvlText w:val="–"/>
      <w:lvlJc w:val="left"/>
      <w:pPr>
        <w:ind w:left="587"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0570559"/>
    <w:multiLevelType w:val="hybridMultilevel"/>
    <w:tmpl w:val="F68ACA08"/>
    <w:lvl w:ilvl="0" w:tplc="0C1E2F86">
      <w:numFmt w:val="bullet"/>
      <w:lvlText w:val="•"/>
      <w:lvlJc w:val="left"/>
      <w:pPr>
        <w:ind w:left="720" w:hanging="360"/>
      </w:pPr>
      <w:rPr>
        <w:rFonts w:ascii="Verdana" w:eastAsia="Times New Roman" w:hAnsi="Verdana"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A64943"/>
    <w:multiLevelType w:val="multilevel"/>
    <w:tmpl w:val="9B209820"/>
    <w:lvl w:ilvl="0">
      <w:start w:val="1"/>
      <w:numFmt w:val="upperRoman"/>
      <w:pStyle w:val="FINRomijnsGenumerdelijst"/>
      <w:lvlText w:val="%1."/>
      <w:lvlJc w:val="left"/>
      <w:pPr>
        <w:ind w:left="397" w:hanging="397"/>
      </w:pPr>
      <w:rPr>
        <w:rFonts w:hint="default"/>
        <w:b w:val="0"/>
        <w:i w:val="0"/>
        <w:caps/>
        <w:sz w:val="20"/>
        <w:u w:color="0066A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0E334C5"/>
    <w:multiLevelType w:val="multilevel"/>
    <w:tmpl w:val="F698DFDA"/>
    <w:lvl w:ilvl="0">
      <w:start w:val="1"/>
      <w:numFmt w:val="bullet"/>
      <w:pStyle w:val="FINKaderBlauwbullet"/>
      <w:lvlText w:val=""/>
      <w:lvlJc w:val="left"/>
      <w:pPr>
        <w:ind w:left="510" w:hanging="170"/>
      </w:pPr>
      <w:rPr>
        <w:rFonts w:ascii="Symbol" w:hAnsi="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8" w15:restartNumberingAfterBreak="0">
    <w:nsid w:val="3273119F"/>
    <w:multiLevelType w:val="hybridMultilevel"/>
    <w:tmpl w:val="D174C6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5180C82"/>
    <w:multiLevelType w:val="multilevel"/>
    <w:tmpl w:val="BE1EF808"/>
    <w:lvl w:ilvl="0">
      <w:start w:val="1"/>
      <w:numFmt w:val="decimal"/>
      <w:pStyle w:val="Bijlage"/>
      <w:lvlText w:val="bijlage %1"/>
      <w:lvlJc w:val="left"/>
      <w:pPr>
        <w:ind w:left="8931" w:hanging="8505"/>
      </w:pPr>
      <w:rPr>
        <w:rFonts w:asciiTheme="minorHAnsi" w:hAnsiTheme="minorHAnsi" w:hint="default"/>
        <w:b w:val="0"/>
        <w:i w:val="0"/>
        <w:caps/>
        <w:sz w:val="20"/>
        <w:u w:color="0066A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5E723FE"/>
    <w:multiLevelType w:val="multilevel"/>
    <w:tmpl w:val="AF54DDF4"/>
    <w:lvl w:ilvl="0">
      <w:start w:val="1"/>
      <w:numFmt w:val="decimal"/>
      <w:pStyle w:val="FINGenummerdelijst"/>
      <w:lvlText w:val="%1)"/>
      <w:lvlJc w:val="left"/>
      <w:pPr>
        <w:ind w:left="397" w:hanging="397"/>
      </w:pPr>
      <w:rPr>
        <w:rFonts w:hint="default"/>
      </w:rPr>
    </w:lvl>
    <w:lvl w:ilvl="1">
      <w:start w:val="1"/>
      <w:numFmt w:val="bullet"/>
      <w:lvlText w:val="-"/>
      <w:lvlJc w:val="left"/>
      <w:pPr>
        <w:ind w:left="794" w:hanging="397"/>
      </w:pPr>
      <w:rPr>
        <w:rFonts w:ascii="Verdana" w:hAnsi="Verdana"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37A45B84"/>
    <w:multiLevelType w:val="hybridMultilevel"/>
    <w:tmpl w:val="818A21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84A405E"/>
    <w:multiLevelType w:val="multilevel"/>
    <w:tmpl w:val="ED88F8DC"/>
    <w:lvl w:ilvl="0">
      <w:start w:val="1"/>
      <w:numFmt w:val="decimal"/>
      <w:lvlText w:val="%1."/>
      <w:lvlJc w:val="left"/>
      <w:pPr>
        <w:ind w:left="397" w:hanging="397"/>
      </w:pPr>
      <w:rPr>
        <w:rFonts w:hint="default"/>
        <w:b w:val="0"/>
        <w:i w:val="0"/>
        <w:caps/>
        <w:sz w:val="20"/>
        <w:u w:color="0066A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8C10F02"/>
    <w:multiLevelType w:val="multilevel"/>
    <w:tmpl w:val="2F2E78BC"/>
    <w:lvl w:ilvl="0">
      <w:numFmt w:val="bullet"/>
      <w:pStyle w:val="FINBullets"/>
      <w:lvlText w:val="•"/>
      <w:lvlJc w:val="left"/>
      <w:pPr>
        <w:ind w:left="170" w:hanging="170"/>
      </w:pPr>
      <w:rPr>
        <w:rFonts w:ascii="Verdana" w:hAnsi="Verdana" w:hint="default"/>
      </w:rPr>
    </w:lvl>
    <w:lvl w:ilvl="1">
      <w:start w:val="1"/>
      <w:numFmt w:val="bullet"/>
      <w:lvlText w:val="­"/>
      <w:lvlJc w:val="left"/>
      <w:pPr>
        <w:ind w:left="340" w:hanging="170"/>
      </w:pPr>
      <w:rPr>
        <w:rFonts w:ascii="Verdana" w:hAnsi="Verdan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C52979"/>
    <w:multiLevelType w:val="multilevel"/>
    <w:tmpl w:val="A350C962"/>
    <w:lvl w:ilvl="0">
      <w:start w:val="1"/>
      <w:numFmt w:val="decimal"/>
      <w:pStyle w:val="FINGenummerdelijstVet"/>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553809"/>
    <w:multiLevelType w:val="hybridMultilevel"/>
    <w:tmpl w:val="48BA9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5784C05"/>
    <w:multiLevelType w:val="hybridMultilevel"/>
    <w:tmpl w:val="632E511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45C60D28"/>
    <w:multiLevelType w:val="hybridMultilevel"/>
    <w:tmpl w:val="B46889B0"/>
    <w:lvl w:ilvl="0" w:tplc="B53C3960">
      <w:start w:val="1"/>
      <w:numFmt w:val="decimal"/>
      <w:lvlText w:val="%1."/>
      <w:lvlJc w:val="left"/>
      <w:pPr>
        <w:tabs>
          <w:tab w:val="num" w:pos="720"/>
        </w:tabs>
        <w:ind w:left="720" w:hanging="360"/>
      </w:pPr>
    </w:lvl>
    <w:lvl w:ilvl="1" w:tplc="AA868438" w:tentative="1">
      <w:start w:val="1"/>
      <w:numFmt w:val="decimal"/>
      <w:lvlText w:val="%2."/>
      <w:lvlJc w:val="left"/>
      <w:pPr>
        <w:tabs>
          <w:tab w:val="num" w:pos="1440"/>
        </w:tabs>
        <w:ind w:left="1440" w:hanging="360"/>
      </w:pPr>
    </w:lvl>
    <w:lvl w:ilvl="2" w:tplc="F10E4F80" w:tentative="1">
      <w:start w:val="1"/>
      <w:numFmt w:val="decimal"/>
      <w:lvlText w:val="%3."/>
      <w:lvlJc w:val="left"/>
      <w:pPr>
        <w:tabs>
          <w:tab w:val="num" w:pos="2160"/>
        </w:tabs>
        <w:ind w:left="2160" w:hanging="360"/>
      </w:pPr>
    </w:lvl>
    <w:lvl w:ilvl="3" w:tplc="51989018" w:tentative="1">
      <w:start w:val="1"/>
      <w:numFmt w:val="decimal"/>
      <w:lvlText w:val="%4."/>
      <w:lvlJc w:val="left"/>
      <w:pPr>
        <w:tabs>
          <w:tab w:val="num" w:pos="2880"/>
        </w:tabs>
        <w:ind w:left="2880" w:hanging="360"/>
      </w:pPr>
    </w:lvl>
    <w:lvl w:ilvl="4" w:tplc="548275FA" w:tentative="1">
      <w:start w:val="1"/>
      <w:numFmt w:val="decimal"/>
      <w:lvlText w:val="%5."/>
      <w:lvlJc w:val="left"/>
      <w:pPr>
        <w:tabs>
          <w:tab w:val="num" w:pos="3600"/>
        </w:tabs>
        <w:ind w:left="3600" w:hanging="360"/>
      </w:pPr>
    </w:lvl>
    <w:lvl w:ilvl="5" w:tplc="7090BDBA" w:tentative="1">
      <w:start w:val="1"/>
      <w:numFmt w:val="decimal"/>
      <w:lvlText w:val="%6."/>
      <w:lvlJc w:val="left"/>
      <w:pPr>
        <w:tabs>
          <w:tab w:val="num" w:pos="4320"/>
        </w:tabs>
        <w:ind w:left="4320" w:hanging="360"/>
      </w:pPr>
    </w:lvl>
    <w:lvl w:ilvl="6" w:tplc="008AEA66" w:tentative="1">
      <w:start w:val="1"/>
      <w:numFmt w:val="decimal"/>
      <w:lvlText w:val="%7."/>
      <w:lvlJc w:val="left"/>
      <w:pPr>
        <w:tabs>
          <w:tab w:val="num" w:pos="5040"/>
        </w:tabs>
        <w:ind w:left="5040" w:hanging="360"/>
      </w:pPr>
    </w:lvl>
    <w:lvl w:ilvl="7" w:tplc="0FAA470C" w:tentative="1">
      <w:start w:val="1"/>
      <w:numFmt w:val="decimal"/>
      <w:lvlText w:val="%8."/>
      <w:lvlJc w:val="left"/>
      <w:pPr>
        <w:tabs>
          <w:tab w:val="num" w:pos="5760"/>
        </w:tabs>
        <w:ind w:left="5760" w:hanging="360"/>
      </w:pPr>
    </w:lvl>
    <w:lvl w:ilvl="8" w:tplc="183C1B80" w:tentative="1">
      <w:start w:val="1"/>
      <w:numFmt w:val="decimal"/>
      <w:lvlText w:val="%9."/>
      <w:lvlJc w:val="left"/>
      <w:pPr>
        <w:tabs>
          <w:tab w:val="num" w:pos="6480"/>
        </w:tabs>
        <w:ind w:left="6480" w:hanging="360"/>
      </w:pPr>
    </w:lvl>
  </w:abstractNum>
  <w:abstractNum w:abstractNumId="28" w15:restartNumberingAfterBreak="0">
    <w:nsid w:val="48A81C54"/>
    <w:multiLevelType w:val="hybridMultilevel"/>
    <w:tmpl w:val="D472A18E"/>
    <w:lvl w:ilvl="0" w:tplc="97B4597E">
      <w:start w:val="1"/>
      <w:numFmt w:val="bullet"/>
      <w:pStyle w:val="Lijst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5FB5652"/>
    <w:multiLevelType w:val="hybridMultilevel"/>
    <w:tmpl w:val="A7C26E38"/>
    <w:lvl w:ilvl="0" w:tplc="E84C3EB2">
      <w:start w:val="1"/>
      <w:numFmt w:val="decimal"/>
      <w:pStyle w:val="FINGenummerdelijstOnderstreept"/>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E0F3960"/>
    <w:multiLevelType w:val="hybridMultilevel"/>
    <w:tmpl w:val="F43AE566"/>
    <w:lvl w:ilvl="0" w:tplc="EB2EF70A">
      <w:numFmt w:val="bullet"/>
      <w:lvlText w:val="•"/>
      <w:lvlJc w:val="left"/>
      <w:pPr>
        <w:ind w:left="1065" w:hanging="705"/>
      </w:pPr>
      <w:rPr>
        <w:rFonts w:ascii="Verdana" w:eastAsiaTheme="minorHAns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F080F47"/>
    <w:multiLevelType w:val="multilevel"/>
    <w:tmpl w:val="8CB6CDA8"/>
    <w:lvl w:ilvl="0">
      <w:start w:val="1"/>
      <w:numFmt w:val="decimal"/>
      <w:pStyle w:val="Kop1"/>
      <w:lvlText w:val="%1."/>
      <w:lvlJc w:val="right"/>
      <w:pPr>
        <w:ind w:left="0" w:hanging="113"/>
      </w:pPr>
      <w:rPr>
        <w:rFonts w:hint="default"/>
      </w:rPr>
    </w:lvl>
    <w:lvl w:ilvl="1">
      <w:start w:val="1"/>
      <w:numFmt w:val="decimal"/>
      <w:pStyle w:val="Kop2"/>
      <w:lvlText w:val="%1.%2"/>
      <w:lvlJc w:val="left"/>
      <w:pPr>
        <w:ind w:left="576" w:hanging="576"/>
      </w:pPr>
      <w:rPr>
        <w:rFonts w:hint="default"/>
      </w:rPr>
    </w:lvl>
    <w:lvl w:ilvl="2">
      <w:start w:val="1"/>
      <w:numFmt w:val="decimal"/>
      <w:pStyle w:val="Kop3"/>
      <w:suff w:val="space"/>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2" w15:restartNumberingAfterBreak="0">
    <w:nsid w:val="6A580835"/>
    <w:multiLevelType w:val="hybridMultilevel"/>
    <w:tmpl w:val="8AC64A8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BD92EB9"/>
    <w:multiLevelType w:val="hybridMultilevel"/>
    <w:tmpl w:val="341C63A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0D85AEA"/>
    <w:multiLevelType w:val="hybridMultilevel"/>
    <w:tmpl w:val="1B4CA528"/>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1B9276D"/>
    <w:multiLevelType w:val="hybridMultilevel"/>
    <w:tmpl w:val="421C94FA"/>
    <w:lvl w:ilvl="0" w:tplc="A8E2872A">
      <w:start w:val="1"/>
      <w:numFmt w:val="lowerLetter"/>
      <w:pStyle w:val="FINAlfabetischelijst"/>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4357602"/>
    <w:multiLevelType w:val="multilevel"/>
    <w:tmpl w:val="EDFC8070"/>
    <w:lvl w:ilvl="0">
      <w:start w:val="1"/>
      <w:numFmt w:val="decimal"/>
      <w:pStyle w:val="FINGenummerdelijst2eNiveauAlfabetisch"/>
      <w:lvlText w:val="%1)"/>
      <w:lvlJc w:val="left"/>
      <w:pPr>
        <w:tabs>
          <w:tab w:val="num" w:pos="397"/>
        </w:tabs>
        <w:ind w:left="794" w:hanging="397"/>
      </w:pPr>
      <w:rPr>
        <w:rFonts w:hint="default"/>
      </w:rPr>
    </w:lvl>
    <w:lvl w:ilvl="1">
      <w:start w:val="1"/>
      <w:numFmt w:val="lowerLetter"/>
      <w:lvlText w:val="%2)"/>
      <w:lvlJc w:val="left"/>
      <w:pPr>
        <w:ind w:left="1191"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9DD5BD0"/>
    <w:multiLevelType w:val="hybridMultilevel"/>
    <w:tmpl w:val="D4BE28A8"/>
    <w:lvl w:ilvl="0" w:tplc="1FE84AF8">
      <w:start w:val="3"/>
      <w:numFmt w:val="decimal"/>
      <w:lvlText w:val="%1."/>
      <w:lvlJc w:val="left"/>
      <w:pPr>
        <w:ind w:left="360" w:hanging="360"/>
      </w:pPr>
      <w:rPr>
        <w:rFonts w:hint="default"/>
        <w:color w:val="0066A4"/>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F884CA9"/>
    <w:multiLevelType w:val="hybridMultilevel"/>
    <w:tmpl w:val="21A86B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67162012">
    <w:abstractNumId w:val="19"/>
  </w:num>
  <w:num w:numId="2" w16cid:durableId="787896304">
    <w:abstractNumId w:val="11"/>
  </w:num>
  <w:num w:numId="3" w16cid:durableId="1686250514">
    <w:abstractNumId w:val="28"/>
  </w:num>
  <w:num w:numId="4" w16cid:durableId="466749179">
    <w:abstractNumId w:val="14"/>
  </w:num>
  <w:num w:numId="5" w16cid:durableId="1496797542">
    <w:abstractNumId w:val="20"/>
  </w:num>
  <w:num w:numId="6" w16cid:durableId="431976001">
    <w:abstractNumId w:val="23"/>
  </w:num>
  <w:num w:numId="7" w16cid:durableId="2122915598">
    <w:abstractNumId w:val="24"/>
  </w:num>
  <w:num w:numId="8" w16cid:durableId="553278189">
    <w:abstractNumId w:val="29"/>
  </w:num>
  <w:num w:numId="9" w16cid:durableId="2016690629">
    <w:abstractNumId w:val="36"/>
  </w:num>
  <w:num w:numId="10" w16cid:durableId="546334023">
    <w:abstractNumId w:val="35"/>
  </w:num>
  <w:num w:numId="11" w16cid:durableId="408960371">
    <w:abstractNumId w:val="15"/>
  </w:num>
  <w:num w:numId="12" w16cid:durableId="168375129">
    <w:abstractNumId w:val="22"/>
  </w:num>
  <w:num w:numId="13" w16cid:durableId="38940961">
    <w:abstractNumId w:val="16"/>
  </w:num>
  <w:num w:numId="14" w16cid:durableId="218595157">
    <w:abstractNumId w:val="31"/>
  </w:num>
  <w:num w:numId="15" w16cid:durableId="1315137096">
    <w:abstractNumId w:val="17"/>
  </w:num>
  <w:num w:numId="16" w16cid:durableId="707800672">
    <w:abstractNumId w:val="10"/>
  </w:num>
  <w:num w:numId="17" w16cid:durableId="772558014">
    <w:abstractNumId w:val="0"/>
  </w:num>
  <w:num w:numId="18" w16cid:durableId="2019385840">
    <w:abstractNumId w:val="1"/>
  </w:num>
  <w:num w:numId="19" w16cid:durableId="1552694208">
    <w:abstractNumId w:val="2"/>
  </w:num>
  <w:num w:numId="20" w16cid:durableId="2126532413">
    <w:abstractNumId w:val="3"/>
  </w:num>
  <w:num w:numId="21" w16cid:durableId="175387007">
    <w:abstractNumId w:val="8"/>
  </w:num>
  <w:num w:numId="22" w16cid:durableId="1284530859">
    <w:abstractNumId w:val="4"/>
  </w:num>
  <w:num w:numId="23" w16cid:durableId="844049484">
    <w:abstractNumId w:val="5"/>
  </w:num>
  <w:num w:numId="24" w16cid:durableId="443623287">
    <w:abstractNumId w:val="6"/>
  </w:num>
  <w:num w:numId="25" w16cid:durableId="1592618956">
    <w:abstractNumId w:val="7"/>
  </w:num>
  <w:num w:numId="26" w16cid:durableId="98841275">
    <w:abstractNumId w:val="9"/>
  </w:num>
  <w:num w:numId="27" w16cid:durableId="1715814367">
    <w:abstractNumId w:val="27"/>
  </w:num>
  <w:num w:numId="28" w16cid:durableId="2013601792">
    <w:abstractNumId w:val="21"/>
  </w:num>
  <w:num w:numId="29" w16cid:durableId="1780055194">
    <w:abstractNumId w:val="12"/>
  </w:num>
  <w:num w:numId="30" w16cid:durableId="1803425930">
    <w:abstractNumId w:val="18"/>
  </w:num>
  <w:num w:numId="31" w16cid:durableId="277034005">
    <w:abstractNumId w:val="13"/>
  </w:num>
  <w:num w:numId="32" w16cid:durableId="1119033473">
    <w:abstractNumId w:val="30"/>
  </w:num>
  <w:num w:numId="33" w16cid:durableId="1094403717">
    <w:abstractNumId w:val="37"/>
  </w:num>
  <w:num w:numId="34" w16cid:durableId="634529008">
    <w:abstractNumId w:val="26"/>
  </w:num>
  <w:num w:numId="35" w16cid:durableId="2655753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17799507">
    <w:abstractNumId w:val="38"/>
  </w:num>
  <w:num w:numId="37" w16cid:durableId="1437556335">
    <w:abstractNumId w:val="33"/>
  </w:num>
  <w:num w:numId="38" w16cid:durableId="1460535428">
    <w:abstractNumId w:val="25"/>
  </w:num>
  <w:num w:numId="39" w16cid:durableId="274949518">
    <w:abstractNumId w:val="32"/>
  </w:num>
  <w:num w:numId="40" w16cid:durableId="435759613">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efaultTableStyle w:val="FINTabelstijlnormaal"/>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203"/>
    <w:rsid w:val="00003071"/>
    <w:rsid w:val="00010574"/>
    <w:rsid w:val="0001228B"/>
    <w:rsid w:val="00023D85"/>
    <w:rsid w:val="000309B1"/>
    <w:rsid w:val="00030F67"/>
    <w:rsid w:val="000363F5"/>
    <w:rsid w:val="000412B5"/>
    <w:rsid w:val="00041A97"/>
    <w:rsid w:val="00042059"/>
    <w:rsid w:val="0004218A"/>
    <w:rsid w:val="000445AE"/>
    <w:rsid w:val="00044D7F"/>
    <w:rsid w:val="000450B1"/>
    <w:rsid w:val="000455F5"/>
    <w:rsid w:val="00045699"/>
    <w:rsid w:val="0004600E"/>
    <w:rsid w:val="00047DCD"/>
    <w:rsid w:val="0006008D"/>
    <w:rsid w:val="000607DE"/>
    <w:rsid w:val="000638EE"/>
    <w:rsid w:val="00065931"/>
    <w:rsid w:val="00076D67"/>
    <w:rsid w:val="00081372"/>
    <w:rsid w:val="000933E1"/>
    <w:rsid w:val="000944D4"/>
    <w:rsid w:val="000A640A"/>
    <w:rsid w:val="000B33E5"/>
    <w:rsid w:val="000B6627"/>
    <w:rsid w:val="000C0729"/>
    <w:rsid w:val="000C2739"/>
    <w:rsid w:val="000C3667"/>
    <w:rsid w:val="000C74DC"/>
    <w:rsid w:val="000C78FF"/>
    <w:rsid w:val="000D0EE8"/>
    <w:rsid w:val="000D1696"/>
    <w:rsid w:val="000E3DA4"/>
    <w:rsid w:val="000F346F"/>
    <w:rsid w:val="000F39DF"/>
    <w:rsid w:val="000F60D1"/>
    <w:rsid w:val="000F6F21"/>
    <w:rsid w:val="001020EA"/>
    <w:rsid w:val="00104403"/>
    <w:rsid w:val="00115811"/>
    <w:rsid w:val="00131156"/>
    <w:rsid w:val="001348D6"/>
    <w:rsid w:val="00142F7D"/>
    <w:rsid w:val="00150531"/>
    <w:rsid w:val="001573CE"/>
    <w:rsid w:val="00160D9E"/>
    <w:rsid w:val="001642C1"/>
    <w:rsid w:val="00165CC1"/>
    <w:rsid w:val="00165D4C"/>
    <w:rsid w:val="0016704D"/>
    <w:rsid w:val="00167F65"/>
    <w:rsid w:val="0017101F"/>
    <w:rsid w:val="00171A37"/>
    <w:rsid w:val="0017658D"/>
    <w:rsid w:val="00181068"/>
    <w:rsid w:val="00196984"/>
    <w:rsid w:val="001A6A1A"/>
    <w:rsid w:val="001B702A"/>
    <w:rsid w:val="001C12AA"/>
    <w:rsid w:val="001C5775"/>
    <w:rsid w:val="001D3A9A"/>
    <w:rsid w:val="001D6758"/>
    <w:rsid w:val="001E0E16"/>
    <w:rsid w:val="001E4E8C"/>
    <w:rsid w:val="001E7A8D"/>
    <w:rsid w:val="001F4E10"/>
    <w:rsid w:val="001F503A"/>
    <w:rsid w:val="002004F3"/>
    <w:rsid w:val="00200AEF"/>
    <w:rsid w:val="00201BDD"/>
    <w:rsid w:val="00204E8F"/>
    <w:rsid w:val="00205F11"/>
    <w:rsid w:val="00212502"/>
    <w:rsid w:val="0022507E"/>
    <w:rsid w:val="002251A0"/>
    <w:rsid w:val="0022544D"/>
    <w:rsid w:val="00230254"/>
    <w:rsid w:val="0023550F"/>
    <w:rsid w:val="00236CCA"/>
    <w:rsid w:val="002374E0"/>
    <w:rsid w:val="0023795B"/>
    <w:rsid w:val="00243B3F"/>
    <w:rsid w:val="00261D8E"/>
    <w:rsid w:val="00261E5C"/>
    <w:rsid w:val="00262EE7"/>
    <w:rsid w:val="002746AC"/>
    <w:rsid w:val="00275F3F"/>
    <w:rsid w:val="00276FAF"/>
    <w:rsid w:val="00287153"/>
    <w:rsid w:val="00290D75"/>
    <w:rsid w:val="00292174"/>
    <w:rsid w:val="0029483C"/>
    <w:rsid w:val="002973B8"/>
    <w:rsid w:val="002A0D86"/>
    <w:rsid w:val="002A1BF6"/>
    <w:rsid w:val="002B7802"/>
    <w:rsid w:val="002D5402"/>
    <w:rsid w:val="002E151A"/>
    <w:rsid w:val="002E20AC"/>
    <w:rsid w:val="002E6014"/>
    <w:rsid w:val="002F1CCB"/>
    <w:rsid w:val="002F411B"/>
    <w:rsid w:val="002F5FA5"/>
    <w:rsid w:val="00303AE1"/>
    <w:rsid w:val="00305AB9"/>
    <w:rsid w:val="00306431"/>
    <w:rsid w:val="00307713"/>
    <w:rsid w:val="00313FA8"/>
    <w:rsid w:val="00320A49"/>
    <w:rsid w:val="0032200F"/>
    <w:rsid w:val="00323A2F"/>
    <w:rsid w:val="0032613E"/>
    <w:rsid w:val="0033189D"/>
    <w:rsid w:val="00332A96"/>
    <w:rsid w:val="00333699"/>
    <w:rsid w:val="00337690"/>
    <w:rsid w:val="00340A37"/>
    <w:rsid w:val="0034188F"/>
    <w:rsid w:val="0034466E"/>
    <w:rsid w:val="00344AFC"/>
    <w:rsid w:val="00344DE1"/>
    <w:rsid w:val="00355FA6"/>
    <w:rsid w:val="003620A7"/>
    <w:rsid w:val="00365602"/>
    <w:rsid w:val="003671D1"/>
    <w:rsid w:val="00374266"/>
    <w:rsid w:val="00374C33"/>
    <w:rsid w:val="00374DD7"/>
    <w:rsid w:val="00380119"/>
    <w:rsid w:val="003815E9"/>
    <w:rsid w:val="00382C8B"/>
    <w:rsid w:val="00394CDA"/>
    <w:rsid w:val="00395B67"/>
    <w:rsid w:val="00395FD3"/>
    <w:rsid w:val="00397B37"/>
    <w:rsid w:val="003A1799"/>
    <w:rsid w:val="003B41B6"/>
    <w:rsid w:val="003B5730"/>
    <w:rsid w:val="003B695C"/>
    <w:rsid w:val="003B7F6D"/>
    <w:rsid w:val="003C0754"/>
    <w:rsid w:val="003C1F7A"/>
    <w:rsid w:val="003D2587"/>
    <w:rsid w:val="003D4016"/>
    <w:rsid w:val="003E7EDD"/>
    <w:rsid w:val="004004E4"/>
    <w:rsid w:val="004051E1"/>
    <w:rsid w:val="0041009C"/>
    <w:rsid w:val="00415786"/>
    <w:rsid w:val="00417821"/>
    <w:rsid w:val="00425DF2"/>
    <w:rsid w:val="004306A7"/>
    <w:rsid w:val="00432FD6"/>
    <w:rsid w:val="0043333D"/>
    <w:rsid w:val="00440F3D"/>
    <w:rsid w:val="004418F1"/>
    <w:rsid w:val="00442EA6"/>
    <w:rsid w:val="00453571"/>
    <w:rsid w:val="004652B8"/>
    <w:rsid w:val="00465ECB"/>
    <w:rsid w:val="00467188"/>
    <w:rsid w:val="0047254A"/>
    <w:rsid w:val="00472AD0"/>
    <w:rsid w:val="00475D14"/>
    <w:rsid w:val="00483E77"/>
    <w:rsid w:val="004847BA"/>
    <w:rsid w:val="0048769B"/>
    <w:rsid w:val="00497AA8"/>
    <w:rsid w:val="004A240F"/>
    <w:rsid w:val="004A7E5C"/>
    <w:rsid w:val="004B0F21"/>
    <w:rsid w:val="004B1D96"/>
    <w:rsid w:val="004B201D"/>
    <w:rsid w:val="004B7274"/>
    <w:rsid w:val="004C0D93"/>
    <w:rsid w:val="004C0E7E"/>
    <w:rsid w:val="004C2673"/>
    <w:rsid w:val="004C28F6"/>
    <w:rsid w:val="004C5127"/>
    <w:rsid w:val="004C76D9"/>
    <w:rsid w:val="004C7992"/>
    <w:rsid w:val="004C7D98"/>
    <w:rsid w:val="004D07ED"/>
    <w:rsid w:val="004D16BF"/>
    <w:rsid w:val="004E20E8"/>
    <w:rsid w:val="004E6475"/>
    <w:rsid w:val="004E72EE"/>
    <w:rsid w:val="004F02FB"/>
    <w:rsid w:val="004F0DD8"/>
    <w:rsid w:val="004F6DA2"/>
    <w:rsid w:val="00514826"/>
    <w:rsid w:val="0051670A"/>
    <w:rsid w:val="00521AF3"/>
    <w:rsid w:val="005242D6"/>
    <w:rsid w:val="005307CA"/>
    <w:rsid w:val="00530F92"/>
    <w:rsid w:val="005348B0"/>
    <w:rsid w:val="00534989"/>
    <w:rsid w:val="00540785"/>
    <w:rsid w:val="005478C1"/>
    <w:rsid w:val="00554F0D"/>
    <w:rsid w:val="00555ADB"/>
    <w:rsid w:val="005656A2"/>
    <w:rsid w:val="00591E07"/>
    <w:rsid w:val="00591EFC"/>
    <w:rsid w:val="005926D0"/>
    <w:rsid w:val="00592C56"/>
    <w:rsid w:val="00597030"/>
    <w:rsid w:val="005A2882"/>
    <w:rsid w:val="005A7C58"/>
    <w:rsid w:val="005B15F6"/>
    <w:rsid w:val="005B1D3D"/>
    <w:rsid w:val="005B42AF"/>
    <w:rsid w:val="005B65A6"/>
    <w:rsid w:val="005B6A19"/>
    <w:rsid w:val="005B6B1D"/>
    <w:rsid w:val="005B774D"/>
    <w:rsid w:val="005C02A3"/>
    <w:rsid w:val="005C53E1"/>
    <w:rsid w:val="005C5982"/>
    <w:rsid w:val="005C655E"/>
    <w:rsid w:val="005D0AD0"/>
    <w:rsid w:val="005D3DE3"/>
    <w:rsid w:val="005D3F69"/>
    <w:rsid w:val="005D5031"/>
    <w:rsid w:val="005E021E"/>
    <w:rsid w:val="005E12EF"/>
    <w:rsid w:val="005E4800"/>
    <w:rsid w:val="005E5FE8"/>
    <w:rsid w:val="005E7CDB"/>
    <w:rsid w:val="005E7F46"/>
    <w:rsid w:val="005F052F"/>
    <w:rsid w:val="005F166B"/>
    <w:rsid w:val="005F236B"/>
    <w:rsid w:val="005F2B4A"/>
    <w:rsid w:val="005F491D"/>
    <w:rsid w:val="00601A2C"/>
    <w:rsid w:val="00607473"/>
    <w:rsid w:val="006131A5"/>
    <w:rsid w:val="00613304"/>
    <w:rsid w:val="0061420B"/>
    <w:rsid w:val="006161DB"/>
    <w:rsid w:val="0062172E"/>
    <w:rsid w:val="00624D8A"/>
    <w:rsid w:val="00625592"/>
    <w:rsid w:val="00627A4E"/>
    <w:rsid w:val="0063078B"/>
    <w:rsid w:val="0063283E"/>
    <w:rsid w:val="00634043"/>
    <w:rsid w:val="006364B4"/>
    <w:rsid w:val="006423DD"/>
    <w:rsid w:val="006452D3"/>
    <w:rsid w:val="00651B65"/>
    <w:rsid w:val="006568FC"/>
    <w:rsid w:val="006611AB"/>
    <w:rsid w:val="0066650E"/>
    <w:rsid w:val="0067115E"/>
    <w:rsid w:val="006713D8"/>
    <w:rsid w:val="00674B29"/>
    <w:rsid w:val="006755B7"/>
    <w:rsid w:val="0067591F"/>
    <w:rsid w:val="0067752A"/>
    <w:rsid w:val="006819E0"/>
    <w:rsid w:val="006834BF"/>
    <w:rsid w:val="006A14DB"/>
    <w:rsid w:val="006A3F35"/>
    <w:rsid w:val="006B04EE"/>
    <w:rsid w:val="006D03FE"/>
    <w:rsid w:val="006D5772"/>
    <w:rsid w:val="006D6541"/>
    <w:rsid w:val="006E57D5"/>
    <w:rsid w:val="006E68FB"/>
    <w:rsid w:val="006F3572"/>
    <w:rsid w:val="006F74E4"/>
    <w:rsid w:val="007023D6"/>
    <w:rsid w:val="00714099"/>
    <w:rsid w:val="00727F57"/>
    <w:rsid w:val="00732EC5"/>
    <w:rsid w:val="0073527B"/>
    <w:rsid w:val="00740615"/>
    <w:rsid w:val="0074089D"/>
    <w:rsid w:val="007441D6"/>
    <w:rsid w:val="007451EF"/>
    <w:rsid w:val="00745D06"/>
    <w:rsid w:val="007515F2"/>
    <w:rsid w:val="00762EB2"/>
    <w:rsid w:val="0076392A"/>
    <w:rsid w:val="00764656"/>
    <w:rsid w:val="00764D55"/>
    <w:rsid w:val="0076606E"/>
    <w:rsid w:val="0077235B"/>
    <w:rsid w:val="00772719"/>
    <w:rsid w:val="0078186A"/>
    <w:rsid w:val="00781B01"/>
    <w:rsid w:val="007839C3"/>
    <w:rsid w:val="00786EBB"/>
    <w:rsid w:val="00790691"/>
    <w:rsid w:val="00791C9B"/>
    <w:rsid w:val="0079280D"/>
    <w:rsid w:val="00793237"/>
    <w:rsid w:val="007947A5"/>
    <w:rsid w:val="00795381"/>
    <w:rsid w:val="007A1162"/>
    <w:rsid w:val="007A4EF8"/>
    <w:rsid w:val="007A681C"/>
    <w:rsid w:val="007B4B4C"/>
    <w:rsid w:val="007C1961"/>
    <w:rsid w:val="007C2F92"/>
    <w:rsid w:val="007D51D0"/>
    <w:rsid w:val="007E514E"/>
    <w:rsid w:val="007E5744"/>
    <w:rsid w:val="007E58D7"/>
    <w:rsid w:val="007F254D"/>
    <w:rsid w:val="007F317F"/>
    <w:rsid w:val="007F519E"/>
    <w:rsid w:val="008043EB"/>
    <w:rsid w:val="008142E7"/>
    <w:rsid w:val="00820BCA"/>
    <w:rsid w:val="00823797"/>
    <w:rsid w:val="00823ACC"/>
    <w:rsid w:val="00827F4F"/>
    <w:rsid w:val="00831209"/>
    <w:rsid w:val="0083289D"/>
    <w:rsid w:val="008340F2"/>
    <w:rsid w:val="0084072B"/>
    <w:rsid w:val="00846A87"/>
    <w:rsid w:val="00847F6C"/>
    <w:rsid w:val="00851404"/>
    <w:rsid w:val="008607C6"/>
    <w:rsid w:val="00873078"/>
    <w:rsid w:val="008730B6"/>
    <w:rsid w:val="0087686C"/>
    <w:rsid w:val="00880DF0"/>
    <w:rsid w:val="00885F9F"/>
    <w:rsid w:val="00886C12"/>
    <w:rsid w:val="008B75B8"/>
    <w:rsid w:val="008D283E"/>
    <w:rsid w:val="008D2D93"/>
    <w:rsid w:val="008E2FAC"/>
    <w:rsid w:val="008E38BC"/>
    <w:rsid w:val="00904700"/>
    <w:rsid w:val="00911188"/>
    <w:rsid w:val="0091212F"/>
    <w:rsid w:val="00912137"/>
    <w:rsid w:val="00913DE4"/>
    <w:rsid w:val="00913EAF"/>
    <w:rsid w:val="00915767"/>
    <w:rsid w:val="00916002"/>
    <w:rsid w:val="00934D4C"/>
    <w:rsid w:val="00936D70"/>
    <w:rsid w:val="00941E47"/>
    <w:rsid w:val="00942EB4"/>
    <w:rsid w:val="009555F3"/>
    <w:rsid w:val="00960A4F"/>
    <w:rsid w:val="009662EA"/>
    <w:rsid w:val="00977D3C"/>
    <w:rsid w:val="00981F2F"/>
    <w:rsid w:val="00984A30"/>
    <w:rsid w:val="009913CE"/>
    <w:rsid w:val="00991863"/>
    <w:rsid w:val="009921D0"/>
    <w:rsid w:val="009968A0"/>
    <w:rsid w:val="00997C4A"/>
    <w:rsid w:val="009A5617"/>
    <w:rsid w:val="009B22AF"/>
    <w:rsid w:val="009C0280"/>
    <w:rsid w:val="009C2A62"/>
    <w:rsid w:val="009C2CCC"/>
    <w:rsid w:val="009C3036"/>
    <w:rsid w:val="009D519D"/>
    <w:rsid w:val="009E234C"/>
    <w:rsid w:val="009E4A07"/>
    <w:rsid w:val="009E558A"/>
    <w:rsid w:val="009E741C"/>
    <w:rsid w:val="009F4BE6"/>
    <w:rsid w:val="009F597E"/>
    <w:rsid w:val="00A047FB"/>
    <w:rsid w:val="00A06BB3"/>
    <w:rsid w:val="00A136D7"/>
    <w:rsid w:val="00A1730C"/>
    <w:rsid w:val="00A17E0C"/>
    <w:rsid w:val="00A21B3C"/>
    <w:rsid w:val="00A21C55"/>
    <w:rsid w:val="00A26536"/>
    <w:rsid w:val="00A361E5"/>
    <w:rsid w:val="00A40132"/>
    <w:rsid w:val="00A428BD"/>
    <w:rsid w:val="00A51273"/>
    <w:rsid w:val="00A57604"/>
    <w:rsid w:val="00A60093"/>
    <w:rsid w:val="00A63BBC"/>
    <w:rsid w:val="00A641E0"/>
    <w:rsid w:val="00A6575D"/>
    <w:rsid w:val="00A65915"/>
    <w:rsid w:val="00A66DD9"/>
    <w:rsid w:val="00A70521"/>
    <w:rsid w:val="00A71875"/>
    <w:rsid w:val="00A73D77"/>
    <w:rsid w:val="00A805C6"/>
    <w:rsid w:val="00A82CBE"/>
    <w:rsid w:val="00A86755"/>
    <w:rsid w:val="00A96E9E"/>
    <w:rsid w:val="00AA748A"/>
    <w:rsid w:val="00AA7F75"/>
    <w:rsid w:val="00AB7063"/>
    <w:rsid w:val="00AB7910"/>
    <w:rsid w:val="00AC0C1C"/>
    <w:rsid w:val="00AC0FCA"/>
    <w:rsid w:val="00AD1CD4"/>
    <w:rsid w:val="00AD5269"/>
    <w:rsid w:val="00AE1D91"/>
    <w:rsid w:val="00AE44C7"/>
    <w:rsid w:val="00AE595F"/>
    <w:rsid w:val="00AF06EC"/>
    <w:rsid w:val="00AF4B38"/>
    <w:rsid w:val="00AF6DCF"/>
    <w:rsid w:val="00AF6EC0"/>
    <w:rsid w:val="00B00B98"/>
    <w:rsid w:val="00B01101"/>
    <w:rsid w:val="00B02C55"/>
    <w:rsid w:val="00B03326"/>
    <w:rsid w:val="00B0591C"/>
    <w:rsid w:val="00B06160"/>
    <w:rsid w:val="00B07559"/>
    <w:rsid w:val="00B1291C"/>
    <w:rsid w:val="00B16218"/>
    <w:rsid w:val="00B260CD"/>
    <w:rsid w:val="00B263FD"/>
    <w:rsid w:val="00B33F8E"/>
    <w:rsid w:val="00B36FA6"/>
    <w:rsid w:val="00B40625"/>
    <w:rsid w:val="00B51BE0"/>
    <w:rsid w:val="00B679F4"/>
    <w:rsid w:val="00B67F95"/>
    <w:rsid w:val="00B701B6"/>
    <w:rsid w:val="00B73BCC"/>
    <w:rsid w:val="00B81201"/>
    <w:rsid w:val="00B816DA"/>
    <w:rsid w:val="00B84E2E"/>
    <w:rsid w:val="00B86914"/>
    <w:rsid w:val="00B86B4E"/>
    <w:rsid w:val="00B91A86"/>
    <w:rsid w:val="00B92819"/>
    <w:rsid w:val="00B9612A"/>
    <w:rsid w:val="00B96E4C"/>
    <w:rsid w:val="00BA0C47"/>
    <w:rsid w:val="00BB443C"/>
    <w:rsid w:val="00BC162B"/>
    <w:rsid w:val="00BC2A4A"/>
    <w:rsid w:val="00BC2ABC"/>
    <w:rsid w:val="00BC2E6A"/>
    <w:rsid w:val="00BC7A42"/>
    <w:rsid w:val="00BD65B2"/>
    <w:rsid w:val="00BD6D05"/>
    <w:rsid w:val="00BD77F7"/>
    <w:rsid w:val="00BE5E05"/>
    <w:rsid w:val="00BF21EE"/>
    <w:rsid w:val="00BF79B8"/>
    <w:rsid w:val="00C03C19"/>
    <w:rsid w:val="00C30071"/>
    <w:rsid w:val="00C31A9C"/>
    <w:rsid w:val="00C323C8"/>
    <w:rsid w:val="00C368E8"/>
    <w:rsid w:val="00C41758"/>
    <w:rsid w:val="00C5123A"/>
    <w:rsid w:val="00C52125"/>
    <w:rsid w:val="00C54049"/>
    <w:rsid w:val="00C54191"/>
    <w:rsid w:val="00C5597B"/>
    <w:rsid w:val="00C55F15"/>
    <w:rsid w:val="00C60411"/>
    <w:rsid w:val="00C60AEE"/>
    <w:rsid w:val="00C60DF2"/>
    <w:rsid w:val="00C64A78"/>
    <w:rsid w:val="00C6559A"/>
    <w:rsid w:val="00C657B9"/>
    <w:rsid w:val="00C65B3A"/>
    <w:rsid w:val="00C6624E"/>
    <w:rsid w:val="00C765F3"/>
    <w:rsid w:val="00C776F7"/>
    <w:rsid w:val="00C80497"/>
    <w:rsid w:val="00C808F6"/>
    <w:rsid w:val="00C8682B"/>
    <w:rsid w:val="00C92AA9"/>
    <w:rsid w:val="00C93E64"/>
    <w:rsid w:val="00C97274"/>
    <w:rsid w:val="00CA4F1C"/>
    <w:rsid w:val="00CA6EEA"/>
    <w:rsid w:val="00CB4618"/>
    <w:rsid w:val="00CC17AD"/>
    <w:rsid w:val="00CC40A9"/>
    <w:rsid w:val="00CC52E1"/>
    <w:rsid w:val="00CD11E4"/>
    <w:rsid w:val="00CD48FB"/>
    <w:rsid w:val="00CD51DB"/>
    <w:rsid w:val="00CD6A27"/>
    <w:rsid w:val="00CE6379"/>
    <w:rsid w:val="00CF1BB8"/>
    <w:rsid w:val="00D05BB8"/>
    <w:rsid w:val="00D05DD7"/>
    <w:rsid w:val="00D106DB"/>
    <w:rsid w:val="00D129A4"/>
    <w:rsid w:val="00D15043"/>
    <w:rsid w:val="00D20563"/>
    <w:rsid w:val="00D2226D"/>
    <w:rsid w:val="00D23E75"/>
    <w:rsid w:val="00D25A16"/>
    <w:rsid w:val="00D25AE1"/>
    <w:rsid w:val="00D25EC2"/>
    <w:rsid w:val="00D26C4D"/>
    <w:rsid w:val="00D33E06"/>
    <w:rsid w:val="00D3691D"/>
    <w:rsid w:val="00D42FFC"/>
    <w:rsid w:val="00D44129"/>
    <w:rsid w:val="00D54F4C"/>
    <w:rsid w:val="00D60A04"/>
    <w:rsid w:val="00D6374F"/>
    <w:rsid w:val="00D63AF7"/>
    <w:rsid w:val="00D725A2"/>
    <w:rsid w:val="00D741CF"/>
    <w:rsid w:val="00D75505"/>
    <w:rsid w:val="00D770F3"/>
    <w:rsid w:val="00D777E0"/>
    <w:rsid w:val="00D9383A"/>
    <w:rsid w:val="00D97DE7"/>
    <w:rsid w:val="00DA34AD"/>
    <w:rsid w:val="00DA6169"/>
    <w:rsid w:val="00DA7003"/>
    <w:rsid w:val="00DA7C42"/>
    <w:rsid w:val="00DB36E9"/>
    <w:rsid w:val="00DC0627"/>
    <w:rsid w:val="00DC4227"/>
    <w:rsid w:val="00DD1A39"/>
    <w:rsid w:val="00DD1A48"/>
    <w:rsid w:val="00DD55DF"/>
    <w:rsid w:val="00DE57B8"/>
    <w:rsid w:val="00DE6FCF"/>
    <w:rsid w:val="00DE78AD"/>
    <w:rsid w:val="00DF053C"/>
    <w:rsid w:val="00DF07DD"/>
    <w:rsid w:val="00DF0C1A"/>
    <w:rsid w:val="00DF4E4E"/>
    <w:rsid w:val="00E062FF"/>
    <w:rsid w:val="00E13CB2"/>
    <w:rsid w:val="00E21E47"/>
    <w:rsid w:val="00E26A85"/>
    <w:rsid w:val="00E34F05"/>
    <w:rsid w:val="00E44123"/>
    <w:rsid w:val="00E44B16"/>
    <w:rsid w:val="00E53377"/>
    <w:rsid w:val="00E53A7F"/>
    <w:rsid w:val="00E54D88"/>
    <w:rsid w:val="00E57ED4"/>
    <w:rsid w:val="00E663F7"/>
    <w:rsid w:val="00E7116E"/>
    <w:rsid w:val="00E7157D"/>
    <w:rsid w:val="00E71A25"/>
    <w:rsid w:val="00E75B60"/>
    <w:rsid w:val="00E80901"/>
    <w:rsid w:val="00E82559"/>
    <w:rsid w:val="00E83424"/>
    <w:rsid w:val="00E85343"/>
    <w:rsid w:val="00E94946"/>
    <w:rsid w:val="00E95A69"/>
    <w:rsid w:val="00EA0B91"/>
    <w:rsid w:val="00EB0D5E"/>
    <w:rsid w:val="00EB4C58"/>
    <w:rsid w:val="00EB564B"/>
    <w:rsid w:val="00EC41C9"/>
    <w:rsid w:val="00EC6FFD"/>
    <w:rsid w:val="00ED156B"/>
    <w:rsid w:val="00ED30C1"/>
    <w:rsid w:val="00ED4501"/>
    <w:rsid w:val="00ED4DBA"/>
    <w:rsid w:val="00ED7162"/>
    <w:rsid w:val="00EE0065"/>
    <w:rsid w:val="00EE0506"/>
    <w:rsid w:val="00EE3640"/>
    <w:rsid w:val="00EF02D9"/>
    <w:rsid w:val="00EF1B00"/>
    <w:rsid w:val="00EF7E1E"/>
    <w:rsid w:val="00F15626"/>
    <w:rsid w:val="00F20283"/>
    <w:rsid w:val="00F23D92"/>
    <w:rsid w:val="00F24746"/>
    <w:rsid w:val="00F26203"/>
    <w:rsid w:val="00F27CBD"/>
    <w:rsid w:val="00F3289E"/>
    <w:rsid w:val="00F335E9"/>
    <w:rsid w:val="00F33716"/>
    <w:rsid w:val="00F4179B"/>
    <w:rsid w:val="00F437C7"/>
    <w:rsid w:val="00F451E4"/>
    <w:rsid w:val="00F4633D"/>
    <w:rsid w:val="00F50D9C"/>
    <w:rsid w:val="00F51BCC"/>
    <w:rsid w:val="00F522EB"/>
    <w:rsid w:val="00F535AD"/>
    <w:rsid w:val="00F63A37"/>
    <w:rsid w:val="00F65DB3"/>
    <w:rsid w:val="00F66A4D"/>
    <w:rsid w:val="00F75124"/>
    <w:rsid w:val="00F76DE5"/>
    <w:rsid w:val="00F82681"/>
    <w:rsid w:val="00F829FE"/>
    <w:rsid w:val="00F836E8"/>
    <w:rsid w:val="00F91A3E"/>
    <w:rsid w:val="00F9331D"/>
    <w:rsid w:val="00F97747"/>
    <w:rsid w:val="00FA4EA0"/>
    <w:rsid w:val="00FA6A12"/>
    <w:rsid w:val="00FB39A1"/>
    <w:rsid w:val="00FC261D"/>
    <w:rsid w:val="00FD019C"/>
    <w:rsid w:val="00FD25CF"/>
    <w:rsid w:val="00FD668B"/>
    <w:rsid w:val="00FD7448"/>
    <w:rsid w:val="00FD7957"/>
    <w:rsid w:val="00FE3AB8"/>
    <w:rsid w:val="00FE6189"/>
    <w:rsid w:val="00FE70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3A636"/>
  <w14:defaultImageDpi w14:val="32767"/>
  <w15:docId w15:val="{E849379A-E014-2341-B5CA-8F51A8BA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575D"/>
    <w:pPr>
      <w:spacing w:after="280" w:line="280" w:lineRule="atLeast"/>
      <w:contextualSpacing/>
    </w:pPr>
    <w:rPr>
      <w:rFonts w:ascii="Verdana" w:eastAsia="Times New Roman" w:hAnsi="Verdana" w:cs="Open Sans"/>
      <w:sz w:val="18"/>
      <w:szCs w:val="18"/>
      <w:lang w:eastAsia="nl-NL"/>
    </w:rPr>
  </w:style>
  <w:style w:type="paragraph" w:styleId="Kop1">
    <w:name w:val="heading 1"/>
    <w:basedOn w:val="Standaard"/>
    <w:next w:val="Standaard"/>
    <w:link w:val="Kop1Char"/>
    <w:uiPriority w:val="9"/>
    <w:qFormat/>
    <w:rsid w:val="00EA0B91"/>
    <w:pPr>
      <w:pageBreakBefore/>
      <w:numPr>
        <w:numId w:val="14"/>
      </w:numPr>
      <w:spacing w:after="560" w:line="380" w:lineRule="exact"/>
      <w:outlineLvl w:val="0"/>
    </w:pPr>
    <w:rPr>
      <w:rFonts w:asciiTheme="minorHAnsi" w:eastAsiaTheme="majorEastAsia" w:hAnsiTheme="minorHAnsi" w:cstheme="minorHAnsi"/>
      <w:b/>
      <w:bCs/>
      <w:color w:val="0066A4"/>
      <w:sz w:val="44"/>
      <w:szCs w:val="44"/>
    </w:rPr>
  </w:style>
  <w:style w:type="paragraph" w:styleId="Kop2">
    <w:name w:val="heading 2"/>
    <w:basedOn w:val="Standaard"/>
    <w:next w:val="Standaard"/>
    <w:link w:val="Kop2Char"/>
    <w:unhideWhenUsed/>
    <w:qFormat/>
    <w:rsid w:val="001E0E16"/>
    <w:pPr>
      <w:numPr>
        <w:ilvl w:val="1"/>
        <w:numId w:val="14"/>
      </w:numPr>
      <w:outlineLvl w:val="1"/>
    </w:pPr>
    <w:rPr>
      <w:rFonts w:asciiTheme="minorHAnsi" w:hAnsiTheme="minorHAnsi" w:cs="Calibri (Hoofdtekst)"/>
      <w:b/>
      <w:bCs/>
      <w:color w:val="0066A4"/>
      <w:sz w:val="32"/>
      <w:szCs w:val="32"/>
    </w:rPr>
  </w:style>
  <w:style w:type="paragraph" w:styleId="Kop3">
    <w:name w:val="heading 3"/>
    <w:basedOn w:val="Kop2"/>
    <w:next w:val="Standaard"/>
    <w:link w:val="Kop3Char"/>
    <w:unhideWhenUsed/>
    <w:qFormat/>
    <w:rsid w:val="00440F3D"/>
    <w:pPr>
      <w:keepNext/>
      <w:numPr>
        <w:ilvl w:val="2"/>
      </w:numPr>
      <w:spacing w:after="0" w:line="240" w:lineRule="auto"/>
      <w:ind w:left="567" w:hanging="567"/>
      <w:outlineLvl w:val="2"/>
    </w:pPr>
    <w:rPr>
      <w:sz w:val="26"/>
      <w:szCs w:val="26"/>
    </w:rPr>
  </w:style>
  <w:style w:type="paragraph" w:styleId="Kop4">
    <w:name w:val="heading 4"/>
    <w:basedOn w:val="Standaard"/>
    <w:next w:val="Standaard"/>
    <w:link w:val="Kop4Char"/>
    <w:uiPriority w:val="9"/>
    <w:unhideWhenUsed/>
    <w:qFormat/>
    <w:rsid w:val="00D42FFC"/>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D42FFC"/>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D42FFC"/>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D42FFC"/>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D42FFC"/>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D42FFC"/>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oettekstje">
    <w:name w:val="Voettekstje"/>
    <w:basedOn w:val="Standaard"/>
    <w:rsid w:val="00DF07DD"/>
    <w:pPr>
      <w:spacing w:line="360" w:lineRule="atLeast"/>
    </w:pPr>
    <w:rPr>
      <w:rFonts w:ascii="Merriweather Sans Light" w:eastAsiaTheme="minorEastAsia" w:hAnsi="Merriweather Sans Light"/>
      <w:color w:val="FFFFFF" w:themeColor="background1"/>
    </w:rPr>
  </w:style>
  <w:style w:type="paragraph" w:styleId="Titel">
    <w:name w:val="Title"/>
    <w:basedOn w:val="Standaard"/>
    <w:next w:val="Standaard"/>
    <w:link w:val="TitelChar"/>
    <w:qFormat/>
    <w:rsid w:val="00934D4C"/>
    <w:pPr>
      <w:spacing w:before="2480" w:after="0" w:line="192" w:lineRule="auto"/>
      <w:ind w:right="4496"/>
    </w:pPr>
    <w:rPr>
      <w:rFonts w:asciiTheme="minorHAnsi" w:hAnsiTheme="minorHAnsi" w:cstheme="minorHAnsi"/>
      <w:color w:val="0066A4"/>
      <w:sz w:val="80"/>
      <w:szCs w:val="144"/>
    </w:rPr>
  </w:style>
  <w:style w:type="character" w:customStyle="1" w:styleId="TitelChar">
    <w:name w:val="Titel Char"/>
    <w:basedOn w:val="Standaardalinea-lettertype"/>
    <w:link w:val="Titel"/>
    <w:rsid w:val="00934D4C"/>
    <w:rPr>
      <w:rFonts w:eastAsia="Times New Roman" w:cstheme="minorHAnsi"/>
      <w:color w:val="0066A4"/>
      <w:sz w:val="80"/>
      <w:szCs w:val="144"/>
      <w:lang w:eastAsia="nl-NL"/>
    </w:rPr>
  </w:style>
  <w:style w:type="character" w:customStyle="1" w:styleId="Kop1Char">
    <w:name w:val="Kop 1 Char"/>
    <w:basedOn w:val="Standaardalinea-lettertype"/>
    <w:link w:val="Kop1"/>
    <w:uiPriority w:val="9"/>
    <w:rsid w:val="00EA0B91"/>
    <w:rPr>
      <w:rFonts w:eastAsiaTheme="majorEastAsia" w:cstheme="minorHAnsi"/>
      <w:b/>
      <w:bCs/>
      <w:color w:val="0066A4"/>
      <w:sz w:val="44"/>
      <w:szCs w:val="44"/>
      <w:lang w:eastAsia="nl-NL"/>
    </w:rPr>
  </w:style>
  <w:style w:type="character" w:customStyle="1" w:styleId="Kop2Char">
    <w:name w:val="Kop 2 Char"/>
    <w:basedOn w:val="Standaardalinea-lettertype"/>
    <w:link w:val="Kop2"/>
    <w:rsid w:val="001E0E16"/>
    <w:rPr>
      <w:rFonts w:eastAsia="Times New Roman" w:cs="Calibri (Hoofdtekst)"/>
      <w:b/>
      <w:bCs/>
      <w:color w:val="0066A4"/>
      <w:sz w:val="32"/>
      <w:szCs w:val="32"/>
      <w:lang w:eastAsia="nl-NL"/>
    </w:rPr>
  </w:style>
  <w:style w:type="character" w:customStyle="1" w:styleId="Kop3Char">
    <w:name w:val="Kop 3 Char"/>
    <w:basedOn w:val="Standaardalinea-lettertype"/>
    <w:link w:val="Kop3"/>
    <w:rsid w:val="00440F3D"/>
    <w:rPr>
      <w:rFonts w:eastAsia="Times New Roman" w:cs="Calibri (Hoofdtekst)"/>
      <w:b/>
      <w:bCs/>
      <w:color w:val="0066A4"/>
      <w:sz w:val="26"/>
      <w:szCs w:val="26"/>
      <w:lang w:eastAsia="nl-NL"/>
    </w:rPr>
  </w:style>
  <w:style w:type="character" w:customStyle="1" w:styleId="Kop4Char">
    <w:name w:val="Kop 4 Char"/>
    <w:basedOn w:val="Standaardalinea-lettertype"/>
    <w:link w:val="Kop4"/>
    <w:uiPriority w:val="9"/>
    <w:rsid w:val="00B36FA6"/>
    <w:rPr>
      <w:rFonts w:asciiTheme="majorHAnsi" w:eastAsiaTheme="majorEastAsia" w:hAnsiTheme="majorHAnsi" w:cstheme="majorBidi"/>
      <w:i/>
      <w:iCs/>
      <w:color w:val="2F5496" w:themeColor="accent1" w:themeShade="BF"/>
      <w:sz w:val="18"/>
      <w:szCs w:val="18"/>
      <w:lang w:eastAsia="nl-NL"/>
    </w:rPr>
  </w:style>
  <w:style w:type="character" w:customStyle="1" w:styleId="Kop5Char">
    <w:name w:val="Kop 5 Char"/>
    <w:basedOn w:val="Standaardalinea-lettertype"/>
    <w:link w:val="Kop5"/>
    <w:uiPriority w:val="9"/>
    <w:rsid w:val="00B36FA6"/>
    <w:rPr>
      <w:rFonts w:asciiTheme="majorHAnsi" w:eastAsiaTheme="majorEastAsia" w:hAnsiTheme="majorHAnsi" w:cstheme="majorBidi"/>
      <w:color w:val="2F5496" w:themeColor="accent1" w:themeShade="BF"/>
      <w:sz w:val="18"/>
      <w:szCs w:val="18"/>
      <w:lang w:eastAsia="nl-NL"/>
    </w:rPr>
  </w:style>
  <w:style w:type="character" w:customStyle="1" w:styleId="Kop6Char">
    <w:name w:val="Kop 6 Char"/>
    <w:basedOn w:val="Standaardalinea-lettertype"/>
    <w:link w:val="Kop6"/>
    <w:uiPriority w:val="9"/>
    <w:semiHidden/>
    <w:rsid w:val="00B36FA6"/>
    <w:rPr>
      <w:rFonts w:asciiTheme="majorHAnsi" w:eastAsiaTheme="majorEastAsia" w:hAnsiTheme="majorHAnsi" w:cstheme="majorBidi"/>
      <w:color w:val="1F3763" w:themeColor="accent1" w:themeShade="7F"/>
      <w:sz w:val="18"/>
      <w:szCs w:val="18"/>
      <w:lang w:eastAsia="nl-NL"/>
    </w:rPr>
  </w:style>
  <w:style w:type="character" w:customStyle="1" w:styleId="Kop7Char">
    <w:name w:val="Kop 7 Char"/>
    <w:basedOn w:val="Standaardalinea-lettertype"/>
    <w:link w:val="Kop7"/>
    <w:uiPriority w:val="9"/>
    <w:semiHidden/>
    <w:rsid w:val="00B36FA6"/>
    <w:rPr>
      <w:rFonts w:asciiTheme="majorHAnsi" w:eastAsiaTheme="majorEastAsia" w:hAnsiTheme="majorHAnsi" w:cstheme="majorBidi"/>
      <w:i/>
      <w:iCs/>
      <w:color w:val="1F3763" w:themeColor="accent1" w:themeShade="7F"/>
      <w:sz w:val="18"/>
      <w:szCs w:val="18"/>
      <w:lang w:eastAsia="nl-NL"/>
    </w:rPr>
  </w:style>
  <w:style w:type="character" w:customStyle="1" w:styleId="Kop8Char">
    <w:name w:val="Kop 8 Char"/>
    <w:basedOn w:val="Standaardalinea-lettertype"/>
    <w:link w:val="Kop8"/>
    <w:uiPriority w:val="9"/>
    <w:semiHidden/>
    <w:rsid w:val="00B36FA6"/>
    <w:rPr>
      <w:rFonts w:asciiTheme="majorHAnsi" w:eastAsiaTheme="majorEastAsia" w:hAnsiTheme="majorHAnsi" w:cstheme="majorBidi"/>
      <w:color w:val="272727" w:themeColor="text1" w:themeTint="D8"/>
      <w:sz w:val="21"/>
      <w:szCs w:val="21"/>
      <w:lang w:eastAsia="nl-NL"/>
    </w:rPr>
  </w:style>
  <w:style w:type="character" w:customStyle="1" w:styleId="Kop9Char">
    <w:name w:val="Kop 9 Char"/>
    <w:basedOn w:val="Standaardalinea-lettertype"/>
    <w:link w:val="Kop9"/>
    <w:uiPriority w:val="9"/>
    <w:semiHidden/>
    <w:rsid w:val="00B36FA6"/>
    <w:rPr>
      <w:rFonts w:asciiTheme="majorHAnsi" w:eastAsiaTheme="majorEastAsia" w:hAnsiTheme="majorHAnsi" w:cstheme="majorBidi"/>
      <w:i/>
      <w:iCs/>
      <w:color w:val="272727" w:themeColor="text1" w:themeTint="D8"/>
      <w:sz w:val="21"/>
      <w:szCs w:val="21"/>
      <w:lang w:eastAsia="nl-NL"/>
    </w:rPr>
  </w:style>
  <w:style w:type="paragraph" w:styleId="Kopvaninhoudsopgave">
    <w:name w:val="TOC Heading"/>
    <w:basedOn w:val="Kop1"/>
    <w:next w:val="Standaard"/>
    <w:uiPriority w:val="39"/>
    <w:unhideWhenUsed/>
    <w:qFormat/>
    <w:rsid w:val="00395B67"/>
    <w:pPr>
      <w:pageBreakBefore w:val="0"/>
      <w:numPr>
        <w:numId w:val="0"/>
      </w:numPr>
      <w:outlineLvl w:val="9"/>
    </w:pPr>
    <w:rPr>
      <w:rFonts w:eastAsiaTheme="minorHAnsi" w:cs="Times New Roman (Hoofdtekst CS)"/>
      <w:bCs w:val="0"/>
      <w:lang w:eastAsia="en-US"/>
    </w:rPr>
  </w:style>
  <w:style w:type="paragraph" w:styleId="Inhopg1">
    <w:name w:val="toc 1"/>
    <w:basedOn w:val="Standaard"/>
    <w:next w:val="Standaard"/>
    <w:uiPriority w:val="39"/>
    <w:unhideWhenUsed/>
    <w:rsid w:val="00D97DE7"/>
    <w:pPr>
      <w:shd w:val="clear" w:color="auto" w:fill="0066A4"/>
      <w:tabs>
        <w:tab w:val="left" w:pos="567"/>
      </w:tabs>
      <w:spacing w:after="0"/>
      <w:ind w:firstLine="142"/>
    </w:pPr>
    <w:rPr>
      <w:rFonts w:asciiTheme="minorHAnsi" w:hAnsiTheme="minorHAnsi" w:cs="Calibri (Hoofdtekst)"/>
      <w:bCs/>
      <w:color w:val="FFFFFF" w:themeColor="background1"/>
      <w:sz w:val="26"/>
      <w:szCs w:val="20"/>
    </w:rPr>
  </w:style>
  <w:style w:type="paragraph" w:styleId="Inhopg2">
    <w:name w:val="toc 2"/>
    <w:basedOn w:val="Standaard"/>
    <w:next w:val="Standaard"/>
    <w:uiPriority w:val="39"/>
    <w:unhideWhenUsed/>
    <w:rsid w:val="00D97DE7"/>
    <w:pPr>
      <w:tabs>
        <w:tab w:val="left" w:pos="567"/>
      </w:tabs>
      <w:spacing w:before="120" w:after="0"/>
      <w:ind w:left="567" w:hanging="567"/>
    </w:pPr>
    <w:rPr>
      <w:rFonts w:asciiTheme="minorHAnsi" w:hAnsiTheme="minorHAnsi" w:cs="Calibri (Hoofdtekst)"/>
      <w:iCs/>
      <w:color w:val="0066A4"/>
      <w:sz w:val="26"/>
      <w:szCs w:val="20"/>
    </w:rPr>
  </w:style>
  <w:style w:type="character" w:styleId="Hyperlink">
    <w:name w:val="Hyperlink"/>
    <w:basedOn w:val="Standaardalinea-lettertype"/>
    <w:uiPriority w:val="99"/>
    <w:unhideWhenUsed/>
    <w:rsid w:val="00D63AF7"/>
    <w:rPr>
      <w:i/>
      <w:color w:val="0563C1" w:themeColor="hyperlink"/>
      <w:u w:val="single"/>
    </w:rPr>
  </w:style>
  <w:style w:type="paragraph" w:styleId="Inhopg3">
    <w:name w:val="toc 3"/>
    <w:basedOn w:val="Standaard"/>
    <w:next w:val="Standaard"/>
    <w:uiPriority w:val="39"/>
    <w:unhideWhenUsed/>
    <w:rsid w:val="00E53A7F"/>
    <w:pPr>
      <w:spacing w:after="0"/>
      <w:ind w:left="360"/>
    </w:pPr>
    <w:rPr>
      <w:rFonts w:asciiTheme="minorHAnsi" w:hAnsiTheme="minorHAnsi" w:cstheme="minorHAnsi"/>
      <w:sz w:val="20"/>
      <w:szCs w:val="20"/>
    </w:rPr>
  </w:style>
  <w:style w:type="paragraph" w:styleId="Inhopg4">
    <w:name w:val="toc 4"/>
    <w:basedOn w:val="Inhopg2"/>
    <w:next w:val="Standaard"/>
    <w:uiPriority w:val="39"/>
    <w:unhideWhenUsed/>
    <w:rsid w:val="00885F9F"/>
    <w:pPr>
      <w:spacing w:before="0"/>
      <w:ind w:left="540"/>
    </w:pPr>
    <w:rPr>
      <w:i/>
      <w:iCs w:val="0"/>
    </w:rPr>
  </w:style>
  <w:style w:type="paragraph" w:styleId="Inhopg5">
    <w:name w:val="toc 5"/>
    <w:basedOn w:val="Inhopg2"/>
    <w:next w:val="Standaard"/>
    <w:autoRedefine/>
    <w:uiPriority w:val="39"/>
    <w:unhideWhenUsed/>
    <w:rsid w:val="000363F5"/>
    <w:pPr>
      <w:spacing w:before="0"/>
      <w:ind w:left="720"/>
    </w:pPr>
    <w:rPr>
      <w:i/>
      <w:iCs w:val="0"/>
    </w:rPr>
  </w:style>
  <w:style w:type="paragraph" w:styleId="Inhopg6">
    <w:name w:val="toc 6"/>
    <w:basedOn w:val="Inhopg1"/>
    <w:next w:val="Standaard"/>
    <w:autoRedefine/>
    <w:uiPriority w:val="39"/>
    <w:unhideWhenUsed/>
    <w:rsid w:val="000363F5"/>
    <w:pPr>
      <w:ind w:left="900"/>
    </w:pPr>
    <w:rPr>
      <w:b/>
      <w:bCs w:val="0"/>
    </w:rPr>
  </w:style>
  <w:style w:type="paragraph" w:styleId="Inhopg7">
    <w:name w:val="toc 7"/>
    <w:basedOn w:val="Standaard"/>
    <w:next w:val="Standaard"/>
    <w:autoRedefine/>
    <w:uiPriority w:val="39"/>
    <w:unhideWhenUsed/>
    <w:rsid w:val="00B36FA6"/>
    <w:pPr>
      <w:spacing w:after="0"/>
      <w:ind w:left="1080"/>
    </w:pPr>
    <w:rPr>
      <w:rFonts w:asciiTheme="minorHAnsi" w:hAnsiTheme="minorHAnsi" w:cstheme="minorHAnsi"/>
      <w:sz w:val="20"/>
      <w:szCs w:val="20"/>
    </w:rPr>
  </w:style>
  <w:style w:type="paragraph" w:styleId="Inhopg8">
    <w:name w:val="toc 8"/>
    <w:basedOn w:val="Standaard"/>
    <w:next w:val="Standaard"/>
    <w:autoRedefine/>
    <w:uiPriority w:val="39"/>
    <w:unhideWhenUsed/>
    <w:rsid w:val="00B36FA6"/>
    <w:pPr>
      <w:spacing w:after="0"/>
      <w:ind w:left="1260"/>
    </w:pPr>
    <w:rPr>
      <w:rFonts w:asciiTheme="minorHAnsi" w:hAnsiTheme="minorHAnsi" w:cstheme="minorHAnsi"/>
      <w:sz w:val="20"/>
      <w:szCs w:val="20"/>
    </w:rPr>
  </w:style>
  <w:style w:type="paragraph" w:styleId="Inhopg9">
    <w:name w:val="toc 9"/>
    <w:basedOn w:val="Standaard"/>
    <w:next w:val="Standaard"/>
    <w:autoRedefine/>
    <w:uiPriority w:val="39"/>
    <w:unhideWhenUsed/>
    <w:rsid w:val="00B36FA6"/>
    <w:pPr>
      <w:spacing w:after="0"/>
      <w:ind w:left="1440"/>
    </w:pPr>
    <w:rPr>
      <w:rFonts w:asciiTheme="minorHAnsi" w:hAnsiTheme="minorHAnsi" w:cstheme="minorHAnsi"/>
      <w:sz w:val="20"/>
      <w:szCs w:val="20"/>
    </w:rPr>
  </w:style>
  <w:style w:type="paragraph" w:customStyle="1" w:styleId="Kop1zondernummer">
    <w:name w:val="Kop 1 zondernummer"/>
    <w:basedOn w:val="Kop1"/>
    <w:next w:val="Standaard"/>
    <w:qFormat/>
    <w:rsid w:val="00EA0B91"/>
    <w:pPr>
      <w:numPr>
        <w:numId w:val="0"/>
      </w:numPr>
      <w:spacing w:after="562"/>
    </w:pPr>
    <w:rPr>
      <w:rFonts w:cs="Calibri (Hoofdtekst)"/>
      <w:bCs w:val="0"/>
    </w:rPr>
  </w:style>
  <w:style w:type="paragraph" w:customStyle="1" w:styleId="Bijlage">
    <w:name w:val="Bijlage"/>
    <w:next w:val="Standaard"/>
    <w:qFormat/>
    <w:rsid w:val="00991863"/>
    <w:pPr>
      <w:pageBreakBefore/>
      <w:numPr>
        <w:numId w:val="1"/>
      </w:numPr>
      <w:spacing w:after="560"/>
      <w:ind w:left="0" w:firstLine="0"/>
    </w:pPr>
    <w:rPr>
      <w:rFonts w:eastAsiaTheme="majorEastAsia" w:cstheme="minorHAnsi"/>
      <w:b/>
      <w:bCs/>
      <w:color w:val="0066A4"/>
      <w:sz w:val="40"/>
      <w:szCs w:val="40"/>
      <w:lang w:eastAsia="nl-NL"/>
    </w:rPr>
  </w:style>
  <w:style w:type="paragraph" w:customStyle="1" w:styleId="FINBullets">
    <w:name w:val="FIN_Bullets"/>
    <w:basedOn w:val="Standaard"/>
    <w:qFormat/>
    <w:rsid w:val="007E58D7"/>
    <w:pPr>
      <w:numPr>
        <w:numId w:val="6"/>
      </w:numPr>
    </w:pPr>
  </w:style>
  <w:style w:type="paragraph" w:customStyle="1" w:styleId="FINSubkopje">
    <w:name w:val="FIN_Subkopje"/>
    <w:basedOn w:val="Standaard"/>
    <w:qFormat/>
    <w:rsid w:val="00440F3D"/>
    <w:pPr>
      <w:spacing w:after="0"/>
    </w:pPr>
    <w:rPr>
      <w:b/>
      <w:bCs/>
      <w:color w:val="0066A4"/>
      <w:sz w:val="20"/>
      <w:szCs w:val="20"/>
    </w:rPr>
  </w:style>
  <w:style w:type="paragraph" w:styleId="Koptekst">
    <w:name w:val="header"/>
    <w:basedOn w:val="Standaard"/>
    <w:link w:val="KoptekstChar"/>
    <w:uiPriority w:val="99"/>
    <w:unhideWhenUsed/>
    <w:rsid w:val="0066650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6650E"/>
    <w:rPr>
      <w:rFonts w:ascii="Verdana" w:eastAsia="Times New Roman" w:hAnsi="Verdana" w:cs="Open Sans"/>
      <w:color w:val="000000"/>
      <w:sz w:val="18"/>
      <w:szCs w:val="18"/>
      <w:lang w:eastAsia="nl-NL"/>
    </w:rPr>
  </w:style>
  <w:style w:type="paragraph" w:styleId="Voettekst">
    <w:name w:val="footer"/>
    <w:link w:val="VoettekstChar"/>
    <w:uiPriority w:val="99"/>
    <w:unhideWhenUsed/>
    <w:rsid w:val="005B1D3D"/>
    <w:pPr>
      <w:pBdr>
        <w:top w:val="single" w:sz="2" w:space="5" w:color="0066A4"/>
      </w:pBdr>
      <w:tabs>
        <w:tab w:val="right" w:pos="9070"/>
      </w:tabs>
    </w:pPr>
    <w:rPr>
      <w:rFonts w:eastAsia="Times New Roman" w:cs="Calibri (Hoofdtekst)"/>
      <w:caps/>
      <w:color w:val="0066A4"/>
      <w:sz w:val="18"/>
      <w:szCs w:val="18"/>
      <w:lang w:eastAsia="nl-NL"/>
    </w:rPr>
  </w:style>
  <w:style w:type="character" w:customStyle="1" w:styleId="VoettekstChar">
    <w:name w:val="Voettekst Char"/>
    <w:basedOn w:val="Standaardalinea-lettertype"/>
    <w:link w:val="Voettekst"/>
    <w:uiPriority w:val="99"/>
    <w:rsid w:val="005B1D3D"/>
    <w:rPr>
      <w:rFonts w:eastAsia="Times New Roman" w:cs="Calibri (Hoofdtekst)"/>
      <w:caps/>
      <w:color w:val="0066A4"/>
      <w:sz w:val="18"/>
      <w:szCs w:val="18"/>
      <w:lang w:eastAsia="nl-NL"/>
    </w:rPr>
  </w:style>
  <w:style w:type="character" w:customStyle="1" w:styleId="FINAccent1-Vet">
    <w:name w:val="FIN_Accent 1 - Vet"/>
    <w:basedOn w:val="Standaardalinea-lettertype"/>
    <w:uiPriority w:val="1"/>
    <w:qFormat/>
    <w:rsid w:val="0066650E"/>
    <w:rPr>
      <w:b/>
      <w:bCs/>
    </w:rPr>
  </w:style>
  <w:style w:type="character" w:customStyle="1" w:styleId="FINAccent2-Schuin">
    <w:name w:val="FIN_Accent 2 - Schuin"/>
    <w:basedOn w:val="Standaardalinea-lettertype"/>
    <w:uiPriority w:val="1"/>
    <w:qFormat/>
    <w:rsid w:val="00D63AF7"/>
    <w:rPr>
      <w:i/>
      <w:iCs/>
    </w:rPr>
  </w:style>
  <w:style w:type="table" w:customStyle="1" w:styleId="FINTabelstijlnormaal">
    <w:name w:val="FIN_Tabelstijl normaal"/>
    <w:basedOn w:val="Standaardtabel"/>
    <w:uiPriority w:val="99"/>
    <w:rsid w:val="004004E4"/>
    <w:rPr>
      <w:rFonts w:ascii="Verdana" w:hAnsi="Verdana"/>
      <w:sz w:val="18"/>
    </w:rPr>
    <w:tblPr>
      <w:tblBorders>
        <w:top w:val="single" w:sz="4" w:space="0" w:color="0066A4"/>
        <w:bottom w:val="single" w:sz="4" w:space="0" w:color="0066A4"/>
        <w:insideH w:val="single" w:sz="4" w:space="0" w:color="0066A4"/>
      </w:tblBorders>
      <w:tblCellMar>
        <w:bottom w:w="28" w:type="dxa"/>
      </w:tblCellMar>
    </w:tblPr>
    <w:tblStylePr w:type="firstRow">
      <w:rPr>
        <w:rFonts w:asciiTheme="minorHAnsi" w:hAnsiTheme="minorHAnsi"/>
        <w:caps/>
        <w:smallCaps w:val="0"/>
        <w:color w:val="FFFFFF" w:themeColor="background1"/>
        <w:sz w:val="20"/>
      </w:rPr>
      <w:tblPr>
        <w:tblCellMar>
          <w:top w:w="60" w:type="dxa"/>
          <w:left w:w="108" w:type="dxa"/>
          <w:bottom w:w="60" w:type="dxa"/>
          <w:right w:w="108" w:type="dxa"/>
        </w:tblCellMar>
      </w:tblPr>
      <w:tcPr>
        <w:shd w:val="clear" w:color="auto" w:fill="0066A4"/>
      </w:tcPr>
    </w:tblStylePr>
    <w:tblStylePr w:type="firstCol">
      <w:rPr>
        <w:b/>
      </w:rPr>
    </w:tblStylePr>
  </w:style>
  <w:style w:type="paragraph" w:customStyle="1" w:styleId="FINKaderBlauwtekst">
    <w:name w:val="FIN_KaderBlauw tekst"/>
    <w:basedOn w:val="Standaard"/>
    <w:qFormat/>
    <w:rsid w:val="005478C1"/>
    <w:pPr>
      <w:pBdr>
        <w:top w:val="single" w:sz="4" w:space="17" w:color="A8D9EA"/>
        <w:left w:val="single" w:sz="4" w:space="17" w:color="A8D9EA"/>
        <w:bottom w:val="single" w:sz="4" w:space="17" w:color="A8D9EA"/>
        <w:right w:val="single" w:sz="4" w:space="17" w:color="A8D9EA"/>
      </w:pBdr>
      <w:shd w:val="clear" w:color="auto" w:fill="A8D9EA"/>
      <w:ind w:left="340" w:right="340"/>
    </w:pPr>
    <w:rPr>
      <w:color w:val="00517B"/>
    </w:rPr>
  </w:style>
  <w:style w:type="paragraph" w:customStyle="1" w:styleId="FINKaderBlauwkop">
    <w:name w:val="FIN_KaderBlauw kop"/>
    <w:basedOn w:val="FINKaderBlauwtekst"/>
    <w:qFormat/>
    <w:rsid w:val="00A047FB"/>
    <w:pPr>
      <w:keepNext/>
      <w:keepLines/>
      <w:spacing w:after="0"/>
    </w:pPr>
    <w:rPr>
      <w:rFonts w:cstheme="minorHAnsi"/>
      <w:b/>
      <w:bCs/>
      <w:sz w:val="20"/>
      <w:szCs w:val="20"/>
    </w:rPr>
  </w:style>
  <w:style w:type="paragraph" w:customStyle="1" w:styleId="FINKaderBlancotekst">
    <w:name w:val="FIN_KaderBlanco tekst"/>
    <w:basedOn w:val="FINKaderBlancobullet"/>
    <w:qFormat/>
    <w:rsid w:val="007F519E"/>
    <w:pPr>
      <w:numPr>
        <w:numId w:val="0"/>
      </w:numPr>
    </w:pPr>
  </w:style>
  <w:style w:type="paragraph" w:customStyle="1" w:styleId="FINKaderBlancokop">
    <w:name w:val="FIN_KaderBlanco kop"/>
    <w:basedOn w:val="FINKaderBlancotekst"/>
    <w:qFormat/>
    <w:rsid w:val="00A21C55"/>
    <w:rPr>
      <w:b/>
      <w:bCs/>
      <w:sz w:val="20"/>
      <w:szCs w:val="20"/>
    </w:rPr>
  </w:style>
  <w:style w:type="paragraph" w:customStyle="1" w:styleId="FINKaderBlancobullet">
    <w:name w:val="FIN_KaderBlanco bullet"/>
    <w:basedOn w:val="Standaard"/>
    <w:qFormat/>
    <w:rsid w:val="007F519E"/>
    <w:pPr>
      <w:numPr>
        <w:numId w:val="2"/>
      </w:numPr>
      <w:pBdr>
        <w:top w:val="single" w:sz="2" w:space="11" w:color="0071BB"/>
        <w:bottom w:val="single" w:sz="2" w:space="13" w:color="0071BB"/>
      </w:pBdr>
      <w:spacing w:after="0"/>
      <w:ind w:left="170" w:hanging="170"/>
    </w:pPr>
    <w:rPr>
      <w:color w:val="0071BB"/>
    </w:rPr>
  </w:style>
  <w:style w:type="paragraph" w:styleId="Voetnoottekst">
    <w:name w:val="footnote text"/>
    <w:basedOn w:val="Standaard"/>
    <w:link w:val="VoetnoottekstChar"/>
    <w:uiPriority w:val="99"/>
    <w:unhideWhenUsed/>
    <w:qFormat/>
    <w:rsid w:val="00F27CBD"/>
    <w:pPr>
      <w:spacing w:after="0" w:line="240" w:lineRule="auto"/>
      <w:ind w:left="170" w:hanging="170"/>
    </w:pPr>
    <w:rPr>
      <w:i/>
      <w:iCs/>
      <w:color w:val="0066A4"/>
      <w:sz w:val="13"/>
      <w:szCs w:val="13"/>
    </w:rPr>
  </w:style>
  <w:style w:type="character" w:customStyle="1" w:styleId="VoetnoottekstChar">
    <w:name w:val="Voetnoottekst Char"/>
    <w:basedOn w:val="Standaardalinea-lettertype"/>
    <w:link w:val="Voetnoottekst"/>
    <w:uiPriority w:val="99"/>
    <w:rsid w:val="00F27CBD"/>
    <w:rPr>
      <w:rFonts w:ascii="Verdana" w:eastAsia="Times New Roman" w:hAnsi="Verdana" w:cs="Open Sans"/>
      <w:i/>
      <w:iCs/>
      <w:color w:val="0066A4"/>
      <w:sz w:val="13"/>
      <w:szCs w:val="13"/>
      <w:lang w:eastAsia="nl-NL"/>
    </w:rPr>
  </w:style>
  <w:style w:type="character" w:styleId="Voetnootmarkering">
    <w:name w:val="footnote reference"/>
    <w:basedOn w:val="Standaardalinea-lettertype"/>
    <w:uiPriority w:val="99"/>
    <w:unhideWhenUsed/>
    <w:qFormat/>
    <w:rsid w:val="007C1961"/>
    <w:rPr>
      <w:color w:val="0066A4"/>
      <w:vertAlign w:val="superscript"/>
    </w:rPr>
  </w:style>
  <w:style w:type="paragraph" w:customStyle="1" w:styleId="FINKaderGeeltekst">
    <w:name w:val="FIN_KaderGeel tekst"/>
    <w:basedOn w:val="FINKaderBlauwtekst"/>
    <w:qFormat/>
    <w:rsid w:val="005478C1"/>
    <w:pPr>
      <w:pBdr>
        <w:top w:val="single" w:sz="4" w:space="17" w:color="FFF2AF"/>
        <w:left w:val="single" w:sz="4" w:space="17" w:color="FFF2AF"/>
        <w:bottom w:val="single" w:sz="4" w:space="17" w:color="FFF2AF"/>
        <w:right w:val="single" w:sz="4" w:space="17" w:color="FFF2AF"/>
      </w:pBdr>
      <w:shd w:val="clear" w:color="auto" w:fill="FFF2AF"/>
    </w:pPr>
  </w:style>
  <w:style w:type="paragraph" w:customStyle="1" w:styleId="FINKaderGeelkop">
    <w:name w:val="FIN_KaderGeel kop"/>
    <w:basedOn w:val="FINKaderBlauwkop"/>
    <w:qFormat/>
    <w:rsid w:val="00A047FB"/>
    <w:pPr>
      <w:pBdr>
        <w:top w:val="single" w:sz="4" w:space="17" w:color="FFF2AF"/>
        <w:left w:val="single" w:sz="4" w:space="17" w:color="FFF2AF"/>
        <w:bottom w:val="single" w:sz="4" w:space="17" w:color="FFF2AF"/>
        <w:right w:val="single" w:sz="4" w:space="17" w:color="FFF2AF"/>
      </w:pBdr>
      <w:shd w:val="clear" w:color="auto" w:fill="FFF2AF"/>
    </w:pPr>
  </w:style>
  <w:style w:type="table" w:customStyle="1" w:styleId="FINTabelstijloverdracht">
    <w:name w:val="FIN_Tabelstijl overdracht"/>
    <w:basedOn w:val="Standaardtabel"/>
    <w:uiPriority w:val="99"/>
    <w:rsid w:val="004004E4"/>
    <w:rPr>
      <w:rFonts w:ascii="Verdana" w:hAnsi="Verdana"/>
      <w:sz w:val="18"/>
    </w:rPr>
    <w:tblPr>
      <w:tblBorders>
        <w:top w:val="single" w:sz="4" w:space="0" w:color="0066A4"/>
        <w:bottom w:val="single" w:sz="4" w:space="0" w:color="0066A4"/>
        <w:insideH w:val="single" w:sz="4" w:space="0" w:color="0066A4"/>
      </w:tblBorders>
      <w:tblCellMar>
        <w:top w:w="113" w:type="dxa"/>
        <w:bottom w:w="150" w:type="dxa"/>
        <w:right w:w="0" w:type="dxa"/>
      </w:tblCellMar>
    </w:tblPr>
    <w:tblStylePr w:type="firstRow">
      <w:pPr>
        <w:jc w:val="left"/>
      </w:pPr>
      <w:rPr>
        <w:rFonts w:asciiTheme="minorHAnsi" w:hAnsiTheme="minorHAnsi"/>
        <w:b w:val="0"/>
        <w:color w:val="FFFFFF" w:themeColor="background1"/>
        <w:sz w:val="20"/>
      </w:rPr>
      <w:tblPr/>
      <w:tcPr>
        <w:shd w:val="clear" w:color="auto" w:fill="0066A4"/>
      </w:tcPr>
    </w:tblStylePr>
    <w:tblStylePr w:type="firstCol">
      <w:rPr>
        <w:b w:val="0"/>
        <w:caps/>
        <w:smallCaps w:val="0"/>
        <w:color w:val="0066A4"/>
        <w:sz w:val="20"/>
      </w:rPr>
    </w:tblStylePr>
  </w:style>
  <w:style w:type="paragraph" w:customStyle="1" w:styleId="FINTabelEersteKolomKop">
    <w:name w:val="FIN_Tabel_EersteKolomKop"/>
    <w:qFormat/>
    <w:rsid w:val="009968A0"/>
    <w:pPr>
      <w:spacing w:before="60" w:line="276" w:lineRule="auto"/>
    </w:pPr>
    <w:rPr>
      <w:rFonts w:ascii="Verdana" w:eastAsia="Times New Roman" w:hAnsi="Verdana" w:cstheme="minorHAnsi"/>
      <w:caps/>
      <w:color w:val="0066A4"/>
      <w:sz w:val="20"/>
      <w:lang w:eastAsia="nl-NL"/>
    </w:rPr>
  </w:style>
  <w:style w:type="paragraph" w:styleId="Ondertitel">
    <w:name w:val="Subtitle"/>
    <w:basedOn w:val="Standaard"/>
    <w:next w:val="Standaard"/>
    <w:link w:val="OndertitelChar"/>
    <w:uiPriority w:val="11"/>
    <w:qFormat/>
    <w:rsid w:val="006568FC"/>
    <w:pPr>
      <w:spacing w:after="0" w:line="192" w:lineRule="auto"/>
    </w:pPr>
    <w:rPr>
      <w:rFonts w:asciiTheme="minorHAnsi" w:hAnsiTheme="minorHAnsi" w:cstheme="minorHAnsi"/>
      <w:color w:val="0066A4"/>
      <w:sz w:val="40"/>
      <w:szCs w:val="40"/>
    </w:rPr>
  </w:style>
  <w:style w:type="character" w:customStyle="1" w:styleId="OndertitelChar">
    <w:name w:val="Ondertitel Char"/>
    <w:basedOn w:val="Standaardalinea-lettertype"/>
    <w:link w:val="Ondertitel"/>
    <w:uiPriority w:val="11"/>
    <w:rsid w:val="006568FC"/>
    <w:rPr>
      <w:rFonts w:eastAsia="Times New Roman" w:cstheme="minorHAnsi"/>
      <w:color w:val="0066A4"/>
      <w:sz w:val="40"/>
      <w:szCs w:val="40"/>
      <w:lang w:eastAsia="nl-NL"/>
    </w:rPr>
  </w:style>
  <w:style w:type="paragraph" w:customStyle="1" w:styleId="BijlageKop">
    <w:name w:val="BijlageKop"/>
    <w:basedOn w:val="Kop1"/>
    <w:qFormat/>
    <w:rsid w:val="00395B67"/>
    <w:pPr>
      <w:numPr>
        <w:numId w:val="0"/>
      </w:numPr>
    </w:pPr>
  </w:style>
  <w:style w:type="paragraph" w:customStyle="1" w:styleId="Voettekstscheidingsteken">
    <w:name w:val="Voettekstscheidingsteken"/>
    <w:basedOn w:val="Standaard"/>
    <w:rsid w:val="00D20563"/>
    <w:pPr>
      <w:spacing w:after="0"/>
    </w:pPr>
    <w:rPr>
      <w:color w:val="0066A4"/>
    </w:rPr>
  </w:style>
  <w:style w:type="paragraph" w:customStyle="1" w:styleId="FINTabelBullets">
    <w:name w:val="FIN_Tabel_Bullets"/>
    <w:basedOn w:val="FINBullets"/>
    <w:qFormat/>
    <w:rsid w:val="0034188F"/>
    <w:pPr>
      <w:spacing w:after="0"/>
    </w:pPr>
  </w:style>
  <w:style w:type="paragraph" w:styleId="Geenafstand">
    <w:name w:val="No Spacing"/>
    <w:link w:val="GeenafstandChar"/>
    <w:uiPriority w:val="1"/>
    <w:qFormat/>
    <w:rsid w:val="003815E9"/>
    <w:rPr>
      <w:rFonts w:ascii="Verdana" w:hAnsi="Verdana"/>
      <w:sz w:val="18"/>
      <w:szCs w:val="22"/>
      <w:lang w:val="en-US"/>
    </w:rPr>
  </w:style>
  <w:style w:type="character" w:customStyle="1" w:styleId="GeenafstandChar">
    <w:name w:val="Geen afstand Char"/>
    <w:basedOn w:val="Standaardalinea-lettertype"/>
    <w:link w:val="Geenafstand"/>
    <w:uiPriority w:val="1"/>
    <w:rsid w:val="003815E9"/>
    <w:rPr>
      <w:rFonts w:ascii="Verdana" w:hAnsi="Verdana"/>
      <w:sz w:val="18"/>
      <w:szCs w:val="22"/>
      <w:lang w:val="en-US"/>
    </w:rPr>
  </w:style>
  <w:style w:type="paragraph" w:styleId="Tekstopmerking">
    <w:name w:val="annotation text"/>
    <w:basedOn w:val="Standaard"/>
    <w:link w:val="TekstopmerkingChar"/>
    <w:uiPriority w:val="99"/>
    <w:unhideWhenUsed/>
    <w:rsid w:val="001A6A1A"/>
    <w:pPr>
      <w:autoSpaceDN w:val="0"/>
      <w:spacing w:after="0" w:line="240" w:lineRule="auto"/>
      <w:contextualSpacing w:val="0"/>
      <w:textAlignment w:val="baseline"/>
    </w:pPr>
    <w:rPr>
      <w:rFonts w:eastAsia="DejaVu Sans" w:cs="Lohit Hindi"/>
      <w:color w:val="000000"/>
      <w:sz w:val="20"/>
      <w:szCs w:val="20"/>
    </w:rPr>
  </w:style>
  <w:style w:type="character" w:customStyle="1" w:styleId="TekstopmerkingChar">
    <w:name w:val="Tekst opmerking Char"/>
    <w:basedOn w:val="Standaardalinea-lettertype"/>
    <w:link w:val="Tekstopmerking"/>
    <w:uiPriority w:val="99"/>
    <w:rsid w:val="001A6A1A"/>
    <w:rPr>
      <w:rFonts w:ascii="Verdana" w:eastAsia="DejaVu Sans" w:hAnsi="Verdana" w:cs="Lohit Hindi"/>
      <w:color w:val="000000"/>
      <w:sz w:val="20"/>
      <w:szCs w:val="20"/>
      <w:lang w:eastAsia="nl-NL"/>
    </w:rPr>
  </w:style>
  <w:style w:type="character" w:styleId="Verwijzingopmerking">
    <w:name w:val="annotation reference"/>
    <w:basedOn w:val="Standaardalinea-lettertype"/>
    <w:uiPriority w:val="99"/>
    <w:semiHidden/>
    <w:unhideWhenUsed/>
    <w:rsid w:val="001A6A1A"/>
    <w:rPr>
      <w:sz w:val="16"/>
      <w:szCs w:val="16"/>
    </w:rPr>
  </w:style>
  <w:style w:type="paragraph" w:styleId="Ballontekst">
    <w:name w:val="Balloon Text"/>
    <w:basedOn w:val="Standaard"/>
    <w:link w:val="BallontekstChar"/>
    <w:uiPriority w:val="99"/>
    <w:semiHidden/>
    <w:unhideWhenUsed/>
    <w:rsid w:val="001A6A1A"/>
    <w:pPr>
      <w:spacing w:after="0" w:line="240" w:lineRule="auto"/>
      <w:contextualSpacing w:val="0"/>
    </w:pPr>
    <w:rPr>
      <w:rFonts w:ascii="Segoe UI" w:eastAsiaTheme="minorHAnsi" w:hAnsi="Segoe UI" w:cs="Segoe UI"/>
      <w:lang w:val="en-US" w:eastAsia="en-US"/>
    </w:rPr>
  </w:style>
  <w:style w:type="character" w:customStyle="1" w:styleId="BallontekstChar">
    <w:name w:val="Ballontekst Char"/>
    <w:basedOn w:val="Standaardalinea-lettertype"/>
    <w:link w:val="Ballontekst"/>
    <w:uiPriority w:val="99"/>
    <w:semiHidden/>
    <w:rsid w:val="001A6A1A"/>
    <w:rPr>
      <w:rFonts w:ascii="Segoe UI" w:hAnsi="Segoe UI" w:cs="Segoe UI"/>
      <w:sz w:val="18"/>
      <w:szCs w:val="18"/>
      <w:lang w:val="en-US"/>
    </w:rPr>
  </w:style>
  <w:style w:type="paragraph" w:styleId="Onderwerpvanopmerking">
    <w:name w:val="annotation subject"/>
    <w:basedOn w:val="Tekstopmerking"/>
    <w:next w:val="Tekstopmerking"/>
    <w:link w:val="OnderwerpvanopmerkingChar"/>
    <w:uiPriority w:val="99"/>
    <w:semiHidden/>
    <w:unhideWhenUsed/>
    <w:rsid w:val="001A6A1A"/>
    <w:pPr>
      <w:autoSpaceDN/>
      <w:spacing w:after="160"/>
      <w:textAlignment w:val="auto"/>
    </w:pPr>
    <w:rPr>
      <w:rFonts w:eastAsiaTheme="minorHAnsi" w:cstheme="minorBidi"/>
      <w:b/>
      <w:bCs/>
      <w:color w:val="auto"/>
      <w:lang w:val="en-US" w:eastAsia="en-US"/>
    </w:rPr>
  </w:style>
  <w:style w:type="character" w:customStyle="1" w:styleId="OnderwerpvanopmerkingChar">
    <w:name w:val="Onderwerp van opmerking Char"/>
    <w:basedOn w:val="TekstopmerkingChar"/>
    <w:link w:val="Onderwerpvanopmerking"/>
    <w:uiPriority w:val="99"/>
    <w:semiHidden/>
    <w:rsid w:val="001A6A1A"/>
    <w:rPr>
      <w:rFonts w:ascii="Verdana" w:eastAsia="DejaVu Sans" w:hAnsi="Verdana" w:cs="Lohit Hindi"/>
      <w:b/>
      <w:bCs/>
      <w:color w:val="000000"/>
      <w:sz w:val="20"/>
      <w:szCs w:val="20"/>
      <w:lang w:val="en-US" w:eastAsia="nl-NL"/>
    </w:rPr>
  </w:style>
  <w:style w:type="paragraph" w:customStyle="1" w:styleId="Kopzondernummering">
    <w:name w:val="Kop zonder nummering"/>
    <w:basedOn w:val="Standaard"/>
    <w:next w:val="Standaard"/>
    <w:rsid w:val="001A6A1A"/>
    <w:pPr>
      <w:pageBreakBefore/>
      <w:widowControl w:val="0"/>
      <w:spacing w:after="700" w:line="300" w:lineRule="atLeast"/>
    </w:pPr>
    <w:rPr>
      <w:rFonts w:cs="Times New Roman"/>
      <w:sz w:val="24"/>
      <w:szCs w:val="24"/>
    </w:rPr>
  </w:style>
  <w:style w:type="paragraph" w:customStyle="1" w:styleId="Lijstbullet">
    <w:name w:val="Lijst bullet"/>
    <w:basedOn w:val="Standaard"/>
    <w:uiPriority w:val="2"/>
    <w:qFormat/>
    <w:rsid w:val="001A6A1A"/>
    <w:pPr>
      <w:numPr>
        <w:numId w:val="3"/>
      </w:numPr>
      <w:tabs>
        <w:tab w:val="left" w:pos="227"/>
      </w:tabs>
      <w:spacing w:after="160" w:line="259" w:lineRule="auto"/>
      <w:ind w:left="227" w:hanging="227"/>
      <w:contextualSpacing w:val="0"/>
    </w:pPr>
    <w:rPr>
      <w:rFonts w:eastAsiaTheme="minorHAnsi" w:cstheme="minorBidi"/>
      <w:szCs w:val="22"/>
      <w:lang w:val="en-US" w:eastAsia="en-US"/>
    </w:rPr>
  </w:style>
  <w:style w:type="paragraph" w:customStyle="1" w:styleId="Lijststreepjetweedeniveau">
    <w:name w:val="Lijst streepje (tweede niveau)"/>
    <w:basedOn w:val="Standaard"/>
    <w:uiPriority w:val="2"/>
    <w:qFormat/>
    <w:rsid w:val="001A6A1A"/>
    <w:pPr>
      <w:numPr>
        <w:numId w:val="4"/>
      </w:numPr>
      <w:spacing w:after="160" w:line="259" w:lineRule="auto"/>
      <w:ind w:left="454" w:hanging="227"/>
      <w:contextualSpacing w:val="0"/>
    </w:pPr>
    <w:rPr>
      <w:rFonts w:eastAsiaTheme="minorHAnsi" w:cstheme="minorBidi"/>
      <w:szCs w:val="22"/>
      <w:lang w:val="en-US" w:eastAsia="en-US"/>
    </w:rPr>
  </w:style>
  <w:style w:type="paragraph" w:styleId="Revisie">
    <w:name w:val="Revision"/>
    <w:hidden/>
    <w:uiPriority w:val="99"/>
    <w:semiHidden/>
    <w:rsid w:val="001A6A1A"/>
    <w:rPr>
      <w:rFonts w:ascii="Verdana" w:hAnsi="Verdana"/>
      <w:sz w:val="18"/>
      <w:szCs w:val="22"/>
      <w:lang w:val="en-US"/>
    </w:rPr>
  </w:style>
  <w:style w:type="character" w:styleId="GevolgdeHyperlink">
    <w:name w:val="FollowedHyperlink"/>
    <w:basedOn w:val="Standaardalinea-lettertype"/>
    <w:uiPriority w:val="99"/>
    <w:semiHidden/>
    <w:unhideWhenUsed/>
    <w:rsid w:val="001A6A1A"/>
    <w:rPr>
      <w:color w:val="954F72" w:themeColor="followedHyperlink"/>
      <w:u w:val="single"/>
    </w:rPr>
  </w:style>
  <w:style w:type="paragraph" w:customStyle="1" w:styleId="FINGenummerdelijst">
    <w:name w:val="FIN_Genummerdelijst"/>
    <w:basedOn w:val="Standaard"/>
    <w:qFormat/>
    <w:rsid w:val="004004E4"/>
    <w:pPr>
      <w:framePr w:hSpace="141" w:wrap="around" w:vAnchor="page" w:hAnchor="margin" w:y="1809"/>
      <w:numPr>
        <w:numId w:val="5"/>
      </w:numPr>
      <w:spacing w:after="0"/>
    </w:pPr>
    <w:rPr>
      <w:rFonts w:eastAsia="DejaVu Sans" w:cs="Lohit Hindi"/>
      <w:iCs/>
      <w:color w:val="000000"/>
    </w:rPr>
  </w:style>
  <w:style w:type="paragraph" w:customStyle="1" w:styleId="FINGenummerdelijstVet">
    <w:name w:val="FIN_Genummerdelijst_Vet"/>
    <w:qFormat/>
    <w:rsid w:val="00497AA8"/>
    <w:pPr>
      <w:framePr w:wrap="around" w:hAnchor="text"/>
      <w:numPr>
        <w:numId w:val="7"/>
      </w:numPr>
    </w:pPr>
    <w:rPr>
      <w:rFonts w:ascii="Verdana" w:eastAsia="DejaVu Sans" w:hAnsi="Verdana" w:cs="Lohit Hindi"/>
      <w:b/>
      <w:bCs/>
      <w:iCs/>
      <w:color w:val="000000"/>
      <w:sz w:val="18"/>
      <w:szCs w:val="18"/>
      <w:lang w:eastAsia="nl-NL"/>
    </w:rPr>
  </w:style>
  <w:style w:type="paragraph" w:customStyle="1" w:styleId="FINAccent3Onderstrepen">
    <w:name w:val="FIN_Accent 3 Onderstrepen"/>
    <w:basedOn w:val="Standaard"/>
    <w:link w:val="FINAccent3OnderstrepenChar"/>
    <w:qFormat/>
    <w:rsid w:val="00A60093"/>
    <w:pPr>
      <w:framePr w:hSpace="141" w:wrap="around" w:vAnchor="page" w:hAnchor="margin" w:y="2701"/>
      <w:spacing w:after="0"/>
    </w:pPr>
    <w:rPr>
      <w:u w:val="single"/>
    </w:rPr>
  </w:style>
  <w:style w:type="character" w:customStyle="1" w:styleId="FINAccent3OnderstrepenChar">
    <w:name w:val="FIN_Accent 3 Onderstrepen Char"/>
    <w:basedOn w:val="Standaardalinea-lettertype"/>
    <w:link w:val="FINAccent3Onderstrepen"/>
    <w:rsid w:val="00A60093"/>
    <w:rPr>
      <w:rFonts w:ascii="Verdana" w:eastAsia="Times New Roman" w:hAnsi="Verdana" w:cs="Open Sans"/>
      <w:sz w:val="18"/>
      <w:szCs w:val="18"/>
      <w:u w:val="single"/>
      <w:lang w:eastAsia="nl-NL"/>
    </w:rPr>
  </w:style>
  <w:style w:type="paragraph" w:customStyle="1" w:styleId="FINGenummerdelijstOnderstreept">
    <w:name w:val="FIN_Genummerdelijst_Onderstreept"/>
    <w:basedOn w:val="Standaard"/>
    <w:qFormat/>
    <w:rsid w:val="004004E4"/>
    <w:pPr>
      <w:numPr>
        <w:numId w:val="8"/>
      </w:numPr>
      <w:autoSpaceDN w:val="0"/>
      <w:spacing w:line="240" w:lineRule="atLeast"/>
      <w:ind w:left="378" w:hanging="378"/>
      <w:textAlignment w:val="baseline"/>
    </w:pPr>
    <w:rPr>
      <w:rFonts w:eastAsia="DejaVu Sans" w:cs="Lohit Hindi"/>
      <w:color w:val="000000"/>
      <w:u w:val="single"/>
    </w:rPr>
  </w:style>
  <w:style w:type="paragraph" w:customStyle="1" w:styleId="FINAccent4VetenOnderstreept">
    <w:name w:val="FIN_Accent 4 Vet en Onderstreept"/>
    <w:basedOn w:val="Standaard"/>
    <w:qFormat/>
    <w:rsid w:val="00C31A9C"/>
    <w:rPr>
      <w:b/>
      <w:bCs/>
      <w:u w:val="single"/>
    </w:rPr>
  </w:style>
  <w:style w:type="paragraph" w:styleId="Citaat">
    <w:name w:val="Quote"/>
    <w:basedOn w:val="Standaard"/>
    <w:next w:val="Standaard"/>
    <w:link w:val="CitaatChar"/>
    <w:uiPriority w:val="29"/>
    <w:rsid w:val="00FD668B"/>
    <w:pPr>
      <w:ind w:left="667"/>
    </w:pPr>
  </w:style>
  <w:style w:type="character" w:customStyle="1" w:styleId="CitaatChar">
    <w:name w:val="Citaat Char"/>
    <w:basedOn w:val="Standaardalinea-lettertype"/>
    <w:link w:val="Citaat"/>
    <w:uiPriority w:val="29"/>
    <w:rsid w:val="00FD668B"/>
    <w:rPr>
      <w:rFonts w:ascii="Verdana" w:eastAsia="Times New Roman" w:hAnsi="Verdana" w:cs="Open Sans"/>
      <w:sz w:val="18"/>
      <w:szCs w:val="18"/>
      <w:lang w:eastAsia="nl-NL"/>
    </w:rPr>
  </w:style>
  <w:style w:type="paragraph" w:customStyle="1" w:styleId="FINGenummerdelijst2eNiveauAlfabetisch">
    <w:name w:val="FIN_Genummerdelijst_2e_Niveau_Alfabetisch"/>
    <w:basedOn w:val="Standaard"/>
    <w:qFormat/>
    <w:rsid w:val="004004E4"/>
    <w:pPr>
      <w:numPr>
        <w:numId w:val="9"/>
      </w:numPr>
      <w:autoSpaceDN w:val="0"/>
      <w:spacing w:after="0" w:line="240" w:lineRule="atLeast"/>
      <w:textAlignment w:val="baseline"/>
    </w:pPr>
    <w:rPr>
      <w:rFonts w:eastAsia="DejaVu Sans" w:cs="Lohit Hindi"/>
      <w:color w:val="000000"/>
    </w:rPr>
  </w:style>
  <w:style w:type="paragraph" w:customStyle="1" w:styleId="FINAlfabetischelijst">
    <w:name w:val="FIN_Alfabetischelijst"/>
    <w:qFormat/>
    <w:rsid w:val="00C368E8"/>
    <w:pPr>
      <w:numPr>
        <w:numId w:val="10"/>
      </w:numPr>
      <w:spacing w:after="280" w:line="280" w:lineRule="atLeast"/>
      <w:ind w:left="227" w:hanging="227"/>
      <w:contextualSpacing/>
    </w:pPr>
    <w:rPr>
      <w:rFonts w:ascii="Verdana" w:eastAsia="DejaVu Sans" w:hAnsi="Verdana" w:cs="Lohit Hindi"/>
      <w:color w:val="000000"/>
      <w:sz w:val="18"/>
      <w:szCs w:val="18"/>
      <w:lang w:eastAsia="nl-NL"/>
    </w:rPr>
  </w:style>
  <w:style w:type="paragraph" w:customStyle="1" w:styleId="FINSubsubkopje">
    <w:name w:val="FIN_Subsubkopje"/>
    <w:basedOn w:val="Standaard"/>
    <w:next w:val="Standaard"/>
    <w:qFormat/>
    <w:rsid w:val="00440F3D"/>
    <w:pPr>
      <w:spacing w:after="0"/>
    </w:pPr>
    <w:rPr>
      <w:b/>
      <w:bCs/>
    </w:rPr>
  </w:style>
  <w:style w:type="paragraph" w:customStyle="1" w:styleId="FINRomijnsGenumerdelijst">
    <w:name w:val="FIN_RomijnsGenumerdelijst"/>
    <w:basedOn w:val="FINGenummerdelijst"/>
    <w:qFormat/>
    <w:rsid w:val="00A21B3C"/>
    <w:pPr>
      <w:framePr w:hSpace="0" w:wrap="auto" w:vAnchor="margin" w:hAnchor="text" w:yAlign="inline"/>
      <w:numPr>
        <w:numId w:val="13"/>
      </w:numPr>
      <w:spacing w:after="280"/>
      <w:ind w:left="8505" w:hanging="8505"/>
    </w:pPr>
    <w:rPr>
      <w:rFonts w:eastAsia="Times New Roman" w:cs="Open Sans"/>
      <w:iCs w:val="0"/>
      <w:color w:val="auto"/>
    </w:rPr>
  </w:style>
  <w:style w:type="paragraph" w:styleId="Bijschrift">
    <w:name w:val="caption"/>
    <w:basedOn w:val="Standaard"/>
    <w:next w:val="Standaard"/>
    <w:uiPriority w:val="35"/>
    <w:unhideWhenUsed/>
    <w:qFormat/>
    <w:rsid w:val="00305AB9"/>
    <w:pPr>
      <w:keepNext/>
      <w:pBdr>
        <w:bottom w:val="single" w:sz="4" w:space="1" w:color="0066A4"/>
      </w:pBdr>
      <w:spacing w:after="200" w:line="240" w:lineRule="auto"/>
    </w:pPr>
    <w:rPr>
      <w:rFonts w:asciiTheme="minorHAnsi" w:hAnsiTheme="minorHAnsi" w:cstheme="minorHAnsi"/>
      <w:color w:val="0066A4"/>
      <w:sz w:val="20"/>
      <w:szCs w:val="20"/>
    </w:rPr>
  </w:style>
  <w:style w:type="paragraph" w:customStyle="1" w:styleId="FINKopSamenvatting">
    <w:name w:val="FIN_Kop Samenvatting"/>
    <w:basedOn w:val="Kop1zondernummer"/>
    <w:qFormat/>
    <w:rsid w:val="006B04EE"/>
  </w:style>
  <w:style w:type="paragraph" w:customStyle="1" w:styleId="FINKaderBlauwbullet">
    <w:name w:val="FIN_KaderBlauw bullet"/>
    <w:basedOn w:val="FINKaderBlauwtekst"/>
    <w:qFormat/>
    <w:rsid w:val="007A681C"/>
    <w:pPr>
      <w:numPr>
        <w:numId w:val="15"/>
      </w:numPr>
      <w:spacing w:after="0"/>
    </w:pPr>
  </w:style>
  <w:style w:type="paragraph" w:customStyle="1" w:styleId="FINKaderGeelbullet">
    <w:name w:val="FIN_KaderGeel bullet"/>
    <w:basedOn w:val="FINKaderGeeltekst"/>
    <w:qFormat/>
    <w:rsid w:val="007A681C"/>
    <w:pPr>
      <w:numPr>
        <w:numId w:val="16"/>
      </w:numPr>
      <w:ind w:left="510" w:hanging="170"/>
    </w:pPr>
  </w:style>
  <w:style w:type="paragraph" w:styleId="Eindnoottekst">
    <w:name w:val="endnote text"/>
    <w:basedOn w:val="Standaard"/>
    <w:link w:val="EindnoottekstChar"/>
    <w:uiPriority w:val="99"/>
    <w:semiHidden/>
    <w:unhideWhenUsed/>
    <w:rsid w:val="00ED156B"/>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ED156B"/>
    <w:rPr>
      <w:rFonts w:ascii="Verdana" w:eastAsia="Times New Roman" w:hAnsi="Verdana" w:cs="Open Sans"/>
      <w:sz w:val="20"/>
      <w:szCs w:val="20"/>
      <w:lang w:eastAsia="nl-NL"/>
    </w:rPr>
  </w:style>
  <w:style w:type="character" w:styleId="Eindnootmarkering">
    <w:name w:val="endnote reference"/>
    <w:basedOn w:val="Standaardalinea-lettertype"/>
    <w:uiPriority w:val="99"/>
    <w:semiHidden/>
    <w:unhideWhenUsed/>
    <w:rsid w:val="00ED156B"/>
    <w:rPr>
      <w:vertAlign w:val="superscript"/>
    </w:rPr>
  </w:style>
  <w:style w:type="character" w:styleId="Onopgelostemelding">
    <w:name w:val="Unresolved Mention"/>
    <w:basedOn w:val="Standaardalinea-lettertype"/>
    <w:uiPriority w:val="99"/>
    <w:semiHidden/>
    <w:unhideWhenUsed/>
    <w:rsid w:val="0067115E"/>
    <w:rPr>
      <w:color w:val="605E5C"/>
      <w:shd w:val="clear" w:color="auto" w:fill="E1DFDD"/>
    </w:rPr>
  </w:style>
  <w:style w:type="character" w:styleId="Tekstvantijdelijkeaanduiding">
    <w:name w:val="Placeholder Text"/>
    <w:basedOn w:val="Standaardalinea-lettertype"/>
    <w:uiPriority w:val="99"/>
    <w:semiHidden/>
    <w:rsid w:val="00BF21EE"/>
    <w:rPr>
      <w:color w:val="808080"/>
    </w:rPr>
  </w:style>
  <w:style w:type="paragraph" w:styleId="Lijstalinea">
    <w:name w:val="List Paragraph"/>
    <w:basedOn w:val="Standaard"/>
    <w:link w:val="LijstalineaChar"/>
    <w:uiPriority w:val="34"/>
    <w:qFormat/>
    <w:rsid w:val="004B7274"/>
    <w:pPr>
      <w:spacing w:after="160" w:line="259" w:lineRule="auto"/>
      <w:ind w:left="720"/>
    </w:pPr>
    <w:rPr>
      <w:rFonts w:asciiTheme="minorHAnsi" w:eastAsiaTheme="minorHAnsi" w:hAnsiTheme="minorHAnsi" w:cstheme="minorBidi"/>
      <w:sz w:val="22"/>
      <w:szCs w:val="22"/>
      <w:lang w:eastAsia="en-US"/>
    </w:rPr>
  </w:style>
  <w:style w:type="paragraph" w:customStyle="1" w:styleId="Default">
    <w:name w:val="Default"/>
    <w:rsid w:val="004B7274"/>
    <w:pPr>
      <w:autoSpaceDE w:val="0"/>
      <w:autoSpaceDN w:val="0"/>
      <w:adjustRightInd w:val="0"/>
    </w:pPr>
    <w:rPr>
      <w:rFonts w:ascii="Univers LT Std" w:hAnsi="Univers LT Std" w:cs="Univers LT Std"/>
      <w:color w:val="000000"/>
    </w:rPr>
  </w:style>
  <w:style w:type="table" w:styleId="Tabelraster">
    <w:name w:val="Table Grid"/>
    <w:basedOn w:val="Standaardtabel"/>
    <w:uiPriority w:val="39"/>
    <w:rsid w:val="004B72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basedOn w:val="Standaardalinea-lettertype"/>
    <w:link w:val="Lijstalinea"/>
    <w:uiPriority w:val="34"/>
    <w:locked/>
    <w:rsid w:val="004B727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26390">
      <w:bodyDiv w:val="1"/>
      <w:marLeft w:val="0"/>
      <w:marRight w:val="0"/>
      <w:marTop w:val="0"/>
      <w:marBottom w:val="0"/>
      <w:divBdr>
        <w:top w:val="none" w:sz="0" w:space="0" w:color="auto"/>
        <w:left w:val="none" w:sz="0" w:space="0" w:color="auto"/>
        <w:bottom w:val="none" w:sz="0" w:space="0" w:color="auto"/>
        <w:right w:val="none" w:sz="0" w:space="0" w:color="auto"/>
      </w:divBdr>
    </w:div>
    <w:div w:id="681585348">
      <w:bodyDiv w:val="1"/>
      <w:marLeft w:val="0"/>
      <w:marRight w:val="0"/>
      <w:marTop w:val="0"/>
      <w:marBottom w:val="0"/>
      <w:divBdr>
        <w:top w:val="none" w:sz="0" w:space="0" w:color="auto"/>
        <w:left w:val="none" w:sz="0" w:space="0" w:color="auto"/>
        <w:bottom w:val="none" w:sz="0" w:space="0" w:color="auto"/>
        <w:right w:val="none" w:sz="0" w:space="0" w:color="auto"/>
      </w:divBdr>
      <w:divsChild>
        <w:div w:id="830027864">
          <w:marLeft w:val="0"/>
          <w:marRight w:val="0"/>
          <w:marTop w:val="0"/>
          <w:marBottom w:val="0"/>
          <w:divBdr>
            <w:top w:val="none" w:sz="0" w:space="0" w:color="auto"/>
            <w:left w:val="none" w:sz="0" w:space="0" w:color="auto"/>
            <w:bottom w:val="none" w:sz="0" w:space="0" w:color="auto"/>
            <w:right w:val="none" w:sz="0" w:space="0" w:color="auto"/>
          </w:divBdr>
          <w:divsChild>
            <w:div w:id="735317091">
              <w:marLeft w:val="0"/>
              <w:marRight w:val="0"/>
              <w:marTop w:val="0"/>
              <w:marBottom w:val="0"/>
              <w:divBdr>
                <w:top w:val="none" w:sz="0" w:space="0" w:color="auto"/>
                <w:left w:val="none" w:sz="0" w:space="0" w:color="auto"/>
                <w:bottom w:val="none" w:sz="0" w:space="0" w:color="auto"/>
                <w:right w:val="none" w:sz="0" w:space="0" w:color="auto"/>
              </w:divBdr>
              <w:divsChild>
                <w:div w:id="641621857">
                  <w:marLeft w:val="0"/>
                  <w:marRight w:val="0"/>
                  <w:marTop w:val="0"/>
                  <w:marBottom w:val="0"/>
                  <w:divBdr>
                    <w:top w:val="none" w:sz="0" w:space="0" w:color="auto"/>
                    <w:left w:val="none" w:sz="0" w:space="0" w:color="auto"/>
                    <w:bottom w:val="none" w:sz="0" w:space="0" w:color="auto"/>
                    <w:right w:val="none" w:sz="0" w:space="0" w:color="auto"/>
                  </w:divBdr>
                  <w:divsChild>
                    <w:div w:id="14495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30452">
      <w:bodyDiv w:val="1"/>
      <w:marLeft w:val="0"/>
      <w:marRight w:val="0"/>
      <w:marTop w:val="0"/>
      <w:marBottom w:val="0"/>
      <w:divBdr>
        <w:top w:val="none" w:sz="0" w:space="0" w:color="auto"/>
        <w:left w:val="none" w:sz="0" w:space="0" w:color="auto"/>
        <w:bottom w:val="none" w:sz="0" w:space="0" w:color="auto"/>
        <w:right w:val="none" w:sz="0" w:space="0" w:color="auto"/>
      </w:divBdr>
      <w:divsChild>
        <w:div w:id="527370899">
          <w:marLeft w:val="0"/>
          <w:marRight w:val="0"/>
          <w:marTop w:val="0"/>
          <w:marBottom w:val="0"/>
          <w:divBdr>
            <w:top w:val="none" w:sz="0" w:space="0" w:color="auto"/>
            <w:left w:val="none" w:sz="0" w:space="0" w:color="auto"/>
            <w:bottom w:val="none" w:sz="0" w:space="0" w:color="auto"/>
            <w:right w:val="none" w:sz="0" w:space="0" w:color="auto"/>
          </w:divBdr>
        </w:div>
      </w:divsChild>
    </w:div>
    <w:div w:id="857158858">
      <w:bodyDiv w:val="1"/>
      <w:marLeft w:val="0"/>
      <w:marRight w:val="0"/>
      <w:marTop w:val="0"/>
      <w:marBottom w:val="0"/>
      <w:divBdr>
        <w:top w:val="none" w:sz="0" w:space="0" w:color="auto"/>
        <w:left w:val="none" w:sz="0" w:space="0" w:color="auto"/>
        <w:bottom w:val="none" w:sz="0" w:space="0" w:color="auto"/>
        <w:right w:val="none" w:sz="0" w:space="0" w:color="auto"/>
      </w:divBdr>
      <w:divsChild>
        <w:div w:id="33579683">
          <w:marLeft w:val="0"/>
          <w:marRight w:val="0"/>
          <w:marTop w:val="0"/>
          <w:marBottom w:val="0"/>
          <w:divBdr>
            <w:top w:val="none" w:sz="0" w:space="0" w:color="auto"/>
            <w:left w:val="none" w:sz="0" w:space="0" w:color="auto"/>
            <w:bottom w:val="none" w:sz="0" w:space="0" w:color="auto"/>
            <w:right w:val="none" w:sz="0" w:space="0" w:color="auto"/>
          </w:divBdr>
          <w:divsChild>
            <w:div w:id="485978587">
              <w:marLeft w:val="0"/>
              <w:marRight w:val="0"/>
              <w:marTop w:val="0"/>
              <w:marBottom w:val="0"/>
              <w:divBdr>
                <w:top w:val="none" w:sz="0" w:space="0" w:color="auto"/>
                <w:left w:val="none" w:sz="0" w:space="0" w:color="auto"/>
                <w:bottom w:val="none" w:sz="0" w:space="0" w:color="auto"/>
                <w:right w:val="none" w:sz="0" w:space="0" w:color="auto"/>
              </w:divBdr>
              <w:divsChild>
                <w:div w:id="810178143">
                  <w:marLeft w:val="0"/>
                  <w:marRight w:val="0"/>
                  <w:marTop w:val="0"/>
                  <w:marBottom w:val="0"/>
                  <w:divBdr>
                    <w:top w:val="none" w:sz="0" w:space="0" w:color="auto"/>
                    <w:left w:val="none" w:sz="0" w:space="0" w:color="auto"/>
                    <w:bottom w:val="none" w:sz="0" w:space="0" w:color="auto"/>
                    <w:right w:val="none" w:sz="0" w:space="0" w:color="auto"/>
                  </w:divBdr>
                  <w:divsChild>
                    <w:div w:id="100520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172222">
      <w:bodyDiv w:val="1"/>
      <w:marLeft w:val="0"/>
      <w:marRight w:val="0"/>
      <w:marTop w:val="0"/>
      <w:marBottom w:val="0"/>
      <w:divBdr>
        <w:top w:val="none" w:sz="0" w:space="0" w:color="auto"/>
        <w:left w:val="none" w:sz="0" w:space="0" w:color="auto"/>
        <w:bottom w:val="none" w:sz="0" w:space="0" w:color="auto"/>
        <w:right w:val="none" w:sz="0" w:space="0" w:color="auto"/>
      </w:divBdr>
      <w:divsChild>
        <w:div w:id="2070107971">
          <w:marLeft w:val="0"/>
          <w:marRight w:val="0"/>
          <w:marTop w:val="0"/>
          <w:marBottom w:val="0"/>
          <w:divBdr>
            <w:top w:val="none" w:sz="0" w:space="0" w:color="auto"/>
            <w:left w:val="none" w:sz="0" w:space="0" w:color="auto"/>
            <w:bottom w:val="none" w:sz="0" w:space="0" w:color="auto"/>
            <w:right w:val="none" w:sz="0" w:space="0" w:color="auto"/>
          </w:divBdr>
          <w:divsChild>
            <w:div w:id="340667628">
              <w:marLeft w:val="0"/>
              <w:marRight w:val="0"/>
              <w:marTop w:val="0"/>
              <w:marBottom w:val="0"/>
              <w:divBdr>
                <w:top w:val="none" w:sz="0" w:space="0" w:color="auto"/>
                <w:left w:val="none" w:sz="0" w:space="0" w:color="auto"/>
                <w:bottom w:val="none" w:sz="0" w:space="0" w:color="auto"/>
                <w:right w:val="none" w:sz="0" w:space="0" w:color="auto"/>
              </w:divBdr>
              <w:divsChild>
                <w:div w:id="1072698316">
                  <w:marLeft w:val="0"/>
                  <w:marRight w:val="0"/>
                  <w:marTop w:val="0"/>
                  <w:marBottom w:val="0"/>
                  <w:divBdr>
                    <w:top w:val="none" w:sz="0" w:space="0" w:color="auto"/>
                    <w:left w:val="none" w:sz="0" w:space="0" w:color="auto"/>
                    <w:bottom w:val="none" w:sz="0" w:space="0" w:color="auto"/>
                    <w:right w:val="none" w:sz="0" w:space="0" w:color="auto"/>
                  </w:divBdr>
                  <w:divsChild>
                    <w:div w:id="186254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20787">
      <w:bodyDiv w:val="1"/>
      <w:marLeft w:val="0"/>
      <w:marRight w:val="0"/>
      <w:marTop w:val="0"/>
      <w:marBottom w:val="0"/>
      <w:divBdr>
        <w:top w:val="none" w:sz="0" w:space="0" w:color="auto"/>
        <w:left w:val="none" w:sz="0" w:space="0" w:color="auto"/>
        <w:bottom w:val="none" w:sz="0" w:space="0" w:color="auto"/>
        <w:right w:val="none" w:sz="0" w:space="0" w:color="auto"/>
      </w:divBdr>
      <w:divsChild>
        <w:div w:id="338392971">
          <w:marLeft w:val="0"/>
          <w:marRight w:val="0"/>
          <w:marTop w:val="0"/>
          <w:marBottom w:val="0"/>
          <w:divBdr>
            <w:top w:val="none" w:sz="0" w:space="0" w:color="auto"/>
            <w:left w:val="none" w:sz="0" w:space="0" w:color="auto"/>
            <w:bottom w:val="none" w:sz="0" w:space="0" w:color="auto"/>
            <w:right w:val="none" w:sz="0" w:space="0" w:color="auto"/>
          </w:divBdr>
          <w:divsChild>
            <w:div w:id="317422214">
              <w:marLeft w:val="0"/>
              <w:marRight w:val="0"/>
              <w:marTop w:val="0"/>
              <w:marBottom w:val="0"/>
              <w:divBdr>
                <w:top w:val="none" w:sz="0" w:space="0" w:color="auto"/>
                <w:left w:val="none" w:sz="0" w:space="0" w:color="auto"/>
                <w:bottom w:val="none" w:sz="0" w:space="0" w:color="auto"/>
                <w:right w:val="none" w:sz="0" w:space="0" w:color="auto"/>
              </w:divBdr>
              <w:divsChild>
                <w:div w:id="848103565">
                  <w:marLeft w:val="0"/>
                  <w:marRight w:val="0"/>
                  <w:marTop w:val="0"/>
                  <w:marBottom w:val="0"/>
                  <w:divBdr>
                    <w:top w:val="none" w:sz="0" w:space="0" w:color="auto"/>
                    <w:left w:val="none" w:sz="0" w:space="0" w:color="auto"/>
                    <w:bottom w:val="none" w:sz="0" w:space="0" w:color="auto"/>
                    <w:right w:val="none" w:sz="0" w:space="0" w:color="auto"/>
                  </w:divBdr>
                  <w:divsChild>
                    <w:div w:id="13553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hart" Target="charts/chart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DWisselo\AppData\Local\Micro%20Focus\Content%20Manager\TEMP\HPTRIM.16644\IENW%20BSK-2024%20165985%20%20Opzet%20LPO%20(cijfer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H:\Mijn%20documenten\Offline%20Records%20(01)\Onderzoek%20LPO\Opzet%20LPO%20(cijfer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H:\Mijn%20documenten\Offline%20Records%20(01)\Onderzoek%20LPO(2)\Opzet%20LPO%20(cijfer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Verloop</a:t>
            </a:r>
            <a:r>
              <a:rPr lang="nl-NL" baseline="0"/>
              <a:t> prijsindices 2014 - 2023 </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Blad1!$B$1</c:f>
              <c:strCache>
                <c:ptCount val="1"/>
                <c:pt idx="0">
                  <c:v>IBOI</c:v>
                </c:pt>
              </c:strCache>
            </c:strRef>
          </c:tx>
          <c:spPr>
            <a:ln w="28575" cap="rnd">
              <a:solidFill>
                <a:schemeClr val="accent1"/>
              </a:solidFill>
              <a:round/>
            </a:ln>
            <a:effectLst/>
          </c:spPr>
          <c:marker>
            <c:symbol val="none"/>
          </c:marker>
          <c:cat>
            <c:numRef>
              <c:f>Blad1!$A$2:$A$11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Blad1!$B$2:$B$11</c:f>
              <c:numCache>
                <c:formatCode>General</c:formatCode>
                <c:ptCount val="10"/>
                <c:pt idx="0">
                  <c:v>100</c:v>
                </c:pt>
                <c:pt idx="1">
                  <c:v>99.9</c:v>
                </c:pt>
                <c:pt idx="2">
                  <c:v>100.2</c:v>
                </c:pt>
                <c:pt idx="3">
                  <c:v>101.5</c:v>
                </c:pt>
                <c:pt idx="4">
                  <c:v>103.63</c:v>
                </c:pt>
                <c:pt idx="5">
                  <c:v>106.12</c:v>
                </c:pt>
                <c:pt idx="6">
                  <c:v>107.93</c:v>
                </c:pt>
                <c:pt idx="7">
                  <c:v>110.95</c:v>
                </c:pt>
                <c:pt idx="8">
                  <c:v>117.94</c:v>
                </c:pt>
                <c:pt idx="9">
                  <c:v>123.13</c:v>
                </c:pt>
              </c:numCache>
            </c:numRef>
          </c:val>
          <c:smooth val="0"/>
          <c:extLst>
            <c:ext xmlns:c16="http://schemas.microsoft.com/office/drawing/2014/chart" uri="{C3380CC4-5D6E-409C-BE32-E72D297353CC}">
              <c16:uniqueId val="{00000000-7EB0-48AC-BD61-38936F624F2A}"/>
            </c:ext>
          </c:extLst>
        </c:ser>
        <c:ser>
          <c:idx val="1"/>
          <c:order val="1"/>
          <c:tx>
            <c:strRef>
              <c:f>Blad1!$C$1</c:f>
              <c:strCache>
                <c:ptCount val="1"/>
                <c:pt idx="0">
                  <c:v>CPI</c:v>
                </c:pt>
              </c:strCache>
            </c:strRef>
          </c:tx>
          <c:spPr>
            <a:ln w="28575" cap="rnd">
              <a:solidFill>
                <a:schemeClr val="accent2"/>
              </a:solidFill>
              <a:round/>
            </a:ln>
            <a:effectLst/>
          </c:spPr>
          <c:marker>
            <c:symbol val="none"/>
          </c:marker>
          <c:cat>
            <c:numRef>
              <c:f>Blad1!$A$2:$A$11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Blad1!$C$2:$C$11</c:f>
              <c:numCache>
                <c:formatCode>General</c:formatCode>
                <c:ptCount val="10"/>
                <c:pt idx="0">
                  <c:v>100</c:v>
                </c:pt>
                <c:pt idx="1">
                  <c:v>100.604</c:v>
                </c:pt>
                <c:pt idx="2">
                  <c:v>100.926</c:v>
                </c:pt>
                <c:pt idx="3">
                  <c:v>102.31399999999999</c:v>
                </c:pt>
                <c:pt idx="4">
                  <c:v>104.06399999999999</c:v>
                </c:pt>
                <c:pt idx="5">
                  <c:v>106.801</c:v>
                </c:pt>
                <c:pt idx="6">
                  <c:v>108.15900000000001</c:v>
                </c:pt>
                <c:pt idx="7">
                  <c:v>111.056</c:v>
                </c:pt>
                <c:pt idx="8">
                  <c:v>122.163</c:v>
                </c:pt>
                <c:pt idx="9">
                  <c:v>126.851</c:v>
                </c:pt>
              </c:numCache>
            </c:numRef>
          </c:val>
          <c:smooth val="0"/>
          <c:extLst>
            <c:ext xmlns:c16="http://schemas.microsoft.com/office/drawing/2014/chart" uri="{C3380CC4-5D6E-409C-BE32-E72D297353CC}">
              <c16:uniqueId val="{00000001-7EB0-48AC-BD61-38936F624F2A}"/>
            </c:ext>
          </c:extLst>
        </c:ser>
        <c:ser>
          <c:idx val="2"/>
          <c:order val="2"/>
          <c:tx>
            <c:strRef>
              <c:f>Blad1!$D$1</c:f>
              <c:strCache>
                <c:ptCount val="1"/>
                <c:pt idx="0">
                  <c:v>GWW</c:v>
                </c:pt>
              </c:strCache>
            </c:strRef>
          </c:tx>
          <c:spPr>
            <a:ln w="28575" cap="rnd">
              <a:solidFill>
                <a:schemeClr val="accent3"/>
              </a:solidFill>
              <a:round/>
            </a:ln>
            <a:effectLst/>
          </c:spPr>
          <c:marker>
            <c:symbol val="none"/>
          </c:marker>
          <c:cat>
            <c:numRef>
              <c:f>Blad1!$A$2:$A$11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Blad1!$D$2:$D$11</c:f>
              <c:numCache>
                <c:formatCode>General</c:formatCode>
                <c:ptCount val="10"/>
                <c:pt idx="0">
                  <c:v>100</c:v>
                </c:pt>
                <c:pt idx="1">
                  <c:v>96</c:v>
                </c:pt>
                <c:pt idx="2">
                  <c:v>103.2</c:v>
                </c:pt>
                <c:pt idx="3">
                  <c:v>106.5</c:v>
                </c:pt>
                <c:pt idx="4">
                  <c:v>110.3</c:v>
                </c:pt>
                <c:pt idx="5">
                  <c:v>113.9</c:v>
                </c:pt>
                <c:pt idx="6">
                  <c:v>114</c:v>
                </c:pt>
                <c:pt idx="7">
                  <c:v>126.9</c:v>
                </c:pt>
                <c:pt idx="8">
                  <c:v>138.5</c:v>
                </c:pt>
                <c:pt idx="9">
                  <c:v>145.9</c:v>
                </c:pt>
              </c:numCache>
            </c:numRef>
          </c:val>
          <c:smooth val="0"/>
          <c:extLst>
            <c:ext xmlns:c16="http://schemas.microsoft.com/office/drawing/2014/chart" uri="{C3380CC4-5D6E-409C-BE32-E72D297353CC}">
              <c16:uniqueId val="{00000002-7EB0-48AC-BD61-38936F624F2A}"/>
            </c:ext>
          </c:extLst>
        </c:ser>
        <c:ser>
          <c:idx val="3"/>
          <c:order val="3"/>
          <c:tx>
            <c:strRef>
              <c:f>Blad1!$E$1</c:f>
              <c:strCache>
                <c:ptCount val="1"/>
                <c:pt idx="0">
                  <c:v>RWS</c:v>
                </c:pt>
              </c:strCache>
            </c:strRef>
          </c:tx>
          <c:spPr>
            <a:ln w="28575" cap="rnd">
              <a:solidFill>
                <a:schemeClr val="accent4"/>
              </a:solidFill>
              <a:round/>
            </a:ln>
            <a:effectLst/>
          </c:spPr>
          <c:marker>
            <c:symbol val="none"/>
          </c:marker>
          <c:cat>
            <c:numRef>
              <c:f>Blad1!$A$2:$A$11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Blad1!$E$2:$E$11</c:f>
              <c:numCache>
                <c:formatCode>General</c:formatCode>
                <c:ptCount val="10"/>
                <c:pt idx="0">
                  <c:v>100</c:v>
                </c:pt>
                <c:pt idx="1">
                  <c:v>98.2</c:v>
                </c:pt>
                <c:pt idx="2">
                  <c:v>98</c:v>
                </c:pt>
                <c:pt idx="3">
                  <c:v>100.75</c:v>
                </c:pt>
                <c:pt idx="4">
                  <c:v>104.48</c:v>
                </c:pt>
                <c:pt idx="5">
                  <c:v>106.98</c:v>
                </c:pt>
                <c:pt idx="6">
                  <c:v>107.3</c:v>
                </c:pt>
                <c:pt idx="7">
                  <c:v>113.96</c:v>
                </c:pt>
                <c:pt idx="8">
                  <c:v>131.85</c:v>
                </c:pt>
                <c:pt idx="9">
                  <c:v>135.41</c:v>
                </c:pt>
              </c:numCache>
            </c:numRef>
          </c:val>
          <c:smooth val="0"/>
          <c:extLst>
            <c:ext xmlns:c16="http://schemas.microsoft.com/office/drawing/2014/chart" uri="{C3380CC4-5D6E-409C-BE32-E72D297353CC}">
              <c16:uniqueId val="{00000003-7EB0-48AC-BD61-38936F624F2A}"/>
            </c:ext>
          </c:extLst>
        </c:ser>
        <c:dLbls>
          <c:showLegendKey val="0"/>
          <c:showVal val="0"/>
          <c:showCatName val="0"/>
          <c:showSerName val="0"/>
          <c:showPercent val="0"/>
          <c:showBubbleSize val="0"/>
        </c:dLbls>
        <c:smooth val="0"/>
        <c:axId val="1674828111"/>
        <c:axId val="572559616"/>
      </c:lineChart>
      <c:catAx>
        <c:axId val="1674828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72559616"/>
        <c:crosses val="autoZero"/>
        <c:auto val="1"/>
        <c:lblAlgn val="ctr"/>
        <c:lblOffset val="100"/>
        <c:noMultiLvlLbl val="0"/>
      </c:catAx>
      <c:valAx>
        <c:axId val="572559616"/>
        <c:scaling>
          <c:orientation val="minMax"/>
          <c:min val="9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674828111"/>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Jaarmutaties</a:t>
            </a:r>
            <a:endParaRPr lang="nl-NL" baseline="0"/>
          </a:p>
          <a:p>
            <a:pPr>
              <a:defRPr/>
            </a:pP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3"/>
          <c:order val="3"/>
          <c:tx>
            <c:strRef>
              <c:f>'LPO indices'!$M$7</c:f>
              <c:strCache>
                <c:ptCount val="1"/>
                <c:pt idx="0">
                  <c:v>GWW
</c:v>
                </c:pt>
              </c:strCache>
            </c:strRef>
          </c:tx>
          <c:spPr>
            <a:solidFill>
              <a:schemeClr val="accent3"/>
            </a:solidFill>
            <a:ln>
              <a:solidFill>
                <a:schemeClr val="bg1">
                  <a:lumMod val="50000"/>
                </a:schemeClr>
              </a:solidFill>
            </a:ln>
            <a:effectLst/>
          </c:spPr>
          <c:invertIfNegative val="0"/>
          <c:cat>
            <c:numRef>
              <c:f>'LPO indices'!$G$9:$G$17</c:f>
              <c:numCache>
                <c:formatCode>General</c:formatCode>
                <c:ptCount val="9"/>
                <c:pt idx="0">
                  <c:v>2015</c:v>
                </c:pt>
                <c:pt idx="1">
                  <c:v>2016</c:v>
                </c:pt>
                <c:pt idx="2">
                  <c:v>2017</c:v>
                </c:pt>
                <c:pt idx="3">
                  <c:v>2018</c:v>
                </c:pt>
                <c:pt idx="4">
                  <c:v>2019</c:v>
                </c:pt>
                <c:pt idx="5">
                  <c:v>2020</c:v>
                </c:pt>
                <c:pt idx="6">
                  <c:v>2021</c:v>
                </c:pt>
                <c:pt idx="7">
                  <c:v>2022</c:v>
                </c:pt>
                <c:pt idx="8">
                  <c:v>2023</c:v>
                </c:pt>
              </c:numCache>
              <c:extLst/>
            </c:numRef>
          </c:cat>
          <c:val>
            <c:numRef>
              <c:f>'LPO indices'!$M$9:$M$17</c:f>
              <c:numCache>
                <c:formatCode>0.000%</c:formatCode>
                <c:ptCount val="9"/>
                <c:pt idx="0">
                  <c:v>-0.04</c:v>
                </c:pt>
                <c:pt idx="1">
                  <c:v>7.5000000000000025E-2</c:v>
                </c:pt>
                <c:pt idx="2">
                  <c:v>3.1976744186046485E-2</c:v>
                </c:pt>
                <c:pt idx="3">
                  <c:v>3.5680751173708891E-2</c:v>
                </c:pt>
                <c:pt idx="4">
                  <c:v>3.2638259292837792E-2</c:v>
                </c:pt>
                <c:pt idx="5">
                  <c:v>8.7796312554867697E-4</c:v>
                </c:pt>
                <c:pt idx="6">
                  <c:v>0.11315789473684215</c:v>
                </c:pt>
                <c:pt idx="7">
                  <c:v>9.141055949566583E-2</c:v>
                </c:pt>
                <c:pt idx="8">
                  <c:v>5.342960288808668E-2</c:v>
                </c:pt>
              </c:numCache>
              <c:extLst/>
            </c:numRef>
          </c:val>
          <c:extLst>
            <c:ext xmlns:c16="http://schemas.microsoft.com/office/drawing/2014/chart" uri="{C3380CC4-5D6E-409C-BE32-E72D297353CC}">
              <c16:uniqueId val="{00000000-4A34-4E4D-B5B5-BAB58957647A}"/>
            </c:ext>
          </c:extLst>
        </c:ser>
        <c:ser>
          <c:idx val="8"/>
          <c:order val="8"/>
          <c:tx>
            <c:strRef>
              <c:f>'LPO indices'!$I$7</c:f>
              <c:strCache>
                <c:ptCount val="1"/>
                <c:pt idx="0">
                  <c:v>IBOI
</c:v>
                </c:pt>
              </c:strCache>
            </c:strRef>
          </c:tx>
          <c:spPr>
            <a:solidFill>
              <a:schemeClr val="accent1"/>
            </a:solidFill>
            <a:ln>
              <a:noFill/>
            </a:ln>
            <a:effectLst/>
          </c:spPr>
          <c:invertIfNegative val="0"/>
          <c:cat>
            <c:strLit>
              <c:ptCount val="9"/>
              <c:pt idx="0">
                <c:v>2015</c:v>
              </c:pt>
              <c:pt idx="1">
                <c:v>2016</c:v>
              </c:pt>
              <c:pt idx="2">
                <c:v>2017</c:v>
              </c:pt>
              <c:pt idx="3">
                <c:v>2018</c:v>
              </c:pt>
              <c:pt idx="4">
                <c:v>2019</c:v>
              </c:pt>
              <c:pt idx="5">
                <c:v>2020</c:v>
              </c:pt>
              <c:pt idx="6">
                <c:v>2021</c:v>
              </c:pt>
              <c:pt idx="7">
                <c:v>2022</c:v>
              </c:pt>
              <c:pt idx="8">
                <c:v>2023</c:v>
              </c:pt>
              <c:extLst>
                <c:ext xmlns:c15="http://schemas.microsoft.com/office/drawing/2012/chart" uri="{02D57815-91ED-43cb-92C2-25804820EDAC}">
                  <c15:autoCat val="1"/>
                </c:ext>
              </c:extLst>
            </c:strLit>
          </c:cat>
          <c:val>
            <c:numRef>
              <c:f>'LPO indices'!$I$9:$I$17</c:f>
              <c:numCache>
                <c:formatCode>0.0%</c:formatCode>
                <c:ptCount val="9"/>
                <c:pt idx="0">
                  <c:v>-1E-3</c:v>
                </c:pt>
                <c:pt idx="1">
                  <c:v>3.0000000000000001E-3</c:v>
                </c:pt>
                <c:pt idx="2">
                  <c:v>1.2999999999999999E-2</c:v>
                </c:pt>
                <c:pt idx="3">
                  <c:v>2.1000000000000001E-2</c:v>
                </c:pt>
                <c:pt idx="4">
                  <c:v>2.4E-2</c:v>
                </c:pt>
                <c:pt idx="5">
                  <c:v>1.7000000000000001E-2</c:v>
                </c:pt>
                <c:pt idx="6">
                  <c:v>2.8000000000000001E-2</c:v>
                </c:pt>
                <c:pt idx="7">
                  <c:v>6.3E-2</c:v>
                </c:pt>
                <c:pt idx="8">
                  <c:v>4.3999999999999997E-2</c:v>
                </c:pt>
              </c:numCache>
              <c:extLst/>
            </c:numRef>
          </c:val>
          <c:extLst>
            <c:ext xmlns:c16="http://schemas.microsoft.com/office/drawing/2014/chart" uri="{C3380CC4-5D6E-409C-BE32-E72D297353CC}">
              <c16:uniqueId val="{00000001-4A34-4E4D-B5B5-BAB58957647A}"/>
            </c:ext>
          </c:extLst>
        </c:ser>
        <c:ser>
          <c:idx val="6"/>
          <c:order val="6"/>
          <c:tx>
            <c:strRef>
              <c:f>'LPO indices'!$K$7</c:f>
              <c:strCache>
                <c:ptCount val="1"/>
                <c:pt idx="0">
                  <c:v>CPI
</c:v>
                </c:pt>
              </c:strCache>
            </c:strRef>
          </c:tx>
          <c:spPr>
            <a:solidFill>
              <a:schemeClr val="accent2"/>
            </a:solidFill>
            <a:ln>
              <a:noFill/>
            </a:ln>
            <a:effectLst/>
          </c:spPr>
          <c:invertIfNegative val="0"/>
          <c:cat>
            <c:strLit>
              <c:ptCount val="10"/>
              <c:pt idx="0">
                <c:v>2015</c:v>
              </c:pt>
              <c:pt idx="1">
                <c:v>2016</c:v>
              </c:pt>
              <c:pt idx="2">
                <c:v>2017</c:v>
              </c:pt>
              <c:pt idx="3">
                <c:v>2018</c:v>
              </c:pt>
              <c:pt idx="4">
                <c:v>2019</c:v>
              </c:pt>
              <c:pt idx="5">
                <c:v>2020</c:v>
              </c:pt>
              <c:pt idx="6">
                <c:v>2021</c:v>
              </c:pt>
              <c:pt idx="7">
                <c:v>2022</c:v>
              </c:pt>
              <c:pt idx="8">
                <c:v>2023</c:v>
              </c:pt>
              <c:pt idx="9">
                <c:v>2024</c:v>
              </c:pt>
              <c:extLst>
                <c:ext xmlns:c15="http://schemas.microsoft.com/office/drawing/2012/chart" uri="{02D57815-91ED-43cb-92C2-25804820EDAC}">
                  <c15:autoCat val="1"/>
                </c:ext>
              </c:extLst>
            </c:strLit>
          </c:cat>
          <c:val>
            <c:numRef>
              <c:f>'LPO indices'!$K$9:$K$17</c:f>
              <c:numCache>
                <c:formatCode>0.000%</c:formatCode>
                <c:ptCount val="9"/>
                <c:pt idx="0">
                  <c:v>6.03621730382288E-3</c:v>
                </c:pt>
                <c:pt idx="1">
                  <c:v>3.1999999999999316E-3</c:v>
                </c:pt>
                <c:pt idx="2">
                  <c:v>1.3755980861244117E-2</c:v>
                </c:pt>
                <c:pt idx="3">
                  <c:v>1.7109144542772809E-2</c:v>
                </c:pt>
                <c:pt idx="4">
                  <c:v>2.6295436968290786E-2</c:v>
                </c:pt>
                <c:pt idx="5">
                  <c:v>1.271665410700837E-2</c:v>
                </c:pt>
                <c:pt idx="6">
                  <c:v>2.678820574830244E-2</c:v>
                </c:pt>
                <c:pt idx="7">
                  <c:v>0.10000905879155726</c:v>
                </c:pt>
                <c:pt idx="8">
                  <c:v>3.8376019105657549E-2</c:v>
                </c:pt>
              </c:numCache>
              <c:extLst/>
            </c:numRef>
          </c:val>
          <c:extLst>
            <c:ext xmlns:c16="http://schemas.microsoft.com/office/drawing/2014/chart" uri="{C3380CC4-5D6E-409C-BE32-E72D297353CC}">
              <c16:uniqueId val="{00000002-4A34-4E4D-B5B5-BAB58957647A}"/>
            </c:ext>
          </c:extLst>
        </c:ser>
        <c:ser>
          <c:idx val="7"/>
          <c:order val="7"/>
          <c:tx>
            <c:strRef>
              <c:f>'LPO indices'!$O$7</c:f>
              <c:strCache>
                <c:ptCount val="1"/>
                <c:pt idx="0">
                  <c:v>RWS index
</c:v>
                </c:pt>
              </c:strCache>
            </c:strRef>
          </c:tx>
          <c:spPr>
            <a:solidFill>
              <a:schemeClr val="accent4"/>
            </a:solidFill>
            <a:ln>
              <a:noFill/>
            </a:ln>
            <a:effectLst/>
          </c:spPr>
          <c:invertIfNegative val="0"/>
          <c:cat>
            <c:strLit>
              <c:ptCount val="10"/>
              <c:pt idx="0">
                <c:v>2015</c:v>
              </c:pt>
              <c:pt idx="1">
                <c:v>2016</c:v>
              </c:pt>
              <c:pt idx="2">
                <c:v>2017</c:v>
              </c:pt>
              <c:pt idx="3">
                <c:v>2018</c:v>
              </c:pt>
              <c:pt idx="4">
                <c:v>2019</c:v>
              </c:pt>
              <c:pt idx="5">
                <c:v>2020</c:v>
              </c:pt>
              <c:pt idx="6">
                <c:v>2021</c:v>
              </c:pt>
              <c:pt idx="7">
                <c:v>2022</c:v>
              </c:pt>
              <c:pt idx="8">
                <c:v>2023</c:v>
              </c:pt>
              <c:pt idx="9">
                <c:v>2024</c:v>
              </c:pt>
              <c:extLst>
                <c:ext xmlns:c15="http://schemas.microsoft.com/office/drawing/2012/chart" uri="{02D57815-91ED-43cb-92C2-25804820EDAC}">
                  <c15:autoCat val="1"/>
                </c:ext>
              </c:extLst>
            </c:strLit>
          </c:cat>
          <c:val>
            <c:numRef>
              <c:f>'LPO indices'!$O$9:$O$17</c:f>
              <c:numCache>
                <c:formatCode>0.000%</c:formatCode>
                <c:ptCount val="9"/>
                <c:pt idx="0">
                  <c:v>-1.7999999999999999E-2</c:v>
                </c:pt>
                <c:pt idx="1">
                  <c:v>-2E-3</c:v>
                </c:pt>
                <c:pt idx="2">
                  <c:v>2.8000000000000001E-2</c:v>
                </c:pt>
                <c:pt idx="3">
                  <c:v>3.6999999999999998E-2</c:v>
                </c:pt>
                <c:pt idx="4">
                  <c:v>2.4E-2</c:v>
                </c:pt>
                <c:pt idx="5">
                  <c:v>3.0000000000000001E-3</c:v>
                </c:pt>
                <c:pt idx="6">
                  <c:v>6.2E-2</c:v>
                </c:pt>
                <c:pt idx="7">
                  <c:v>0.157</c:v>
                </c:pt>
                <c:pt idx="8">
                  <c:v>2.7E-2</c:v>
                </c:pt>
              </c:numCache>
              <c:extLst/>
            </c:numRef>
          </c:val>
          <c:extLst>
            <c:ext xmlns:c16="http://schemas.microsoft.com/office/drawing/2014/chart" uri="{C3380CC4-5D6E-409C-BE32-E72D297353CC}">
              <c16:uniqueId val="{00000003-4A34-4E4D-B5B5-BAB58957647A}"/>
            </c:ext>
          </c:extLst>
        </c:ser>
        <c:dLbls>
          <c:showLegendKey val="0"/>
          <c:showVal val="0"/>
          <c:showCatName val="0"/>
          <c:showSerName val="0"/>
          <c:showPercent val="0"/>
          <c:showBubbleSize val="0"/>
        </c:dLbls>
        <c:gapWidth val="150"/>
        <c:axId val="1299489663"/>
        <c:axId val="927459823"/>
        <c:extLst>
          <c:ext xmlns:c15="http://schemas.microsoft.com/office/drawing/2012/chart" uri="{02D57815-91ED-43cb-92C2-25804820EDAC}">
            <c15:filteredBarSeries>
              <c15:ser>
                <c:idx val="0"/>
                <c:order val="0"/>
                <c:spPr>
                  <a:solidFill>
                    <a:schemeClr val="accent1"/>
                  </a:solidFill>
                  <a:ln>
                    <a:noFill/>
                  </a:ln>
                  <a:effectLst/>
                </c:spPr>
                <c:invertIfNegative val="0"/>
                <c:cat>
                  <c:numRef>
                    <c:extLst>
                      <c:ext uri="{02D57815-91ED-43cb-92C2-25804820EDAC}">
                        <c15:formulaRef>
                          <c15:sqref>'LPO indices'!$G$9:$G$17</c15:sqref>
                        </c15:formulaRef>
                      </c:ext>
                    </c:extLst>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extLst>
                      <c:ext uri="{02D57815-91ED-43cb-92C2-25804820EDAC}">
                        <c15:formulaRef>
                          <c15:sqref>'LPO indices'!$G$9:$G$17</c15:sqref>
                        </c15:formulaRef>
                      </c:ext>
                    </c:extLst>
                    <c:numCache>
                      <c:formatCode>General</c:formatCode>
                      <c:ptCount val="9"/>
                      <c:pt idx="0">
                        <c:v>2015</c:v>
                      </c:pt>
                      <c:pt idx="1">
                        <c:v>2016</c:v>
                      </c:pt>
                      <c:pt idx="2">
                        <c:v>2017</c:v>
                      </c:pt>
                      <c:pt idx="3">
                        <c:v>2018</c:v>
                      </c:pt>
                      <c:pt idx="4">
                        <c:v>2019</c:v>
                      </c:pt>
                      <c:pt idx="5">
                        <c:v>2020</c:v>
                      </c:pt>
                      <c:pt idx="6">
                        <c:v>2021</c:v>
                      </c:pt>
                      <c:pt idx="7">
                        <c:v>2022</c:v>
                      </c:pt>
                      <c:pt idx="8">
                        <c:v>2023</c:v>
                      </c:pt>
                    </c:numCache>
                  </c:numRef>
                </c:val>
                <c:extLst>
                  <c:ext xmlns:c16="http://schemas.microsoft.com/office/drawing/2014/chart" uri="{C3380CC4-5D6E-409C-BE32-E72D297353CC}">
                    <c16:uniqueId val="{00000004-4A34-4E4D-B5B5-BAB58957647A}"/>
                  </c:ext>
                </c:extLst>
              </c15:ser>
            </c15:filteredBarSeries>
            <c15:filteredBarSeries>
              <c15:ser>
                <c:idx val="1"/>
                <c:order val="1"/>
                <c:spPr>
                  <a:solidFill>
                    <a:schemeClr val="accent2"/>
                  </a:solidFill>
                  <a:ln>
                    <a:noFill/>
                  </a:ln>
                  <a:effectLst/>
                </c:spPr>
                <c:invertIfNegative val="0"/>
                <c:cat>
                  <c:numRef>
                    <c:extLst xmlns:c15="http://schemas.microsoft.com/office/drawing/2012/chart">
                      <c:ext xmlns:c15="http://schemas.microsoft.com/office/drawing/2012/chart" uri="{02D57815-91ED-43cb-92C2-25804820EDAC}">
                        <c15:formulaRef>
                          <c15:sqref>'LPO indices'!$G$9:$G$17</c15:sqref>
                        </c15:formulaRef>
                      </c:ext>
                    </c:extLst>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extLst xmlns:c15="http://schemas.microsoft.com/office/drawing/2012/chart">
                      <c:ext xmlns:c15="http://schemas.microsoft.com/office/drawing/2012/chart" uri="{02D57815-91ED-43cb-92C2-25804820EDAC}">
                        <c15:formulaRef>
                          <c15:sqref>'LPO indices'!$H$9:$H$17</c15:sqref>
                        </c15:formulaRef>
                      </c:ext>
                    </c:extLst>
                    <c:numCache>
                      <c:formatCode>0.000%</c:formatCode>
                      <c:ptCount val="9"/>
                      <c:pt idx="0">
                        <c:v>3.8400000000000001E-3</c:v>
                      </c:pt>
                      <c:pt idx="1">
                        <c:v>1.91E-3</c:v>
                      </c:pt>
                      <c:pt idx="2">
                        <c:v>1.15E-2</c:v>
                      </c:pt>
                      <c:pt idx="3">
                        <c:v>1.5257E-2</c:v>
                      </c:pt>
                      <c:pt idx="4">
                        <c:v>2.0199999999999999E-2</c:v>
                      </c:pt>
                      <c:pt idx="5">
                        <c:v>1.6580000000000001E-2</c:v>
                      </c:pt>
                      <c:pt idx="6">
                        <c:v>2.3539999999999998E-2</c:v>
                      </c:pt>
                      <c:pt idx="7">
                        <c:v>5.9639999999999999E-2</c:v>
                      </c:pt>
                      <c:pt idx="8">
                        <c:v>4.8340956035144399E-2</c:v>
                      </c:pt>
                    </c:numCache>
                  </c:numRef>
                </c:val>
                <c:extLst xmlns:c15="http://schemas.microsoft.com/office/drawing/2012/chart">
                  <c:ext xmlns:c16="http://schemas.microsoft.com/office/drawing/2014/chart" uri="{C3380CC4-5D6E-409C-BE32-E72D297353CC}">
                    <c16:uniqueId val="{00000005-4A34-4E4D-B5B5-BAB58957647A}"/>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'LPO indices'!$H$7</c15:sqref>
                        </c15:formulaRef>
                      </c:ext>
                    </c:extLst>
                    <c:strCache>
                      <c:ptCount val="1"/>
                      <c:pt idx="0">
                        <c:v>IBOI
(ex ante)</c:v>
                      </c:pt>
                    </c:strCache>
                  </c:strRef>
                </c:tx>
                <c:spPr>
                  <a:solidFill>
                    <a:schemeClr val="accent1"/>
                  </a:solidFill>
                  <a:ln>
                    <a:solidFill>
                      <a:schemeClr val="accent1">
                        <a:lumMod val="75000"/>
                      </a:schemeClr>
                    </a:solidFill>
                  </a:ln>
                  <a:effectLst/>
                </c:spPr>
                <c:invertIfNegative val="0"/>
                <c:cat>
                  <c:numRef>
                    <c:extLst xmlns:c15="http://schemas.microsoft.com/office/drawing/2012/chart">
                      <c:ext xmlns:c15="http://schemas.microsoft.com/office/drawing/2012/chart" uri="{02D57815-91ED-43cb-92C2-25804820EDAC}">
                        <c15:formulaRef>
                          <c15:sqref>'LPO indices'!$G$9:$G$17</c15:sqref>
                        </c15:formulaRef>
                      </c:ext>
                    </c:extLst>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extLst xmlns:c15="http://schemas.microsoft.com/office/drawing/2012/chart">
                      <c:ext xmlns:c15="http://schemas.microsoft.com/office/drawing/2012/chart" uri="{02D57815-91ED-43cb-92C2-25804820EDAC}">
                        <c15:formulaRef>
                          <c15:sqref>'LPO indices'!$H$9:$H$17</c15:sqref>
                        </c15:formulaRef>
                      </c:ext>
                    </c:extLst>
                    <c:numCache>
                      <c:formatCode>0.000%</c:formatCode>
                      <c:ptCount val="9"/>
                      <c:pt idx="0">
                        <c:v>3.8400000000000001E-3</c:v>
                      </c:pt>
                      <c:pt idx="1">
                        <c:v>1.91E-3</c:v>
                      </c:pt>
                      <c:pt idx="2">
                        <c:v>1.15E-2</c:v>
                      </c:pt>
                      <c:pt idx="3">
                        <c:v>1.5257E-2</c:v>
                      </c:pt>
                      <c:pt idx="4">
                        <c:v>2.0199999999999999E-2</c:v>
                      </c:pt>
                      <c:pt idx="5">
                        <c:v>1.6580000000000001E-2</c:v>
                      </c:pt>
                      <c:pt idx="6">
                        <c:v>2.3539999999999998E-2</c:v>
                      </c:pt>
                      <c:pt idx="7">
                        <c:v>5.9639999999999999E-2</c:v>
                      </c:pt>
                      <c:pt idx="8">
                        <c:v>4.8340956035144399E-2</c:v>
                      </c:pt>
                    </c:numCache>
                  </c:numRef>
                </c:val>
                <c:extLst xmlns:c15="http://schemas.microsoft.com/office/drawing/2012/chart">
                  <c:ext xmlns:c16="http://schemas.microsoft.com/office/drawing/2014/chart" uri="{C3380CC4-5D6E-409C-BE32-E72D297353CC}">
                    <c16:uniqueId val="{00000006-4A34-4E4D-B5B5-BAB58957647A}"/>
                  </c:ext>
                </c:extLst>
              </c15:ser>
            </c15:filteredBarSeries>
            <c15:filteredBarSeries>
              <c15:ser>
                <c:idx val="4"/>
                <c:order val="4"/>
                <c:tx>
                  <c:v>Gemiddelde GWW</c:v>
                </c:tx>
                <c:spPr>
                  <a:solidFill>
                    <a:schemeClr val="accent5"/>
                  </a:solidFill>
                  <a:ln>
                    <a:noFill/>
                    <a:prstDash val="sysDash"/>
                  </a:ln>
                  <a:effectLst/>
                </c:spPr>
                <c:invertIfNegative val="0"/>
                <c:val>
                  <c:numRef>
                    <c:extLst xmlns:c15="http://schemas.microsoft.com/office/drawing/2012/chart">
                      <c:ext xmlns:c15="http://schemas.microsoft.com/office/drawing/2012/chart" uri="{02D57815-91ED-43cb-92C2-25804820EDAC}">
                        <c15:formulaRef>
                          <c15:sqref>'LPO indices'!$T$9:$T$17</c15:sqref>
                        </c15:formulaRef>
                      </c:ext>
                    </c:extLst>
                    <c:numCache>
                      <c:formatCode>0.000%</c:formatCode>
                      <c:ptCount val="9"/>
                      <c:pt idx="0">
                        <c:v>4.3796863877637392E-2</c:v>
                      </c:pt>
                      <c:pt idx="1">
                        <c:v>4.3796863877637392E-2</c:v>
                      </c:pt>
                      <c:pt idx="2">
                        <c:v>4.3796863877637392E-2</c:v>
                      </c:pt>
                      <c:pt idx="3">
                        <c:v>4.3796863877637392E-2</c:v>
                      </c:pt>
                      <c:pt idx="4">
                        <c:v>4.3796863877637392E-2</c:v>
                      </c:pt>
                      <c:pt idx="5">
                        <c:v>4.3796863877637392E-2</c:v>
                      </c:pt>
                      <c:pt idx="6">
                        <c:v>4.3796863877637392E-2</c:v>
                      </c:pt>
                      <c:pt idx="7">
                        <c:v>4.3796863877637392E-2</c:v>
                      </c:pt>
                      <c:pt idx="8">
                        <c:v>4.3796863877637392E-2</c:v>
                      </c:pt>
                    </c:numCache>
                  </c:numRef>
                </c:val>
                <c:extLst xmlns:c15="http://schemas.microsoft.com/office/drawing/2012/chart">
                  <c:ext xmlns:c16="http://schemas.microsoft.com/office/drawing/2014/chart" uri="{C3380CC4-5D6E-409C-BE32-E72D297353CC}">
                    <c16:uniqueId val="{00000007-4A34-4E4D-B5B5-BAB58957647A}"/>
                  </c:ext>
                </c:extLst>
              </c15:ser>
            </c15:filteredBarSeries>
            <c15:filteredBarSeries>
              <c15:ser>
                <c:idx val="5"/>
                <c:order val="5"/>
                <c:tx>
                  <c:v>Gemiddelde IBOI</c:v>
                </c:tx>
                <c:spPr>
                  <a:solidFill>
                    <a:schemeClr val="accent6"/>
                  </a:solidFill>
                  <a:ln>
                    <a:noFill/>
                    <a:prstDash val="sysDash"/>
                  </a:ln>
                  <a:effectLst/>
                </c:spPr>
                <c:invertIfNegative val="0"/>
                <c:val>
                  <c:numRef>
                    <c:extLst xmlns:c15="http://schemas.microsoft.com/office/drawing/2012/chart">
                      <c:ext xmlns:c15="http://schemas.microsoft.com/office/drawing/2012/chart" uri="{02D57815-91ED-43cb-92C2-25804820EDAC}">
                        <c15:formulaRef>
                          <c15:sqref>'LPO indices'!$R$9:$R$17</c15:sqref>
                        </c15:formulaRef>
                      </c:ext>
                    </c:extLst>
                    <c:numCache>
                      <c:formatCode>0.000%</c:formatCode>
                      <c:ptCount val="9"/>
                      <c:pt idx="0">
                        <c:v>2.2311995115016043E-2</c:v>
                      </c:pt>
                      <c:pt idx="1">
                        <c:v>2.2311995115016043E-2</c:v>
                      </c:pt>
                      <c:pt idx="2">
                        <c:v>2.2311995115016043E-2</c:v>
                      </c:pt>
                      <c:pt idx="3">
                        <c:v>2.2311995115016043E-2</c:v>
                      </c:pt>
                      <c:pt idx="4">
                        <c:v>2.2311995115016043E-2</c:v>
                      </c:pt>
                      <c:pt idx="5">
                        <c:v>2.2311995115016043E-2</c:v>
                      </c:pt>
                      <c:pt idx="6">
                        <c:v>2.2311995115016043E-2</c:v>
                      </c:pt>
                      <c:pt idx="7">
                        <c:v>2.2311995115016043E-2</c:v>
                      </c:pt>
                      <c:pt idx="8">
                        <c:v>2.2311995115016043E-2</c:v>
                      </c:pt>
                    </c:numCache>
                  </c:numRef>
                </c:val>
                <c:extLst xmlns:c15="http://schemas.microsoft.com/office/drawing/2012/chart">
                  <c:ext xmlns:c16="http://schemas.microsoft.com/office/drawing/2014/chart" uri="{C3380CC4-5D6E-409C-BE32-E72D297353CC}">
                    <c16:uniqueId val="{00000008-4A34-4E4D-B5B5-BAB58957647A}"/>
                  </c:ext>
                </c:extLst>
              </c15:ser>
            </c15:filteredBarSeries>
          </c:ext>
        </c:extLst>
      </c:barChart>
      <c:catAx>
        <c:axId val="1299489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927459823"/>
        <c:crosses val="autoZero"/>
        <c:auto val="1"/>
        <c:lblAlgn val="ctr"/>
        <c:lblOffset val="1000"/>
        <c:noMultiLvlLbl val="0"/>
      </c:catAx>
      <c:valAx>
        <c:axId val="9274598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2994896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Internationaal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'LPO indices'!$Z$7</c:f>
              <c:strCache>
                <c:ptCount val="1"/>
                <c:pt idx="0">
                  <c:v>CBS PPI 351 Elek. Verbruiksprijzen</c:v>
                </c:pt>
              </c:strCache>
            </c:strRef>
          </c:tx>
          <c:spPr>
            <a:ln w="28575" cap="rnd">
              <a:solidFill>
                <a:schemeClr val="accent1"/>
              </a:solidFill>
              <a:round/>
            </a:ln>
            <a:effectLst/>
          </c:spPr>
          <c:marker>
            <c:symbol val="none"/>
          </c:marker>
          <c:cat>
            <c:numRef>
              <c:f>'LPO indices'!$Y$8:$Y$18</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'LPO indices'!$Z$8:$Z$18</c:f>
              <c:numCache>
                <c:formatCode>General</c:formatCode>
                <c:ptCount val="11"/>
                <c:pt idx="0">
                  <c:v>100</c:v>
                </c:pt>
                <c:pt idx="1">
                  <c:v>87.296137339055804</c:v>
                </c:pt>
                <c:pt idx="2">
                  <c:v>89.184549356223172</c:v>
                </c:pt>
                <c:pt idx="3">
                  <c:v>105.30502931075178</c:v>
                </c:pt>
                <c:pt idx="4">
                  <c:v>92.637572103273698</c:v>
                </c:pt>
                <c:pt idx="5">
                  <c:v>125.21683340852212</c:v>
                </c:pt>
                <c:pt idx="6">
                  <c:v>73.09575647444467</c:v>
                </c:pt>
                <c:pt idx="7">
                  <c:v>109.91835236084255</c:v>
                </c:pt>
                <c:pt idx="8">
                  <c:v>316.74663055893052</c:v>
                </c:pt>
                <c:pt idx="9">
                  <c:v>446.19688233721013</c:v>
                </c:pt>
                <c:pt idx="10">
                  <c:v>239.20155219899493</c:v>
                </c:pt>
              </c:numCache>
            </c:numRef>
          </c:val>
          <c:smooth val="0"/>
          <c:extLst>
            <c:ext xmlns:c16="http://schemas.microsoft.com/office/drawing/2014/chart" uri="{C3380CC4-5D6E-409C-BE32-E72D297353CC}">
              <c16:uniqueId val="{00000000-4794-4842-9C34-8C15D8053E9F}"/>
            </c:ext>
          </c:extLst>
        </c:ser>
        <c:ser>
          <c:idx val="1"/>
          <c:order val="1"/>
          <c:tx>
            <c:strRef>
              <c:f>'LPO indices'!$AA$7</c:f>
              <c:strCache>
                <c:ptCount val="1"/>
                <c:pt idx="0">
                  <c:v>CROW 19 staal excl. Betonstaal</c:v>
                </c:pt>
              </c:strCache>
            </c:strRef>
          </c:tx>
          <c:spPr>
            <a:ln w="28575" cap="rnd">
              <a:solidFill>
                <a:schemeClr val="accent2"/>
              </a:solidFill>
              <a:round/>
            </a:ln>
            <a:effectLst/>
          </c:spPr>
          <c:marker>
            <c:symbol val="none"/>
          </c:marker>
          <c:cat>
            <c:numRef>
              <c:f>'LPO indices'!$Y$8:$Y$18</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'LPO indices'!$AA$8:$AA$18</c:f>
              <c:numCache>
                <c:formatCode>0.00</c:formatCode>
                <c:ptCount val="11"/>
                <c:pt idx="0">
                  <c:v>100</c:v>
                </c:pt>
                <c:pt idx="1">
                  <c:v>92.954784437434284</c:v>
                </c:pt>
                <c:pt idx="2">
                  <c:v>90.115667718191375</c:v>
                </c:pt>
                <c:pt idx="3">
                  <c:v>90.168243953732912</c:v>
                </c:pt>
                <c:pt idx="4">
                  <c:v>93.27024185068349</c:v>
                </c:pt>
                <c:pt idx="5">
                  <c:v>95.63617245005257</c:v>
                </c:pt>
                <c:pt idx="6">
                  <c:v>88.170347003154561</c:v>
                </c:pt>
                <c:pt idx="7">
                  <c:v>96.845425867507871</c:v>
                </c:pt>
                <c:pt idx="8">
                  <c:v>136.5930599369085</c:v>
                </c:pt>
                <c:pt idx="9">
                  <c:v>136.22502628811776</c:v>
                </c:pt>
                <c:pt idx="10">
                  <c:v>122.7129337539432</c:v>
                </c:pt>
              </c:numCache>
            </c:numRef>
          </c:val>
          <c:smooth val="0"/>
          <c:extLst>
            <c:ext xmlns:c16="http://schemas.microsoft.com/office/drawing/2014/chart" uri="{C3380CC4-5D6E-409C-BE32-E72D297353CC}">
              <c16:uniqueId val="{00000001-4794-4842-9C34-8C15D8053E9F}"/>
            </c:ext>
          </c:extLst>
        </c:ser>
        <c:ser>
          <c:idx val="2"/>
          <c:order val="2"/>
          <c:tx>
            <c:strRef>
              <c:f>'LPO indices'!$AB$7</c:f>
              <c:strCache>
                <c:ptCount val="1"/>
                <c:pt idx="0">
                  <c:v>CROW 20 wegenbouwbitumen</c:v>
                </c:pt>
              </c:strCache>
            </c:strRef>
          </c:tx>
          <c:spPr>
            <a:ln w="28575" cap="rnd">
              <a:solidFill>
                <a:schemeClr val="accent3"/>
              </a:solidFill>
              <a:round/>
            </a:ln>
            <a:effectLst/>
          </c:spPr>
          <c:marker>
            <c:symbol val="none"/>
          </c:marker>
          <c:cat>
            <c:numRef>
              <c:f>'LPO indices'!$Y$8:$Y$18</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'LPO indices'!$AB$8:$AB$18</c:f>
              <c:numCache>
                <c:formatCode>0.00</c:formatCode>
                <c:ptCount val="11"/>
                <c:pt idx="0">
                  <c:v>100</c:v>
                </c:pt>
                <c:pt idx="1">
                  <c:v>59.323943661971832</c:v>
                </c:pt>
                <c:pt idx="2">
                  <c:v>37.83098591549296</c:v>
                </c:pt>
                <c:pt idx="3">
                  <c:v>71.211267605633807</c:v>
                </c:pt>
                <c:pt idx="4">
                  <c:v>76.507042253521135</c:v>
                </c:pt>
                <c:pt idx="5">
                  <c:v>80.450704225352126</c:v>
                </c:pt>
                <c:pt idx="6">
                  <c:v>77.74647887323944</c:v>
                </c:pt>
                <c:pt idx="7">
                  <c:v>70.732394366197184</c:v>
                </c:pt>
                <c:pt idx="8">
                  <c:v>92.676056338028175</c:v>
                </c:pt>
                <c:pt idx="9">
                  <c:v>101.2394366197183</c:v>
                </c:pt>
                <c:pt idx="10">
                  <c:v>112.22535211267605</c:v>
                </c:pt>
              </c:numCache>
            </c:numRef>
          </c:val>
          <c:smooth val="0"/>
          <c:extLst>
            <c:ext xmlns:c16="http://schemas.microsoft.com/office/drawing/2014/chart" uri="{C3380CC4-5D6E-409C-BE32-E72D297353CC}">
              <c16:uniqueId val="{00000002-4794-4842-9C34-8C15D8053E9F}"/>
            </c:ext>
          </c:extLst>
        </c:ser>
        <c:ser>
          <c:idx val="3"/>
          <c:order val="3"/>
          <c:tx>
            <c:strRef>
              <c:f>'LPO indices'!$AC$7</c:f>
              <c:strCache>
                <c:ptCount val="1"/>
                <c:pt idx="0">
                  <c:v>CBS cpi 045200 gas</c:v>
                </c:pt>
              </c:strCache>
            </c:strRef>
          </c:tx>
          <c:spPr>
            <a:ln w="28575" cap="rnd">
              <a:solidFill>
                <a:schemeClr val="accent4"/>
              </a:solidFill>
              <a:round/>
            </a:ln>
            <a:effectLst/>
          </c:spPr>
          <c:marker>
            <c:symbol val="none"/>
          </c:marker>
          <c:cat>
            <c:numRef>
              <c:f>'LPO indices'!$Y$8:$Y$18</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'LPO indices'!$AC$8:$AC$18</c:f>
              <c:numCache>
                <c:formatCode>0.00</c:formatCode>
                <c:ptCount val="11"/>
                <c:pt idx="0">
                  <c:v>100</c:v>
                </c:pt>
                <c:pt idx="1">
                  <c:v>97.242821829245102</c:v>
                </c:pt>
                <c:pt idx="2">
                  <c:v>98.802053622361669</c:v>
                </c:pt>
                <c:pt idx="3">
                  <c:v>97.727704886860622</c:v>
                </c:pt>
                <c:pt idx="4">
                  <c:v>103.50827153451226</c:v>
                </c:pt>
                <c:pt idx="5">
                  <c:v>119.55694999049248</c:v>
                </c:pt>
                <c:pt idx="6">
                  <c:v>124.13957026050579</c:v>
                </c:pt>
                <c:pt idx="7">
                  <c:v>121.30633200228181</c:v>
                </c:pt>
                <c:pt idx="8">
                  <c:v>225.97451987069786</c:v>
                </c:pt>
                <c:pt idx="9">
                  <c:v>182.35405970716869</c:v>
                </c:pt>
                <c:pt idx="10">
                  <c:v>199.3629967674463</c:v>
                </c:pt>
              </c:numCache>
            </c:numRef>
          </c:val>
          <c:smooth val="0"/>
          <c:extLst>
            <c:ext xmlns:c16="http://schemas.microsoft.com/office/drawing/2014/chart" uri="{C3380CC4-5D6E-409C-BE32-E72D297353CC}">
              <c16:uniqueId val="{00000003-4794-4842-9C34-8C15D8053E9F}"/>
            </c:ext>
          </c:extLst>
        </c:ser>
        <c:ser>
          <c:idx val="4"/>
          <c:order val="4"/>
          <c:tx>
            <c:strRef>
              <c:f>'LPO indices'!$AD$7</c:f>
              <c:strCache>
                <c:ptCount val="1"/>
                <c:pt idx="0">
                  <c:v>CROW 03 gasolie excl accijns</c:v>
                </c:pt>
              </c:strCache>
            </c:strRef>
          </c:tx>
          <c:spPr>
            <a:ln w="28575" cap="rnd">
              <a:solidFill>
                <a:srgbClr val="BF9000"/>
              </a:solidFill>
              <a:round/>
            </a:ln>
            <a:effectLst/>
          </c:spPr>
          <c:marker>
            <c:symbol val="none"/>
          </c:marker>
          <c:cat>
            <c:numRef>
              <c:f>'LPO indices'!$Y$8:$Y$18</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'LPO indices'!$AD$8:$AD$18</c:f>
              <c:numCache>
                <c:formatCode>0.00</c:formatCode>
                <c:ptCount val="11"/>
                <c:pt idx="0">
                  <c:v>100</c:v>
                </c:pt>
                <c:pt idx="1">
                  <c:v>64.590443686006836</c:v>
                </c:pt>
                <c:pt idx="2">
                  <c:v>48.528156996587036</c:v>
                </c:pt>
                <c:pt idx="3">
                  <c:v>73.101535836177476</c:v>
                </c:pt>
                <c:pt idx="4">
                  <c:v>80.546075085324247</c:v>
                </c:pt>
                <c:pt idx="5">
                  <c:v>78.476962457337891</c:v>
                </c:pt>
                <c:pt idx="6">
                  <c:v>83.404436860068273</c:v>
                </c:pt>
                <c:pt idx="7">
                  <c:v>62.819965870307179</c:v>
                </c:pt>
                <c:pt idx="8">
                  <c:v>109.04436860068262</c:v>
                </c:pt>
                <c:pt idx="9">
                  <c:v>137.37201365187715</c:v>
                </c:pt>
                <c:pt idx="10">
                  <c:v>118.92064846416385</c:v>
                </c:pt>
              </c:numCache>
            </c:numRef>
          </c:val>
          <c:smooth val="0"/>
          <c:extLst>
            <c:ext xmlns:c16="http://schemas.microsoft.com/office/drawing/2014/chart" uri="{C3380CC4-5D6E-409C-BE32-E72D297353CC}">
              <c16:uniqueId val="{00000004-4794-4842-9C34-8C15D8053E9F}"/>
            </c:ext>
          </c:extLst>
        </c:ser>
        <c:ser>
          <c:idx val="5"/>
          <c:order val="5"/>
          <c:tx>
            <c:strRef>
              <c:f>'LPO indices'!$AE$7</c:f>
              <c:strCache>
                <c:ptCount val="1"/>
                <c:pt idx="0">
                  <c:v>CROW 18 betonstaal</c:v>
                </c:pt>
              </c:strCache>
            </c:strRef>
          </c:tx>
          <c:spPr>
            <a:ln w="28575" cap="rnd">
              <a:solidFill>
                <a:schemeClr val="accent6"/>
              </a:solidFill>
              <a:round/>
            </a:ln>
            <a:effectLst/>
          </c:spPr>
          <c:marker>
            <c:symbol val="none"/>
          </c:marker>
          <c:cat>
            <c:numRef>
              <c:f>'LPO indices'!$Y$8:$Y$18</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'LPO indices'!$AE$8:$AE$18</c:f>
              <c:numCache>
                <c:formatCode>0.00</c:formatCode>
                <c:ptCount val="11"/>
                <c:pt idx="0">
                  <c:v>100</c:v>
                </c:pt>
                <c:pt idx="1">
                  <c:v>89.826642335766437</c:v>
                </c:pt>
                <c:pt idx="2">
                  <c:v>76.368613138686143</c:v>
                </c:pt>
                <c:pt idx="3">
                  <c:v>96.167883211678856</c:v>
                </c:pt>
                <c:pt idx="4">
                  <c:v>112.22627737226279</c:v>
                </c:pt>
                <c:pt idx="5">
                  <c:v>108.39416058394161</c:v>
                </c:pt>
                <c:pt idx="6">
                  <c:v>98.631386861313871</c:v>
                </c:pt>
                <c:pt idx="7">
                  <c:v>125.22810218978103</c:v>
                </c:pt>
                <c:pt idx="8">
                  <c:v>164.78102189781021</c:v>
                </c:pt>
                <c:pt idx="9">
                  <c:v>150.31934306569343</c:v>
                </c:pt>
                <c:pt idx="10">
                  <c:v>129.1514598540146</c:v>
                </c:pt>
              </c:numCache>
            </c:numRef>
          </c:val>
          <c:smooth val="0"/>
          <c:extLst>
            <c:ext xmlns:c16="http://schemas.microsoft.com/office/drawing/2014/chart" uri="{C3380CC4-5D6E-409C-BE32-E72D297353CC}">
              <c16:uniqueId val="{00000005-4794-4842-9C34-8C15D8053E9F}"/>
            </c:ext>
          </c:extLst>
        </c:ser>
        <c:ser>
          <c:idx val="6"/>
          <c:order val="6"/>
          <c:tx>
            <c:strRef>
              <c:f>'LPO indices'!$AF$7</c:f>
              <c:strCache>
                <c:ptCount val="1"/>
                <c:pt idx="0">
                  <c:v>CROW 01 gasolie hoog accijns</c:v>
                </c:pt>
              </c:strCache>
            </c:strRef>
          </c:tx>
          <c:spPr>
            <a:ln w="28575" cap="rnd">
              <a:solidFill>
                <a:srgbClr val="C60AA2"/>
              </a:solidFill>
              <a:round/>
            </a:ln>
            <a:effectLst/>
          </c:spPr>
          <c:marker>
            <c:symbol val="none"/>
          </c:marker>
          <c:cat>
            <c:numRef>
              <c:f>'LPO indices'!$Y$8:$Y$18</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'LPO indices'!$AF$8:$AF$18</c:f>
              <c:numCache>
                <c:formatCode>0.00</c:formatCode>
                <c:ptCount val="11"/>
                <c:pt idx="0">
                  <c:v>100</c:v>
                </c:pt>
                <c:pt idx="1">
                  <c:v>85.708797541298495</c:v>
                </c:pt>
                <c:pt idx="2">
                  <c:v>75.336150595466762</c:v>
                </c:pt>
                <c:pt idx="3">
                  <c:v>89.857856319631196</c:v>
                </c:pt>
                <c:pt idx="4">
                  <c:v>92.969650403380712</c:v>
                </c:pt>
                <c:pt idx="5">
                  <c:v>94.42950441797926</c:v>
                </c:pt>
                <c:pt idx="6">
                  <c:v>101.61352285824049</c:v>
                </c:pt>
                <c:pt idx="7">
                  <c:v>91.625048021513635</c:v>
                </c:pt>
                <c:pt idx="8">
                  <c:v>117.05724164425662</c:v>
                </c:pt>
                <c:pt idx="9">
                  <c:v>125.7011140991164</c:v>
                </c:pt>
                <c:pt idx="10">
                  <c:v>123.70341913177103</c:v>
                </c:pt>
              </c:numCache>
            </c:numRef>
          </c:val>
          <c:smooth val="0"/>
          <c:extLst>
            <c:ext xmlns:c16="http://schemas.microsoft.com/office/drawing/2014/chart" uri="{C3380CC4-5D6E-409C-BE32-E72D297353CC}">
              <c16:uniqueId val="{00000006-4794-4842-9C34-8C15D8053E9F}"/>
            </c:ext>
          </c:extLst>
        </c:ser>
        <c:dLbls>
          <c:showLegendKey val="0"/>
          <c:showVal val="0"/>
          <c:showCatName val="0"/>
          <c:showSerName val="0"/>
          <c:showPercent val="0"/>
          <c:showBubbleSize val="0"/>
        </c:dLbls>
        <c:smooth val="0"/>
        <c:axId val="1510207759"/>
        <c:axId val="1517735743"/>
      </c:lineChart>
      <c:catAx>
        <c:axId val="1510207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517735743"/>
        <c:crosses val="autoZero"/>
        <c:auto val="1"/>
        <c:lblAlgn val="ctr"/>
        <c:lblOffset val="100"/>
        <c:noMultiLvlLbl val="0"/>
      </c:catAx>
      <c:valAx>
        <c:axId val="15177357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510207759"/>
        <c:crosses val="autoZero"/>
        <c:crossBetween val="between"/>
      </c:valAx>
      <c:spPr>
        <a:noFill/>
        <a:ln>
          <a:noFill/>
        </a:ln>
        <a:effectLst/>
      </c:spPr>
    </c:plotArea>
    <c:legend>
      <c:legendPos val="b"/>
      <c:layout>
        <c:manualLayout>
          <c:xMode val="edge"/>
          <c:yMode val="edge"/>
          <c:x val="5.5021813987368308E-2"/>
          <c:y val="0.83618018653816772"/>
          <c:w val="0.91594770688260307"/>
          <c:h val="0.145989200077032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Nationaal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'LPO indices'!$AI$7</c:f>
              <c:strCache>
                <c:ptCount val="1"/>
                <c:pt idx="0">
                  <c:v>CROW 00 loonkosten</c:v>
                </c:pt>
              </c:strCache>
            </c:strRef>
          </c:tx>
          <c:spPr>
            <a:ln w="28575" cap="rnd">
              <a:solidFill>
                <a:srgbClr val="00B050"/>
              </a:solidFill>
              <a:round/>
            </a:ln>
            <a:effectLst/>
          </c:spPr>
          <c:marker>
            <c:symbol val="none"/>
          </c:marker>
          <c:cat>
            <c:numRef>
              <c:f>'LPO indices'!$AH$8:$AH$18</c:f>
              <c:numCache>
                <c:formatCode>0</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'LPO indices'!$AI$8:$AI$18</c:f>
              <c:numCache>
                <c:formatCode>0.00</c:formatCode>
                <c:ptCount val="11"/>
                <c:pt idx="0">
                  <c:v>100</c:v>
                </c:pt>
                <c:pt idx="1">
                  <c:v>100.64553990610328</c:v>
                </c:pt>
                <c:pt idx="2">
                  <c:v>103.22769953051643</c:v>
                </c:pt>
                <c:pt idx="3">
                  <c:v>105.28169014084507</c:v>
                </c:pt>
                <c:pt idx="4">
                  <c:v>108.27464788732394</c:v>
                </c:pt>
                <c:pt idx="5">
                  <c:v>109.80046948356807</c:v>
                </c:pt>
                <c:pt idx="6">
                  <c:v>113.32159624413144</c:v>
                </c:pt>
                <c:pt idx="7">
                  <c:v>115.90375586854459</c:v>
                </c:pt>
                <c:pt idx="8">
                  <c:v>120.36384976525821</c:v>
                </c:pt>
                <c:pt idx="9">
                  <c:v>124.47183098591549</c:v>
                </c:pt>
                <c:pt idx="10">
                  <c:v>132.86384976525821</c:v>
                </c:pt>
              </c:numCache>
            </c:numRef>
          </c:val>
          <c:smooth val="0"/>
          <c:extLst>
            <c:ext xmlns:c16="http://schemas.microsoft.com/office/drawing/2014/chart" uri="{C3380CC4-5D6E-409C-BE32-E72D297353CC}">
              <c16:uniqueId val="{00000000-5428-45AB-B570-DC7F7D544C69}"/>
            </c:ext>
          </c:extLst>
        </c:ser>
        <c:ser>
          <c:idx val="1"/>
          <c:order val="1"/>
          <c:tx>
            <c:strRef>
              <c:f>'LPO indices'!$AJ$7</c:f>
              <c:strCache>
                <c:ptCount val="1"/>
                <c:pt idx="0">
                  <c:v>CROW 11 grind en industriezand</c:v>
                </c:pt>
              </c:strCache>
            </c:strRef>
          </c:tx>
          <c:spPr>
            <a:ln w="28575" cap="rnd">
              <a:solidFill>
                <a:schemeClr val="accent2"/>
              </a:solidFill>
              <a:round/>
            </a:ln>
            <a:effectLst/>
          </c:spPr>
          <c:marker>
            <c:symbol val="none"/>
          </c:marker>
          <c:cat>
            <c:numRef>
              <c:f>'LPO indices'!$AH$8:$AH$18</c:f>
              <c:numCache>
                <c:formatCode>0</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'LPO indices'!$AJ$8:$AJ$18</c:f>
              <c:numCache>
                <c:formatCode>0.00</c:formatCode>
                <c:ptCount val="11"/>
                <c:pt idx="0">
                  <c:v>100</c:v>
                </c:pt>
                <c:pt idx="1">
                  <c:v>100.64102564102564</c:v>
                </c:pt>
                <c:pt idx="2">
                  <c:v>101.86480186480188</c:v>
                </c:pt>
                <c:pt idx="3">
                  <c:v>106.06060606060606</c:v>
                </c:pt>
                <c:pt idx="4">
                  <c:v>106.41025641025641</c:v>
                </c:pt>
                <c:pt idx="5">
                  <c:v>112.52913752913753</c:v>
                </c:pt>
                <c:pt idx="6">
                  <c:v>118.06526806526807</c:v>
                </c:pt>
                <c:pt idx="7">
                  <c:v>116.72494172494174</c:v>
                </c:pt>
                <c:pt idx="8">
                  <c:v>123.4848484848485</c:v>
                </c:pt>
                <c:pt idx="9">
                  <c:v>142.71561771561773</c:v>
                </c:pt>
                <c:pt idx="10">
                  <c:v>144.46386946386949</c:v>
                </c:pt>
              </c:numCache>
            </c:numRef>
          </c:val>
          <c:smooth val="0"/>
          <c:extLst>
            <c:ext xmlns:c16="http://schemas.microsoft.com/office/drawing/2014/chart" uri="{C3380CC4-5D6E-409C-BE32-E72D297353CC}">
              <c16:uniqueId val="{00000001-5428-45AB-B570-DC7F7D544C69}"/>
            </c:ext>
          </c:extLst>
        </c:ser>
        <c:ser>
          <c:idx val="2"/>
          <c:order val="2"/>
          <c:tx>
            <c:strRef>
              <c:f>'LPO indices'!$AK$7</c:f>
              <c:strCache>
                <c:ptCount val="1"/>
                <c:pt idx="0">
                  <c:v>CROW 12 steenslag en brekerzand</c:v>
                </c:pt>
              </c:strCache>
            </c:strRef>
          </c:tx>
          <c:spPr>
            <a:ln w="28575" cap="rnd">
              <a:solidFill>
                <a:schemeClr val="accent3"/>
              </a:solidFill>
              <a:round/>
            </a:ln>
            <a:effectLst/>
          </c:spPr>
          <c:marker>
            <c:symbol val="none"/>
          </c:marker>
          <c:cat>
            <c:numRef>
              <c:f>'LPO indices'!$AH$8:$AH$18</c:f>
              <c:numCache>
                <c:formatCode>0</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'LPO indices'!$AK$8:$AK$18</c:f>
              <c:numCache>
                <c:formatCode>0.00</c:formatCode>
                <c:ptCount val="11"/>
                <c:pt idx="0">
                  <c:v>100</c:v>
                </c:pt>
                <c:pt idx="1">
                  <c:v>98.389095415117723</c:v>
                </c:pt>
                <c:pt idx="2">
                  <c:v>101.30111524163569</c:v>
                </c:pt>
                <c:pt idx="3">
                  <c:v>98.141263940520446</c:v>
                </c:pt>
                <c:pt idx="4">
                  <c:v>101.85873605947955</c:v>
                </c:pt>
                <c:pt idx="5">
                  <c:v>102.41635687732342</c:v>
                </c:pt>
                <c:pt idx="6">
                  <c:v>106.93928128872366</c:v>
                </c:pt>
                <c:pt idx="7">
                  <c:v>105.26641883519207</c:v>
                </c:pt>
                <c:pt idx="8">
                  <c:v>110.96654275092936</c:v>
                </c:pt>
                <c:pt idx="9">
                  <c:v>127.5092936802974</c:v>
                </c:pt>
                <c:pt idx="10">
                  <c:v>138.53779429987608</c:v>
                </c:pt>
              </c:numCache>
            </c:numRef>
          </c:val>
          <c:smooth val="0"/>
          <c:extLst>
            <c:ext xmlns:c16="http://schemas.microsoft.com/office/drawing/2014/chart" uri="{C3380CC4-5D6E-409C-BE32-E72D297353CC}">
              <c16:uniqueId val="{00000002-5428-45AB-B570-DC7F7D544C69}"/>
            </c:ext>
          </c:extLst>
        </c:ser>
        <c:ser>
          <c:idx val="3"/>
          <c:order val="3"/>
          <c:tx>
            <c:strRef>
              <c:f>'LPO indices'!$AL$7</c:f>
              <c:strCache>
                <c:ptCount val="1"/>
                <c:pt idx="0">
                  <c:v>CROW 13 betonmortel</c:v>
                </c:pt>
              </c:strCache>
            </c:strRef>
          </c:tx>
          <c:spPr>
            <a:ln w="28575" cap="rnd">
              <a:solidFill>
                <a:schemeClr val="accent4"/>
              </a:solidFill>
              <a:round/>
            </a:ln>
            <a:effectLst/>
          </c:spPr>
          <c:marker>
            <c:symbol val="none"/>
          </c:marker>
          <c:cat>
            <c:numRef>
              <c:f>'LPO indices'!$AH$8:$AH$18</c:f>
              <c:numCache>
                <c:formatCode>0</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'LPO indices'!$AL$8:$AL$18</c:f>
              <c:numCache>
                <c:formatCode>0.00</c:formatCode>
                <c:ptCount val="11"/>
                <c:pt idx="0">
                  <c:v>100</c:v>
                </c:pt>
                <c:pt idx="1">
                  <c:v>100</c:v>
                </c:pt>
                <c:pt idx="2">
                  <c:v>99.424956871765389</c:v>
                </c:pt>
                <c:pt idx="3">
                  <c:v>99.712478435882701</c:v>
                </c:pt>
                <c:pt idx="4">
                  <c:v>103.85278895917195</c:v>
                </c:pt>
                <c:pt idx="5">
                  <c:v>108.62564692351928</c:v>
                </c:pt>
                <c:pt idx="6">
                  <c:v>112.36342725704429</c:v>
                </c:pt>
                <c:pt idx="7">
                  <c:v>116.73375503162738</c:v>
                </c:pt>
                <c:pt idx="8">
                  <c:v>125.01437607820588</c:v>
                </c:pt>
                <c:pt idx="9">
                  <c:v>170.04025301897644</c:v>
                </c:pt>
                <c:pt idx="10">
                  <c:v>162.62219666474988</c:v>
                </c:pt>
              </c:numCache>
            </c:numRef>
          </c:val>
          <c:smooth val="0"/>
          <c:extLst>
            <c:ext xmlns:c16="http://schemas.microsoft.com/office/drawing/2014/chart" uri="{C3380CC4-5D6E-409C-BE32-E72D297353CC}">
              <c16:uniqueId val="{00000003-5428-45AB-B570-DC7F7D544C69}"/>
            </c:ext>
          </c:extLst>
        </c:ser>
        <c:ser>
          <c:idx val="4"/>
          <c:order val="4"/>
          <c:tx>
            <c:strRef>
              <c:f>'LPO indices'!$AM$7</c:f>
              <c:strCache>
                <c:ptCount val="1"/>
                <c:pt idx="0">
                  <c:v>CROW 14 betonproducten</c:v>
                </c:pt>
              </c:strCache>
            </c:strRef>
          </c:tx>
          <c:spPr>
            <a:ln w="28575" cap="rnd">
              <a:solidFill>
                <a:schemeClr val="accent5"/>
              </a:solidFill>
              <a:round/>
            </a:ln>
            <a:effectLst/>
          </c:spPr>
          <c:marker>
            <c:symbol val="none"/>
          </c:marker>
          <c:cat>
            <c:numRef>
              <c:f>'LPO indices'!$AH$8:$AH$18</c:f>
              <c:numCache>
                <c:formatCode>0</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'LPO indices'!$AM$8:$AM$18</c:f>
              <c:numCache>
                <c:formatCode>0.00</c:formatCode>
                <c:ptCount val="11"/>
                <c:pt idx="0">
                  <c:v>100</c:v>
                </c:pt>
                <c:pt idx="1">
                  <c:v>101.60513643659711</c:v>
                </c:pt>
                <c:pt idx="2">
                  <c:v>103.53130016051364</c:v>
                </c:pt>
                <c:pt idx="3">
                  <c:v>98.876404494382015</c:v>
                </c:pt>
                <c:pt idx="4">
                  <c:v>100.80256821829855</c:v>
                </c:pt>
                <c:pt idx="5">
                  <c:v>106.50080256821829</c:v>
                </c:pt>
                <c:pt idx="6">
                  <c:v>111.31621187800963</c:v>
                </c:pt>
                <c:pt idx="7">
                  <c:v>113.72391653290529</c:v>
                </c:pt>
                <c:pt idx="8">
                  <c:v>117.25521669341894</c:v>
                </c:pt>
                <c:pt idx="9">
                  <c:v>138.8443017656501</c:v>
                </c:pt>
                <c:pt idx="10">
                  <c:v>141.73354735152489</c:v>
                </c:pt>
              </c:numCache>
            </c:numRef>
          </c:val>
          <c:smooth val="0"/>
          <c:extLst>
            <c:ext xmlns:c16="http://schemas.microsoft.com/office/drawing/2014/chart" uri="{C3380CC4-5D6E-409C-BE32-E72D297353CC}">
              <c16:uniqueId val="{00000004-5428-45AB-B570-DC7F7D544C69}"/>
            </c:ext>
          </c:extLst>
        </c:ser>
        <c:dLbls>
          <c:showLegendKey val="0"/>
          <c:showVal val="0"/>
          <c:showCatName val="0"/>
          <c:showSerName val="0"/>
          <c:showPercent val="0"/>
          <c:showBubbleSize val="0"/>
        </c:dLbls>
        <c:smooth val="0"/>
        <c:axId val="1498266079"/>
        <c:axId val="1499552639"/>
      </c:lineChart>
      <c:catAx>
        <c:axId val="1498266079"/>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499552639"/>
        <c:crosses val="autoZero"/>
        <c:auto val="1"/>
        <c:lblAlgn val="ctr"/>
        <c:lblOffset val="100"/>
        <c:noMultiLvlLbl val="0"/>
      </c:catAx>
      <c:valAx>
        <c:axId val="1499552639"/>
        <c:scaling>
          <c:orientation val="minMax"/>
          <c:min val="8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4982660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C954B428D64F5082DAFE2C0CF06047"/>
        <w:category>
          <w:name w:val="Algemeen"/>
          <w:gallery w:val="placeholder"/>
        </w:category>
        <w:types>
          <w:type w:val="bbPlcHdr"/>
        </w:types>
        <w:behaviors>
          <w:behavior w:val="content"/>
        </w:behaviors>
        <w:guid w:val="{F5703167-52B8-439E-A59E-1EEEC6489BFA}"/>
      </w:docPartPr>
      <w:docPartBody>
        <w:p w:rsidR="00044BB8" w:rsidRDefault="00044BB8" w:rsidP="00044BB8">
          <w:pPr>
            <w:pStyle w:val="29C954B428D64F5082DAFE2C0CF06047"/>
          </w:pPr>
          <w:r w:rsidRPr="00BF21EE">
            <w:rPr>
              <w:rStyle w:val="Tekstvantijdelijkeaanduiding"/>
              <w:rFonts w:eastAsiaTheme="minorHAnsi"/>
            </w:rPr>
            <w:t>IBO 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Hoofdtekst)">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erriweather Sans Light">
    <w:charset w:val="00"/>
    <w:family w:val="auto"/>
    <w:pitch w:val="variable"/>
    <w:sig w:usb0="A00004FF" w:usb1="4000207B" w:usb2="00000000" w:usb3="00000000" w:csb0="00000193" w:csb1="00000000"/>
  </w:font>
  <w:font w:name="Times New Roman (Hoofdtekst CS)">
    <w:altName w:val="Times New Roman"/>
    <w:panose1 w:val="00000000000000000000"/>
    <w:charset w:val="00"/>
    <w:family w:val="roman"/>
    <w:notTrueType/>
    <w:pitch w:val="default"/>
  </w:font>
  <w:font w:name="DejaVu Sans">
    <w:altName w:val="Arial"/>
    <w:charset w:val="00"/>
    <w:family w:val="swiss"/>
    <w:pitch w:val="variable"/>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Univers LT Std">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B8"/>
    <w:rsid w:val="00044BB8"/>
    <w:rsid w:val="0010380F"/>
    <w:rsid w:val="00443C58"/>
    <w:rsid w:val="004B1B28"/>
    <w:rsid w:val="004F33CB"/>
    <w:rsid w:val="00546EAB"/>
    <w:rsid w:val="00655D69"/>
    <w:rsid w:val="00700FEB"/>
    <w:rsid w:val="00751620"/>
    <w:rsid w:val="007763EF"/>
    <w:rsid w:val="009266AB"/>
    <w:rsid w:val="00993FC9"/>
    <w:rsid w:val="00AD06AE"/>
    <w:rsid w:val="00C2582A"/>
    <w:rsid w:val="00DD22E5"/>
    <w:rsid w:val="00E66865"/>
    <w:rsid w:val="00ED1E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763EF"/>
    <w:rPr>
      <w:color w:val="808080"/>
    </w:rPr>
  </w:style>
  <w:style w:type="paragraph" w:customStyle="1" w:styleId="29C954B428D64F5082DAFE2C0CF06047">
    <w:name w:val="29C954B428D64F5082DAFE2C0CF06047"/>
    <w:rsid w:val="00044BB8"/>
    <w:pPr>
      <w:spacing w:after="0" w:line="192" w:lineRule="auto"/>
      <w:contextualSpacing/>
    </w:pPr>
    <w:rPr>
      <w:rFonts w:eastAsia="Times New Roman" w:cstheme="minorHAnsi"/>
      <w:color w:val="0066A4"/>
      <w:kern w:val="0"/>
      <w:sz w:val="40"/>
      <w:szCs w:val="4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ap:Properties xmlns:vt="http://schemas.openxmlformats.org/officeDocument/2006/docPropsVTypes" xmlns:ap="http://schemas.openxmlformats.org/officeDocument/2006/extended-properties">
  <ap:Pages>17</ap:Pages>
  <ap:Words>6362</ap:Words>
  <ap:Characters>34993</ap:Characters>
  <ap:DocSecurity>0</ap:DocSecurity>
  <ap:Lines>291</ap:Lines>
  <ap:Paragraphs>82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41273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2024-09-26T11:23:00.0000000Z</lastPrinted>
  <dcterms:created xsi:type="dcterms:W3CDTF">2024-10-15T08:56:00.0000000Z</dcterms:created>
  <dcterms:modified xsi:type="dcterms:W3CDTF">2024-10-15T08:56:00.0000000Z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339f15-c483-4670-87f9-f365ba551dce_Enabled">
    <vt:lpwstr>true</vt:lpwstr>
  </property>
  <property fmtid="{D5CDD505-2E9C-101B-9397-08002B2CF9AE}" pid="3" name="MSIP_Label_f5339f15-c483-4670-87f9-f365ba551dce_SetDate">
    <vt:lpwstr>2023-08-22T15:18:03Z</vt:lpwstr>
  </property>
  <property fmtid="{D5CDD505-2E9C-101B-9397-08002B2CF9AE}" pid="4" name="MSIP_Label_f5339f15-c483-4670-87f9-f365ba551dce_Method">
    <vt:lpwstr>Standard</vt:lpwstr>
  </property>
  <property fmtid="{D5CDD505-2E9C-101B-9397-08002B2CF9AE}" pid="5" name="MSIP_Label_f5339f15-c483-4670-87f9-f365ba551dce_Name">
    <vt:lpwstr>FIN-IRF-Dep. V.</vt:lpwstr>
  </property>
  <property fmtid="{D5CDD505-2E9C-101B-9397-08002B2CF9AE}" pid="6" name="MSIP_Label_f5339f15-c483-4670-87f9-f365ba551dce_SiteId">
    <vt:lpwstr>84712536-f524-40a0-913b-5d25ba502732</vt:lpwstr>
  </property>
  <property fmtid="{D5CDD505-2E9C-101B-9397-08002B2CF9AE}" pid="7" name="MSIP_Label_f5339f15-c483-4670-87f9-f365ba551dce_ActionId">
    <vt:lpwstr>1239fda7-27dd-4467-9fb6-c0ff94219f11</vt:lpwstr>
  </property>
  <property fmtid="{D5CDD505-2E9C-101B-9397-08002B2CF9AE}" pid="8" name="MSIP_Label_f5339f15-c483-4670-87f9-f365ba551dce_ContentBits">
    <vt:lpwstr>0</vt:lpwstr>
  </property>
</Properties>
</file>