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6E83" w:rsidR="00856E83" w:rsidP="00856E83" w:rsidRDefault="0003235A" w14:paraId="4220DA2A" w14:textId="42D496D0">
      <w:pPr>
        <w:ind w:left="1416" w:hanging="1416"/>
        <w:rPr>
          <w:rFonts w:cstheme="minorHAnsi"/>
        </w:rPr>
      </w:pPr>
      <w:r w:rsidRPr="00856E83">
        <w:rPr>
          <w:rFonts w:cstheme="minorHAnsi"/>
        </w:rPr>
        <w:t>36600</w:t>
      </w:r>
      <w:r w:rsidRPr="00856E83" w:rsidR="00856E83">
        <w:rPr>
          <w:rFonts w:cstheme="minorHAnsi"/>
        </w:rPr>
        <w:t xml:space="preserve"> </w:t>
      </w:r>
      <w:r w:rsidRPr="00856E83">
        <w:rPr>
          <w:rFonts w:cstheme="minorHAnsi"/>
        </w:rPr>
        <w:t>VI</w:t>
      </w:r>
      <w:r w:rsidRPr="00856E83" w:rsidR="00856E83">
        <w:rPr>
          <w:rFonts w:cstheme="minorHAnsi"/>
        </w:rPr>
        <w:tab/>
        <w:t>Vaststelling van de begrotingsstaten van het Ministerie van Justitie en Veiligheid (VI) voor het jaar 2025</w:t>
      </w:r>
    </w:p>
    <w:p w:rsidRPr="00856E83" w:rsidR="00856E83" w:rsidP="004474D9" w:rsidRDefault="00856E83" w14:paraId="5C97011A" w14:textId="6921C07C">
      <w:pPr>
        <w:rPr>
          <w:rFonts w:cstheme="minorHAnsi"/>
          <w:color w:val="000000"/>
        </w:rPr>
      </w:pPr>
      <w:r w:rsidRPr="00856E83">
        <w:rPr>
          <w:rFonts w:cstheme="minorHAnsi"/>
        </w:rPr>
        <w:t xml:space="preserve">Nr. </w:t>
      </w:r>
      <w:r w:rsidRPr="00856E83">
        <w:rPr>
          <w:rFonts w:cstheme="minorHAnsi"/>
        </w:rPr>
        <w:t>11</w:t>
      </w:r>
      <w:r w:rsidRPr="00856E83">
        <w:rPr>
          <w:rFonts w:cstheme="minorHAnsi"/>
        </w:rPr>
        <w:tab/>
      </w:r>
      <w:r w:rsidRPr="00856E83">
        <w:rPr>
          <w:rFonts w:cstheme="minorHAnsi"/>
        </w:rPr>
        <w:tab/>
        <w:t>Brief van de minister van Justitie en Veiligheid</w:t>
      </w:r>
    </w:p>
    <w:p w:rsidRPr="00856E83" w:rsidR="0003235A" w:rsidP="0003235A" w:rsidRDefault="00856E83" w14:paraId="5A733D15" w14:textId="5D35844F">
      <w:pPr>
        <w:pStyle w:val="broodtekst"/>
        <w:rPr>
          <w:rFonts w:asciiTheme="minorHAnsi" w:hAnsiTheme="minorHAnsi" w:cstheme="minorHAnsi"/>
          <w:sz w:val="22"/>
          <w:szCs w:val="22"/>
        </w:rPr>
      </w:pPr>
      <w:r w:rsidRPr="00856E83">
        <w:rPr>
          <w:rFonts w:asciiTheme="minorHAnsi" w:hAnsiTheme="minorHAnsi" w:cstheme="minorHAnsi"/>
          <w:sz w:val="22"/>
          <w:szCs w:val="22"/>
        </w:rPr>
        <w:t>Aan de Voorzitter van de Tweede Kamer der Staten-Generaal</w:t>
      </w:r>
    </w:p>
    <w:p w:rsidRPr="00856E83" w:rsidR="00856E83" w:rsidP="0003235A" w:rsidRDefault="00856E83" w14:paraId="5946E871" w14:textId="77777777">
      <w:pPr>
        <w:pStyle w:val="broodtekst"/>
        <w:rPr>
          <w:rFonts w:asciiTheme="minorHAnsi" w:hAnsiTheme="minorHAnsi" w:cstheme="minorHAnsi"/>
          <w:sz w:val="22"/>
          <w:szCs w:val="22"/>
        </w:rPr>
      </w:pPr>
    </w:p>
    <w:p w:rsidRPr="00856E83" w:rsidR="00856E83" w:rsidP="0003235A" w:rsidRDefault="00856E83" w14:paraId="6C98F5FF" w14:textId="4D7D2603">
      <w:pPr>
        <w:pStyle w:val="broodtekst"/>
        <w:rPr>
          <w:rFonts w:asciiTheme="minorHAnsi" w:hAnsiTheme="minorHAnsi" w:cstheme="minorHAnsi"/>
          <w:sz w:val="22"/>
          <w:szCs w:val="22"/>
        </w:rPr>
      </w:pPr>
      <w:r w:rsidRPr="00856E83">
        <w:rPr>
          <w:rFonts w:asciiTheme="minorHAnsi" w:hAnsiTheme="minorHAnsi" w:cstheme="minorHAnsi"/>
          <w:sz w:val="22"/>
          <w:szCs w:val="22"/>
        </w:rPr>
        <w:t>Den Haag, 22 oktober 2024</w:t>
      </w:r>
    </w:p>
    <w:p w:rsidRPr="00856E83" w:rsidR="00856E83" w:rsidP="0003235A" w:rsidRDefault="00856E83" w14:paraId="7D0000C1" w14:textId="77777777">
      <w:pPr>
        <w:pStyle w:val="broodtekst"/>
        <w:rPr>
          <w:rFonts w:asciiTheme="minorHAnsi" w:hAnsiTheme="minorHAnsi" w:cstheme="minorHAnsi"/>
          <w:sz w:val="22"/>
          <w:szCs w:val="22"/>
        </w:rPr>
      </w:pPr>
    </w:p>
    <w:p w:rsidRPr="00856E83" w:rsidR="0003235A" w:rsidP="0003235A" w:rsidRDefault="0003235A" w14:paraId="6FE4005E" w14:textId="77777777">
      <w:pPr>
        <w:pStyle w:val="broodtekst"/>
        <w:rPr>
          <w:rFonts w:asciiTheme="minorHAnsi" w:hAnsiTheme="minorHAnsi" w:cstheme="minorHAnsi"/>
          <w:sz w:val="22"/>
          <w:szCs w:val="22"/>
        </w:rPr>
      </w:pPr>
    </w:p>
    <w:p w:rsidRPr="00856E83" w:rsidR="0003235A" w:rsidP="0003235A" w:rsidRDefault="0003235A" w14:paraId="1416F865" w14:textId="11FB471E">
      <w:pPr>
        <w:pStyle w:val="broodtekst"/>
        <w:rPr>
          <w:rFonts w:asciiTheme="minorHAnsi" w:hAnsiTheme="minorHAnsi" w:cstheme="minorHAnsi"/>
          <w:sz w:val="22"/>
          <w:szCs w:val="22"/>
        </w:rPr>
      </w:pPr>
      <w:r w:rsidRPr="00856E83">
        <w:rPr>
          <w:rFonts w:asciiTheme="minorHAnsi" w:hAnsiTheme="minorHAnsi" w:cstheme="minorHAnsi"/>
          <w:sz w:val="22"/>
          <w:szCs w:val="22"/>
        </w:rPr>
        <w:t xml:space="preserve">Tijdens het commissiedebat juridische beroepen van 10 april jl. heeft mijn ambtsvoorganger toegezegd dat zij uw Kamer zou informeren over de kosten van de landsadvocaat over 2023 en daarbij ook in zou gaan op de vraag hoe de Kamer geïnformeerd blijft over de (maatregelen ter) versterking van het opdrachtgeverschap richting de landsadvocaat naar aanleiding van de aanbevelingen van de commissie </w:t>
      </w:r>
      <w:proofErr w:type="spellStart"/>
      <w:r w:rsidRPr="00856E83">
        <w:rPr>
          <w:rFonts w:asciiTheme="minorHAnsi" w:hAnsiTheme="minorHAnsi" w:cstheme="minorHAnsi"/>
          <w:sz w:val="22"/>
          <w:szCs w:val="22"/>
        </w:rPr>
        <w:t>Silvis</w:t>
      </w:r>
      <w:proofErr w:type="spellEnd"/>
      <w:r w:rsidRPr="00856E83">
        <w:rPr>
          <w:rFonts w:asciiTheme="minorHAnsi" w:hAnsiTheme="minorHAnsi" w:cstheme="minorHAnsi"/>
          <w:sz w:val="22"/>
          <w:szCs w:val="22"/>
        </w:rPr>
        <w:t xml:space="preserve">. Met deze brief geef ik invulling aan die toezegging. </w:t>
      </w:r>
    </w:p>
    <w:p w:rsidRPr="00856E83" w:rsidR="0003235A" w:rsidP="0003235A" w:rsidRDefault="0003235A" w14:paraId="5043F0B7" w14:textId="77777777">
      <w:pPr>
        <w:pStyle w:val="broodtekst"/>
        <w:rPr>
          <w:rFonts w:asciiTheme="minorHAnsi" w:hAnsiTheme="minorHAnsi" w:cstheme="minorHAnsi"/>
          <w:sz w:val="22"/>
          <w:szCs w:val="22"/>
        </w:rPr>
      </w:pPr>
    </w:p>
    <w:p w:rsidRPr="00856E83" w:rsidR="0003235A" w:rsidP="0003235A" w:rsidRDefault="0003235A" w14:paraId="597674E5" w14:textId="77777777">
      <w:pPr>
        <w:pStyle w:val="broodtekst"/>
        <w:rPr>
          <w:rFonts w:asciiTheme="minorHAnsi" w:hAnsiTheme="minorHAnsi" w:cstheme="minorHAnsi"/>
          <w:sz w:val="22"/>
          <w:szCs w:val="22"/>
        </w:rPr>
      </w:pPr>
      <w:r w:rsidRPr="00856E83">
        <w:rPr>
          <w:rFonts w:asciiTheme="minorHAnsi" w:hAnsiTheme="minorHAnsi" w:cstheme="minorHAnsi"/>
          <w:i/>
          <w:iCs/>
          <w:sz w:val="22"/>
          <w:szCs w:val="22"/>
        </w:rPr>
        <w:t>Kosten over 2023</w:t>
      </w:r>
    </w:p>
    <w:p w:rsidRPr="00856E83" w:rsidR="0003235A" w:rsidP="0003235A" w:rsidRDefault="0003235A" w14:paraId="306F5BEB" w14:textId="77777777">
      <w:pPr>
        <w:pStyle w:val="broodtekst"/>
        <w:rPr>
          <w:rFonts w:asciiTheme="minorHAnsi" w:hAnsiTheme="minorHAnsi" w:cstheme="minorHAnsi"/>
          <w:sz w:val="22"/>
          <w:szCs w:val="22"/>
        </w:rPr>
      </w:pPr>
      <w:r w:rsidRPr="00856E83">
        <w:rPr>
          <w:rFonts w:asciiTheme="minorHAnsi" w:hAnsiTheme="minorHAnsi" w:cstheme="minorHAnsi"/>
          <w:sz w:val="22"/>
          <w:szCs w:val="22"/>
        </w:rPr>
        <w:t xml:space="preserve">Hieronder treft u de kosten aan die in 2023 aan het kantoor van de landsadvocaat (hierna: landsadvocaat) zijn betaald (x1000). Deze kosten zijn uitgesplitst naar honorarium en kantoorkosten, doorbelaste verschotten (bijvoorbeeld griffierechten, proceskostenveroordelingen, deskundigen, reiskosten, deurwaarder) en btw. </w:t>
      </w:r>
    </w:p>
    <w:p w:rsidRPr="00856E83" w:rsidR="0003235A" w:rsidP="0003235A" w:rsidRDefault="0003235A" w14:paraId="3B262156" w14:textId="77777777">
      <w:pPr>
        <w:autoSpaceDE w:val="0"/>
        <w:adjustRightInd w:val="0"/>
        <w:spacing w:line="240" w:lineRule="auto"/>
        <w:rPr>
          <w:rFonts w:cstheme="minorHAnsi"/>
          <w:b/>
          <w:bCs/>
          <w:color w:val="FFFFFF"/>
        </w:rPr>
      </w:pPr>
    </w:p>
    <w:tbl>
      <w:tblPr>
        <w:tblStyle w:val="Tabelraster"/>
        <w:tblW w:w="0" w:type="auto"/>
        <w:tblInd w:w="0" w:type="dxa"/>
        <w:tblLook w:val="04A0" w:firstRow="1" w:lastRow="0" w:firstColumn="1" w:lastColumn="0" w:noHBand="0" w:noVBand="1"/>
      </w:tblPr>
      <w:tblGrid>
        <w:gridCol w:w="1689"/>
        <w:gridCol w:w="1587"/>
        <w:gridCol w:w="1510"/>
        <w:gridCol w:w="1406"/>
        <w:gridCol w:w="1339"/>
      </w:tblGrid>
      <w:tr w:rsidRPr="00856E83" w:rsidR="0003235A" w:rsidTr="004D4097" w14:paraId="4B64A0AA" w14:textId="77777777">
        <w:tc>
          <w:tcPr>
            <w:tcW w:w="1803" w:type="dxa"/>
          </w:tcPr>
          <w:p w:rsidRPr="00856E83" w:rsidR="0003235A" w:rsidP="004D4097" w:rsidRDefault="0003235A" w14:paraId="40D9A759" w14:textId="77777777">
            <w:pPr>
              <w:autoSpaceDE w:val="0"/>
              <w:adjustRightInd w:val="0"/>
              <w:rPr>
                <w:rFonts w:asciiTheme="minorHAnsi" w:hAnsiTheme="minorHAnsi" w:cstheme="minorHAnsi"/>
                <w:b/>
                <w:bCs/>
                <w:sz w:val="20"/>
                <w:szCs w:val="20"/>
              </w:rPr>
            </w:pPr>
            <w:r w:rsidRPr="00856E83">
              <w:rPr>
                <w:rFonts w:asciiTheme="minorHAnsi" w:hAnsiTheme="minorHAnsi" w:cstheme="minorHAnsi"/>
                <w:b/>
                <w:bCs/>
                <w:sz w:val="20"/>
                <w:szCs w:val="20"/>
              </w:rPr>
              <w:t>Ministerie (en daaronder ressorterende organisaties)</w:t>
            </w:r>
          </w:p>
        </w:tc>
        <w:tc>
          <w:tcPr>
            <w:tcW w:w="1803" w:type="dxa"/>
          </w:tcPr>
          <w:p w:rsidRPr="00856E83" w:rsidR="0003235A" w:rsidP="004D4097" w:rsidRDefault="0003235A" w14:paraId="78F5E9A1" w14:textId="77777777">
            <w:pPr>
              <w:autoSpaceDE w:val="0"/>
              <w:adjustRightInd w:val="0"/>
              <w:rPr>
                <w:rFonts w:asciiTheme="minorHAnsi" w:hAnsiTheme="minorHAnsi" w:cstheme="minorHAnsi"/>
                <w:b/>
                <w:bCs/>
                <w:sz w:val="20"/>
                <w:szCs w:val="20"/>
              </w:rPr>
            </w:pPr>
            <w:r w:rsidRPr="00856E83">
              <w:rPr>
                <w:rFonts w:asciiTheme="minorHAnsi" w:hAnsiTheme="minorHAnsi" w:cstheme="minorHAnsi"/>
                <w:b/>
                <w:bCs/>
                <w:sz w:val="20"/>
                <w:szCs w:val="20"/>
              </w:rPr>
              <w:t>Betaald</w:t>
            </w:r>
          </w:p>
          <w:p w:rsidRPr="00856E83" w:rsidR="0003235A" w:rsidP="004D4097" w:rsidRDefault="0003235A" w14:paraId="0D10BFB3" w14:textId="77777777">
            <w:pPr>
              <w:autoSpaceDE w:val="0"/>
              <w:adjustRightInd w:val="0"/>
              <w:rPr>
                <w:rFonts w:asciiTheme="minorHAnsi" w:hAnsiTheme="minorHAnsi" w:cstheme="minorHAnsi"/>
                <w:b/>
                <w:bCs/>
                <w:sz w:val="20"/>
                <w:szCs w:val="20"/>
              </w:rPr>
            </w:pPr>
            <w:r w:rsidRPr="00856E83">
              <w:rPr>
                <w:rFonts w:asciiTheme="minorHAnsi" w:hAnsiTheme="minorHAnsi" w:cstheme="minorHAnsi"/>
                <w:b/>
                <w:bCs/>
                <w:sz w:val="20"/>
                <w:szCs w:val="20"/>
              </w:rPr>
              <w:t>Honorarium &amp;</w:t>
            </w:r>
          </w:p>
          <w:p w:rsidRPr="00856E83" w:rsidR="0003235A" w:rsidP="004D4097" w:rsidRDefault="0003235A" w14:paraId="5696F364" w14:textId="77777777">
            <w:pPr>
              <w:autoSpaceDE w:val="0"/>
              <w:adjustRightInd w:val="0"/>
              <w:rPr>
                <w:rFonts w:asciiTheme="minorHAnsi" w:hAnsiTheme="minorHAnsi" w:cstheme="minorHAnsi"/>
                <w:b/>
                <w:bCs/>
                <w:sz w:val="20"/>
                <w:szCs w:val="20"/>
              </w:rPr>
            </w:pPr>
            <w:r w:rsidRPr="00856E83">
              <w:rPr>
                <w:rFonts w:asciiTheme="minorHAnsi" w:hAnsiTheme="minorHAnsi" w:cstheme="minorHAnsi"/>
                <w:b/>
                <w:bCs/>
                <w:sz w:val="20"/>
                <w:szCs w:val="20"/>
              </w:rPr>
              <w:t>kantoorkosten</w:t>
            </w:r>
          </w:p>
        </w:tc>
        <w:tc>
          <w:tcPr>
            <w:tcW w:w="1803" w:type="dxa"/>
          </w:tcPr>
          <w:p w:rsidRPr="00856E83" w:rsidR="0003235A" w:rsidP="004D4097" w:rsidRDefault="0003235A" w14:paraId="78043A76" w14:textId="77777777">
            <w:pPr>
              <w:autoSpaceDE w:val="0"/>
              <w:adjustRightInd w:val="0"/>
              <w:rPr>
                <w:rFonts w:asciiTheme="minorHAnsi" w:hAnsiTheme="minorHAnsi" w:cstheme="minorHAnsi"/>
                <w:b/>
                <w:bCs/>
                <w:sz w:val="20"/>
                <w:szCs w:val="20"/>
              </w:rPr>
            </w:pPr>
            <w:r w:rsidRPr="00856E83">
              <w:rPr>
                <w:rFonts w:asciiTheme="minorHAnsi" w:hAnsiTheme="minorHAnsi" w:cstheme="minorHAnsi"/>
                <w:b/>
                <w:bCs/>
                <w:sz w:val="20"/>
                <w:szCs w:val="20"/>
              </w:rPr>
              <w:t>Betaalde</w:t>
            </w:r>
          </w:p>
          <w:p w:rsidRPr="00856E83" w:rsidR="0003235A" w:rsidP="004D4097" w:rsidRDefault="0003235A" w14:paraId="5543B9BA" w14:textId="77777777">
            <w:pPr>
              <w:autoSpaceDE w:val="0"/>
              <w:adjustRightInd w:val="0"/>
              <w:rPr>
                <w:rFonts w:asciiTheme="minorHAnsi" w:hAnsiTheme="minorHAnsi" w:cstheme="minorHAnsi"/>
                <w:b/>
                <w:bCs/>
                <w:sz w:val="20"/>
                <w:szCs w:val="20"/>
              </w:rPr>
            </w:pPr>
            <w:r w:rsidRPr="00856E83">
              <w:rPr>
                <w:rFonts w:asciiTheme="minorHAnsi" w:hAnsiTheme="minorHAnsi" w:cstheme="minorHAnsi"/>
                <w:b/>
                <w:bCs/>
                <w:sz w:val="20"/>
                <w:szCs w:val="20"/>
              </w:rPr>
              <w:t>Doorbel.</w:t>
            </w:r>
          </w:p>
          <w:p w:rsidRPr="00856E83" w:rsidR="0003235A" w:rsidP="004D4097" w:rsidRDefault="0003235A" w14:paraId="2238EDF6" w14:textId="77777777">
            <w:pPr>
              <w:autoSpaceDE w:val="0"/>
              <w:adjustRightInd w:val="0"/>
              <w:rPr>
                <w:rFonts w:asciiTheme="minorHAnsi" w:hAnsiTheme="minorHAnsi" w:cstheme="minorHAnsi"/>
                <w:b/>
                <w:bCs/>
                <w:sz w:val="20"/>
                <w:szCs w:val="20"/>
              </w:rPr>
            </w:pPr>
            <w:r w:rsidRPr="00856E83">
              <w:rPr>
                <w:rFonts w:asciiTheme="minorHAnsi" w:hAnsiTheme="minorHAnsi" w:cstheme="minorHAnsi"/>
                <w:b/>
                <w:bCs/>
                <w:sz w:val="20"/>
                <w:szCs w:val="20"/>
              </w:rPr>
              <w:t>Verschotten</w:t>
            </w:r>
          </w:p>
        </w:tc>
        <w:tc>
          <w:tcPr>
            <w:tcW w:w="1804" w:type="dxa"/>
          </w:tcPr>
          <w:p w:rsidRPr="00856E83" w:rsidR="0003235A" w:rsidP="004D4097" w:rsidRDefault="0003235A" w14:paraId="7D0DC497" w14:textId="77777777">
            <w:pPr>
              <w:autoSpaceDE w:val="0"/>
              <w:adjustRightInd w:val="0"/>
              <w:rPr>
                <w:rFonts w:asciiTheme="minorHAnsi" w:hAnsiTheme="minorHAnsi" w:cstheme="minorHAnsi"/>
                <w:b/>
                <w:bCs/>
                <w:sz w:val="20"/>
                <w:szCs w:val="20"/>
              </w:rPr>
            </w:pPr>
            <w:r w:rsidRPr="00856E83">
              <w:rPr>
                <w:rFonts w:asciiTheme="minorHAnsi" w:hAnsiTheme="minorHAnsi" w:cstheme="minorHAnsi"/>
                <w:b/>
                <w:bCs/>
                <w:sz w:val="20"/>
                <w:szCs w:val="20"/>
              </w:rPr>
              <w:t>Betaalde</w:t>
            </w:r>
          </w:p>
          <w:p w:rsidRPr="00856E83" w:rsidR="0003235A" w:rsidP="004D4097" w:rsidRDefault="0003235A" w14:paraId="143BC6F9" w14:textId="77777777">
            <w:pPr>
              <w:autoSpaceDE w:val="0"/>
              <w:adjustRightInd w:val="0"/>
              <w:rPr>
                <w:rFonts w:asciiTheme="minorHAnsi" w:hAnsiTheme="minorHAnsi" w:cstheme="minorHAnsi"/>
                <w:b/>
                <w:bCs/>
                <w:sz w:val="20"/>
                <w:szCs w:val="20"/>
              </w:rPr>
            </w:pPr>
            <w:r w:rsidRPr="00856E83">
              <w:rPr>
                <w:rFonts w:asciiTheme="minorHAnsi" w:hAnsiTheme="minorHAnsi" w:cstheme="minorHAnsi"/>
                <w:b/>
                <w:bCs/>
                <w:sz w:val="20"/>
                <w:szCs w:val="20"/>
              </w:rPr>
              <w:t>btw</w:t>
            </w:r>
          </w:p>
        </w:tc>
        <w:tc>
          <w:tcPr>
            <w:tcW w:w="1804" w:type="dxa"/>
          </w:tcPr>
          <w:p w:rsidRPr="00856E83" w:rsidR="0003235A" w:rsidP="004D4097" w:rsidRDefault="0003235A" w14:paraId="544D0A82" w14:textId="77777777">
            <w:pPr>
              <w:autoSpaceDE w:val="0"/>
              <w:adjustRightInd w:val="0"/>
              <w:rPr>
                <w:rFonts w:asciiTheme="minorHAnsi" w:hAnsiTheme="minorHAnsi" w:cstheme="minorHAnsi"/>
                <w:b/>
                <w:bCs/>
                <w:sz w:val="20"/>
                <w:szCs w:val="20"/>
              </w:rPr>
            </w:pPr>
            <w:r w:rsidRPr="00856E83">
              <w:rPr>
                <w:rFonts w:asciiTheme="minorHAnsi" w:hAnsiTheme="minorHAnsi" w:cstheme="minorHAnsi"/>
                <w:b/>
                <w:bCs/>
                <w:sz w:val="20"/>
                <w:szCs w:val="20"/>
              </w:rPr>
              <w:t>Totaal (incl.</w:t>
            </w:r>
          </w:p>
          <w:p w:rsidRPr="00856E83" w:rsidR="0003235A" w:rsidP="004D4097" w:rsidRDefault="0003235A" w14:paraId="2A990514" w14:textId="77777777">
            <w:pPr>
              <w:autoSpaceDE w:val="0"/>
              <w:adjustRightInd w:val="0"/>
              <w:rPr>
                <w:rFonts w:asciiTheme="minorHAnsi" w:hAnsiTheme="minorHAnsi" w:cstheme="minorHAnsi"/>
                <w:b/>
                <w:bCs/>
                <w:sz w:val="20"/>
                <w:szCs w:val="20"/>
              </w:rPr>
            </w:pPr>
            <w:r w:rsidRPr="00856E83">
              <w:rPr>
                <w:rFonts w:asciiTheme="minorHAnsi" w:hAnsiTheme="minorHAnsi" w:cstheme="minorHAnsi"/>
                <w:b/>
                <w:bCs/>
                <w:sz w:val="20"/>
                <w:szCs w:val="20"/>
              </w:rPr>
              <w:t>btw)</w:t>
            </w:r>
          </w:p>
        </w:tc>
      </w:tr>
      <w:tr w:rsidRPr="00856E83" w:rsidR="0003235A" w:rsidTr="004D4097" w14:paraId="25FA51A0" w14:textId="77777777">
        <w:tc>
          <w:tcPr>
            <w:tcW w:w="1803" w:type="dxa"/>
          </w:tcPr>
          <w:p w:rsidRPr="00856E83" w:rsidR="0003235A" w:rsidP="004D4097" w:rsidRDefault="0003235A" w14:paraId="6E746FC6"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xml:space="preserve">Ministerie van Algemene Zaken </w:t>
            </w:r>
          </w:p>
        </w:tc>
        <w:tc>
          <w:tcPr>
            <w:tcW w:w="1803" w:type="dxa"/>
          </w:tcPr>
          <w:p w:rsidRPr="00856E83" w:rsidR="0003235A" w:rsidP="004D4097" w:rsidRDefault="0003235A" w14:paraId="03F0ECDA"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€ 71</w:t>
            </w:r>
          </w:p>
        </w:tc>
        <w:tc>
          <w:tcPr>
            <w:tcW w:w="1803" w:type="dxa"/>
          </w:tcPr>
          <w:p w:rsidRPr="00856E83" w:rsidR="0003235A" w:rsidP="004D4097" w:rsidRDefault="0003235A" w14:paraId="4CBB2CA7"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€ 4</w:t>
            </w:r>
          </w:p>
        </w:tc>
        <w:tc>
          <w:tcPr>
            <w:tcW w:w="1804" w:type="dxa"/>
          </w:tcPr>
          <w:p w:rsidRPr="00856E83" w:rsidR="0003235A" w:rsidP="004D4097" w:rsidRDefault="0003235A" w14:paraId="43ACEB1E"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€ 15</w:t>
            </w:r>
          </w:p>
        </w:tc>
        <w:tc>
          <w:tcPr>
            <w:tcW w:w="1804" w:type="dxa"/>
          </w:tcPr>
          <w:p w:rsidRPr="00856E83" w:rsidR="0003235A" w:rsidP="004D4097" w:rsidRDefault="0003235A" w14:paraId="5BC4BFAE"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€ 89</w:t>
            </w:r>
          </w:p>
        </w:tc>
      </w:tr>
      <w:tr w:rsidRPr="00856E83" w:rsidR="0003235A" w:rsidTr="004D4097" w14:paraId="3C0D7685" w14:textId="77777777">
        <w:tc>
          <w:tcPr>
            <w:tcW w:w="1803" w:type="dxa"/>
          </w:tcPr>
          <w:p w:rsidRPr="00856E83" w:rsidR="0003235A" w:rsidP="004D4097" w:rsidRDefault="0003235A" w14:paraId="0F1A31AF"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xml:space="preserve">Ministerie van Binnenlandse Zaken en Koninkrijksrelaties </w:t>
            </w:r>
          </w:p>
        </w:tc>
        <w:tc>
          <w:tcPr>
            <w:tcW w:w="1803" w:type="dxa"/>
          </w:tcPr>
          <w:p w:rsidRPr="00856E83" w:rsidR="0003235A" w:rsidP="004D4097" w:rsidRDefault="0003235A" w14:paraId="7AF0AFC8"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€ 2.444</w:t>
            </w:r>
          </w:p>
        </w:tc>
        <w:tc>
          <w:tcPr>
            <w:tcW w:w="1803" w:type="dxa"/>
          </w:tcPr>
          <w:p w:rsidRPr="00856E83" w:rsidR="0003235A" w:rsidP="004D4097" w:rsidRDefault="0003235A" w14:paraId="7E94881C"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€ 320</w:t>
            </w:r>
          </w:p>
        </w:tc>
        <w:tc>
          <w:tcPr>
            <w:tcW w:w="1804" w:type="dxa"/>
          </w:tcPr>
          <w:p w:rsidRPr="00856E83" w:rsidR="0003235A" w:rsidP="004D4097" w:rsidRDefault="0003235A" w14:paraId="23368F23"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€ 581</w:t>
            </w:r>
          </w:p>
        </w:tc>
        <w:tc>
          <w:tcPr>
            <w:tcW w:w="1804" w:type="dxa"/>
          </w:tcPr>
          <w:p w:rsidRPr="00856E83" w:rsidR="0003235A" w:rsidP="004D4097" w:rsidRDefault="0003235A" w14:paraId="7F1DFA04"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€ 3.344</w:t>
            </w:r>
          </w:p>
        </w:tc>
      </w:tr>
      <w:tr w:rsidRPr="00856E83" w:rsidR="0003235A" w:rsidTr="004D4097" w14:paraId="6A85CC36" w14:textId="77777777">
        <w:tc>
          <w:tcPr>
            <w:tcW w:w="1803" w:type="dxa"/>
          </w:tcPr>
          <w:p w:rsidRPr="00856E83" w:rsidR="0003235A" w:rsidP="004D4097" w:rsidRDefault="0003235A" w14:paraId="6B88AAF3"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xml:space="preserve">Ministerie van Buitenlandse Zaken </w:t>
            </w:r>
          </w:p>
        </w:tc>
        <w:tc>
          <w:tcPr>
            <w:tcW w:w="1803" w:type="dxa"/>
          </w:tcPr>
          <w:p w:rsidRPr="00856E83" w:rsidR="0003235A" w:rsidP="004D4097" w:rsidRDefault="0003235A" w14:paraId="751315EC"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€ 375</w:t>
            </w:r>
          </w:p>
        </w:tc>
        <w:tc>
          <w:tcPr>
            <w:tcW w:w="1803" w:type="dxa"/>
          </w:tcPr>
          <w:p w:rsidRPr="00856E83" w:rsidR="0003235A" w:rsidP="004D4097" w:rsidRDefault="0003235A" w14:paraId="783D036E"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€ 2</w:t>
            </w:r>
          </w:p>
        </w:tc>
        <w:tc>
          <w:tcPr>
            <w:tcW w:w="1804" w:type="dxa"/>
          </w:tcPr>
          <w:p w:rsidRPr="00856E83" w:rsidR="0003235A" w:rsidP="004D4097" w:rsidRDefault="0003235A" w14:paraId="57B9872C"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€ 79</w:t>
            </w:r>
          </w:p>
        </w:tc>
        <w:tc>
          <w:tcPr>
            <w:tcW w:w="1804" w:type="dxa"/>
          </w:tcPr>
          <w:p w:rsidRPr="00856E83" w:rsidR="0003235A" w:rsidP="004D4097" w:rsidRDefault="0003235A" w14:paraId="038398B3"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€ 455</w:t>
            </w:r>
          </w:p>
        </w:tc>
      </w:tr>
      <w:tr w:rsidRPr="00856E83" w:rsidR="0003235A" w:rsidTr="004D4097" w14:paraId="7E85CF1B" w14:textId="77777777">
        <w:tc>
          <w:tcPr>
            <w:tcW w:w="1803" w:type="dxa"/>
          </w:tcPr>
          <w:p w:rsidRPr="00856E83" w:rsidR="0003235A" w:rsidP="004D4097" w:rsidRDefault="0003235A" w14:paraId="29F834DF"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xml:space="preserve">Ministerie van Defensie </w:t>
            </w:r>
          </w:p>
        </w:tc>
        <w:tc>
          <w:tcPr>
            <w:tcW w:w="1803" w:type="dxa"/>
          </w:tcPr>
          <w:p w:rsidRPr="00856E83" w:rsidR="0003235A" w:rsidP="004D4097" w:rsidRDefault="0003235A" w14:paraId="32110F27"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€ 3.895</w:t>
            </w:r>
          </w:p>
        </w:tc>
        <w:tc>
          <w:tcPr>
            <w:tcW w:w="1803" w:type="dxa"/>
          </w:tcPr>
          <w:p w:rsidRPr="00856E83" w:rsidR="0003235A" w:rsidP="004D4097" w:rsidRDefault="0003235A" w14:paraId="537F113A"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€ 47</w:t>
            </w:r>
          </w:p>
        </w:tc>
        <w:tc>
          <w:tcPr>
            <w:tcW w:w="1804" w:type="dxa"/>
          </w:tcPr>
          <w:p w:rsidRPr="00856E83" w:rsidR="0003235A" w:rsidP="004D4097" w:rsidRDefault="0003235A" w14:paraId="4CC4B18A"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€ 825</w:t>
            </w:r>
          </w:p>
        </w:tc>
        <w:tc>
          <w:tcPr>
            <w:tcW w:w="1804" w:type="dxa"/>
          </w:tcPr>
          <w:p w:rsidRPr="00856E83" w:rsidR="0003235A" w:rsidP="004D4097" w:rsidRDefault="0003235A" w14:paraId="30DBE24F"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€ 4.767</w:t>
            </w:r>
          </w:p>
        </w:tc>
      </w:tr>
      <w:tr w:rsidRPr="00856E83" w:rsidR="0003235A" w:rsidTr="004D4097" w14:paraId="4B04E0B7" w14:textId="77777777">
        <w:tc>
          <w:tcPr>
            <w:tcW w:w="1803" w:type="dxa"/>
          </w:tcPr>
          <w:p w:rsidRPr="00856E83" w:rsidR="0003235A" w:rsidP="004D4097" w:rsidRDefault="0003235A" w14:paraId="6E6739EA"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xml:space="preserve">Ministerie van Economische Zaken en Klimaat </w:t>
            </w:r>
          </w:p>
        </w:tc>
        <w:tc>
          <w:tcPr>
            <w:tcW w:w="1803" w:type="dxa"/>
          </w:tcPr>
          <w:p w:rsidRPr="00856E83" w:rsidR="0003235A" w:rsidP="004D4097" w:rsidRDefault="0003235A" w14:paraId="0925B0A2"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€ 7.328</w:t>
            </w:r>
          </w:p>
        </w:tc>
        <w:tc>
          <w:tcPr>
            <w:tcW w:w="1803" w:type="dxa"/>
          </w:tcPr>
          <w:p w:rsidRPr="00856E83" w:rsidR="0003235A" w:rsidP="004D4097" w:rsidRDefault="0003235A" w14:paraId="05F5FC9D"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€ 203</w:t>
            </w:r>
          </w:p>
        </w:tc>
        <w:tc>
          <w:tcPr>
            <w:tcW w:w="1804" w:type="dxa"/>
          </w:tcPr>
          <w:p w:rsidRPr="00856E83" w:rsidR="0003235A" w:rsidP="004D4097" w:rsidRDefault="0003235A" w14:paraId="48E8CAA2"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€ 1.569</w:t>
            </w:r>
          </w:p>
        </w:tc>
        <w:tc>
          <w:tcPr>
            <w:tcW w:w="1804" w:type="dxa"/>
          </w:tcPr>
          <w:p w:rsidRPr="00856E83" w:rsidR="0003235A" w:rsidP="004D4097" w:rsidRDefault="0003235A" w14:paraId="25B27A27"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€ 9.100</w:t>
            </w:r>
          </w:p>
        </w:tc>
      </w:tr>
      <w:tr w:rsidRPr="00856E83" w:rsidR="0003235A" w:rsidTr="004D4097" w14:paraId="4C6E83B1" w14:textId="77777777">
        <w:tc>
          <w:tcPr>
            <w:tcW w:w="1803" w:type="dxa"/>
          </w:tcPr>
          <w:p w:rsidRPr="00856E83" w:rsidR="0003235A" w:rsidP="004D4097" w:rsidRDefault="0003235A" w14:paraId="152DAF50"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xml:space="preserve">Ministerie van Financiën </w:t>
            </w:r>
          </w:p>
        </w:tc>
        <w:tc>
          <w:tcPr>
            <w:tcW w:w="1803" w:type="dxa"/>
          </w:tcPr>
          <w:p w:rsidRPr="00856E83" w:rsidR="0003235A" w:rsidP="004D4097" w:rsidRDefault="0003235A" w14:paraId="14AB59F2"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€ 1.794</w:t>
            </w:r>
          </w:p>
        </w:tc>
        <w:tc>
          <w:tcPr>
            <w:tcW w:w="1803" w:type="dxa"/>
          </w:tcPr>
          <w:p w:rsidRPr="00856E83" w:rsidR="0003235A" w:rsidP="004D4097" w:rsidRDefault="0003235A" w14:paraId="0CA65024"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€ 66</w:t>
            </w:r>
          </w:p>
        </w:tc>
        <w:tc>
          <w:tcPr>
            <w:tcW w:w="1804" w:type="dxa"/>
          </w:tcPr>
          <w:p w:rsidRPr="00856E83" w:rsidR="0003235A" w:rsidP="004D4097" w:rsidRDefault="0003235A" w14:paraId="635D2388"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€ 383</w:t>
            </w:r>
          </w:p>
        </w:tc>
        <w:tc>
          <w:tcPr>
            <w:tcW w:w="1804" w:type="dxa"/>
          </w:tcPr>
          <w:p w:rsidRPr="00856E83" w:rsidR="0003235A" w:rsidP="004D4097" w:rsidRDefault="0003235A" w14:paraId="072909ED"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€ 2.242</w:t>
            </w:r>
          </w:p>
        </w:tc>
      </w:tr>
      <w:tr w:rsidRPr="00856E83" w:rsidR="0003235A" w:rsidTr="004D4097" w14:paraId="70ECB103" w14:textId="77777777">
        <w:tc>
          <w:tcPr>
            <w:tcW w:w="1803" w:type="dxa"/>
          </w:tcPr>
          <w:p w:rsidRPr="00856E83" w:rsidR="0003235A" w:rsidP="004D4097" w:rsidRDefault="0003235A" w14:paraId="46BEF8CA"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xml:space="preserve">Ministerie van Infrastructuur en Waterstaat </w:t>
            </w:r>
          </w:p>
        </w:tc>
        <w:tc>
          <w:tcPr>
            <w:tcW w:w="1803" w:type="dxa"/>
          </w:tcPr>
          <w:p w:rsidRPr="00856E83" w:rsidR="0003235A" w:rsidP="004D4097" w:rsidRDefault="0003235A" w14:paraId="275B2EE8"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€ 2.763</w:t>
            </w:r>
          </w:p>
        </w:tc>
        <w:tc>
          <w:tcPr>
            <w:tcW w:w="1803" w:type="dxa"/>
          </w:tcPr>
          <w:p w:rsidRPr="00856E83" w:rsidR="0003235A" w:rsidP="004D4097" w:rsidRDefault="0003235A" w14:paraId="702345BB"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€ 76</w:t>
            </w:r>
          </w:p>
        </w:tc>
        <w:tc>
          <w:tcPr>
            <w:tcW w:w="1804" w:type="dxa"/>
          </w:tcPr>
          <w:p w:rsidRPr="00856E83" w:rsidR="0003235A" w:rsidP="004D4097" w:rsidRDefault="0003235A" w14:paraId="143713C4"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xml:space="preserve">€ 588 </w:t>
            </w:r>
          </w:p>
        </w:tc>
        <w:tc>
          <w:tcPr>
            <w:tcW w:w="1804" w:type="dxa"/>
          </w:tcPr>
          <w:p w:rsidRPr="00856E83" w:rsidR="0003235A" w:rsidP="004D4097" w:rsidRDefault="0003235A" w14:paraId="1FFE115C"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€ 3.428</w:t>
            </w:r>
          </w:p>
        </w:tc>
      </w:tr>
      <w:tr w:rsidRPr="00856E83" w:rsidR="0003235A" w:rsidTr="004D4097" w14:paraId="3CCF859F" w14:textId="77777777">
        <w:tc>
          <w:tcPr>
            <w:tcW w:w="1803" w:type="dxa"/>
          </w:tcPr>
          <w:p w:rsidRPr="00856E83" w:rsidR="0003235A" w:rsidP="004D4097" w:rsidRDefault="0003235A" w14:paraId="434FC1F1"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xml:space="preserve">Ministerie van Justitie en Veiligheid </w:t>
            </w:r>
          </w:p>
        </w:tc>
        <w:tc>
          <w:tcPr>
            <w:tcW w:w="1803" w:type="dxa"/>
          </w:tcPr>
          <w:p w:rsidRPr="00856E83" w:rsidR="0003235A" w:rsidP="004D4097" w:rsidRDefault="0003235A" w14:paraId="65D00C25"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€ 6.239</w:t>
            </w:r>
          </w:p>
        </w:tc>
        <w:tc>
          <w:tcPr>
            <w:tcW w:w="1803" w:type="dxa"/>
          </w:tcPr>
          <w:p w:rsidRPr="00856E83" w:rsidR="0003235A" w:rsidP="004D4097" w:rsidRDefault="0003235A" w14:paraId="796EE039"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€ 206</w:t>
            </w:r>
          </w:p>
        </w:tc>
        <w:tc>
          <w:tcPr>
            <w:tcW w:w="1804" w:type="dxa"/>
          </w:tcPr>
          <w:p w:rsidRPr="00856E83" w:rsidR="0003235A" w:rsidP="004D4097" w:rsidRDefault="0003235A" w14:paraId="2D9CE36B"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xml:space="preserve">€ 1.314 </w:t>
            </w:r>
          </w:p>
        </w:tc>
        <w:tc>
          <w:tcPr>
            <w:tcW w:w="1804" w:type="dxa"/>
          </w:tcPr>
          <w:p w:rsidRPr="00856E83" w:rsidR="0003235A" w:rsidP="004D4097" w:rsidRDefault="0003235A" w14:paraId="76CD4B52"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€ 7.759</w:t>
            </w:r>
          </w:p>
        </w:tc>
      </w:tr>
      <w:tr w:rsidRPr="00856E83" w:rsidR="0003235A" w:rsidTr="004D4097" w14:paraId="56C1106A" w14:textId="77777777">
        <w:tc>
          <w:tcPr>
            <w:tcW w:w="1803" w:type="dxa"/>
          </w:tcPr>
          <w:p w:rsidRPr="00856E83" w:rsidR="0003235A" w:rsidP="004D4097" w:rsidRDefault="0003235A" w14:paraId="0045EFEB"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lastRenderedPageBreak/>
              <w:t xml:space="preserve">Ministerie van Landbouw, Natuur en Voedselkwaliteit </w:t>
            </w:r>
          </w:p>
        </w:tc>
        <w:tc>
          <w:tcPr>
            <w:tcW w:w="1803" w:type="dxa"/>
          </w:tcPr>
          <w:p w:rsidRPr="00856E83" w:rsidR="0003235A" w:rsidP="004D4097" w:rsidRDefault="0003235A" w14:paraId="1611C4F8"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€ 1.254</w:t>
            </w:r>
          </w:p>
        </w:tc>
        <w:tc>
          <w:tcPr>
            <w:tcW w:w="1803" w:type="dxa"/>
          </w:tcPr>
          <w:p w:rsidRPr="00856E83" w:rsidR="0003235A" w:rsidP="004D4097" w:rsidRDefault="0003235A" w14:paraId="42BE1338"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€ 24</w:t>
            </w:r>
          </w:p>
        </w:tc>
        <w:tc>
          <w:tcPr>
            <w:tcW w:w="1804" w:type="dxa"/>
          </w:tcPr>
          <w:p w:rsidRPr="00856E83" w:rsidR="0003235A" w:rsidP="004D4097" w:rsidRDefault="0003235A" w14:paraId="10F42B3D"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xml:space="preserve">€ 264 </w:t>
            </w:r>
          </w:p>
        </w:tc>
        <w:tc>
          <w:tcPr>
            <w:tcW w:w="1804" w:type="dxa"/>
          </w:tcPr>
          <w:p w:rsidRPr="00856E83" w:rsidR="0003235A" w:rsidP="004D4097" w:rsidRDefault="0003235A" w14:paraId="022B6B53"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€ 1.541</w:t>
            </w:r>
          </w:p>
        </w:tc>
      </w:tr>
      <w:tr w:rsidRPr="00856E83" w:rsidR="0003235A" w:rsidTr="004D4097" w14:paraId="0A463C6A" w14:textId="77777777">
        <w:tc>
          <w:tcPr>
            <w:tcW w:w="1803" w:type="dxa"/>
          </w:tcPr>
          <w:p w:rsidRPr="00856E83" w:rsidR="0003235A" w:rsidP="004D4097" w:rsidRDefault="0003235A" w14:paraId="479F945E"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xml:space="preserve">Ministerie van Onderwijs, Cultuur en Wetenschap </w:t>
            </w:r>
          </w:p>
        </w:tc>
        <w:tc>
          <w:tcPr>
            <w:tcW w:w="1803" w:type="dxa"/>
          </w:tcPr>
          <w:p w:rsidRPr="00856E83" w:rsidR="0003235A" w:rsidP="004D4097" w:rsidRDefault="0003235A" w14:paraId="500BAD2B"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€ 755</w:t>
            </w:r>
          </w:p>
        </w:tc>
        <w:tc>
          <w:tcPr>
            <w:tcW w:w="1803" w:type="dxa"/>
          </w:tcPr>
          <w:p w:rsidRPr="00856E83" w:rsidR="0003235A" w:rsidP="004D4097" w:rsidRDefault="0003235A" w14:paraId="6AFF2E59"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€ 16</w:t>
            </w:r>
          </w:p>
        </w:tc>
        <w:tc>
          <w:tcPr>
            <w:tcW w:w="1804" w:type="dxa"/>
          </w:tcPr>
          <w:p w:rsidRPr="00856E83" w:rsidR="0003235A" w:rsidP="004D4097" w:rsidRDefault="0003235A" w14:paraId="5AA20377"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xml:space="preserve">€ 159 </w:t>
            </w:r>
          </w:p>
        </w:tc>
        <w:tc>
          <w:tcPr>
            <w:tcW w:w="1804" w:type="dxa"/>
          </w:tcPr>
          <w:p w:rsidRPr="00856E83" w:rsidR="0003235A" w:rsidP="004D4097" w:rsidRDefault="0003235A" w14:paraId="146BE53E"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€ 929</w:t>
            </w:r>
          </w:p>
        </w:tc>
      </w:tr>
      <w:tr w:rsidRPr="00856E83" w:rsidR="0003235A" w:rsidTr="004D4097" w14:paraId="2D5FFAE5" w14:textId="77777777">
        <w:tc>
          <w:tcPr>
            <w:tcW w:w="1803" w:type="dxa"/>
          </w:tcPr>
          <w:p w:rsidRPr="00856E83" w:rsidR="0003235A" w:rsidP="004D4097" w:rsidRDefault="0003235A" w14:paraId="43886D86"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xml:space="preserve">Ministerie van Sociale Zaken en Werkgelegenheid </w:t>
            </w:r>
          </w:p>
        </w:tc>
        <w:tc>
          <w:tcPr>
            <w:tcW w:w="1803" w:type="dxa"/>
          </w:tcPr>
          <w:p w:rsidRPr="00856E83" w:rsidR="0003235A" w:rsidP="004D4097" w:rsidRDefault="0003235A" w14:paraId="63DE7E4D"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€ 745</w:t>
            </w:r>
          </w:p>
        </w:tc>
        <w:tc>
          <w:tcPr>
            <w:tcW w:w="1803" w:type="dxa"/>
          </w:tcPr>
          <w:p w:rsidRPr="00856E83" w:rsidR="0003235A" w:rsidP="004D4097" w:rsidRDefault="0003235A" w14:paraId="69A03AE5"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€ 8</w:t>
            </w:r>
          </w:p>
        </w:tc>
        <w:tc>
          <w:tcPr>
            <w:tcW w:w="1804" w:type="dxa"/>
          </w:tcPr>
          <w:p w:rsidRPr="00856E83" w:rsidR="0003235A" w:rsidP="004D4097" w:rsidRDefault="0003235A" w14:paraId="430044C0"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xml:space="preserve">€ 157 </w:t>
            </w:r>
          </w:p>
        </w:tc>
        <w:tc>
          <w:tcPr>
            <w:tcW w:w="1804" w:type="dxa"/>
          </w:tcPr>
          <w:p w:rsidRPr="00856E83" w:rsidR="0003235A" w:rsidP="004D4097" w:rsidRDefault="0003235A" w14:paraId="7C5A4041"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€ 910</w:t>
            </w:r>
          </w:p>
        </w:tc>
      </w:tr>
      <w:tr w:rsidRPr="00856E83" w:rsidR="0003235A" w:rsidTr="004D4097" w14:paraId="301EC587" w14:textId="77777777">
        <w:tc>
          <w:tcPr>
            <w:tcW w:w="1803" w:type="dxa"/>
          </w:tcPr>
          <w:p w:rsidRPr="00856E83" w:rsidR="0003235A" w:rsidP="004D4097" w:rsidRDefault="0003235A" w14:paraId="5628F1A4"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xml:space="preserve">Ministerie van Volksgezondheid, Welzijn en Sport </w:t>
            </w:r>
          </w:p>
        </w:tc>
        <w:tc>
          <w:tcPr>
            <w:tcW w:w="1803" w:type="dxa"/>
          </w:tcPr>
          <w:p w:rsidRPr="00856E83" w:rsidR="0003235A" w:rsidP="004D4097" w:rsidRDefault="0003235A" w14:paraId="7BCB013B"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€ 2.956</w:t>
            </w:r>
          </w:p>
        </w:tc>
        <w:tc>
          <w:tcPr>
            <w:tcW w:w="1803" w:type="dxa"/>
          </w:tcPr>
          <w:p w:rsidRPr="00856E83" w:rsidR="0003235A" w:rsidP="004D4097" w:rsidRDefault="0003235A" w14:paraId="35FB40C6"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€ 113</w:t>
            </w:r>
          </w:p>
        </w:tc>
        <w:tc>
          <w:tcPr>
            <w:tcW w:w="1804" w:type="dxa"/>
          </w:tcPr>
          <w:p w:rsidRPr="00856E83" w:rsidR="0003235A" w:rsidP="004D4097" w:rsidRDefault="0003235A" w14:paraId="02F0CE04"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xml:space="preserve">€ 630 </w:t>
            </w:r>
          </w:p>
        </w:tc>
        <w:tc>
          <w:tcPr>
            <w:tcW w:w="1804" w:type="dxa"/>
          </w:tcPr>
          <w:p w:rsidRPr="00856E83" w:rsidR="0003235A" w:rsidP="004D4097" w:rsidRDefault="0003235A" w14:paraId="6B1C1A03" w14:textId="77777777">
            <w:pPr>
              <w:autoSpaceDE w:val="0"/>
              <w:adjustRightInd w:val="0"/>
              <w:rPr>
                <w:rFonts w:asciiTheme="minorHAnsi" w:hAnsiTheme="minorHAnsi" w:cstheme="minorHAnsi"/>
                <w:sz w:val="20"/>
                <w:szCs w:val="20"/>
              </w:rPr>
            </w:pPr>
            <w:r w:rsidRPr="00856E83">
              <w:rPr>
                <w:rFonts w:asciiTheme="minorHAnsi" w:hAnsiTheme="minorHAnsi" w:cstheme="minorHAnsi"/>
                <w:sz w:val="20"/>
                <w:szCs w:val="20"/>
              </w:rPr>
              <w:t>€ 3.699</w:t>
            </w:r>
          </w:p>
        </w:tc>
      </w:tr>
      <w:tr w:rsidRPr="00856E83" w:rsidR="0003235A" w:rsidTr="004D4097" w14:paraId="45A72995" w14:textId="77777777">
        <w:tc>
          <w:tcPr>
            <w:tcW w:w="1803" w:type="dxa"/>
          </w:tcPr>
          <w:p w:rsidRPr="00856E83" w:rsidR="0003235A" w:rsidP="004D4097" w:rsidRDefault="0003235A" w14:paraId="278C8DC2" w14:textId="77777777">
            <w:pPr>
              <w:autoSpaceDE w:val="0"/>
              <w:adjustRightInd w:val="0"/>
              <w:rPr>
                <w:rFonts w:asciiTheme="minorHAnsi" w:hAnsiTheme="minorHAnsi" w:cstheme="minorHAnsi"/>
                <w:sz w:val="20"/>
                <w:szCs w:val="20"/>
              </w:rPr>
            </w:pPr>
            <w:r w:rsidRPr="00856E83">
              <w:rPr>
                <w:rFonts w:asciiTheme="minorHAnsi" w:hAnsiTheme="minorHAnsi" w:cstheme="minorHAnsi"/>
                <w:b/>
                <w:bCs/>
                <w:sz w:val="20"/>
                <w:szCs w:val="20"/>
              </w:rPr>
              <w:t>Totaal</w:t>
            </w:r>
          </w:p>
        </w:tc>
        <w:tc>
          <w:tcPr>
            <w:tcW w:w="1803" w:type="dxa"/>
          </w:tcPr>
          <w:p w:rsidRPr="00856E83" w:rsidR="0003235A" w:rsidP="004D4097" w:rsidRDefault="0003235A" w14:paraId="56270A6A" w14:textId="77777777">
            <w:pPr>
              <w:rPr>
                <w:rFonts w:asciiTheme="minorHAnsi" w:hAnsiTheme="minorHAnsi" w:cstheme="minorHAnsi"/>
                <w:sz w:val="20"/>
                <w:szCs w:val="20"/>
              </w:rPr>
            </w:pPr>
            <w:r w:rsidRPr="00856E83">
              <w:rPr>
                <w:rFonts w:asciiTheme="minorHAnsi" w:hAnsiTheme="minorHAnsi" w:cstheme="minorHAnsi"/>
                <w:b/>
                <w:bCs/>
                <w:sz w:val="20"/>
                <w:szCs w:val="20"/>
              </w:rPr>
              <w:t>€ 30.617</w:t>
            </w:r>
          </w:p>
          <w:p w:rsidRPr="00856E83" w:rsidR="0003235A" w:rsidP="004D4097" w:rsidRDefault="0003235A" w14:paraId="32C77487" w14:textId="77777777">
            <w:pPr>
              <w:autoSpaceDE w:val="0"/>
              <w:adjustRightInd w:val="0"/>
              <w:rPr>
                <w:rFonts w:asciiTheme="minorHAnsi" w:hAnsiTheme="minorHAnsi" w:cstheme="minorHAnsi"/>
                <w:sz w:val="20"/>
                <w:szCs w:val="20"/>
              </w:rPr>
            </w:pPr>
          </w:p>
        </w:tc>
        <w:tc>
          <w:tcPr>
            <w:tcW w:w="1803" w:type="dxa"/>
          </w:tcPr>
          <w:p w:rsidRPr="00856E83" w:rsidR="0003235A" w:rsidP="004D4097" w:rsidRDefault="0003235A" w14:paraId="28CE27BA" w14:textId="77777777">
            <w:pPr>
              <w:autoSpaceDE w:val="0"/>
              <w:adjustRightInd w:val="0"/>
              <w:rPr>
                <w:rFonts w:asciiTheme="minorHAnsi" w:hAnsiTheme="minorHAnsi" w:cstheme="minorHAnsi"/>
                <w:b/>
                <w:bCs/>
                <w:sz w:val="20"/>
                <w:szCs w:val="20"/>
              </w:rPr>
            </w:pPr>
            <w:r w:rsidRPr="00856E83">
              <w:rPr>
                <w:rFonts w:asciiTheme="minorHAnsi" w:hAnsiTheme="minorHAnsi" w:cstheme="minorHAnsi"/>
                <w:b/>
                <w:bCs/>
                <w:sz w:val="20"/>
                <w:szCs w:val="20"/>
              </w:rPr>
              <w:t>€ 1.083</w:t>
            </w:r>
          </w:p>
        </w:tc>
        <w:tc>
          <w:tcPr>
            <w:tcW w:w="1804" w:type="dxa"/>
          </w:tcPr>
          <w:p w:rsidRPr="00856E83" w:rsidR="0003235A" w:rsidP="004D4097" w:rsidRDefault="0003235A" w14:paraId="07D6C565" w14:textId="77777777">
            <w:pPr>
              <w:autoSpaceDE w:val="0"/>
              <w:adjustRightInd w:val="0"/>
              <w:rPr>
                <w:rFonts w:asciiTheme="minorHAnsi" w:hAnsiTheme="minorHAnsi" w:cstheme="minorHAnsi"/>
                <w:b/>
                <w:bCs/>
                <w:sz w:val="20"/>
                <w:szCs w:val="20"/>
              </w:rPr>
            </w:pPr>
            <w:r w:rsidRPr="00856E83">
              <w:rPr>
                <w:rFonts w:asciiTheme="minorHAnsi" w:hAnsiTheme="minorHAnsi" w:cstheme="minorHAnsi"/>
                <w:b/>
                <w:bCs/>
                <w:sz w:val="20"/>
                <w:szCs w:val="20"/>
              </w:rPr>
              <w:t xml:space="preserve">€ 6.563 </w:t>
            </w:r>
          </w:p>
        </w:tc>
        <w:tc>
          <w:tcPr>
            <w:tcW w:w="1804" w:type="dxa"/>
          </w:tcPr>
          <w:p w:rsidRPr="00856E83" w:rsidR="0003235A" w:rsidP="004D4097" w:rsidRDefault="0003235A" w14:paraId="555F575B" w14:textId="77777777">
            <w:pPr>
              <w:autoSpaceDE w:val="0"/>
              <w:adjustRightInd w:val="0"/>
              <w:rPr>
                <w:rFonts w:asciiTheme="minorHAnsi" w:hAnsiTheme="minorHAnsi" w:cstheme="minorHAnsi"/>
                <w:b/>
                <w:bCs/>
                <w:sz w:val="20"/>
                <w:szCs w:val="20"/>
              </w:rPr>
            </w:pPr>
            <w:r w:rsidRPr="00856E83">
              <w:rPr>
                <w:rFonts w:asciiTheme="minorHAnsi" w:hAnsiTheme="minorHAnsi" w:cstheme="minorHAnsi"/>
                <w:b/>
                <w:bCs/>
                <w:sz w:val="20"/>
                <w:szCs w:val="20"/>
              </w:rPr>
              <w:t>€ 38.263</w:t>
            </w:r>
          </w:p>
        </w:tc>
      </w:tr>
    </w:tbl>
    <w:p w:rsidRPr="00856E83" w:rsidR="0003235A" w:rsidP="0003235A" w:rsidRDefault="0003235A" w14:paraId="38F305B5" w14:textId="77777777">
      <w:pPr>
        <w:autoSpaceDE w:val="0"/>
        <w:adjustRightInd w:val="0"/>
        <w:spacing w:line="240" w:lineRule="auto"/>
        <w:rPr>
          <w:rFonts w:cstheme="minorHAnsi"/>
        </w:rPr>
      </w:pPr>
    </w:p>
    <w:p w:rsidRPr="00856E83" w:rsidR="0003235A" w:rsidP="0003235A" w:rsidRDefault="0003235A" w14:paraId="5E2EBCA8" w14:textId="77777777">
      <w:pPr>
        <w:rPr>
          <w:rFonts w:cstheme="minorHAnsi"/>
          <w:i/>
          <w:iCs/>
        </w:rPr>
      </w:pPr>
      <w:r w:rsidRPr="00856E83">
        <w:rPr>
          <w:rFonts w:cstheme="minorHAnsi"/>
          <w:i/>
          <w:iCs/>
        </w:rPr>
        <w:t xml:space="preserve">Opvolging aanbevelingen commissie </w:t>
      </w:r>
      <w:proofErr w:type="spellStart"/>
      <w:r w:rsidRPr="00856E83">
        <w:rPr>
          <w:rFonts w:cstheme="minorHAnsi"/>
          <w:i/>
          <w:iCs/>
        </w:rPr>
        <w:t>Silvis</w:t>
      </w:r>
      <w:proofErr w:type="spellEnd"/>
    </w:p>
    <w:p w:rsidRPr="00856E83" w:rsidR="0003235A" w:rsidP="0003235A" w:rsidRDefault="0003235A" w14:paraId="420852F2" w14:textId="3345ADC6">
      <w:pPr>
        <w:autoSpaceDE w:val="0"/>
        <w:adjustRightInd w:val="0"/>
        <w:spacing w:line="240" w:lineRule="auto"/>
        <w:rPr>
          <w:rFonts w:cstheme="minorHAnsi"/>
        </w:rPr>
      </w:pPr>
      <w:r w:rsidRPr="00856E83">
        <w:rPr>
          <w:rFonts w:cstheme="minorHAnsi"/>
        </w:rPr>
        <w:t xml:space="preserve">Bij brief van 6 december 2022 heeft mijn ambtsvoorganger uw Kamer het rapport van de commissie advocatendiensten aan de Staat toegezonden (commissie </w:t>
      </w:r>
      <w:proofErr w:type="spellStart"/>
      <w:r w:rsidRPr="00856E83">
        <w:rPr>
          <w:rFonts w:cstheme="minorHAnsi"/>
        </w:rPr>
        <w:t>Silvis</w:t>
      </w:r>
      <w:proofErr w:type="spellEnd"/>
      <w:r w:rsidRPr="00856E83">
        <w:rPr>
          <w:rFonts w:cstheme="minorHAnsi"/>
        </w:rPr>
        <w:t xml:space="preserve">) (Kamerstuk 36 200 VI, nr. 109). Een van de aanbevelingen van de commissie zag op een versterking van het opdrachtgeverschap aan de zijde van de Staat: </w:t>
      </w:r>
    </w:p>
    <w:p w:rsidRPr="00856E83" w:rsidR="0003235A" w:rsidP="0003235A" w:rsidRDefault="0003235A" w14:paraId="5462E68E" w14:textId="77777777">
      <w:pPr>
        <w:autoSpaceDE w:val="0"/>
        <w:adjustRightInd w:val="0"/>
        <w:spacing w:line="240" w:lineRule="auto"/>
        <w:rPr>
          <w:rFonts w:cstheme="minorHAnsi"/>
        </w:rPr>
      </w:pPr>
    </w:p>
    <w:p w:rsidRPr="00856E83" w:rsidR="0003235A" w:rsidP="0003235A" w:rsidRDefault="0003235A" w14:paraId="7133AADA" w14:textId="77777777">
      <w:pPr>
        <w:autoSpaceDE w:val="0"/>
        <w:adjustRightInd w:val="0"/>
        <w:spacing w:line="240" w:lineRule="auto"/>
        <w:rPr>
          <w:rFonts w:cstheme="minorHAnsi"/>
        </w:rPr>
      </w:pPr>
      <w:r w:rsidRPr="00856E83">
        <w:rPr>
          <w:rFonts w:cstheme="minorHAnsi"/>
        </w:rPr>
        <w:t>‘Zorg binnen de Staat voor een centraal overzicht van ingekochte</w:t>
      </w:r>
    </w:p>
    <w:p w:rsidRPr="00856E83" w:rsidR="0003235A" w:rsidP="0003235A" w:rsidRDefault="0003235A" w14:paraId="662E6228" w14:textId="77777777">
      <w:pPr>
        <w:autoSpaceDE w:val="0"/>
        <w:adjustRightInd w:val="0"/>
        <w:spacing w:line="240" w:lineRule="auto"/>
        <w:rPr>
          <w:rFonts w:cstheme="minorHAnsi"/>
        </w:rPr>
      </w:pPr>
      <w:r w:rsidRPr="00856E83">
        <w:rPr>
          <w:rFonts w:cstheme="minorHAnsi"/>
        </w:rPr>
        <w:t>advocatendiensten en de in behandeling zijnde zaken, mede met het oog op</w:t>
      </w:r>
    </w:p>
    <w:p w:rsidRPr="00856E83" w:rsidR="0003235A" w:rsidP="0003235A" w:rsidRDefault="0003235A" w14:paraId="1C788734" w14:textId="77777777">
      <w:pPr>
        <w:autoSpaceDE w:val="0"/>
        <w:adjustRightInd w:val="0"/>
        <w:spacing w:line="240" w:lineRule="auto"/>
        <w:rPr>
          <w:rFonts w:cstheme="minorHAnsi"/>
        </w:rPr>
      </w:pPr>
      <w:r w:rsidRPr="00856E83">
        <w:rPr>
          <w:rFonts w:cstheme="minorHAnsi"/>
        </w:rPr>
        <w:t>de versterking van het institutionele geheugen aan de zijde van de Staat en</w:t>
      </w:r>
    </w:p>
    <w:p w:rsidRPr="00856E83" w:rsidR="0003235A" w:rsidP="0003235A" w:rsidRDefault="0003235A" w14:paraId="56E7943B" w14:textId="77777777">
      <w:pPr>
        <w:autoSpaceDE w:val="0"/>
        <w:adjustRightInd w:val="0"/>
        <w:spacing w:line="240" w:lineRule="auto"/>
        <w:rPr>
          <w:rFonts w:cstheme="minorHAnsi"/>
        </w:rPr>
      </w:pPr>
      <w:r w:rsidRPr="00856E83">
        <w:rPr>
          <w:rFonts w:cstheme="minorHAnsi"/>
        </w:rPr>
        <w:t>een adequate monitoring en evaluatie van de dienstverlening, en geef</w:t>
      </w:r>
    </w:p>
    <w:p w:rsidRPr="00856E83" w:rsidR="0003235A" w:rsidP="0003235A" w:rsidRDefault="0003235A" w14:paraId="0D2E7A12" w14:textId="77777777">
      <w:pPr>
        <w:pStyle w:val="WitregelW1bodytekst"/>
        <w:rPr>
          <w:rFonts w:asciiTheme="minorHAnsi" w:hAnsiTheme="minorHAnsi" w:cstheme="minorHAnsi"/>
          <w:color w:val="auto"/>
          <w:sz w:val="22"/>
          <w:szCs w:val="22"/>
        </w:rPr>
      </w:pPr>
      <w:r w:rsidRPr="00856E83">
        <w:rPr>
          <w:rFonts w:asciiTheme="minorHAnsi" w:hAnsiTheme="minorHAnsi" w:cstheme="minorHAnsi"/>
          <w:color w:val="auto"/>
          <w:sz w:val="22"/>
          <w:szCs w:val="22"/>
        </w:rPr>
        <w:t xml:space="preserve">daarmee invulling aan een professioneel opdrachtgeverschap.’ </w:t>
      </w:r>
    </w:p>
    <w:p w:rsidRPr="00856E83" w:rsidR="0003235A" w:rsidP="0003235A" w:rsidRDefault="0003235A" w14:paraId="4B0DC7D3" w14:textId="77777777">
      <w:pPr>
        <w:rPr>
          <w:rFonts w:cstheme="minorHAnsi"/>
        </w:rPr>
      </w:pPr>
    </w:p>
    <w:p w:rsidRPr="00856E83" w:rsidR="0003235A" w:rsidP="0003235A" w:rsidRDefault="0003235A" w14:paraId="6AB7C7D6" w14:textId="77777777">
      <w:pPr>
        <w:rPr>
          <w:rFonts w:cstheme="minorHAnsi"/>
        </w:rPr>
      </w:pPr>
      <w:r w:rsidRPr="00856E83">
        <w:rPr>
          <w:rFonts w:cstheme="minorHAnsi"/>
        </w:rPr>
        <w:t xml:space="preserve">Naar aanleiding van deze aanbeveling wordt door een kopgroep van ministeries gewerkt aan verbetering van de informatiepositie die tot doel heeft om het opdrachtgeverschap te versterken. Het gaat daarbij om uniforme registratie van een aantal gegevens per zaak (zoals een omschrijving, het type dienst, het type procedure, het rechtsgebied, de hoedanigheid van de Staat als partij, het type wederpartij en de reden voor de inzet van de landsadvocaat), het periodiek ontvangen van een overzicht van lopende zaken van de landsadvocaat en het evalueren van de inzet van advocaten. Die informatie wordt gebruikt om ontwikkelingen te signaleren en daarop te kunnen inspelen. Het is de bedoeling dat andere departementen binnen afzienbare tijd ook op deze wijze gaan werken. Tevens zijn er het afgelopen jaar twee professionele ontmoetingen georganiseerd voor juristen van de rijksoverheid waarin kennis uit de adviespraktijk van de landsadvocaat en de ervaring van deskundigen van de zijde van de rijksoverheid op specifieke thema’s zijn gedeeld. Daarnaast heeft mijn ambtsvoorganger eerder </w:t>
      </w:r>
      <w:r w:rsidRPr="00856E83">
        <w:rPr>
          <w:rFonts w:cstheme="minorHAnsi"/>
        </w:rPr>
        <w:lastRenderedPageBreak/>
        <w:t xml:space="preserve">aangekondigd dat, conform de aanbevelingen van de commissie </w:t>
      </w:r>
      <w:proofErr w:type="spellStart"/>
      <w:r w:rsidRPr="00856E83">
        <w:rPr>
          <w:rFonts w:cstheme="minorHAnsi"/>
        </w:rPr>
        <w:t>Silvis</w:t>
      </w:r>
      <w:proofErr w:type="spellEnd"/>
      <w:r w:rsidRPr="00856E83">
        <w:rPr>
          <w:rFonts w:cstheme="minorHAnsi"/>
        </w:rPr>
        <w:t xml:space="preserve">, de minister van Financiën naar verwachting eind dit jaar overeenkomsten zal sluiten met andere advocatenkantoren waarvan ook andere onderdelen van de Staat gebruik kunnen maken. </w:t>
      </w:r>
    </w:p>
    <w:p w:rsidRPr="00856E83" w:rsidR="0003235A" w:rsidP="0003235A" w:rsidRDefault="0003235A" w14:paraId="18670E77" w14:textId="77777777">
      <w:pPr>
        <w:rPr>
          <w:rFonts w:cstheme="minorHAnsi"/>
        </w:rPr>
      </w:pPr>
      <w:r w:rsidRPr="00856E83">
        <w:rPr>
          <w:rFonts w:cstheme="minorHAnsi"/>
        </w:rPr>
        <w:t>Het kabinet is voornemens de totaalkosten die jaarlijks aan deze advocatenkantoren worden voldaan, gelijktijdig met de kosten die aan de landsadvocaat zijn voldaan over het afgelopen kalenderjaar, aan uw Kamer toe te sturen. Uw Kamer kan op die manier een beeld krijgen van de mate waarin binnen de rijksoverheid een beroep wordt gedaan op de landsadvocaat en op andere advocatenkantoren. Verder zal het kabinet over de bevindingen naar aanleiding van de verbeterde informatiepositie rapporteren in de Jaarrapportage juridische kwaliteit Rijk die jaarlijks wordt gepubliceerd.</w:t>
      </w:r>
    </w:p>
    <w:p w:rsidRPr="00856E83" w:rsidR="0003235A" w:rsidP="0003235A" w:rsidRDefault="0003235A" w14:paraId="44A2A8D2" w14:textId="77777777">
      <w:pPr>
        <w:rPr>
          <w:rFonts w:cstheme="minorHAnsi"/>
        </w:rPr>
      </w:pPr>
    </w:p>
    <w:p w:rsidRPr="00856E83" w:rsidR="0003235A" w:rsidP="0003235A" w:rsidRDefault="0003235A" w14:paraId="2F3365F8" w14:textId="77777777">
      <w:pPr>
        <w:rPr>
          <w:rFonts w:cstheme="minorHAnsi"/>
        </w:rPr>
      </w:pPr>
    </w:p>
    <w:p w:rsidRPr="00856E83" w:rsidR="0003235A" w:rsidP="00856E83" w:rsidRDefault="0003235A" w14:paraId="61DBA13A" w14:textId="7BC11E9A">
      <w:pPr>
        <w:pStyle w:val="Geenafstand"/>
      </w:pPr>
      <w:r w:rsidRPr="00856E83">
        <w:t>De </w:t>
      </w:r>
      <w:r w:rsidR="00856E83">
        <w:t>m</w:t>
      </w:r>
      <w:r w:rsidRPr="00856E83">
        <w:t>inister van Justitie en Veiligheid,</w:t>
      </w:r>
    </w:p>
    <w:p w:rsidRPr="00856E83" w:rsidR="0003235A" w:rsidP="00856E83" w:rsidRDefault="0003235A" w14:paraId="17053DE0" w14:textId="77777777">
      <w:pPr>
        <w:pStyle w:val="Geenafstand"/>
      </w:pPr>
      <w:r w:rsidRPr="00856E83">
        <w:t>D.M. van Weel</w:t>
      </w:r>
    </w:p>
    <w:p w:rsidRPr="00856E83" w:rsidR="0003235A" w:rsidP="00856E83" w:rsidRDefault="0003235A" w14:paraId="3F237AF7" w14:textId="77777777">
      <w:pPr>
        <w:pStyle w:val="Geenafstand"/>
      </w:pPr>
    </w:p>
    <w:p w:rsidRPr="00856E83" w:rsidR="0003235A" w:rsidP="0003235A" w:rsidRDefault="0003235A" w14:paraId="4F311F3C" w14:textId="77777777">
      <w:pPr>
        <w:rPr>
          <w:rFonts w:cstheme="minorHAnsi"/>
        </w:rPr>
      </w:pPr>
    </w:p>
    <w:p w:rsidRPr="00856E83" w:rsidR="00D44315" w:rsidRDefault="00D44315" w14:paraId="2A8821E8" w14:textId="77777777">
      <w:pPr>
        <w:rPr>
          <w:rFonts w:cstheme="minorHAnsi"/>
        </w:rPr>
      </w:pPr>
    </w:p>
    <w:sectPr w:rsidRPr="00856E83" w:rsidR="00D44315" w:rsidSect="0003235A">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8FAE" w14:textId="77777777" w:rsidR="0003235A" w:rsidRDefault="0003235A" w:rsidP="0003235A">
      <w:pPr>
        <w:spacing w:after="0" w:line="240" w:lineRule="auto"/>
      </w:pPr>
      <w:r>
        <w:separator/>
      </w:r>
    </w:p>
  </w:endnote>
  <w:endnote w:type="continuationSeparator" w:id="0">
    <w:p w14:paraId="38F8741E" w14:textId="77777777" w:rsidR="0003235A" w:rsidRDefault="0003235A" w:rsidP="0003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50D9" w14:textId="77777777" w:rsidR="0003235A" w:rsidRPr="0003235A" w:rsidRDefault="0003235A" w:rsidP="000323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9777" w14:textId="77777777" w:rsidR="0003235A" w:rsidRPr="0003235A" w:rsidRDefault="0003235A" w:rsidP="000323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E90C" w14:textId="77777777" w:rsidR="0003235A" w:rsidRPr="0003235A" w:rsidRDefault="0003235A" w:rsidP="000323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A9DE" w14:textId="77777777" w:rsidR="0003235A" w:rsidRDefault="0003235A" w:rsidP="0003235A">
      <w:pPr>
        <w:spacing w:after="0" w:line="240" w:lineRule="auto"/>
      </w:pPr>
      <w:r>
        <w:separator/>
      </w:r>
    </w:p>
  </w:footnote>
  <w:footnote w:type="continuationSeparator" w:id="0">
    <w:p w14:paraId="777FFA86" w14:textId="77777777" w:rsidR="0003235A" w:rsidRDefault="0003235A" w:rsidP="00032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2909" w14:textId="77777777" w:rsidR="0003235A" w:rsidRPr="0003235A" w:rsidRDefault="0003235A" w:rsidP="000323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7C90" w14:textId="77777777" w:rsidR="0003235A" w:rsidRPr="0003235A" w:rsidRDefault="0003235A" w:rsidP="000323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365B" w14:textId="77777777" w:rsidR="0003235A" w:rsidRPr="0003235A" w:rsidRDefault="0003235A" w:rsidP="0003235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5A"/>
    <w:rsid w:val="0003235A"/>
    <w:rsid w:val="00856E83"/>
    <w:rsid w:val="00D44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CD8A"/>
  <w15:chartTrackingRefBased/>
  <w15:docId w15:val="{CD0F7703-6B3B-4AFA-8516-90B07B3A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03235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3235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styleId="Tabelraster">
    <w:name w:val="Table Grid"/>
    <w:uiPriority w:val="39"/>
    <w:rsid w:val="0003235A"/>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03235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3235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3235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03235A"/>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0323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235A"/>
  </w:style>
  <w:style w:type="paragraph" w:styleId="Voettekst">
    <w:name w:val="footer"/>
    <w:basedOn w:val="Standaard"/>
    <w:link w:val="VoettekstChar"/>
    <w:uiPriority w:val="99"/>
    <w:unhideWhenUsed/>
    <w:rsid w:val="000323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235A"/>
  </w:style>
  <w:style w:type="paragraph" w:styleId="Geenafstand">
    <w:name w:val="No Spacing"/>
    <w:uiPriority w:val="1"/>
    <w:qFormat/>
    <w:rsid w:val="00856E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730</ap:Words>
  <ap:Characters>4020</ap:Characters>
  <ap:DocSecurity>0</ap:DocSecurity>
  <ap:Lines>33</ap:Lines>
  <ap:Paragraphs>9</ap:Paragraphs>
  <ap:ScaleCrop>false</ap:ScaleCrop>
  <ap:LinksUpToDate>false</ap:LinksUpToDate>
  <ap:CharactersWithSpaces>4741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2024-10-24T09:41:00.0000000Z</dcterms:created>
  <dcterms:modified xsi:type="dcterms:W3CDTF">2024-10-24T09:41:00.0000000Z</dcterms:modified>
  <version/>
  <category/>
</coreProperties>
</file>