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E76FC" w:rsidR="00FE76FC" w:rsidRDefault="00243F39" w14:paraId="120DBA7B" w14:textId="77777777">
      <w:pPr>
        <w:rPr>
          <w:rFonts w:cstheme="minorHAnsi"/>
        </w:rPr>
      </w:pPr>
      <w:r w:rsidRPr="00FE76FC">
        <w:rPr>
          <w:rFonts w:cstheme="minorHAnsi"/>
        </w:rPr>
        <w:t>29023</w:t>
      </w:r>
      <w:r w:rsidRPr="00FE76FC" w:rsidR="00FE76FC">
        <w:rPr>
          <w:rFonts w:cstheme="minorHAnsi"/>
        </w:rPr>
        <w:tab/>
      </w:r>
      <w:r w:rsidRPr="00FE76FC" w:rsidR="00FE76FC">
        <w:rPr>
          <w:rFonts w:cstheme="minorHAnsi"/>
        </w:rPr>
        <w:tab/>
      </w:r>
      <w:r w:rsidRPr="00FE76FC" w:rsidR="00FE76FC">
        <w:rPr>
          <w:rFonts w:cstheme="minorHAnsi"/>
        </w:rPr>
        <w:tab/>
        <w:t>Voorzienings- en leveringszekerheid energie</w:t>
      </w:r>
    </w:p>
    <w:p w:rsidRPr="00FE76FC" w:rsidR="00FE76FC" w:rsidP="00243F39" w:rsidRDefault="00FE76FC" w14:paraId="722FBA7B" w14:textId="6FE0992E">
      <w:pPr>
        <w:rPr>
          <w:rFonts w:cstheme="minorHAnsi"/>
        </w:rPr>
      </w:pPr>
      <w:r w:rsidRPr="00FE76FC">
        <w:rPr>
          <w:rFonts w:cstheme="minorHAnsi"/>
        </w:rPr>
        <w:t xml:space="preserve">Nr. </w:t>
      </w:r>
      <w:r w:rsidRPr="00FE76FC">
        <w:rPr>
          <w:rFonts w:cstheme="minorHAnsi"/>
        </w:rPr>
        <w:t>521</w:t>
      </w:r>
      <w:r w:rsidRPr="00FE76FC">
        <w:rPr>
          <w:rFonts w:cstheme="minorHAnsi"/>
        </w:rPr>
        <w:tab/>
      </w:r>
      <w:r w:rsidRPr="00FE76FC">
        <w:rPr>
          <w:rFonts w:cstheme="minorHAnsi"/>
        </w:rPr>
        <w:tab/>
      </w:r>
      <w:r w:rsidRPr="00FE76FC">
        <w:rPr>
          <w:rFonts w:cstheme="minorHAnsi"/>
        </w:rPr>
        <w:tab/>
        <w:t>Brief van de minister van Klimaat en Groene Groei</w:t>
      </w:r>
    </w:p>
    <w:p w:rsidRPr="00FE76FC" w:rsidR="00FE76FC" w:rsidP="00243F39" w:rsidRDefault="00FE76FC" w14:paraId="2BCC3205" w14:textId="13303CD5">
      <w:pPr>
        <w:rPr>
          <w:rFonts w:cstheme="minorHAnsi"/>
        </w:rPr>
      </w:pPr>
      <w:r w:rsidRPr="00FE76FC">
        <w:rPr>
          <w:rFonts w:cstheme="minorHAnsi"/>
        </w:rPr>
        <w:t>Aan de Voorzitter van de Tweede Kamer der Staten-Generaal</w:t>
      </w:r>
    </w:p>
    <w:p w:rsidRPr="00FE76FC" w:rsidR="00FE76FC" w:rsidP="00243F39" w:rsidRDefault="00FE76FC" w14:paraId="0E71BDA9" w14:textId="69CFF515">
      <w:pPr>
        <w:rPr>
          <w:rFonts w:cstheme="minorHAnsi"/>
        </w:rPr>
      </w:pPr>
      <w:r w:rsidRPr="00FE76FC">
        <w:rPr>
          <w:rFonts w:cstheme="minorHAnsi"/>
        </w:rPr>
        <w:t>Den Haag, 1 november 2024</w:t>
      </w:r>
    </w:p>
    <w:p w:rsidRPr="00FE76FC" w:rsidR="00FE76FC" w:rsidP="00243F39" w:rsidRDefault="00FE76FC" w14:paraId="39944EE0" w14:textId="77777777">
      <w:pPr>
        <w:rPr>
          <w:rFonts w:cstheme="minorHAnsi"/>
        </w:rPr>
      </w:pPr>
    </w:p>
    <w:p w:rsidRPr="00FE76FC" w:rsidR="00243F39" w:rsidP="00243F39" w:rsidRDefault="00243F39" w14:paraId="3AFAD0C5" w14:textId="2475C02D">
      <w:pPr>
        <w:rPr>
          <w:rFonts w:cstheme="minorHAnsi"/>
        </w:rPr>
      </w:pPr>
      <w:r w:rsidRPr="00FE76FC">
        <w:rPr>
          <w:rFonts w:cstheme="minorHAnsi"/>
        </w:rPr>
        <w:t xml:space="preserve">De Autoriteit Consument en Markt (ACM) heeft nieuwe regels gesteld voor de aansluittermijnen voor grootverbruikers op het elektriciteitsnet. Tijdens het tweeminutendebat ‘Nieuwe maatregelen netcongestie’ (28 februari 2024) heeft de Minister voor Klimaat en Energie op verzoek van het lid </w:t>
      </w:r>
      <w:proofErr w:type="spellStart"/>
      <w:r w:rsidRPr="00FE76FC">
        <w:rPr>
          <w:rFonts w:cstheme="minorHAnsi"/>
        </w:rPr>
        <w:t>Grinwis</w:t>
      </w:r>
      <w:proofErr w:type="spellEnd"/>
      <w:r w:rsidRPr="00FE76FC">
        <w:rPr>
          <w:rFonts w:cstheme="minorHAnsi"/>
        </w:rPr>
        <w:t xml:space="preserve"> (CU) toegezegd een appreciatie hierover met de Kamer te delen</w:t>
      </w:r>
      <w:r w:rsidRPr="00FE76FC">
        <w:rPr>
          <w:rStyle w:val="Voetnootmarkering"/>
          <w:rFonts w:cstheme="minorHAnsi"/>
        </w:rPr>
        <w:footnoteReference w:id="1"/>
      </w:r>
      <w:r w:rsidRPr="00FE76FC">
        <w:rPr>
          <w:rFonts w:cstheme="minorHAnsi"/>
        </w:rPr>
        <w:t>. Met deze Kamerbrief voldoe ik aan deze toezegging en informeer ik de Kamer over de nieuwe aansluittermijnen, de rol van de ACM bij het vaststellen van deze termijnen en de appreciatie van het kabinet op het genomen besluit.</w:t>
      </w:r>
    </w:p>
    <w:p w:rsidRPr="00FE76FC" w:rsidR="00243F39" w:rsidP="00243F39" w:rsidRDefault="00243F39" w14:paraId="6E93D4E4" w14:textId="77777777">
      <w:pPr>
        <w:rPr>
          <w:rFonts w:cstheme="minorHAnsi"/>
        </w:rPr>
      </w:pPr>
      <w:r w:rsidRPr="00FE76FC">
        <w:rPr>
          <w:rFonts w:cstheme="minorHAnsi"/>
          <w:u w:val="single"/>
        </w:rPr>
        <w:t>Aansluittermijnen</w:t>
      </w:r>
    </w:p>
    <w:p w:rsidRPr="00FE76FC" w:rsidR="00243F39" w:rsidP="00243F39" w:rsidRDefault="00243F39" w14:paraId="385B16D4" w14:textId="77777777">
      <w:pPr>
        <w:rPr>
          <w:rFonts w:cstheme="minorHAnsi"/>
        </w:rPr>
      </w:pPr>
      <w:r w:rsidRPr="00FE76FC">
        <w:rPr>
          <w:rFonts w:cstheme="minorHAnsi"/>
        </w:rPr>
        <w:t xml:space="preserve">Aansluittermijnen bepalen de maximale tijdsduur die netbeheerders hebben voor het realiseren van de aansluiting van gebruikers van het elektriciteitsnet. Aansluittermijnen bieden zowel de netbeheerder als de aangeslotenen houvast. De netbeheerder weet hoeveel tijd hij maximaal heeft om een nieuwe gebruiker aan te sluiten en kan hierdoor prioriteren in de eigen werkzaamheden. De aangeslotene weet dat hij of zij uiterlijk binnen de aansluittermijn zal worden aangesloten en dat hij of zij terug kan vallen op het codebesluit van de ACM wanneer de netbeheerder zich hier niet aan houdt. </w:t>
      </w:r>
    </w:p>
    <w:p w:rsidR="00FE76FC" w:rsidP="00243F39" w:rsidRDefault="00243F39" w14:paraId="0345C77A" w14:textId="0F6B02A9">
      <w:pPr>
        <w:rPr>
          <w:rFonts w:cstheme="minorHAnsi"/>
        </w:rPr>
      </w:pPr>
      <w:r w:rsidRPr="00FE76FC">
        <w:rPr>
          <w:rFonts w:cstheme="minorHAnsi"/>
        </w:rPr>
        <w:t xml:space="preserve">De aansluittermijn voor grote aansluitingen betreft de realisatie van de fysieke aansluiting op het elektriciteitsnet. De aansluiting hoeft echter pas gerealiseerd te worden als er ook daadwerkelijk transport van elektriciteit kan plaatsvinden op de aansluiting. Vanwege de huidige congestieproblematiek komt het regelmatig voor dat dit niet mogelijk is. Dit is een groot probleem omdat het de economische groei en verduurzaming van Nederland beperkt en vertraagt. </w:t>
      </w:r>
      <w:bookmarkStart w:name="OLE_LINK1" w:id="0"/>
      <w:bookmarkStart w:name="OLE_LINK2" w:id="1"/>
      <w:r w:rsidRPr="00FE76FC">
        <w:rPr>
          <w:rFonts w:cstheme="minorHAnsi"/>
        </w:rPr>
        <w:t xml:space="preserve">Het kabinet werkt daarom met betrokken stakeholders in het Landelijk Actieprogramma Netcongestie (LAN) aan het verminderen van congestie. Enerzijds door het elektriciteitsnet uit te breiden en anderzijds door het bestaande net beter te benutten. Hierover blijf ik de Kamer periodiek informeren. </w:t>
      </w:r>
    </w:p>
    <w:p w:rsidR="00FE76FC" w:rsidRDefault="00FE76FC" w14:paraId="1751C260" w14:textId="77777777">
      <w:pPr>
        <w:rPr>
          <w:rFonts w:cstheme="minorHAnsi"/>
        </w:rPr>
      </w:pPr>
      <w:r>
        <w:rPr>
          <w:rFonts w:cstheme="minorHAnsi"/>
        </w:rPr>
        <w:br w:type="page"/>
      </w:r>
    </w:p>
    <w:bookmarkEnd w:id="0"/>
    <w:bookmarkEnd w:id="1"/>
    <w:p w:rsidRPr="00FE76FC" w:rsidR="00243F39" w:rsidP="00243F39" w:rsidRDefault="00243F39" w14:paraId="27023544" w14:textId="77777777">
      <w:pPr>
        <w:rPr>
          <w:rStyle w:val="cf01"/>
          <w:rFonts w:asciiTheme="minorHAnsi" w:hAnsiTheme="minorHAnsi" w:cstheme="minorHAnsi"/>
          <w:sz w:val="22"/>
          <w:szCs w:val="22"/>
          <w:u w:val="single"/>
        </w:rPr>
      </w:pPr>
      <w:r w:rsidRPr="00FE76FC">
        <w:rPr>
          <w:rFonts w:cstheme="minorHAnsi"/>
          <w:u w:val="single"/>
        </w:rPr>
        <w:lastRenderedPageBreak/>
        <w:t>Rol en mandaat Autoriteit Consument en Markt</w:t>
      </w:r>
    </w:p>
    <w:p w:rsidRPr="00FE76FC" w:rsidR="00243F39" w:rsidP="00243F39" w:rsidRDefault="00243F39" w14:paraId="1AC2300C" w14:textId="77777777">
      <w:pPr>
        <w:rPr>
          <w:rFonts w:cstheme="minorHAnsi"/>
        </w:rPr>
      </w:pPr>
      <w:r w:rsidRPr="00FE76FC">
        <w:rPr>
          <w:rStyle w:val="cf01"/>
          <w:rFonts w:asciiTheme="minorHAnsi" w:hAnsiTheme="minorHAnsi" w:cstheme="minorHAnsi"/>
          <w:sz w:val="22"/>
          <w:szCs w:val="22"/>
        </w:rPr>
        <w:t xml:space="preserve">In Nederland heeft de ACM als regulerende instantie de taak om regels over aansluitvoorwaarden vast te stellen. Dit gaat onder andere over de aansluittermijnen van groot- en kleingebruikers. </w:t>
      </w:r>
      <w:r w:rsidRPr="00FE76FC">
        <w:rPr>
          <w:rStyle w:val="Verwijzingopmerking"/>
          <w:rFonts w:cstheme="minorHAnsi"/>
          <w:sz w:val="22"/>
          <w:szCs w:val="22"/>
        </w:rPr>
        <w:t>V</w:t>
      </w:r>
      <w:r w:rsidRPr="00FE76FC">
        <w:rPr>
          <w:rFonts w:cstheme="minorHAnsi"/>
        </w:rPr>
        <w:t>oor grote elektriciteitsaansluitingen heeft de ACM op 18 april 2024 een besluit genomen waarin de nieuwe termijnen zijn vastgesteld</w:t>
      </w:r>
      <w:r w:rsidRPr="00FE76FC">
        <w:rPr>
          <w:rStyle w:val="Voetnootmarkering"/>
          <w:rFonts w:cstheme="minorHAnsi"/>
        </w:rPr>
        <w:footnoteReference w:id="2"/>
      </w:r>
      <w:r w:rsidRPr="00FE76FC">
        <w:rPr>
          <w:rFonts w:cstheme="minorHAnsi"/>
        </w:rPr>
        <w:t>. De codewijziging is in goede afstemming met belangenorganisaties, zoals VEMW, Energie Nederland en Energie Samen, tot stand gekomen. Zij hebben het besluit goed ontvangen, omdat het meer duidelijkheid en transparantie biedt aan de aanvragers van de aansluiting. Dit geeft meer zekerheid in wanneer zij zich kunnen vestigen of kunnen uitbreiden.</w:t>
      </w:r>
    </w:p>
    <w:p w:rsidRPr="00FE76FC" w:rsidR="00243F39" w:rsidP="00243F39" w:rsidRDefault="00243F39" w14:paraId="4A5D266F" w14:textId="77777777">
      <w:pPr>
        <w:textAlignment w:val="center"/>
        <w:rPr>
          <w:rFonts w:cstheme="minorHAnsi"/>
          <w:u w:val="single"/>
        </w:rPr>
      </w:pPr>
      <w:r w:rsidRPr="00FE76FC">
        <w:rPr>
          <w:rFonts w:cstheme="minorHAnsi"/>
          <w:u w:val="single"/>
        </w:rPr>
        <w:t>Codebesluit aansluittermijnen grootverbruikers</w:t>
      </w:r>
    </w:p>
    <w:p w:rsidRPr="00FE76FC" w:rsidR="00243F39" w:rsidP="00243F39" w:rsidRDefault="00243F39" w14:paraId="72984F55" w14:textId="77777777">
      <w:pPr>
        <w:textAlignment w:val="center"/>
        <w:rPr>
          <w:rFonts w:cstheme="minorHAnsi"/>
        </w:rPr>
      </w:pPr>
      <w:r w:rsidRPr="00FE76FC">
        <w:rPr>
          <w:rFonts w:cstheme="minorHAnsi"/>
        </w:rPr>
        <w:t xml:space="preserve">Het besluit stelt dat de aansluittermijn voor grote aansluitingen afhangt van de complexiteit van de aansluiting. Om te bepalen wat de complexiteit van een aansluiting is, voert de netbeheerder een analyse uit op basis waarvan de definitieve aansluittermijn wordt vastgesteld. Afhankelijk van de analyse van de netbeheerder kan de termijn 26 weken of 52 weken zijn. Ook een langere termijn is mogelijk als netbeheerder kan onderbouwen dat het niet sneller kan. Bovenop de aansluittermijn heeft de netbeheerder de mogelijkheid om een extra wachttijd vast te stellen voor een regio, als in die regio veel aansluitingen tegelijkertijd moeten worden gerealiseerd. Deze wachttijd is maximaal 40 weken en zal in de komende tien jaar worden afgebouwd naar nul weken. </w:t>
      </w:r>
    </w:p>
    <w:p w:rsidRPr="00FE76FC" w:rsidR="00243F39" w:rsidP="00243F39" w:rsidRDefault="00243F39" w14:paraId="1E785462" w14:textId="77777777">
      <w:pPr>
        <w:textAlignment w:val="center"/>
        <w:rPr>
          <w:rFonts w:cstheme="minorHAnsi"/>
        </w:rPr>
      </w:pPr>
      <w:r w:rsidRPr="00FE76FC">
        <w:rPr>
          <w:rFonts w:cstheme="minorHAnsi"/>
          <w:u w:val="single"/>
        </w:rPr>
        <w:t>Congestie</w:t>
      </w:r>
    </w:p>
    <w:p w:rsidRPr="00FE76FC" w:rsidR="00243F39" w:rsidP="00243F39" w:rsidRDefault="00243F39" w14:paraId="0949FC49" w14:textId="77777777">
      <w:pPr>
        <w:textAlignment w:val="center"/>
        <w:rPr>
          <w:rFonts w:cstheme="minorHAnsi"/>
        </w:rPr>
      </w:pPr>
      <w:r w:rsidRPr="00FE76FC">
        <w:rPr>
          <w:rFonts w:cstheme="minorHAnsi"/>
        </w:rPr>
        <w:t>Als er op een locatie congestie is, hoeft de netbeheerder pas drie maanden ná het opheffen van de congestie de aansluiting(en) te realiseren. Het eerder realiseren van een aansluiting op een locatie met congestie heeft geen zin, omdat het dan niet mogelijk is om ook daadwerkelijk elektriciteit op de aansluiting te leveren. Verder kan het zijn dat er sprake is van overmacht waardoor de netbeheerder meer tijd nodig heeft om een aansluiting te realiseren dan eerder verwacht, zoals niet tijdige verlening van vergunningen of door weersomstandigheden (vorst). Tot slot kunnen de netbeheerder en de afnemer gezamenlijk afspraken maken over een latere oplevering van de aansluiting. </w:t>
      </w:r>
    </w:p>
    <w:p w:rsidRPr="00FE76FC" w:rsidR="00243F39" w:rsidP="00243F39" w:rsidRDefault="00243F39" w14:paraId="4BFF0860" w14:textId="77777777">
      <w:pPr>
        <w:textAlignment w:val="center"/>
        <w:rPr>
          <w:rFonts w:cstheme="minorHAnsi"/>
          <w:u w:val="single"/>
        </w:rPr>
      </w:pPr>
      <w:r w:rsidRPr="00FE76FC">
        <w:rPr>
          <w:rFonts w:cstheme="minorHAnsi"/>
          <w:u w:val="single"/>
        </w:rPr>
        <w:t>Appreciatie codebesluit</w:t>
      </w:r>
    </w:p>
    <w:p w:rsidR="00FE76FC" w:rsidP="00243F39" w:rsidRDefault="00243F39" w14:paraId="7D150236" w14:textId="77777777">
      <w:pPr>
        <w:textAlignment w:val="center"/>
        <w:rPr>
          <w:rFonts w:cstheme="minorHAnsi"/>
        </w:rPr>
      </w:pPr>
      <w:r w:rsidRPr="00FE76FC">
        <w:rPr>
          <w:rFonts w:cstheme="minorHAnsi"/>
        </w:rPr>
        <w:t xml:space="preserve">Het is exclusief aan de ACM om regels te stellen over de aansluittermijnen. De ACM heeft het gebruikelijke proces doorlopen dat hoort bij een ambtshalve codewijziging. De ACM heeft een gedegen afweging gemaakt tussen het enerzijds voldoende prikkelen van netbeheerders om aansluitingen te realiseren en anderzijds termijnen vast te stellen die haalbaar zijn. </w:t>
      </w:r>
    </w:p>
    <w:p w:rsidR="00FE76FC" w:rsidRDefault="00FE76FC" w14:paraId="4804A4CC" w14:textId="77777777">
      <w:pPr>
        <w:rPr>
          <w:rFonts w:cstheme="minorHAnsi"/>
        </w:rPr>
      </w:pPr>
      <w:r>
        <w:rPr>
          <w:rFonts w:cstheme="minorHAnsi"/>
        </w:rPr>
        <w:br w:type="page"/>
      </w:r>
    </w:p>
    <w:p w:rsidRPr="00FE76FC" w:rsidR="00243F39" w:rsidP="00243F39" w:rsidRDefault="00243F39" w14:paraId="11F11774" w14:textId="2A02C9CE">
      <w:pPr>
        <w:textAlignment w:val="center"/>
        <w:rPr>
          <w:rFonts w:cstheme="minorHAnsi"/>
          <w:u w:val="single"/>
        </w:rPr>
      </w:pPr>
      <w:r w:rsidRPr="00FE76FC">
        <w:rPr>
          <w:rFonts w:cstheme="minorHAnsi"/>
        </w:rPr>
        <w:lastRenderedPageBreak/>
        <w:t>Het vaststellen van de aansluittermijn op basis van de complexiteit van de aansluiting zie ik, ondanks de langere termijnen, als een per saldo positieve ontwikkeling. Het codebesluit maakt de termijnen realistisch en biedt duidelijkheid aan aanvragers.</w:t>
      </w:r>
    </w:p>
    <w:p w:rsidRPr="00FE76FC" w:rsidR="00243F39" w:rsidP="00243F39" w:rsidRDefault="00243F39" w14:paraId="691D890A" w14:textId="77777777">
      <w:pPr>
        <w:textAlignment w:val="center"/>
        <w:rPr>
          <w:rFonts w:cstheme="minorHAnsi"/>
        </w:rPr>
      </w:pPr>
    </w:p>
    <w:p w:rsidR="00243F39" w:rsidP="00FE76FC" w:rsidRDefault="00FE76FC" w14:paraId="4211614C" w14:textId="0BE114E6">
      <w:pPr>
        <w:pStyle w:val="Geenafstand"/>
      </w:pPr>
      <w:r>
        <w:t>De m</w:t>
      </w:r>
      <w:r w:rsidRPr="00FE76FC" w:rsidR="00243F39">
        <w:t>inister van Klimaat en Groene Groei</w:t>
      </w:r>
      <w:r>
        <w:t>,</w:t>
      </w:r>
    </w:p>
    <w:p w:rsidRPr="00FE76FC" w:rsidR="00FE76FC" w:rsidP="00FE76FC" w:rsidRDefault="00FE76FC" w14:paraId="0BD866D4" w14:textId="36FB7274">
      <w:pPr>
        <w:pStyle w:val="Geenafstand"/>
      </w:pPr>
      <w:r>
        <w:t>S.T.M.</w:t>
      </w:r>
      <w:r w:rsidRPr="00FE76FC">
        <w:t xml:space="preserve"> Hermans </w:t>
      </w:r>
    </w:p>
    <w:p w:rsidRPr="00FE76FC" w:rsidR="00FE76FC" w:rsidP="00243F39" w:rsidRDefault="00FE76FC" w14:paraId="665FFF77" w14:textId="77777777">
      <w:pPr>
        <w:rPr>
          <w:rFonts w:cstheme="minorHAnsi"/>
        </w:rPr>
      </w:pPr>
    </w:p>
    <w:p w:rsidRPr="00FE76FC" w:rsidR="006D58F9" w:rsidRDefault="006D58F9" w14:paraId="2FCE89E3" w14:textId="77777777">
      <w:pPr>
        <w:rPr>
          <w:rFonts w:cstheme="minorHAnsi"/>
        </w:rPr>
      </w:pPr>
    </w:p>
    <w:sectPr w:rsidRPr="00FE76FC" w:rsidR="006D58F9" w:rsidSect="00243F3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E15F9" w14:textId="77777777" w:rsidR="00243F39" w:rsidRDefault="00243F39" w:rsidP="00243F39">
      <w:pPr>
        <w:spacing w:after="0" w:line="240" w:lineRule="auto"/>
      </w:pPr>
      <w:r>
        <w:separator/>
      </w:r>
    </w:p>
  </w:endnote>
  <w:endnote w:type="continuationSeparator" w:id="0">
    <w:p w14:paraId="37E9260E" w14:textId="77777777" w:rsidR="00243F39" w:rsidRDefault="00243F39" w:rsidP="00243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9C2F" w14:textId="77777777" w:rsidR="00243F39" w:rsidRPr="00243F39" w:rsidRDefault="00243F39" w:rsidP="00243F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9514" w14:textId="77777777" w:rsidR="00243F39" w:rsidRPr="00243F39" w:rsidRDefault="00243F39" w:rsidP="00243F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BA4A" w14:textId="77777777" w:rsidR="00243F39" w:rsidRPr="00243F39" w:rsidRDefault="00243F39" w:rsidP="00243F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F5026" w14:textId="77777777" w:rsidR="00243F39" w:rsidRDefault="00243F39" w:rsidP="00243F39">
      <w:pPr>
        <w:spacing w:after="0" w:line="240" w:lineRule="auto"/>
      </w:pPr>
      <w:r>
        <w:separator/>
      </w:r>
    </w:p>
  </w:footnote>
  <w:footnote w:type="continuationSeparator" w:id="0">
    <w:p w14:paraId="1958BAC0" w14:textId="77777777" w:rsidR="00243F39" w:rsidRDefault="00243F39" w:rsidP="00243F39">
      <w:pPr>
        <w:spacing w:after="0" w:line="240" w:lineRule="auto"/>
      </w:pPr>
      <w:r>
        <w:continuationSeparator/>
      </w:r>
    </w:p>
  </w:footnote>
  <w:footnote w:id="1">
    <w:p w14:paraId="490BABA4" w14:textId="77777777" w:rsidR="00243F39" w:rsidRPr="00FE76FC" w:rsidRDefault="00243F39" w:rsidP="00243F39">
      <w:pPr>
        <w:pStyle w:val="Voetnoottekst"/>
        <w:rPr>
          <w:rFonts w:asciiTheme="minorHAnsi" w:hAnsiTheme="minorHAnsi" w:cstheme="minorHAnsi"/>
          <w:sz w:val="20"/>
        </w:rPr>
      </w:pPr>
      <w:r w:rsidRPr="00FE76FC">
        <w:rPr>
          <w:rStyle w:val="Voetnootmarkering"/>
          <w:rFonts w:asciiTheme="minorHAnsi" w:hAnsiTheme="minorHAnsi" w:cstheme="minorHAnsi"/>
          <w:sz w:val="20"/>
        </w:rPr>
        <w:footnoteRef/>
      </w:r>
      <w:r w:rsidRPr="00FE76FC">
        <w:rPr>
          <w:rFonts w:asciiTheme="minorHAnsi" w:hAnsiTheme="minorHAnsi" w:cstheme="minorHAnsi"/>
          <w:sz w:val="20"/>
        </w:rPr>
        <w:t xml:space="preserve"> TZ202403-004</w:t>
      </w:r>
    </w:p>
    <w:p w14:paraId="5FC49389" w14:textId="77777777" w:rsidR="00243F39" w:rsidRPr="00FE76FC" w:rsidRDefault="00243F39" w:rsidP="00243F39">
      <w:pPr>
        <w:pStyle w:val="Voetnoottekst"/>
        <w:rPr>
          <w:rFonts w:asciiTheme="minorHAnsi" w:hAnsiTheme="minorHAnsi" w:cstheme="minorHAnsi"/>
          <w:sz w:val="20"/>
        </w:rPr>
      </w:pPr>
    </w:p>
  </w:footnote>
  <w:footnote w:id="2">
    <w:p w14:paraId="135CCA43" w14:textId="77777777" w:rsidR="00243F39" w:rsidRPr="00FE76FC" w:rsidRDefault="00243F39" w:rsidP="00243F39">
      <w:pPr>
        <w:pStyle w:val="Voetnoottekst"/>
        <w:rPr>
          <w:rFonts w:asciiTheme="minorHAnsi" w:hAnsiTheme="minorHAnsi" w:cstheme="minorHAnsi"/>
          <w:sz w:val="20"/>
        </w:rPr>
      </w:pPr>
      <w:r w:rsidRPr="00FE76FC">
        <w:rPr>
          <w:rStyle w:val="Voetnootmarkering"/>
          <w:rFonts w:asciiTheme="minorHAnsi" w:hAnsiTheme="minorHAnsi" w:cstheme="minorHAnsi"/>
          <w:sz w:val="20"/>
        </w:rPr>
        <w:footnoteRef/>
      </w:r>
      <w:r w:rsidRPr="00FE76FC">
        <w:rPr>
          <w:rFonts w:asciiTheme="minorHAnsi" w:hAnsiTheme="minorHAnsi" w:cstheme="minorHAnsi"/>
          <w:sz w:val="20"/>
        </w:rPr>
        <w:t xml:space="preserve"> </w:t>
      </w:r>
      <w:hyperlink r:id="rId1" w:history="1">
        <w:r w:rsidRPr="00FE76FC">
          <w:rPr>
            <w:rStyle w:val="Hyperlink"/>
            <w:rFonts w:asciiTheme="minorHAnsi" w:hAnsiTheme="minorHAnsi" w:cstheme="minorHAnsi"/>
            <w:sz w:val="20"/>
          </w:rPr>
          <w:t>Codebesluit aansluittermijnen grote aansluitingen elektriciteit | ACM.nl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0A64" w14:textId="77777777" w:rsidR="00243F39" w:rsidRPr="00243F39" w:rsidRDefault="00243F39" w:rsidP="00243F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BA13" w14:textId="77777777" w:rsidR="00243F39" w:rsidRPr="00243F39" w:rsidRDefault="00243F39" w:rsidP="00243F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8A4F" w14:textId="77777777" w:rsidR="00243F39" w:rsidRPr="00243F39" w:rsidRDefault="00243F39" w:rsidP="00243F3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39"/>
    <w:rsid w:val="00243F39"/>
    <w:rsid w:val="006D58F9"/>
    <w:rsid w:val="00A911D9"/>
    <w:rsid w:val="00FE76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1298"/>
  <w15:chartTrackingRefBased/>
  <w15:docId w15:val="{8576CFC1-5DE8-4E4D-A2F1-D0DB05C6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243F3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43F3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43F3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43F3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43F3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43F39"/>
    <w:rPr>
      <w:rFonts w:ascii="Verdana" w:hAnsi="Verdana"/>
      <w:noProof/>
      <w:sz w:val="13"/>
      <w:szCs w:val="24"/>
      <w:lang w:eastAsia="nl-NL"/>
    </w:rPr>
  </w:style>
  <w:style w:type="paragraph" w:customStyle="1" w:styleId="Huisstijl-Gegeven">
    <w:name w:val="Huisstijl-Gegeven"/>
    <w:basedOn w:val="Standaard"/>
    <w:link w:val="Huisstijl-GegevenCharChar"/>
    <w:rsid w:val="00243F3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43F3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43F39"/>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243F39"/>
    <w:rPr>
      <w:color w:val="0000FF"/>
      <w:u w:val="single"/>
    </w:rPr>
  </w:style>
  <w:style w:type="paragraph" w:customStyle="1" w:styleId="Huisstijl-Retouradres">
    <w:name w:val="Huisstijl-Retouradres"/>
    <w:basedOn w:val="Standaard"/>
    <w:rsid w:val="00243F3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43F39"/>
    <w:pPr>
      <w:spacing w:after="0"/>
    </w:pPr>
    <w:rPr>
      <w:b/>
    </w:rPr>
  </w:style>
  <w:style w:type="paragraph" w:customStyle="1" w:styleId="Huisstijl-Paginanummering">
    <w:name w:val="Huisstijl-Paginanummering"/>
    <w:basedOn w:val="Standaard"/>
    <w:rsid w:val="00243F3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43F3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243F3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243F39"/>
    <w:rPr>
      <w:rFonts w:ascii="Verdana" w:eastAsia="Times New Roman" w:hAnsi="Verdana" w:cs="Times New Roman"/>
      <w:kern w:val="0"/>
      <w:sz w:val="13"/>
      <w:szCs w:val="20"/>
      <w:lang w:eastAsia="nl-NL"/>
      <w14:ligatures w14:val="none"/>
    </w:rPr>
  </w:style>
  <w:style w:type="character" w:styleId="Verwijzingopmerking">
    <w:name w:val="annotation reference"/>
    <w:basedOn w:val="Standaardalinea-lettertype"/>
    <w:uiPriority w:val="99"/>
    <w:semiHidden/>
    <w:unhideWhenUsed/>
    <w:rsid w:val="00243F39"/>
    <w:rPr>
      <w:sz w:val="16"/>
      <w:szCs w:val="16"/>
    </w:rPr>
  </w:style>
  <w:style w:type="character" w:customStyle="1" w:styleId="cf01">
    <w:name w:val="cf01"/>
    <w:basedOn w:val="Standaardalinea-lettertype"/>
    <w:rsid w:val="00243F39"/>
    <w:rPr>
      <w:rFonts w:ascii="Segoe UI" w:hAnsi="Segoe UI" w:cs="Segoe UI" w:hint="default"/>
      <w:sz w:val="18"/>
      <w:szCs w:val="18"/>
    </w:rPr>
  </w:style>
  <w:style w:type="character" w:styleId="Voetnootmarkering">
    <w:name w:val="footnote reference"/>
    <w:basedOn w:val="Standaardalinea-lettertype"/>
    <w:semiHidden/>
    <w:unhideWhenUsed/>
    <w:rsid w:val="00243F39"/>
    <w:rPr>
      <w:vertAlign w:val="superscript"/>
    </w:rPr>
  </w:style>
  <w:style w:type="paragraph" w:styleId="Geenafstand">
    <w:name w:val="No Spacing"/>
    <w:uiPriority w:val="1"/>
    <w:qFormat/>
    <w:rsid w:val="00FE76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cm.nl/nl/publicaties/codebesluit-aansluittermijnen-grote-aansluitingen-elektricitei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779</ap:Words>
  <ap:Characters>4287</ap:Characters>
  <ap:DocSecurity>0</ap:DocSecurity>
  <ap:Lines>35</ap:Lines>
  <ap:Paragraphs>10</ap:Paragraphs>
  <ap:ScaleCrop>false</ap:ScaleCrop>
  <ap:LinksUpToDate>false</ap:LinksUpToDate>
  <ap:CharactersWithSpaces>5056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2024-11-05T09:54:00.0000000Z</dcterms:created>
  <dcterms:modified xsi:type="dcterms:W3CDTF">2024-11-05T09:54:00.0000000Z</dcterms:modified>
  <version/>
  <category/>
</coreProperties>
</file>