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0193A62" w14:textId="77777777">
        <w:tc>
          <w:tcPr>
            <w:tcW w:w="6379" w:type="dxa"/>
            <w:gridSpan w:val="2"/>
            <w:tcBorders>
              <w:top w:val="nil"/>
              <w:left w:val="nil"/>
              <w:bottom w:val="nil"/>
              <w:right w:val="nil"/>
            </w:tcBorders>
            <w:vAlign w:val="center"/>
          </w:tcPr>
          <w:p w:rsidR="004330ED" w:rsidP="00EA1CE4" w:rsidRDefault="004330ED" w14:paraId="635658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9C453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D5E992" w14:textId="77777777">
        <w:trPr>
          <w:cantSplit/>
        </w:trPr>
        <w:tc>
          <w:tcPr>
            <w:tcW w:w="10348" w:type="dxa"/>
            <w:gridSpan w:val="3"/>
            <w:tcBorders>
              <w:top w:val="single" w:color="auto" w:sz="4" w:space="0"/>
              <w:left w:val="nil"/>
              <w:bottom w:val="nil"/>
              <w:right w:val="nil"/>
            </w:tcBorders>
          </w:tcPr>
          <w:p w:rsidR="004330ED" w:rsidP="004A1E29" w:rsidRDefault="004330ED" w14:paraId="22E199C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0AA4C8" w14:textId="77777777">
        <w:trPr>
          <w:cantSplit/>
        </w:trPr>
        <w:tc>
          <w:tcPr>
            <w:tcW w:w="10348" w:type="dxa"/>
            <w:gridSpan w:val="3"/>
            <w:tcBorders>
              <w:top w:val="nil"/>
              <w:left w:val="nil"/>
              <w:bottom w:val="nil"/>
              <w:right w:val="nil"/>
            </w:tcBorders>
          </w:tcPr>
          <w:p w:rsidR="004330ED" w:rsidP="00BF623B" w:rsidRDefault="004330ED" w14:paraId="006E644E" w14:textId="77777777">
            <w:pPr>
              <w:pStyle w:val="Amendement"/>
              <w:tabs>
                <w:tab w:val="clear" w:pos="3310"/>
                <w:tab w:val="clear" w:pos="3600"/>
              </w:tabs>
              <w:rPr>
                <w:rFonts w:ascii="Times New Roman" w:hAnsi="Times New Roman"/>
                <w:b w:val="0"/>
              </w:rPr>
            </w:pPr>
          </w:p>
        </w:tc>
      </w:tr>
      <w:tr w:rsidR="004330ED" w:rsidTr="00EA1CE4" w14:paraId="68466A75" w14:textId="77777777">
        <w:trPr>
          <w:cantSplit/>
        </w:trPr>
        <w:tc>
          <w:tcPr>
            <w:tcW w:w="10348" w:type="dxa"/>
            <w:gridSpan w:val="3"/>
            <w:tcBorders>
              <w:top w:val="nil"/>
              <w:left w:val="nil"/>
              <w:bottom w:val="single" w:color="auto" w:sz="4" w:space="0"/>
              <w:right w:val="nil"/>
            </w:tcBorders>
          </w:tcPr>
          <w:p w:rsidR="004330ED" w:rsidP="00BF623B" w:rsidRDefault="004330ED" w14:paraId="01605917" w14:textId="77777777">
            <w:pPr>
              <w:pStyle w:val="Amendement"/>
              <w:tabs>
                <w:tab w:val="clear" w:pos="3310"/>
                <w:tab w:val="clear" w:pos="3600"/>
              </w:tabs>
              <w:rPr>
                <w:rFonts w:ascii="Times New Roman" w:hAnsi="Times New Roman"/>
              </w:rPr>
            </w:pPr>
          </w:p>
        </w:tc>
      </w:tr>
      <w:tr w:rsidR="004330ED" w:rsidTr="00EA1CE4" w14:paraId="1A29D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6EFB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CABE980" w14:textId="77777777">
            <w:pPr>
              <w:suppressAutoHyphens/>
              <w:ind w:left="-70"/>
              <w:rPr>
                <w:b/>
              </w:rPr>
            </w:pPr>
          </w:p>
        </w:tc>
      </w:tr>
      <w:tr w:rsidR="003C21AC" w:rsidTr="00EA1CE4" w14:paraId="05ACA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6253" w14:paraId="515AF5C2" w14:textId="63436B89">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176253" w:rsidR="003C21AC" w:rsidP="00176253" w:rsidRDefault="00176253" w14:paraId="2992F423" w14:textId="3C18E93A">
            <w:pPr>
              <w:rPr>
                <w:b/>
                <w:bCs/>
                <w:szCs w:val="24"/>
              </w:rPr>
            </w:pPr>
            <w:r w:rsidRPr="00176253">
              <w:rPr>
                <w:b/>
                <w:bCs/>
                <w:szCs w:val="24"/>
              </w:rPr>
              <w:t>Wijziging van enkele wetten ter uitvoering van de beëindiging van de salderingsregeling voor elektriciteit en enkele technische wijzigingen</w:t>
            </w:r>
          </w:p>
        </w:tc>
      </w:tr>
      <w:tr w:rsidR="003C21AC" w:rsidTr="00EA1CE4" w14:paraId="74903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C528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156A8A3" w14:textId="77777777">
            <w:pPr>
              <w:pStyle w:val="Amendement"/>
              <w:tabs>
                <w:tab w:val="clear" w:pos="3310"/>
                <w:tab w:val="clear" w:pos="3600"/>
              </w:tabs>
              <w:ind w:left="-70"/>
              <w:rPr>
                <w:rFonts w:ascii="Times New Roman" w:hAnsi="Times New Roman"/>
              </w:rPr>
            </w:pPr>
          </w:p>
        </w:tc>
      </w:tr>
      <w:tr w:rsidR="003C21AC" w:rsidTr="00EA1CE4" w14:paraId="6C09A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10E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735ED4" w14:textId="77777777">
            <w:pPr>
              <w:pStyle w:val="Amendement"/>
              <w:tabs>
                <w:tab w:val="clear" w:pos="3310"/>
                <w:tab w:val="clear" w:pos="3600"/>
              </w:tabs>
              <w:ind w:left="-70"/>
              <w:rPr>
                <w:rFonts w:ascii="Times New Roman" w:hAnsi="Times New Roman"/>
              </w:rPr>
            </w:pPr>
          </w:p>
        </w:tc>
      </w:tr>
      <w:tr w:rsidR="003C21AC" w:rsidTr="00EA1CE4" w14:paraId="22E86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7F2905" w14:textId="7C0EC04B">
            <w:pPr>
              <w:pStyle w:val="Amendement"/>
              <w:tabs>
                <w:tab w:val="clear" w:pos="3310"/>
                <w:tab w:val="clear" w:pos="3600"/>
              </w:tabs>
              <w:rPr>
                <w:rFonts w:ascii="Times New Roman" w:hAnsi="Times New Roman"/>
              </w:rPr>
            </w:pPr>
            <w:r w:rsidRPr="00C035D4">
              <w:rPr>
                <w:rFonts w:ascii="Times New Roman" w:hAnsi="Times New Roman"/>
              </w:rPr>
              <w:t xml:space="preserve">Nr. </w:t>
            </w:r>
            <w:r w:rsidR="00021DB7">
              <w:rPr>
                <w:rFonts w:ascii="Times New Roman" w:hAnsi="Times New Roman"/>
              </w:rPr>
              <w:t>16</w:t>
            </w:r>
          </w:p>
        </w:tc>
        <w:tc>
          <w:tcPr>
            <w:tcW w:w="7371" w:type="dxa"/>
            <w:gridSpan w:val="2"/>
          </w:tcPr>
          <w:p w:rsidRPr="00C035D4" w:rsidR="003C21AC" w:rsidP="006E0971" w:rsidRDefault="00A97DD0" w14:paraId="2E558BFE" w14:textId="4EA078B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95BB8">
              <w:rPr>
                <w:rFonts w:ascii="Times New Roman" w:hAnsi="Times New Roman"/>
                <w:caps/>
              </w:rPr>
              <w:t>erkens</w:t>
            </w:r>
            <w:r w:rsidR="003A08AF">
              <w:rPr>
                <w:rFonts w:ascii="Times New Roman" w:hAnsi="Times New Roman"/>
                <w:caps/>
              </w:rPr>
              <w:t xml:space="preserve"> C.S.</w:t>
            </w:r>
            <w:r>
              <w:rPr>
                <w:rFonts w:ascii="Times New Roman" w:hAnsi="Times New Roman"/>
                <w:caps/>
              </w:rPr>
              <w:t xml:space="preserve"> ter vervanging van dat gedrukt onder nr. 8</w:t>
            </w:r>
          </w:p>
        </w:tc>
      </w:tr>
      <w:tr w:rsidR="003C21AC" w:rsidTr="00EA1CE4" w14:paraId="5EEC0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C4A7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53B8FA" w14:textId="316F88B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21DB7">
              <w:rPr>
                <w:rFonts w:ascii="Times New Roman" w:hAnsi="Times New Roman"/>
                <w:b w:val="0"/>
              </w:rPr>
              <w:t>4 november 2024</w:t>
            </w:r>
          </w:p>
        </w:tc>
      </w:tr>
      <w:tr w:rsidR="00B01BA6" w:rsidTr="00EA1CE4" w14:paraId="75EFA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D01B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CA8225" w14:textId="77777777">
            <w:pPr>
              <w:pStyle w:val="Amendement"/>
              <w:tabs>
                <w:tab w:val="clear" w:pos="3310"/>
                <w:tab w:val="clear" w:pos="3600"/>
              </w:tabs>
              <w:ind w:left="-70"/>
              <w:rPr>
                <w:rFonts w:ascii="Times New Roman" w:hAnsi="Times New Roman"/>
                <w:b w:val="0"/>
              </w:rPr>
            </w:pPr>
          </w:p>
        </w:tc>
      </w:tr>
      <w:tr w:rsidRPr="00EA69AC" w:rsidR="00B01BA6" w:rsidTr="00EA1CE4" w14:paraId="5722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5ACF43F" w14:textId="1CF5A042">
            <w:pPr>
              <w:ind w:firstLine="284"/>
            </w:pPr>
            <w:r w:rsidRPr="00EA69AC">
              <w:t>De ondergetekende</w:t>
            </w:r>
            <w:r w:rsidR="00A97DD0">
              <w:t>n</w:t>
            </w:r>
            <w:r w:rsidRPr="00EA69AC">
              <w:t xml:space="preserve"> stel</w:t>
            </w:r>
            <w:r w:rsidR="00A97DD0">
              <w:t>len</w:t>
            </w:r>
            <w:r w:rsidRPr="00EA69AC">
              <w:t xml:space="preserve"> het volgende amendement voor:</w:t>
            </w:r>
          </w:p>
        </w:tc>
      </w:tr>
    </w:tbl>
    <w:p w:rsidR="004E4AF3" w:rsidP="004E4AF3" w:rsidRDefault="00B10306" w14:paraId="15157B92" w14:textId="4ED4FD0C">
      <w:r>
        <w:t>I</w:t>
      </w:r>
    </w:p>
    <w:p w:rsidRPr="00EA69AC" w:rsidR="00B10306" w:rsidP="004E4AF3" w:rsidRDefault="00B10306" w14:paraId="25B1346C" w14:textId="77777777"/>
    <w:p w:rsidR="004E4AF3" w:rsidP="004E4AF3" w:rsidRDefault="004E4AF3" w14:paraId="74325E7C" w14:textId="62967941">
      <w:pPr>
        <w:ind w:firstLine="284"/>
      </w:pPr>
      <w:r>
        <w:t>In artikel I wordt na de aanhef een onderdeel ingevoegd, luidende:</w:t>
      </w:r>
    </w:p>
    <w:p w:rsidR="004E4AF3" w:rsidP="004E4AF3" w:rsidRDefault="004E4AF3" w14:paraId="4B5FC211" w14:textId="77777777"/>
    <w:p w:rsidR="00630D89" w:rsidP="004E4AF3" w:rsidRDefault="004E4AF3" w14:paraId="65755F25" w14:textId="436B87A4">
      <w:r>
        <w:t>0A</w:t>
      </w:r>
    </w:p>
    <w:p w:rsidR="004E4AF3" w:rsidP="004E4AF3" w:rsidRDefault="004E4AF3" w14:paraId="5904762C" w14:textId="77777777"/>
    <w:p w:rsidR="004E4AF3" w:rsidP="004E4AF3" w:rsidRDefault="004E4AF3" w14:paraId="1B36664E" w14:textId="77777777">
      <w:r>
        <w:tab/>
        <w:t xml:space="preserve">Aan artikel 2.3, eerste lid, onderdeel e, wordt toegevoegd ‘, waaronder </w:t>
      </w:r>
      <w:r w:rsidRPr="00643EEF">
        <w:t>niet direct of indirect aan deze activiteiten gerelateerde kosten</w:t>
      </w:r>
      <w:r>
        <w:t xml:space="preserve"> in rekening te brengen of </w:t>
      </w:r>
      <w:r w:rsidRPr="00414DC5">
        <w:t xml:space="preserve">op niet-objectieve gronden </w:t>
      </w:r>
      <w:r>
        <w:t xml:space="preserve">onderscheid te maken in het aanbod aan actieve afnemers </w:t>
      </w:r>
      <w:r w:rsidRPr="00A70482">
        <w:t xml:space="preserve">die tevens huishoudelijk </w:t>
      </w:r>
      <w:r w:rsidRPr="007B3C3F">
        <w:t>eindafnemer of een micro-onderneming zijn</w:t>
      </w:r>
      <w:r>
        <w:t xml:space="preserve"> en andere </w:t>
      </w:r>
      <w:r w:rsidRPr="00414DC5">
        <w:t>eindafnemers</w:t>
      </w:r>
      <w:r>
        <w:t>’.</w:t>
      </w:r>
    </w:p>
    <w:p w:rsidR="00630D89" w:rsidP="004E4AF3" w:rsidRDefault="00630D89" w14:paraId="59661B93" w14:textId="409F77A1"/>
    <w:p w:rsidR="00630D89" w:rsidP="004E4AF3" w:rsidRDefault="00630D89" w14:paraId="4B015C55" w14:textId="1EAA24F2">
      <w:r>
        <w:t>II</w:t>
      </w:r>
    </w:p>
    <w:p w:rsidR="00630D89" w:rsidP="004E4AF3" w:rsidRDefault="00630D89" w14:paraId="720B5DE6" w14:textId="77777777"/>
    <w:p w:rsidR="00237DF8" w:rsidP="00EA1CE4" w:rsidRDefault="00630D89" w14:paraId="54444164" w14:textId="5A0AC0F5">
      <w:r>
        <w:tab/>
        <w:t xml:space="preserve">In artikel I, onderdeel C, wordt aan het voorgestelde zesde lid een zin toegevoegd, luidende: Bij </w:t>
      </w:r>
      <w:r w:rsidR="00B10306">
        <w:t xml:space="preserve">of krachtens </w:t>
      </w:r>
      <w:r>
        <w:t>algemene maatregel van bestuur</w:t>
      </w:r>
      <w:r w:rsidR="00B10306">
        <w:t xml:space="preserve"> </w:t>
      </w:r>
      <w:r>
        <w:t xml:space="preserve">worden </w:t>
      </w:r>
      <w:r w:rsidR="00B10306">
        <w:t xml:space="preserve">in ieder geval </w:t>
      </w:r>
      <w:r>
        <w:t xml:space="preserve">regels gesteld over de wijze waarop marktdeelnemers </w:t>
      </w:r>
      <w:r w:rsidR="00B10306">
        <w:t>deze kosten en voorwaarden op een uniforme wijze presenteren en factureren.</w:t>
      </w:r>
    </w:p>
    <w:p w:rsidR="004C2032" w:rsidP="00EA1CE4" w:rsidRDefault="004C2032" w14:paraId="148DB7E1" w14:textId="77777777"/>
    <w:p w:rsidRPr="00EA69AC" w:rsidR="003C21AC" w:rsidP="00EA1CE4" w:rsidRDefault="003C21AC" w14:paraId="5AC99C21" w14:textId="77777777">
      <w:pPr>
        <w:rPr>
          <w:b/>
        </w:rPr>
      </w:pPr>
      <w:r w:rsidRPr="00EA69AC">
        <w:rPr>
          <w:b/>
        </w:rPr>
        <w:t>Toelichting</w:t>
      </w:r>
    </w:p>
    <w:p w:rsidRPr="00EA69AC" w:rsidR="003C21AC" w:rsidP="00BF623B" w:rsidRDefault="003C21AC" w14:paraId="037781AF" w14:textId="77777777"/>
    <w:p w:rsidR="003B3B46" w:rsidP="003B3B46" w:rsidRDefault="003B3B46" w14:paraId="33B08931" w14:textId="77777777">
      <w:r>
        <w:t xml:space="preserve">De indieners van dit amendement willen dat zonnepanelen blijven lonen, ook als de salderingsregeling is afgeschaft. Nederland is wereldkampioen zonnepanelen en daar zijn we trots op. Zonnepanelen zijn goed voor het opwekken van duurzame energie en geven huishoudens meer grip op hun energierekening. </w:t>
      </w:r>
    </w:p>
    <w:p w:rsidR="003B3B46" w:rsidP="003B3B46" w:rsidRDefault="003B3B46" w14:paraId="168BEA0E" w14:textId="77777777">
      <w:r>
        <w:t xml:space="preserve">De afgelopen jaren zagen we echter dat steeds meer energieleveranciers </w:t>
      </w:r>
      <w:proofErr w:type="spellStart"/>
      <w:r>
        <w:t>terugleverkosten</w:t>
      </w:r>
      <w:proofErr w:type="spellEnd"/>
      <w:r>
        <w:t xml:space="preserve">, boetes of andere heffingen in rekening zijn gaan brengen bij huishoudens met zonnepanelen. Dit maakt de energierekening steeds onoverzichtelijker. </w:t>
      </w:r>
      <w:proofErr w:type="spellStart"/>
      <w:r>
        <w:t>Terugleverkosten</w:t>
      </w:r>
      <w:proofErr w:type="spellEnd"/>
      <w:r>
        <w:t xml:space="preserve"> zijn kosten die energieleveranciers opleggen als huishoudens stroom </w:t>
      </w:r>
      <w:proofErr w:type="spellStart"/>
      <w:r>
        <w:t>terugleverenaan</w:t>
      </w:r>
      <w:proofErr w:type="spellEnd"/>
      <w:r>
        <w:t xml:space="preserve"> het net. Doordat de afgelopen jaren het aantal huishoudens met zonnepanelen snel is gegroeid, is ook de hoeveelheid stroom die aan het net wordt </w:t>
      </w:r>
      <w:proofErr w:type="spellStart"/>
      <w:r>
        <w:t>teruggeleverd</w:t>
      </w:r>
      <w:proofErr w:type="spellEnd"/>
      <w:r>
        <w:t xml:space="preserve"> toegenomen. Vooral op zonnige momenten wordt er een flink overschot aan stroom </w:t>
      </w:r>
      <w:proofErr w:type="spellStart"/>
      <w:r>
        <w:t>teruggeleverd</w:t>
      </w:r>
      <w:proofErr w:type="spellEnd"/>
      <w:r>
        <w:t xml:space="preserve"> aan het net. Hierdoor is de stroomprijs op die momenten heel laag. Tegelijkertijd mogen zonnepaneelhouders door middel van de salderingsregeling hun </w:t>
      </w:r>
      <w:proofErr w:type="spellStart"/>
      <w:r>
        <w:t>teruggeleverde</w:t>
      </w:r>
      <w:proofErr w:type="spellEnd"/>
      <w:r>
        <w:t xml:space="preserve"> stroom wegstrepen tegen hun gebruik. Dit leidt ertoe dat energieleveranciers in die gevallen vaak een hoog stroomtarief moeten vergoeden. Gecombineerd met de groei in het aantal huishoudens met zonnepanelen, leidt dit ertoe dat voor energieleveranciers de kosten verbonden aan het </w:t>
      </w:r>
      <w:proofErr w:type="spellStart"/>
      <w:r>
        <w:t>terugleveren</w:t>
      </w:r>
      <w:proofErr w:type="spellEnd"/>
      <w:r>
        <w:t xml:space="preserve"> van elektriciteit fors zijn toegenomen. Deze kosten werden in eerste instantie verdeeld over alle klanten, maar verschillende energieleveranciers besloten de afgelopen tijd om de </w:t>
      </w:r>
      <w:proofErr w:type="spellStart"/>
      <w:r>
        <w:t>terugleverkostenalleen</w:t>
      </w:r>
      <w:proofErr w:type="spellEnd"/>
      <w:r>
        <w:t xml:space="preserve"> in rekening te brengen bij klanten met zonnepanelen die elektriciteit </w:t>
      </w:r>
      <w:proofErr w:type="spellStart"/>
      <w:r>
        <w:t>terugleveren</w:t>
      </w:r>
      <w:proofErr w:type="spellEnd"/>
      <w:r>
        <w:t xml:space="preserve"> aan het net.</w:t>
      </w:r>
    </w:p>
    <w:p w:rsidR="003B3B46" w:rsidP="003B3B46" w:rsidRDefault="003B3B46" w14:paraId="109ED8FB" w14:textId="77777777">
      <w:r>
        <w:t xml:space="preserve">Nu het kabinet voornemens is om de salderingsregeling per 2027 af te bouwen, vinden de indieners van dit </w:t>
      </w:r>
      <w:r>
        <w:lastRenderedPageBreak/>
        <w:t xml:space="preserve">amendement dat huishoudens niet langer </w:t>
      </w:r>
      <w:proofErr w:type="spellStart"/>
      <w:r>
        <w:t>terugleverkosten</w:t>
      </w:r>
      <w:proofErr w:type="spellEnd"/>
      <w:r>
        <w:t xml:space="preserve"> voor salderen moeten betalen én dat de energierekening versimpeld moet worden. Daarom beogen de indieners met dit amendement allereerst te regelen dat zodra de salderingsregeling is afgebouwd er ook direct wordt gestopt met het in rekening brengen van de </w:t>
      </w:r>
      <w:proofErr w:type="spellStart"/>
      <w:r>
        <w:t>terugleverkosten</w:t>
      </w:r>
      <w:proofErr w:type="spellEnd"/>
      <w:r>
        <w:t xml:space="preserve"> voor salderen, conform eerder aangenomen motie Erkens c.s. 36378 nr. 71. Met dit amendement wordt daarom een bevoegdheid gecreëerd voor de ACM om op te treden indien energieleveranciers, na het afschaffen van de salderingsregeling, toch </w:t>
      </w:r>
      <w:proofErr w:type="spellStart"/>
      <w:r>
        <w:t>terugleverkosten</w:t>
      </w:r>
      <w:proofErr w:type="spellEnd"/>
      <w:r>
        <w:t xml:space="preserve"> voor salderen in rekening brengen. Hierbij wordt ook voorkomen dat energieleveranciers andere onterechte kosten, gebaseerd op niet-objectieve gronden, in rekening kunnen brengen bij huishoudens met zonnepanelen. De ACM dient hierop toezicht te houden en te handhaven bij overtredingen. Middels dit amendement wordt de ACM in staat gesteld om overtredingen met een boete te bestraffen.</w:t>
      </w:r>
    </w:p>
    <w:p w:rsidR="00847BEB" w:rsidP="003B3B46" w:rsidRDefault="003B3B46" w14:paraId="7DFC5308" w14:textId="7BEF4551">
      <w:r w:rsidRPr="00021DB7">
        <w:t>Ten tweede beogen de indieners met dit amendement te regelen dat de energierekening van huishoudens met zonnepanelen weer overzichtelijk en simpel wordt. Als er al objectief aantoonbare kosten, niet zijnde salderen, verbonden aan het hebben van zonnepanelen verrekend worden dan moeten deze transparant en consistent bij elke energieleverancier op een identieke wijze op de energierekening worden weergegeven. Daarom willen de indieners van dit amendement dat het voor energieleveranciers verplicht wordt om objectief aantoonbare kosten verbonden aan het hebben van zonnepanelen op een vergelijkbare wijze transparant te maken zodat huishoudens kunnen kiezen voor het beste aanbod.</w:t>
      </w:r>
    </w:p>
    <w:p w:rsidRPr="00EA69AC" w:rsidR="00095BB8" w:rsidP="00095BB8" w:rsidRDefault="00095BB8" w14:paraId="03DF510E" w14:textId="77777777"/>
    <w:p w:rsidR="00DD4AF6" w:rsidP="00EA1CE4" w:rsidRDefault="00095BB8" w14:paraId="1EFE2B68" w14:textId="077525F6">
      <w:r>
        <w:t>Erkens</w:t>
      </w:r>
    </w:p>
    <w:p w:rsidR="008E66D7" w:rsidP="00E25723" w:rsidRDefault="00607A06" w14:paraId="07C1E96F" w14:textId="73D769EF">
      <w:r>
        <w:t>Beckerman</w:t>
      </w:r>
    </w:p>
    <w:p w:rsidR="007B4FF2" w:rsidP="00E25723" w:rsidRDefault="007B4FF2" w14:paraId="0171FB20" w14:textId="7821B077">
      <w:r>
        <w:t>Grinwis</w:t>
      </w:r>
    </w:p>
    <w:p w:rsidR="00DB62F5" w:rsidP="00E25723" w:rsidRDefault="00DB62F5" w14:paraId="1CE00CEA" w14:textId="77777777"/>
    <w:p w:rsidRPr="00E25723" w:rsidR="00DB62F5" w:rsidP="00E25723" w:rsidRDefault="00DB62F5" w14:paraId="1B348846" w14:textId="77777777"/>
    <w:sectPr w:rsidRPr="00E25723" w:rsidR="00DB62F5"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5A7A" w14:textId="77777777" w:rsidR="008008F2" w:rsidRDefault="008008F2">
      <w:pPr>
        <w:spacing w:line="20" w:lineRule="exact"/>
      </w:pPr>
    </w:p>
  </w:endnote>
  <w:endnote w:type="continuationSeparator" w:id="0">
    <w:p w14:paraId="64C8BC60" w14:textId="77777777" w:rsidR="008008F2" w:rsidRDefault="008008F2">
      <w:pPr>
        <w:pStyle w:val="Amendement"/>
      </w:pPr>
      <w:r>
        <w:rPr>
          <w:b w:val="0"/>
        </w:rPr>
        <w:t xml:space="preserve"> </w:t>
      </w:r>
    </w:p>
  </w:endnote>
  <w:endnote w:type="continuationNotice" w:id="1">
    <w:p w14:paraId="1A310591" w14:textId="77777777" w:rsidR="008008F2" w:rsidRDefault="008008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292" w14:textId="3B22D676" w:rsidR="00561274" w:rsidRDefault="00561274">
    <w:pPr>
      <w:pStyle w:val="Voettekst"/>
    </w:pPr>
    <w:r>
      <w:rPr>
        <w:noProof/>
      </w:rPr>
      <mc:AlternateContent>
        <mc:Choice Requires="wps">
          <w:drawing>
            <wp:anchor distT="0" distB="0" distL="0" distR="0" simplePos="0" relativeHeight="251658241" behindDoc="0" locked="0" layoutInCell="1" allowOverlap="1" wp14:anchorId="428A4B94" wp14:editId="360E73A1">
              <wp:simplePos x="635" y="635"/>
              <wp:positionH relativeFrom="page">
                <wp:align>left</wp:align>
              </wp:positionH>
              <wp:positionV relativeFrom="page">
                <wp:align>bottom</wp:align>
              </wp:positionV>
              <wp:extent cx="986155" cy="345440"/>
              <wp:effectExtent l="0" t="0" r="4445" b="0"/>
              <wp:wrapNone/>
              <wp:docPr id="156054534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A4B94"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275F" w14:textId="50007CF9" w:rsidR="00561274" w:rsidRDefault="00561274">
    <w:pPr>
      <w:pStyle w:val="Voettekst"/>
    </w:pPr>
    <w:r>
      <w:rPr>
        <w:noProof/>
      </w:rPr>
      <mc:AlternateContent>
        <mc:Choice Requires="wps">
          <w:drawing>
            <wp:anchor distT="0" distB="0" distL="0" distR="0" simplePos="0" relativeHeight="251658240" behindDoc="0" locked="0" layoutInCell="1" allowOverlap="1" wp14:anchorId="3DC73D31" wp14:editId="7376B092">
              <wp:simplePos x="635" y="635"/>
              <wp:positionH relativeFrom="page">
                <wp:align>left</wp:align>
              </wp:positionH>
              <wp:positionV relativeFrom="page">
                <wp:align>bottom</wp:align>
              </wp:positionV>
              <wp:extent cx="986155" cy="345440"/>
              <wp:effectExtent l="0" t="0" r="4445" b="0"/>
              <wp:wrapNone/>
              <wp:docPr id="112039511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73D3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D3B5" w14:textId="77777777" w:rsidR="008008F2" w:rsidRDefault="008008F2">
      <w:pPr>
        <w:pStyle w:val="Amendement"/>
      </w:pPr>
      <w:r>
        <w:rPr>
          <w:b w:val="0"/>
        </w:rPr>
        <w:separator/>
      </w:r>
    </w:p>
  </w:footnote>
  <w:footnote w:type="continuationSeparator" w:id="0">
    <w:p w14:paraId="1E610FEA" w14:textId="77777777" w:rsidR="008008F2" w:rsidRDefault="008008F2">
      <w:r>
        <w:continuationSeparator/>
      </w:r>
    </w:p>
  </w:footnote>
  <w:footnote w:type="continuationNotice" w:id="1">
    <w:p w14:paraId="430CC6C0" w14:textId="77777777" w:rsidR="00847BEB" w:rsidRDefault="00847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4DD"/>
    <w:multiLevelType w:val="hybridMultilevel"/>
    <w:tmpl w:val="A44EF078"/>
    <w:lvl w:ilvl="0" w:tplc="9A0C5808">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084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3"/>
    <w:rsid w:val="00021DB7"/>
    <w:rsid w:val="00055EBF"/>
    <w:rsid w:val="0007471A"/>
    <w:rsid w:val="00095BB8"/>
    <w:rsid w:val="000A596E"/>
    <w:rsid w:val="000A7887"/>
    <w:rsid w:val="000D17BF"/>
    <w:rsid w:val="000D584C"/>
    <w:rsid w:val="001175BB"/>
    <w:rsid w:val="00157CAF"/>
    <w:rsid w:val="001656EE"/>
    <w:rsid w:val="0016653D"/>
    <w:rsid w:val="00176253"/>
    <w:rsid w:val="001B2432"/>
    <w:rsid w:val="001D56AF"/>
    <w:rsid w:val="001E0E21"/>
    <w:rsid w:val="00212E0A"/>
    <w:rsid w:val="002153B0"/>
    <w:rsid w:val="0021777F"/>
    <w:rsid w:val="002363DE"/>
    <w:rsid w:val="00237DF8"/>
    <w:rsid w:val="00241DD0"/>
    <w:rsid w:val="00277F41"/>
    <w:rsid w:val="002A0713"/>
    <w:rsid w:val="002E5313"/>
    <w:rsid w:val="002F055F"/>
    <w:rsid w:val="0032457B"/>
    <w:rsid w:val="003A08AF"/>
    <w:rsid w:val="003B3B46"/>
    <w:rsid w:val="003C21AC"/>
    <w:rsid w:val="003C5218"/>
    <w:rsid w:val="003C7876"/>
    <w:rsid w:val="003D58F1"/>
    <w:rsid w:val="003E04B0"/>
    <w:rsid w:val="003E2308"/>
    <w:rsid w:val="003E2F98"/>
    <w:rsid w:val="00414851"/>
    <w:rsid w:val="00414DC5"/>
    <w:rsid w:val="0042574B"/>
    <w:rsid w:val="004330ED"/>
    <w:rsid w:val="004509A8"/>
    <w:rsid w:val="00481C91"/>
    <w:rsid w:val="004911E3"/>
    <w:rsid w:val="00497D57"/>
    <w:rsid w:val="004A1E29"/>
    <w:rsid w:val="004A7DD4"/>
    <w:rsid w:val="004B50D8"/>
    <w:rsid w:val="004B5B90"/>
    <w:rsid w:val="004C2032"/>
    <w:rsid w:val="004E4AF3"/>
    <w:rsid w:val="00501109"/>
    <w:rsid w:val="005209BE"/>
    <w:rsid w:val="005257E5"/>
    <w:rsid w:val="00561274"/>
    <w:rsid w:val="005703C9"/>
    <w:rsid w:val="00597703"/>
    <w:rsid w:val="005A6097"/>
    <w:rsid w:val="005B1DCC"/>
    <w:rsid w:val="005B7323"/>
    <w:rsid w:val="005C25B9"/>
    <w:rsid w:val="00607A06"/>
    <w:rsid w:val="0061497F"/>
    <w:rsid w:val="006267E6"/>
    <w:rsid w:val="00627F8C"/>
    <w:rsid w:val="00630D89"/>
    <w:rsid w:val="00632190"/>
    <w:rsid w:val="00643EEF"/>
    <w:rsid w:val="006558D2"/>
    <w:rsid w:val="00664A14"/>
    <w:rsid w:val="00672D25"/>
    <w:rsid w:val="006738BC"/>
    <w:rsid w:val="00697341"/>
    <w:rsid w:val="006A0C20"/>
    <w:rsid w:val="006C525E"/>
    <w:rsid w:val="006D3E69"/>
    <w:rsid w:val="006E0971"/>
    <w:rsid w:val="007709F6"/>
    <w:rsid w:val="00783215"/>
    <w:rsid w:val="007965FC"/>
    <w:rsid w:val="007A55C6"/>
    <w:rsid w:val="007B4FF2"/>
    <w:rsid w:val="007D2608"/>
    <w:rsid w:val="007F1FF1"/>
    <w:rsid w:val="008008F2"/>
    <w:rsid w:val="008164E5"/>
    <w:rsid w:val="00830081"/>
    <w:rsid w:val="008467D7"/>
    <w:rsid w:val="00847BEB"/>
    <w:rsid w:val="00852541"/>
    <w:rsid w:val="00865D47"/>
    <w:rsid w:val="0088452C"/>
    <w:rsid w:val="008A62D7"/>
    <w:rsid w:val="008D7DCB"/>
    <w:rsid w:val="008E66D7"/>
    <w:rsid w:val="009055DB"/>
    <w:rsid w:val="00905ECB"/>
    <w:rsid w:val="00960FA4"/>
    <w:rsid w:val="0096165D"/>
    <w:rsid w:val="00973CE6"/>
    <w:rsid w:val="00993E91"/>
    <w:rsid w:val="009A409F"/>
    <w:rsid w:val="009A6ECF"/>
    <w:rsid w:val="009B5845"/>
    <w:rsid w:val="009C0AE1"/>
    <w:rsid w:val="009C0C1F"/>
    <w:rsid w:val="009E0786"/>
    <w:rsid w:val="00A10505"/>
    <w:rsid w:val="00A1288B"/>
    <w:rsid w:val="00A170B6"/>
    <w:rsid w:val="00A53203"/>
    <w:rsid w:val="00A772EB"/>
    <w:rsid w:val="00A97DD0"/>
    <w:rsid w:val="00AE2433"/>
    <w:rsid w:val="00B01BA6"/>
    <w:rsid w:val="00B10306"/>
    <w:rsid w:val="00B4708A"/>
    <w:rsid w:val="00B70E95"/>
    <w:rsid w:val="00BF623B"/>
    <w:rsid w:val="00C035D4"/>
    <w:rsid w:val="00C15E23"/>
    <w:rsid w:val="00C53B69"/>
    <w:rsid w:val="00C679BF"/>
    <w:rsid w:val="00C81BBD"/>
    <w:rsid w:val="00CA2DA7"/>
    <w:rsid w:val="00CC7981"/>
    <w:rsid w:val="00CD3132"/>
    <w:rsid w:val="00CE27CD"/>
    <w:rsid w:val="00CF2D3B"/>
    <w:rsid w:val="00D12907"/>
    <w:rsid w:val="00D134F3"/>
    <w:rsid w:val="00D25B45"/>
    <w:rsid w:val="00D34E25"/>
    <w:rsid w:val="00D47D01"/>
    <w:rsid w:val="00D554E6"/>
    <w:rsid w:val="00D67C1B"/>
    <w:rsid w:val="00D774B3"/>
    <w:rsid w:val="00D84A2D"/>
    <w:rsid w:val="00DA4BD1"/>
    <w:rsid w:val="00DB62F5"/>
    <w:rsid w:val="00DC02C3"/>
    <w:rsid w:val="00DD35A5"/>
    <w:rsid w:val="00DD4AF6"/>
    <w:rsid w:val="00DE2948"/>
    <w:rsid w:val="00DF68BE"/>
    <w:rsid w:val="00DF712A"/>
    <w:rsid w:val="00E25723"/>
    <w:rsid w:val="00E25DF4"/>
    <w:rsid w:val="00E3485D"/>
    <w:rsid w:val="00E511E0"/>
    <w:rsid w:val="00E631E7"/>
    <w:rsid w:val="00E6619B"/>
    <w:rsid w:val="00E77F6D"/>
    <w:rsid w:val="00E908D7"/>
    <w:rsid w:val="00EA1CE4"/>
    <w:rsid w:val="00EA69AC"/>
    <w:rsid w:val="00EB40A1"/>
    <w:rsid w:val="00EC3112"/>
    <w:rsid w:val="00ED5E57"/>
    <w:rsid w:val="00EE1BD8"/>
    <w:rsid w:val="00EF616C"/>
    <w:rsid w:val="00F00204"/>
    <w:rsid w:val="00F676BF"/>
    <w:rsid w:val="00FA5BBE"/>
    <w:rsid w:val="00FC1959"/>
    <w:rsid w:val="00FC3A4C"/>
    <w:rsid w:val="00FD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D7189"/>
  <w15:docId w15:val="{FC143196-8F9E-4471-8D1B-2FE62CC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D5F50"/>
    <w:rPr>
      <w:sz w:val="24"/>
    </w:rPr>
  </w:style>
  <w:style w:type="character" w:styleId="Verwijzingopmerking">
    <w:name w:val="annotation reference"/>
    <w:basedOn w:val="Standaardalinea-lettertype"/>
    <w:semiHidden/>
    <w:unhideWhenUsed/>
    <w:rsid w:val="00DD4AF6"/>
    <w:rPr>
      <w:sz w:val="16"/>
      <w:szCs w:val="16"/>
    </w:rPr>
  </w:style>
  <w:style w:type="paragraph" w:styleId="Tekstopmerking">
    <w:name w:val="annotation text"/>
    <w:basedOn w:val="Standaard"/>
    <w:link w:val="TekstopmerkingChar"/>
    <w:unhideWhenUsed/>
    <w:rsid w:val="00DD4AF6"/>
    <w:rPr>
      <w:sz w:val="20"/>
    </w:rPr>
  </w:style>
  <w:style w:type="character" w:customStyle="1" w:styleId="TekstopmerkingChar">
    <w:name w:val="Tekst opmerking Char"/>
    <w:basedOn w:val="Standaardalinea-lettertype"/>
    <w:link w:val="Tekstopmerking"/>
    <w:rsid w:val="00DD4AF6"/>
  </w:style>
  <w:style w:type="paragraph" w:styleId="Onderwerpvanopmerking">
    <w:name w:val="annotation subject"/>
    <w:basedOn w:val="Tekstopmerking"/>
    <w:next w:val="Tekstopmerking"/>
    <w:link w:val="OnderwerpvanopmerkingChar"/>
    <w:semiHidden/>
    <w:unhideWhenUsed/>
    <w:rsid w:val="00DD4AF6"/>
    <w:rPr>
      <w:b/>
      <w:bCs/>
    </w:rPr>
  </w:style>
  <w:style w:type="character" w:customStyle="1" w:styleId="OnderwerpvanopmerkingChar">
    <w:name w:val="Onderwerp van opmerking Char"/>
    <w:basedOn w:val="TekstopmerkingChar"/>
    <w:link w:val="Onderwerpvanopmerking"/>
    <w:semiHidden/>
    <w:rsid w:val="00DD4AF6"/>
    <w:rPr>
      <w:b/>
      <w:bCs/>
    </w:rPr>
  </w:style>
  <w:style w:type="paragraph" w:customStyle="1" w:styleId="pf0">
    <w:name w:val="pf0"/>
    <w:basedOn w:val="Standaard"/>
    <w:rsid w:val="00561274"/>
    <w:pPr>
      <w:widowControl/>
      <w:spacing w:before="100" w:beforeAutospacing="1" w:after="100" w:afterAutospacing="1"/>
    </w:pPr>
    <w:rPr>
      <w:szCs w:val="24"/>
    </w:rPr>
  </w:style>
  <w:style w:type="character" w:customStyle="1" w:styleId="cf01">
    <w:name w:val="cf01"/>
    <w:basedOn w:val="Standaardalinea-lettertype"/>
    <w:rsid w:val="00561274"/>
    <w:rPr>
      <w:rFonts w:ascii="Segoe UI" w:hAnsi="Segoe UI" w:cs="Segoe UI" w:hint="default"/>
      <w:sz w:val="18"/>
      <w:szCs w:val="18"/>
    </w:rPr>
  </w:style>
  <w:style w:type="paragraph" w:styleId="Lijstalinea">
    <w:name w:val="List Paragraph"/>
    <w:basedOn w:val="Standaard"/>
    <w:uiPriority w:val="34"/>
    <w:qFormat/>
    <w:rsid w:val="0064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6016">
      <w:bodyDiv w:val="1"/>
      <w:marLeft w:val="0"/>
      <w:marRight w:val="0"/>
      <w:marTop w:val="0"/>
      <w:marBottom w:val="0"/>
      <w:divBdr>
        <w:top w:val="none" w:sz="0" w:space="0" w:color="auto"/>
        <w:left w:val="none" w:sz="0" w:space="0" w:color="auto"/>
        <w:bottom w:val="none" w:sz="0" w:space="0" w:color="auto"/>
        <w:right w:val="none" w:sz="0" w:space="0" w:color="auto"/>
      </w:divBdr>
    </w:div>
    <w:div w:id="16337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637</ap:Words>
  <ap:Characters>3924</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2024-11-04T08:52:00.0000000Z</dcterms:created>
  <dcterms:modified xsi:type="dcterms:W3CDTF">2024-11-04T08:52:00.0000000Z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42c7df6f,5d040840,1ed0b00e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b2aa6e22-2c82-48c6-bf24-1790f4b9c128_Enabled">
    <vt:lpwstr>true</vt:lpwstr>
  </property>
  <property fmtid="{D5CDD505-2E9C-101B-9397-08002B2CF9AE}" pid="6" name="MSIP_Label_b2aa6e22-2c82-48c6-bf24-1790f4b9c128_SetDate">
    <vt:lpwstr>2024-10-10T14:22:17Z</vt:lpwstr>
  </property>
  <property fmtid="{D5CDD505-2E9C-101B-9397-08002B2CF9AE}" pid="7" name="MSIP_Label_b2aa6e22-2c82-48c6-bf24-1790f4b9c128_Method">
    <vt:lpwstr>Standard</vt:lpwstr>
  </property>
  <property fmtid="{D5CDD505-2E9C-101B-9397-08002B2CF9AE}" pid="8" name="MSIP_Label_b2aa6e22-2c82-48c6-bf24-1790f4b9c128_Name">
    <vt:lpwstr>FIN-DGFZ-Rijksoverheid</vt:lpwstr>
  </property>
  <property fmtid="{D5CDD505-2E9C-101B-9397-08002B2CF9AE}" pid="9" name="MSIP_Label_b2aa6e22-2c82-48c6-bf24-1790f4b9c128_SiteId">
    <vt:lpwstr>84712536-f524-40a0-913b-5d25ba502732</vt:lpwstr>
  </property>
  <property fmtid="{D5CDD505-2E9C-101B-9397-08002B2CF9AE}" pid="10" name="MSIP_Label_b2aa6e22-2c82-48c6-bf24-1790f4b9c128_ActionId">
    <vt:lpwstr>5ad06a2e-a2e8-42c1-9019-3c032a6a6b2e</vt:lpwstr>
  </property>
  <property fmtid="{D5CDD505-2E9C-101B-9397-08002B2CF9AE}" pid="11" name="MSIP_Label_b2aa6e22-2c82-48c6-bf24-1790f4b9c128_ContentBits">
    <vt:lpwstr>0</vt:lpwstr>
  </property>
</Properties>
</file>