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581FD5F1" w14:textId="77777777">
        <w:trPr>
          <w:cantSplit/>
        </w:trPr>
        <w:tc>
          <w:tcPr>
            <w:tcW w:w="9212" w:type="dxa"/>
            <w:gridSpan w:val="2"/>
          </w:tcPr>
          <w:p w:rsidR="003B4752" w:rsidRDefault="003B4752" w14:paraId="3C9FC39B" w14:textId="77777777">
            <w:pPr>
              <w:tabs>
                <w:tab w:val="left" w:pos="-1440"/>
                <w:tab w:val="left" w:pos="-720"/>
              </w:tabs>
              <w:suppressAutoHyphens/>
            </w:pPr>
          </w:p>
        </w:tc>
      </w:tr>
      <w:tr w:rsidR="003B4752" w14:paraId="5F022CA7" w14:textId="77777777">
        <w:trPr>
          <w:cantSplit/>
        </w:trPr>
        <w:tc>
          <w:tcPr>
            <w:tcW w:w="9212" w:type="dxa"/>
            <w:gridSpan w:val="2"/>
          </w:tcPr>
          <w:p w:rsidR="003B4752" w:rsidRDefault="003B4752" w14:paraId="585F6713" w14:textId="77777777">
            <w:pPr>
              <w:tabs>
                <w:tab w:val="left" w:pos="-1440"/>
                <w:tab w:val="left" w:pos="-720"/>
              </w:tabs>
              <w:suppressAutoHyphens/>
              <w:rPr>
                <w:b/>
              </w:rPr>
            </w:pPr>
          </w:p>
        </w:tc>
      </w:tr>
      <w:tr w:rsidR="009833D1" w14:paraId="546098A9" w14:textId="77777777">
        <w:tc>
          <w:tcPr>
            <w:tcW w:w="2622" w:type="dxa"/>
          </w:tcPr>
          <w:p w:rsidR="009833D1" w:rsidRDefault="00853550" w14:paraId="7177D9F5" w14:textId="34254D85">
            <w:pPr>
              <w:widowControl w:val="0"/>
              <w:rPr>
                <w:b/>
              </w:rPr>
            </w:pPr>
            <w:r>
              <w:rPr>
                <w:b/>
              </w:rPr>
              <w:t>36 579</w:t>
            </w:r>
          </w:p>
        </w:tc>
        <w:tc>
          <w:tcPr>
            <w:tcW w:w="6590" w:type="dxa"/>
          </w:tcPr>
          <w:p w:rsidRPr="00853550" w:rsidR="009833D1" w:rsidP="00853550" w:rsidRDefault="00853550" w14:paraId="1DF17D4C" w14:textId="0FCE293A">
            <w:pPr>
              <w:rPr>
                <w:b/>
                <w:bCs/>
                <w:szCs w:val="24"/>
              </w:rPr>
            </w:pPr>
            <w:r w:rsidRPr="00853550">
              <w:rPr>
                <w:b/>
                <w:bCs/>
                <w:szCs w:val="24"/>
              </w:rPr>
              <w:t xml:space="preserve">Wijzigingen van een aantal wetten op het terrein van het Ministerie van Volksgezondheid, Welzijn en Sport om de grondslagen voor gegevensverwerking te verstevigen en enkele andere wijzigingen (Verzamelwet gegevensverwerking VWS </w:t>
            </w:r>
            <w:proofErr w:type="spellStart"/>
            <w:r w:rsidRPr="00853550">
              <w:rPr>
                <w:b/>
                <w:bCs/>
                <w:szCs w:val="24"/>
              </w:rPr>
              <w:t>II.a</w:t>
            </w:r>
            <w:proofErr w:type="spellEnd"/>
            <w:r w:rsidRPr="00853550">
              <w:rPr>
                <w:b/>
                <w:bCs/>
                <w:szCs w:val="24"/>
              </w:rPr>
              <w:t>)</w:t>
            </w:r>
          </w:p>
        </w:tc>
      </w:tr>
      <w:tr w:rsidR="003B4752" w14:paraId="3409AE8A" w14:textId="77777777">
        <w:tc>
          <w:tcPr>
            <w:tcW w:w="2622" w:type="dxa"/>
          </w:tcPr>
          <w:p w:rsidR="003B4752" w:rsidRDefault="003B4752" w14:paraId="18CD733F" w14:textId="77777777">
            <w:pPr>
              <w:tabs>
                <w:tab w:val="left" w:pos="284"/>
              </w:tabs>
              <w:rPr>
                <w:b/>
              </w:rPr>
            </w:pPr>
          </w:p>
        </w:tc>
        <w:tc>
          <w:tcPr>
            <w:tcW w:w="6590" w:type="dxa"/>
          </w:tcPr>
          <w:p w:rsidR="003B4752" w:rsidRDefault="003B4752" w14:paraId="1CCB084A" w14:textId="77777777">
            <w:pPr>
              <w:tabs>
                <w:tab w:val="left" w:pos="284"/>
              </w:tabs>
              <w:rPr>
                <w:b/>
              </w:rPr>
            </w:pPr>
          </w:p>
        </w:tc>
      </w:tr>
      <w:tr w:rsidR="003B4752" w14:paraId="4A7CC7BB" w14:textId="77777777">
        <w:tc>
          <w:tcPr>
            <w:tcW w:w="2622" w:type="dxa"/>
          </w:tcPr>
          <w:p w:rsidR="003B4752" w:rsidRDefault="003B4752" w14:paraId="7279ABB0" w14:textId="529794E5">
            <w:pPr>
              <w:tabs>
                <w:tab w:val="left" w:pos="284"/>
              </w:tabs>
              <w:rPr>
                <w:b/>
              </w:rPr>
            </w:pPr>
            <w:r>
              <w:rPr>
                <w:b/>
              </w:rPr>
              <w:t xml:space="preserve">Nr. </w:t>
            </w:r>
            <w:r w:rsidR="00853550">
              <w:rPr>
                <w:b/>
              </w:rPr>
              <w:t>7</w:t>
            </w:r>
          </w:p>
        </w:tc>
        <w:tc>
          <w:tcPr>
            <w:tcW w:w="6590" w:type="dxa"/>
          </w:tcPr>
          <w:p w:rsidR="003B4752" w:rsidRDefault="003B4752" w14:paraId="40BC6AAF" w14:textId="77777777">
            <w:pPr>
              <w:tabs>
                <w:tab w:val="left" w:pos="284"/>
              </w:tabs>
              <w:rPr>
                <w:b/>
              </w:rPr>
            </w:pPr>
            <w:r>
              <w:rPr>
                <w:b/>
              </w:rPr>
              <w:t>NOTA VAN WIJZIGING</w:t>
            </w:r>
          </w:p>
          <w:p w:rsidRPr="00853550" w:rsidR="003B4752" w:rsidP="009833D1" w:rsidRDefault="003B4752" w14:paraId="17559D35" w14:textId="2797E610">
            <w:pPr>
              <w:tabs>
                <w:tab w:val="left" w:pos="284"/>
              </w:tabs>
            </w:pPr>
            <w:r w:rsidRPr="00853550">
              <w:t xml:space="preserve">Ontvangen </w:t>
            </w:r>
            <w:r w:rsidRPr="00853550" w:rsidR="00853550">
              <w:t>6 november 2024</w:t>
            </w:r>
          </w:p>
        </w:tc>
      </w:tr>
    </w:tbl>
    <w:p w:rsidR="009833D1" w:rsidP="00FE223B" w:rsidRDefault="009833D1" w14:paraId="300723BB" w14:textId="77777777">
      <w:pPr>
        <w:tabs>
          <w:tab w:val="left" w:pos="284"/>
        </w:tabs>
      </w:pPr>
    </w:p>
    <w:p w:rsidRPr="00853550" w:rsidR="00853550" w:rsidP="00853550" w:rsidRDefault="00853550" w14:paraId="58CD0F75" w14:textId="30CCFEA2">
      <w:pPr>
        <w:tabs>
          <w:tab w:val="left" w:pos="284"/>
        </w:tabs>
      </w:pPr>
      <w:r>
        <w:tab/>
      </w:r>
      <w:r w:rsidRPr="00853550">
        <w:t>Het voorstel van wet wordt als volgt gewijzigd:</w:t>
      </w:r>
    </w:p>
    <w:p w:rsidR="00853550" w:rsidP="00853550" w:rsidRDefault="00853550" w14:paraId="5061F3A6" w14:textId="77777777">
      <w:pPr>
        <w:tabs>
          <w:tab w:val="left" w:pos="284"/>
        </w:tabs>
      </w:pPr>
    </w:p>
    <w:p w:rsidRPr="00853550" w:rsidR="00853550" w:rsidP="00853550" w:rsidRDefault="00853550" w14:paraId="2D4D82E1" w14:textId="435161AC">
      <w:pPr>
        <w:tabs>
          <w:tab w:val="left" w:pos="284"/>
        </w:tabs>
      </w:pPr>
      <w:r>
        <w:tab/>
      </w:r>
      <w:r w:rsidRPr="00853550">
        <w:t>In Artikel II, onder B, wordt artikel 24a, eerste lid, als volgt gewijzigd:</w:t>
      </w:r>
    </w:p>
    <w:p w:rsidRPr="00853550" w:rsidR="00853550" w:rsidP="00853550" w:rsidRDefault="00853550" w14:paraId="11A2BD32" w14:textId="77777777">
      <w:pPr>
        <w:tabs>
          <w:tab w:val="left" w:pos="284"/>
        </w:tabs>
      </w:pPr>
    </w:p>
    <w:p w:rsidRPr="00853550" w:rsidR="00853550" w:rsidP="00853550" w:rsidRDefault="00853550" w14:paraId="2B40D745" w14:textId="241CCEA4">
      <w:pPr>
        <w:tabs>
          <w:tab w:val="left" w:pos="284"/>
        </w:tabs>
      </w:pPr>
      <w:r>
        <w:tab/>
      </w:r>
      <w:r w:rsidRPr="00853550">
        <w:t>1.</w:t>
      </w:r>
      <w:r w:rsidRPr="00853550">
        <w:tab/>
        <w:t>Onder vernummering van de onderdelen b tot en met d tot d tot en met f worden twee onderdelen ingevoegd, luidende:</w:t>
      </w:r>
    </w:p>
    <w:p w:rsidRPr="00853550" w:rsidR="00853550" w:rsidP="00853550" w:rsidRDefault="00853550" w14:paraId="718F3D11" w14:textId="0030242D">
      <w:pPr>
        <w:tabs>
          <w:tab w:val="left" w:pos="284"/>
        </w:tabs>
      </w:pPr>
      <w:r>
        <w:tab/>
      </w:r>
      <w:r w:rsidRPr="00853550">
        <w:t>b.</w:t>
      </w:r>
      <w:r w:rsidRPr="00853550">
        <w:tab/>
        <w:t>van wie de vrijheid is ontnomen op basis van de Wet administratiefrechtelijke handhaving verkeersvoorschriften;</w:t>
      </w:r>
    </w:p>
    <w:p w:rsidRPr="00853550" w:rsidR="00853550" w:rsidP="00853550" w:rsidRDefault="00853550" w14:paraId="1F26AE90" w14:textId="51E88779">
      <w:pPr>
        <w:tabs>
          <w:tab w:val="left" w:pos="284"/>
        </w:tabs>
      </w:pPr>
      <w:r>
        <w:tab/>
      </w:r>
      <w:r w:rsidRPr="00853550">
        <w:t>c.</w:t>
      </w:r>
      <w:r w:rsidRPr="00853550">
        <w:tab/>
        <w:t>van wie de vrijheid is ontnomen op basis van het Wetboek van Burgerlijke Rechtsvordering;</w:t>
      </w:r>
    </w:p>
    <w:p w:rsidRPr="00853550" w:rsidR="00853550" w:rsidP="00853550" w:rsidRDefault="00853550" w14:paraId="2A0387AE" w14:textId="77777777">
      <w:pPr>
        <w:tabs>
          <w:tab w:val="left" w:pos="284"/>
        </w:tabs>
      </w:pPr>
    </w:p>
    <w:p w:rsidRPr="00853550" w:rsidR="00853550" w:rsidP="00853550" w:rsidRDefault="00853550" w14:paraId="6478EEFB" w14:textId="60A1FE7B">
      <w:pPr>
        <w:tabs>
          <w:tab w:val="left" w:pos="284"/>
        </w:tabs>
      </w:pPr>
      <w:r>
        <w:tab/>
      </w:r>
      <w:r w:rsidRPr="00853550">
        <w:t>2.</w:t>
      </w:r>
      <w:r w:rsidRPr="00853550">
        <w:tab/>
        <w:t>Onder vervanging van de punt aan het slot van onderdeel f (nieuw) door “; of” wordt een onderdeel toegevoegd, luidende:</w:t>
      </w:r>
    </w:p>
    <w:p w:rsidRPr="00853550" w:rsidR="00853550" w:rsidP="00853550" w:rsidRDefault="00853550" w14:paraId="0E750C0C" w14:textId="41AC8E86">
      <w:pPr>
        <w:tabs>
          <w:tab w:val="left" w:pos="284"/>
        </w:tabs>
      </w:pPr>
      <w:r>
        <w:tab/>
      </w:r>
      <w:r w:rsidRPr="00853550">
        <w:t>g.</w:t>
      </w:r>
      <w:r w:rsidRPr="00853550">
        <w:tab/>
        <w:t xml:space="preserve">van wie op een andere grond krachtens rechterlijke uitspraak of beschikking of door het openbaar gezag rechtens de vrijheid is ontnomen. </w:t>
      </w:r>
    </w:p>
    <w:p w:rsidR="00853550" w:rsidP="00853550" w:rsidRDefault="00853550" w14:paraId="5FC0CE77" w14:textId="77777777">
      <w:pPr>
        <w:tabs>
          <w:tab w:val="left" w:pos="284"/>
        </w:tabs>
      </w:pPr>
    </w:p>
    <w:p w:rsidR="00853550" w:rsidP="00853550" w:rsidRDefault="00853550" w14:paraId="7817D4FB" w14:textId="77777777">
      <w:pPr>
        <w:tabs>
          <w:tab w:val="left" w:pos="284"/>
        </w:tabs>
        <w:rPr>
          <w:b/>
        </w:rPr>
      </w:pPr>
      <w:r w:rsidRPr="00853550">
        <w:rPr>
          <w:b/>
        </w:rPr>
        <w:t>Toelichting</w:t>
      </w:r>
    </w:p>
    <w:p w:rsidRPr="00853550" w:rsidR="00853550" w:rsidP="00853550" w:rsidRDefault="00853550" w14:paraId="2CDB1E0F" w14:textId="77777777">
      <w:pPr>
        <w:tabs>
          <w:tab w:val="left" w:pos="284"/>
        </w:tabs>
        <w:rPr>
          <w:b/>
        </w:rPr>
      </w:pPr>
    </w:p>
    <w:p w:rsidRPr="00853550" w:rsidR="00853550" w:rsidP="00853550" w:rsidRDefault="00853550" w14:paraId="0A12523D" w14:textId="77777777">
      <w:pPr>
        <w:tabs>
          <w:tab w:val="left" w:pos="284"/>
        </w:tabs>
      </w:pPr>
      <w:r w:rsidRPr="00853550">
        <w:t xml:space="preserve">Het toezicht dat de leden van het </w:t>
      </w:r>
      <w:proofErr w:type="spellStart"/>
      <w:r w:rsidRPr="00853550">
        <w:t>Subcomité</w:t>
      </w:r>
      <w:proofErr w:type="spellEnd"/>
      <w:r w:rsidRPr="00853550">
        <w:t xml:space="preserve"> ter Preventie als bedoeld in het op 18 december 2002 te New York stand gekomen Facultatief Protocol bij het Verdrag tegen foltering en andere wrede, onmenselijke of onterende behandeling of bestraffing (</w:t>
      </w:r>
      <w:proofErr w:type="spellStart"/>
      <w:r w:rsidRPr="00853550">
        <w:t>Trb</w:t>
      </w:r>
      <w:proofErr w:type="spellEnd"/>
      <w:r w:rsidRPr="00853550">
        <w:t>. 2005, 243) en de leden van het Comité als bedoeld in het op 26 november 1987 te Straatsburg tot stand gekomen Europees Verdrag ter voorkoming van folteringen en onmenselijke of vernederende behandelingen of bestraffingen (</w:t>
      </w:r>
      <w:proofErr w:type="spellStart"/>
      <w:r w:rsidRPr="00853550">
        <w:t>Trb</w:t>
      </w:r>
      <w:proofErr w:type="spellEnd"/>
      <w:r w:rsidRPr="00853550">
        <w:t>. 1988, nr. 19), zoals gewijzigd door Protocol 1 en Protocol 2 (</w:t>
      </w:r>
      <w:proofErr w:type="spellStart"/>
      <w:r w:rsidRPr="00853550">
        <w:t>Trb</w:t>
      </w:r>
      <w:proofErr w:type="spellEnd"/>
      <w:r w:rsidRPr="00853550">
        <w:t xml:space="preserve">. 1994, 106 en 107)(hierna ook: het CPT) houden dat personen die (door de overheid) rechtens van hun vrijheid zijn beroofd niet worden onderworpen aan folteringen of onmenselijke of vernederende behandelingen of bestraffingen, is onafhankelijk van de titel van de vrijheidsbeneming. Bij nadere beschouwing is gebleken dat de opsomming in artikel 24a van de titels op grond waarvan iemand rechtens zijn vrijheid kan worden ontnomen, onvolledig is. Met de in deze nota van wijziging voorgestelde aanpassing wordt dit gecorrigeerd door de opsomming aan te vullen met drie nieuwe onderdelen. De onderdelen b en c zien op gijzeling op grond van de Wet administratiefrechtelijke handhaving verkeersvoorschriften en op grond van het Wetboek van Burgerlijke Rechtsvordering. Daarnaast wordt een nieuw onderdeel g voorgesteld dat een algemene beschrijving geeft van overige vrijheidsbenemende titels. Hiermee wordt zeker gesteld dat het toezicht door de comités kan zien op elke vorm van rechtmatige vrijheidsbeneming. </w:t>
      </w:r>
    </w:p>
    <w:p w:rsidRPr="00853550" w:rsidR="00853550" w:rsidP="00853550" w:rsidRDefault="00853550" w14:paraId="7BE9A0F5" w14:textId="77777777">
      <w:pPr>
        <w:tabs>
          <w:tab w:val="left" w:pos="284"/>
        </w:tabs>
      </w:pPr>
    </w:p>
    <w:p w:rsidRPr="00853550" w:rsidR="00853550" w:rsidP="00853550" w:rsidRDefault="00853550" w14:paraId="03BD13EB" w14:textId="1F392D20">
      <w:pPr>
        <w:tabs>
          <w:tab w:val="left" w:pos="284"/>
        </w:tabs>
      </w:pPr>
      <w:r w:rsidRPr="00853550">
        <w:t>De minister van Volksgezondheid,</w:t>
      </w:r>
      <w:r>
        <w:t xml:space="preserve"> </w:t>
      </w:r>
      <w:r w:rsidRPr="00853550">
        <w:t>Welzijn en Sport,</w:t>
      </w:r>
    </w:p>
    <w:p w:rsidR="00853550" w:rsidP="00FE223B" w:rsidRDefault="00853550" w14:paraId="2911F1A8" w14:textId="5A84FF86">
      <w:pPr>
        <w:tabs>
          <w:tab w:val="left" w:pos="284"/>
        </w:tabs>
      </w:pPr>
      <w:r w:rsidRPr="00853550">
        <w:t xml:space="preserve">M. </w:t>
      </w:r>
      <w:proofErr w:type="spellStart"/>
      <w:r w:rsidRPr="00853550">
        <w:t>Agema</w:t>
      </w:r>
      <w:proofErr w:type="spellEnd"/>
    </w:p>
    <w:sectPr w:rsidR="00853550">
      <w:footerReference w:type="even" r:id="rId6"/>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651A" w14:textId="77777777" w:rsidR="00853550" w:rsidRDefault="00853550">
      <w:r>
        <w:separator/>
      </w:r>
    </w:p>
  </w:endnote>
  <w:endnote w:type="continuationSeparator" w:id="0">
    <w:p w14:paraId="09F84AE1" w14:textId="77777777" w:rsidR="00853550" w:rsidRDefault="0085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7269"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46FED40"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2D10"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4087C8D5"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28BC3" w14:textId="77777777" w:rsidR="00853550" w:rsidRDefault="00853550">
      <w:r>
        <w:separator/>
      </w:r>
    </w:p>
  </w:footnote>
  <w:footnote w:type="continuationSeparator" w:id="0">
    <w:p w14:paraId="32E84E69" w14:textId="77777777" w:rsidR="00853550" w:rsidRDefault="00853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50"/>
    <w:rsid w:val="003B4752"/>
    <w:rsid w:val="004D5FF9"/>
    <w:rsid w:val="0062581C"/>
    <w:rsid w:val="007C02C8"/>
    <w:rsid w:val="00853550"/>
    <w:rsid w:val="009833D1"/>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68B2B6"/>
  <w15:docId w15:val="{31FF32D2-072E-45FB-B396-73310CA8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408</ap:Words>
  <ap:Characters>2248</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2651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2024-11-07T07:56:00.0000000Z</dcterms:created>
  <dcterms:modified xsi:type="dcterms:W3CDTF">2024-11-07T07:56:00.0000000Z</dcterms:modified>
  <dc:description>------------------------</dc:description>
  <dc:subject/>
  <keywords/>
  <version/>
  <category/>
</coreProperties>
</file>