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793D" w:rsidR="00ED26DE" w:rsidP="00ED26DE" w:rsidRDefault="00ED26DE" w14:paraId="367CDC2B" w14:textId="489BDB80">
      <w:pPr>
        <w:spacing w:line="276" w:lineRule="auto"/>
        <w:ind w:left="1134" w:hanging="1418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name="_Hlk169599466" w:id="0"/>
      <w:r w:rsidRPr="00F8793D">
        <w:rPr>
          <w:rFonts w:ascii="Times New Roman" w:hAnsi="Times New Roman" w:cs="Times New Roman"/>
          <w:b/>
          <w:color w:val="auto"/>
          <w:sz w:val="24"/>
          <w:szCs w:val="24"/>
        </w:rPr>
        <w:t>36 571</w:t>
      </w:r>
      <w:r w:rsidRPr="00F8793D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bookmarkStart w:name="_Hlk169599706" w:id="1"/>
      <w:r w:rsidRPr="00F8793D">
        <w:rPr>
          <w:rFonts w:ascii="Times New Roman" w:hAnsi="Times New Roman" w:cs="Times New Roman"/>
          <w:b/>
          <w:color w:val="auto"/>
          <w:sz w:val="24"/>
          <w:szCs w:val="24"/>
        </w:rPr>
        <w:t xml:space="preserve">Wijziging van de </w:t>
      </w:r>
      <w:bookmarkStart w:name="_Hlk171586418" w:id="2"/>
      <w:r w:rsidRPr="00F8793D">
        <w:rPr>
          <w:rFonts w:ascii="Times New Roman" w:hAnsi="Times New Roman" w:cs="Times New Roman"/>
          <w:b/>
          <w:color w:val="auto"/>
          <w:sz w:val="24"/>
          <w:szCs w:val="24"/>
        </w:rPr>
        <w:t xml:space="preserve">Kieswet in verband met de aanscherping van de strafbaarstelling inzake het ronselen van volmachtstemmen (Wet aanscherping strafbaarstelling ronselen) </w:t>
      </w:r>
    </w:p>
    <w:p w:rsidRPr="00F8793D" w:rsidR="00ED26DE" w:rsidP="00ED26DE" w:rsidRDefault="00ED26DE" w14:paraId="204B7042" w14:textId="77777777">
      <w:pPr>
        <w:spacing w:line="276" w:lineRule="auto"/>
        <w:ind w:left="1134" w:hanging="141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Pr="00F8793D" w:rsidR="00ED26DE" w:rsidP="00ED26DE" w:rsidRDefault="00F8793D" w14:paraId="6C1AA29E" w14:textId="79E180DD">
      <w:pPr>
        <w:spacing w:line="276" w:lineRule="auto"/>
        <w:ind w:left="1134" w:hanging="141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793D">
        <w:rPr>
          <w:rFonts w:ascii="Times New Roman" w:hAnsi="Times New Roman" w:cs="Times New Roman"/>
          <w:b/>
          <w:color w:val="auto"/>
          <w:sz w:val="24"/>
          <w:szCs w:val="24"/>
        </w:rPr>
        <w:t>Nr. 8</w:t>
      </w:r>
      <w:r w:rsidRPr="00F8793D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F8793D" w:rsidR="00ED26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Nota van wijziging </w:t>
      </w:r>
    </w:p>
    <w:p w:rsidRPr="00F8793D" w:rsidR="00F8793D" w:rsidP="00ED26DE" w:rsidRDefault="00F8793D" w14:paraId="3053A6C2" w14:textId="5791F5C0">
      <w:pPr>
        <w:spacing w:line="276" w:lineRule="auto"/>
        <w:ind w:left="1134" w:hanging="141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8793D">
        <w:rPr>
          <w:rFonts w:ascii="Times New Roman" w:hAnsi="Times New Roman" w:cs="Times New Roman"/>
          <w:bCs/>
          <w:color w:val="auto"/>
          <w:sz w:val="24"/>
          <w:szCs w:val="24"/>
        </w:rPr>
        <w:tab/>
        <w:t>Ontvangen 8 november 2024</w:t>
      </w:r>
    </w:p>
    <w:p w:rsidRPr="00F8793D" w:rsidR="00ED26DE" w:rsidP="00ED26DE" w:rsidRDefault="00ED26DE" w14:paraId="30CCCB86" w14:textId="77777777">
      <w:pPr>
        <w:spacing w:line="276" w:lineRule="auto"/>
        <w:ind w:left="1134" w:hanging="141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Pr="00F8793D" w:rsidR="00ED26DE" w:rsidP="00ED26DE" w:rsidRDefault="00ED26DE" w14:paraId="4FD0C79A" w14:textId="5D4C8300">
      <w:pPr>
        <w:spacing w:line="276" w:lineRule="auto"/>
        <w:ind w:left="1134" w:hanging="141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8793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Het voorstel van wet wordt als volgt gewijzigd: </w:t>
      </w:r>
    </w:p>
    <w:p w:rsidRPr="00F8793D" w:rsidR="00ED26DE" w:rsidP="00ED26DE" w:rsidRDefault="00ED26DE" w14:paraId="565E25A8" w14:textId="77777777">
      <w:pPr>
        <w:spacing w:line="276" w:lineRule="auto"/>
        <w:ind w:left="1134" w:hanging="1418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Pr="00F8793D" w:rsidR="00CB6C7F" w:rsidP="00CB6C7F" w:rsidRDefault="00A75B87" w14:paraId="455966C2" w14:textId="77777777">
      <w:pPr>
        <w:spacing w:line="276" w:lineRule="auto"/>
        <w:ind w:left="1134" w:hanging="141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8793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In artikel I, onderdeel B, </w:t>
      </w:r>
      <w:r w:rsidRPr="00F8793D" w:rsidR="00CB6C7F">
        <w:rPr>
          <w:rFonts w:ascii="Times New Roman" w:hAnsi="Times New Roman" w:cs="Times New Roman"/>
          <w:bCs/>
          <w:color w:val="auto"/>
          <w:sz w:val="24"/>
          <w:szCs w:val="24"/>
        </w:rPr>
        <w:t>komt</w:t>
      </w:r>
      <w:r w:rsidRPr="00F8793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het voorgestelde artikel Z 8 </w:t>
      </w:r>
      <w:r w:rsidRPr="00F8793D" w:rsidR="00CB6C7F">
        <w:rPr>
          <w:rFonts w:ascii="Times New Roman" w:hAnsi="Times New Roman" w:cs="Times New Roman"/>
          <w:bCs/>
          <w:color w:val="auto"/>
          <w:sz w:val="24"/>
          <w:szCs w:val="24"/>
        </w:rPr>
        <w:t>als volgt te luiden:</w:t>
      </w:r>
    </w:p>
    <w:p w:rsidRPr="00F8793D" w:rsidR="00CB6C7F" w:rsidP="00CB6C7F" w:rsidRDefault="00CB6C7F" w14:paraId="3D232665" w14:textId="77777777">
      <w:pPr>
        <w:spacing w:line="276" w:lineRule="auto"/>
        <w:ind w:left="1134" w:hanging="1418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Pr="00F8793D" w:rsidR="00CB6C7F" w:rsidP="00CB6C7F" w:rsidRDefault="00CB6C7F" w14:paraId="60E2AA87" w14:textId="77777777">
      <w:pPr>
        <w:spacing w:line="276" w:lineRule="auto"/>
        <w:ind w:left="1134" w:hanging="141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8793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Degene die opzettelijk een persoon benadert om die persoon ertoe te bewegen: </w:t>
      </w:r>
    </w:p>
    <w:p w:rsidRPr="00F8793D" w:rsidR="00CB6C7F" w:rsidP="00CB6C7F" w:rsidRDefault="00CB6C7F" w14:paraId="2B85D82D" w14:textId="22681CA1">
      <w:pPr>
        <w:pStyle w:val="Lijstaline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8793D">
        <w:rPr>
          <w:rFonts w:ascii="Times New Roman" w:hAnsi="Times New Roman" w:cs="Times New Roman"/>
          <w:bCs/>
          <w:color w:val="auto"/>
          <w:sz w:val="24"/>
          <w:szCs w:val="24"/>
        </w:rPr>
        <w:t>het formulier op zijn stempas, bestemd voor het stemmen bij volmacht als bedoeld in artikel L 14, te ondertekenen en deze pas af te geven; of</w:t>
      </w:r>
    </w:p>
    <w:p w:rsidRPr="00F8793D" w:rsidR="00CB6C7F" w:rsidP="00CB6C7F" w:rsidRDefault="00CB6C7F" w14:paraId="2C079DB9" w14:textId="77777777">
      <w:pPr>
        <w:pStyle w:val="Lijstaline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8793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een verzoekschrift als bedoeld in artikel L 8 in te dienen, </w:t>
      </w:r>
    </w:p>
    <w:p w:rsidRPr="00F8793D" w:rsidR="00CB6C7F" w:rsidP="00CB6C7F" w:rsidRDefault="00CB6C7F" w14:paraId="0B5A55C6" w14:textId="77777777">
      <w:pPr>
        <w:spacing w:line="276" w:lineRule="auto"/>
        <w:ind w:left="-284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Pr="00F8793D" w:rsidR="00CB6C7F" w:rsidP="00CB6C7F" w:rsidRDefault="00CB6C7F" w14:paraId="792C4E56" w14:textId="46F04A2C">
      <w:pPr>
        <w:spacing w:line="276" w:lineRule="auto"/>
        <w:ind w:left="-284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8793D">
        <w:rPr>
          <w:rFonts w:ascii="Times New Roman" w:hAnsi="Times New Roman" w:cs="Times New Roman"/>
          <w:bCs/>
          <w:color w:val="auto"/>
          <w:sz w:val="24"/>
          <w:szCs w:val="24"/>
        </w:rPr>
        <w:t>wordt gestraft met gevangenisstraf van ten hoogste zes maanden of geldboete van de derde categorie.</w:t>
      </w:r>
    </w:p>
    <w:p w:rsidRPr="00F8793D" w:rsidR="00ED26DE" w:rsidP="00ED26DE" w:rsidRDefault="00ED26DE" w14:paraId="4E448337" w14:textId="77777777">
      <w:pPr>
        <w:spacing w:line="276" w:lineRule="auto"/>
        <w:ind w:left="1134" w:hanging="1418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Pr="00F8793D" w:rsidR="00ED26DE" w:rsidP="00ED26DE" w:rsidRDefault="00ED26DE" w14:paraId="57575041" w14:textId="77777777">
      <w:pPr>
        <w:spacing w:line="276" w:lineRule="auto"/>
        <w:ind w:left="1134" w:hanging="1418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Pr="00F8793D" w:rsidR="00F8793D" w:rsidP="00ED26DE" w:rsidRDefault="00F8793D" w14:paraId="11A85F4B" w14:textId="77777777">
      <w:pPr>
        <w:spacing w:line="276" w:lineRule="auto"/>
        <w:ind w:left="1134" w:hanging="1418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Pr="00F8793D" w:rsidR="00ED26DE" w:rsidP="00ED26DE" w:rsidRDefault="00ED26DE" w14:paraId="3B565FE4" w14:textId="5228C0F9">
      <w:pPr>
        <w:spacing w:line="276" w:lineRule="auto"/>
        <w:ind w:left="1134" w:hanging="141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793D">
        <w:rPr>
          <w:rFonts w:ascii="Times New Roman" w:hAnsi="Times New Roman" w:cs="Times New Roman"/>
          <w:b/>
          <w:color w:val="auto"/>
          <w:sz w:val="24"/>
          <w:szCs w:val="24"/>
        </w:rPr>
        <w:t>Toelichting</w:t>
      </w:r>
    </w:p>
    <w:p w:rsidRPr="00F8793D" w:rsidR="00ED26DE" w:rsidP="00ED26DE" w:rsidRDefault="00ED26DE" w14:paraId="4820C233" w14:textId="77777777">
      <w:pPr>
        <w:spacing w:line="276" w:lineRule="auto"/>
        <w:ind w:left="1134" w:hanging="1418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Pr="00F8793D" w:rsidR="00720C4F" w:rsidP="00F8793D" w:rsidRDefault="00705F14" w14:paraId="27695A07" w14:textId="40FCEE7D">
      <w:pPr>
        <w:spacing w:line="276" w:lineRule="auto"/>
        <w:ind w:left="-284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8793D">
        <w:rPr>
          <w:rFonts w:ascii="Times New Roman" w:hAnsi="Times New Roman" w:cs="Times New Roman"/>
          <w:bCs/>
          <w:color w:val="auto"/>
          <w:sz w:val="24"/>
          <w:szCs w:val="24"/>
        </w:rPr>
        <w:t>Met</w:t>
      </w:r>
      <w:r w:rsidRPr="00F8793D" w:rsidR="00ED26D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deze nota van wijziging wordt een wetstechnisch gebrek in het voorgestelde artikel Z 8 van de</w:t>
      </w:r>
      <w:r w:rsidRPr="00F8793D" w:rsidR="00F8793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F8793D" w:rsidR="00ED26DE">
        <w:rPr>
          <w:rFonts w:ascii="Times New Roman" w:hAnsi="Times New Roman" w:cs="Times New Roman"/>
          <w:bCs/>
          <w:color w:val="auto"/>
          <w:sz w:val="24"/>
          <w:szCs w:val="24"/>
        </w:rPr>
        <w:t>Kieswet hersteld</w:t>
      </w:r>
      <w:bookmarkEnd w:id="0"/>
      <w:bookmarkEnd w:id="1"/>
      <w:bookmarkEnd w:id="2"/>
      <w:r w:rsidRPr="00F8793D" w:rsidR="00ED26D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Pr="00F8793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In de versie van het wetsvoorstel zoals deze is ingediend bij de Tweede Kamer werd in artikel Z 8 ten aanzien van de schriftelijke volmacht verwezen naar het specifieke wetsartikel, terwijl ten aanzien van de onderhandse volmacht </w:t>
      </w:r>
      <w:r w:rsidRPr="00F8793D" w:rsidR="00575C7D">
        <w:rPr>
          <w:rFonts w:ascii="Times New Roman" w:hAnsi="Times New Roman" w:cs="Times New Roman"/>
          <w:bCs/>
          <w:color w:val="auto"/>
          <w:sz w:val="24"/>
          <w:szCs w:val="24"/>
        </w:rPr>
        <w:t>was</w:t>
      </w:r>
      <w:r w:rsidRPr="00F8793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gekozen voor een omschrijving zonder</w:t>
      </w:r>
      <w:r w:rsidRPr="00F8793D" w:rsidR="00F8793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F8793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verwijzing naar het bijbehorende wetsartikel. Omwille van een eenduidige lijn is ervoor gekozen om ook ten aanzien van de onderhandse volmacht naar het specifieke wetsartikel te verwijzen. </w:t>
      </w:r>
      <w:r w:rsidRPr="00F8793D" w:rsidR="00A25314">
        <w:rPr>
          <w:rFonts w:ascii="Times New Roman" w:hAnsi="Times New Roman" w:cs="Times New Roman"/>
          <w:bCs/>
          <w:color w:val="auto"/>
          <w:sz w:val="24"/>
          <w:szCs w:val="24"/>
        </w:rPr>
        <w:t>Gelet op de leesbaarheid van het artikel is ervoor gekozen om het artikel tevens uit te splitsen in twee onderdelen.</w:t>
      </w:r>
    </w:p>
    <w:p w:rsidRPr="00F8793D" w:rsidR="00720C4F" w:rsidP="00ED26DE" w:rsidRDefault="00720C4F" w14:paraId="227308AB" w14:textId="77777777">
      <w:pPr>
        <w:spacing w:line="276" w:lineRule="auto"/>
        <w:ind w:left="1134" w:hanging="1418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Pr="00F8793D" w:rsidR="00720C4F" w:rsidP="00ED26DE" w:rsidRDefault="00720C4F" w14:paraId="1C0AF231" w14:textId="77777777">
      <w:pPr>
        <w:spacing w:line="276" w:lineRule="auto"/>
        <w:ind w:left="1134" w:hanging="1418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Pr="00F8793D" w:rsidR="00720C4F" w:rsidP="00F8793D" w:rsidRDefault="00720C4F" w14:paraId="1628E997" w14:textId="0818163D">
      <w:pPr>
        <w:pStyle w:val="Geenafstand"/>
        <w:ind w:hanging="284"/>
        <w:rPr>
          <w:rFonts w:ascii="Times New Roman" w:hAnsi="Times New Roman" w:cs="Times New Roman"/>
          <w:sz w:val="24"/>
          <w:szCs w:val="24"/>
        </w:rPr>
      </w:pPr>
      <w:r w:rsidRPr="00F8793D">
        <w:rPr>
          <w:rFonts w:ascii="Times New Roman" w:hAnsi="Times New Roman" w:cs="Times New Roman"/>
          <w:sz w:val="24"/>
          <w:szCs w:val="24"/>
        </w:rPr>
        <w:t>De minister van Binnenlandse Zaken en Koninkrijksrelaties,</w:t>
      </w:r>
    </w:p>
    <w:p w:rsidRPr="00F8793D" w:rsidR="00720C4F" w:rsidP="00F8793D" w:rsidRDefault="00720C4F" w14:paraId="3F8C3E29" w14:textId="255D1737">
      <w:pPr>
        <w:pStyle w:val="Geenafstand"/>
        <w:ind w:hanging="284"/>
        <w:rPr>
          <w:rFonts w:ascii="Times New Roman" w:hAnsi="Times New Roman" w:cs="Times New Roman"/>
          <w:sz w:val="24"/>
          <w:szCs w:val="24"/>
        </w:rPr>
      </w:pPr>
      <w:r w:rsidRPr="00F8793D">
        <w:rPr>
          <w:rFonts w:ascii="Times New Roman" w:hAnsi="Times New Roman" w:cs="Times New Roman"/>
          <w:sz w:val="24"/>
          <w:szCs w:val="24"/>
        </w:rPr>
        <w:t>J</w:t>
      </w:r>
      <w:r w:rsidRPr="00F8793D" w:rsidR="002715DC">
        <w:rPr>
          <w:rFonts w:ascii="Times New Roman" w:hAnsi="Times New Roman" w:cs="Times New Roman"/>
          <w:sz w:val="24"/>
          <w:szCs w:val="24"/>
        </w:rPr>
        <w:t xml:space="preserve">.J.M. </w:t>
      </w:r>
      <w:r w:rsidRPr="00F8793D">
        <w:rPr>
          <w:rFonts w:ascii="Times New Roman" w:hAnsi="Times New Roman" w:cs="Times New Roman"/>
          <w:sz w:val="24"/>
          <w:szCs w:val="24"/>
        </w:rPr>
        <w:t>Uitermark</w:t>
      </w:r>
    </w:p>
    <w:p w:rsidRPr="00F8793D" w:rsidR="007A208A" w:rsidP="00ED26DE" w:rsidRDefault="007A208A" w14:paraId="2A72DC0F" w14:textId="77777777">
      <w:pPr>
        <w:spacing w:line="276" w:lineRule="auto"/>
        <w:ind w:left="1134" w:hanging="1418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Pr="00F8793D" w:rsidR="007A208A" w:rsidP="00ED26DE" w:rsidRDefault="007A208A" w14:paraId="6DFC668F" w14:textId="77777777">
      <w:pPr>
        <w:spacing w:line="276" w:lineRule="auto"/>
        <w:ind w:left="1134" w:hanging="1418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Pr="00F8793D" w:rsidR="007A208A" w:rsidP="00ED26DE" w:rsidRDefault="007A208A" w14:paraId="41E95523" w14:textId="77777777">
      <w:pPr>
        <w:spacing w:line="276" w:lineRule="auto"/>
        <w:ind w:left="1134" w:hanging="1418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sectPr w:rsidRPr="00F8793D" w:rsidR="007A208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D761D"/>
    <w:multiLevelType w:val="hybridMultilevel"/>
    <w:tmpl w:val="0A06CA94"/>
    <w:lvl w:ilvl="0" w:tplc="92FE8364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60683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DE"/>
    <w:rsid w:val="00151502"/>
    <w:rsid w:val="002715DC"/>
    <w:rsid w:val="002A374D"/>
    <w:rsid w:val="004D460C"/>
    <w:rsid w:val="00575C7D"/>
    <w:rsid w:val="00705F14"/>
    <w:rsid w:val="00720C4F"/>
    <w:rsid w:val="007A208A"/>
    <w:rsid w:val="008404F5"/>
    <w:rsid w:val="009C7998"/>
    <w:rsid w:val="00A25314"/>
    <w:rsid w:val="00A75B87"/>
    <w:rsid w:val="00B4536D"/>
    <w:rsid w:val="00CB6C7F"/>
    <w:rsid w:val="00D0052A"/>
    <w:rsid w:val="00D77AC8"/>
    <w:rsid w:val="00E73917"/>
    <w:rsid w:val="00ED26DE"/>
    <w:rsid w:val="00F8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543F"/>
  <w15:chartTrackingRefBased/>
  <w15:docId w15:val="{EEADE023-380A-4F90-985D-1EA6E6D6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ED26DE"/>
    <w:pPr>
      <w:autoSpaceDN w:val="0"/>
      <w:spacing w:after="0" w:line="240" w:lineRule="atLeast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6C7F"/>
    <w:pPr>
      <w:ind w:left="720"/>
      <w:contextualSpacing/>
    </w:pPr>
  </w:style>
  <w:style w:type="paragraph" w:styleId="Geenafstand">
    <w:name w:val="No Spacing"/>
    <w:uiPriority w:val="1"/>
    <w:qFormat/>
    <w:rsid w:val="00F8793D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236</ap:Words>
  <ap:Characters>1299</ap:Characters>
  <ap:DocSecurity>0</ap:DocSecurity>
  <ap:Lines>10</ap:Lines>
  <ap:Paragraphs>3</ap:Paragraphs>
  <ap:ScaleCrop>false</ap:ScaleCrop>
  <ap:LinksUpToDate>false</ap:LinksUpToDate>
  <ap:CharactersWithSpaces>1532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2024-11-12T11:59:00.0000000Z</dcterms:created>
  <dcterms:modified xsi:type="dcterms:W3CDTF">2024-11-12T11:59:00.0000000Z</dcterms:modified>
  <version/>
  <category/>
</coreProperties>
</file>