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D01F459" w14:textId="77777777">
        <w:tc>
          <w:tcPr>
            <w:tcW w:w="6379" w:type="dxa"/>
            <w:gridSpan w:val="2"/>
            <w:tcBorders>
              <w:top w:val="nil"/>
              <w:left w:val="nil"/>
              <w:bottom w:val="nil"/>
              <w:right w:val="nil"/>
            </w:tcBorders>
            <w:vAlign w:val="center"/>
          </w:tcPr>
          <w:p w:rsidR="004330ED" w:rsidP="00EA1CE4" w:rsidRDefault="004330ED" w14:paraId="22DC44BD" w14:textId="77777777">
            <w:pPr>
              <w:pStyle w:val="Amendement"/>
              <w:tabs>
                <w:tab w:val="clear" w:pos="3310"/>
                <w:tab w:val="clear" w:pos="3600"/>
              </w:tabs>
              <w:rPr>
                <w:rFonts w:ascii="Times New Roman" w:hAnsi="Times New Roman"/>
                <w:spacing w:val="40"/>
                <w:sz w:val="22"/>
              </w:rPr>
            </w:pPr>
            <w:bookmarkStart w:name="_Hlk178318425" w:id="0"/>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745D4C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8F37E36" w14:textId="77777777">
        <w:trPr>
          <w:cantSplit/>
        </w:trPr>
        <w:tc>
          <w:tcPr>
            <w:tcW w:w="10348" w:type="dxa"/>
            <w:gridSpan w:val="3"/>
            <w:tcBorders>
              <w:top w:val="single" w:color="auto" w:sz="4" w:space="0"/>
              <w:left w:val="nil"/>
              <w:bottom w:val="nil"/>
              <w:right w:val="nil"/>
            </w:tcBorders>
          </w:tcPr>
          <w:p w:rsidR="004330ED" w:rsidP="006D7738" w:rsidRDefault="004330ED" w14:paraId="5F07CA94" w14:textId="563FF798">
            <w:pPr>
              <w:pStyle w:val="Amendement"/>
              <w:tabs>
                <w:tab w:val="clear" w:pos="3310"/>
                <w:tab w:val="clear" w:pos="3600"/>
              </w:tabs>
              <w:rPr>
                <w:rFonts w:ascii="Times New Roman" w:hAnsi="Times New Roman"/>
              </w:rPr>
            </w:pPr>
            <w:r>
              <w:rPr>
                <w:rFonts w:ascii="Times New Roman" w:hAnsi="Times New Roman"/>
                <w:b w:val="0"/>
              </w:rPr>
              <w:t>Vergaderjaar 20</w:t>
            </w:r>
            <w:r w:rsidR="00827898">
              <w:rPr>
                <w:rFonts w:ascii="Times New Roman" w:hAnsi="Times New Roman"/>
                <w:b w:val="0"/>
              </w:rPr>
              <w:t>2</w:t>
            </w:r>
            <w:r w:rsidR="00B87F58">
              <w:rPr>
                <w:rFonts w:ascii="Times New Roman" w:hAnsi="Times New Roman"/>
                <w:b w:val="0"/>
              </w:rPr>
              <w:t>4</w:t>
            </w:r>
            <w:r w:rsidR="005A6097">
              <w:rPr>
                <w:rFonts w:ascii="Times New Roman" w:hAnsi="Times New Roman"/>
                <w:b w:val="0"/>
              </w:rPr>
              <w:t>-20</w:t>
            </w:r>
            <w:r w:rsidR="00ED0585">
              <w:rPr>
                <w:rFonts w:ascii="Times New Roman" w:hAnsi="Times New Roman"/>
                <w:b w:val="0"/>
              </w:rPr>
              <w:t>2</w:t>
            </w:r>
            <w:r w:rsidR="00B87F58">
              <w:rPr>
                <w:rFonts w:ascii="Times New Roman" w:hAnsi="Times New Roman"/>
                <w:b w:val="0"/>
              </w:rPr>
              <w:t>5</w:t>
            </w:r>
          </w:p>
        </w:tc>
      </w:tr>
      <w:tr w:rsidR="004330ED" w:rsidTr="00EA1CE4" w14:paraId="1932A682" w14:textId="77777777">
        <w:trPr>
          <w:cantSplit/>
        </w:trPr>
        <w:tc>
          <w:tcPr>
            <w:tcW w:w="10348" w:type="dxa"/>
            <w:gridSpan w:val="3"/>
            <w:tcBorders>
              <w:top w:val="nil"/>
              <w:left w:val="nil"/>
              <w:bottom w:val="nil"/>
              <w:right w:val="nil"/>
            </w:tcBorders>
          </w:tcPr>
          <w:p w:rsidR="004330ED" w:rsidP="00BF623B" w:rsidRDefault="004330ED" w14:paraId="403DAD6B" w14:textId="77777777">
            <w:pPr>
              <w:pStyle w:val="Amendement"/>
              <w:tabs>
                <w:tab w:val="clear" w:pos="3310"/>
                <w:tab w:val="clear" w:pos="3600"/>
              </w:tabs>
              <w:rPr>
                <w:rFonts w:ascii="Times New Roman" w:hAnsi="Times New Roman"/>
                <w:b w:val="0"/>
              </w:rPr>
            </w:pPr>
          </w:p>
        </w:tc>
      </w:tr>
      <w:tr w:rsidR="004330ED" w:rsidTr="00EA1CE4" w14:paraId="46323DB7" w14:textId="77777777">
        <w:trPr>
          <w:cantSplit/>
        </w:trPr>
        <w:tc>
          <w:tcPr>
            <w:tcW w:w="10348" w:type="dxa"/>
            <w:gridSpan w:val="3"/>
            <w:tcBorders>
              <w:top w:val="nil"/>
              <w:left w:val="nil"/>
              <w:bottom w:val="single" w:color="auto" w:sz="4" w:space="0"/>
              <w:right w:val="nil"/>
            </w:tcBorders>
          </w:tcPr>
          <w:p w:rsidR="004330ED" w:rsidP="00BF623B" w:rsidRDefault="004330ED" w14:paraId="472A8B63" w14:textId="77777777">
            <w:pPr>
              <w:pStyle w:val="Amendement"/>
              <w:tabs>
                <w:tab w:val="clear" w:pos="3310"/>
                <w:tab w:val="clear" w:pos="3600"/>
              </w:tabs>
              <w:rPr>
                <w:rFonts w:ascii="Times New Roman" w:hAnsi="Times New Roman"/>
              </w:rPr>
            </w:pPr>
          </w:p>
        </w:tc>
      </w:tr>
      <w:tr w:rsidR="004330ED" w:rsidTr="00EA1CE4" w14:paraId="35D56D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0766CC6"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2A37B2DC" w14:textId="77777777">
            <w:pPr>
              <w:suppressAutoHyphens/>
              <w:ind w:left="-70"/>
              <w:rPr>
                <w:b/>
              </w:rPr>
            </w:pPr>
          </w:p>
        </w:tc>
      </w:tr>
      <w:tr w:rsidR="003C21AC" w:rsidTr="00EA1CE4" w14:paraId="72E859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827898" w:rsidRDefault="003F6231" w14:paraId="57E8D14E" w14:textId="364A6712">
            <w:pPr>
              <w:pStyle w:val="Amendement"/>
              <w:tabs>
                <w:tab w:val="clear" w:pos="3310"/>
                <w:tab w:val="clear" w:pos="3600"/>
              </w:tabs>
              <w:rPr>
                <w:rFonts w:ascii="Times New Roman" w:hAnsi="Times New Roman"/>
              </w:rPr>
            </w:pPr>
            <w:r>
              <w:rPr>
                <w:rFonts w:ascii="Times New Roman" w:hAnsi="Times New Roman"/>
              </w:rPr>
              <w:t>36</w:t>
            </w:r>
            <w:r w:rsidR="00B4646B">
              <w:rPr>
                <w:rFonts w:ascii="Times New Roman" w:hAnsi="Times New Roman"/>
              </w:rPr>
              <w:t xml:space="preserve"> </w:t>
            </w:r>
            <w:r>
              <w:rPr>
                <w:rFonts w:ascii="Times New Roman" w:hAnsi="Times New Roman"/>
              </w:rPr>
              <w:t>602</w:t>
            </w:r>
          </w:p>
        </w:tc>
        <w:tc>
          <w:tcPr>
            <w:tcW w:w="7371" w:type="dxa"/>
            <w:gridSpan w:val="2"/>
          </w:tcPr>
          <w:p w:rsidRPr="00C035D4" w:rsidR="003C21AC" w:rsidP="008413F4" w:rsidRDefault="00BF76E5" w14:paraId="19B2941A" w14:textId="3DE2CBDC">
            <w:pPr>
              <w:ind w:left="-70"/>
              <w:rPr>
                <w:b/>
              </w:rPr>
            </w:pPr>
            <w:r w:rsidRPr="00C035D4">
              <w:rPr>
                <w:b/>
              </w:rPr>
              <w:fldChar w:fldCharType="begin"/>
            </w:r>
            <w:r w:rsidRPr="00C035D4" w:rsidR="001656EE">
              <w:rPr>
                <w:b/>
              </w:rPr>
              <w:instrText xml:space="preserve"> =  \* MERGEFORMAT </w:instrText>
            </w:r>
            <w:r w:rsidRPr="00C035D4">
              <w:rPr>
                <w:b/>
              </w:rPr>
              <w:fldChar w:fldCharType="separate"/>
            </w:r>
            <w:r w:rsidRPr="00941C3A" w:rsidR="00941C3A">
              <w:rPr>
                <w:b/>
                <w:noProof/>
              </w:rPr>
              <w:t xml:space="preserve">Wijziging van enkele belastingwetten en enige </w:t>
            </w:r>
            <w:r w:rsidR="00ED0585">
              <w:rPr>
                <w:b/>
                <w:noProof/>
              </w:rPr>
              <w:t>a</w:t>
            </w:r>
            <w:r w:rsidR="006D7738">
              <w:rPr>
                <w:b/>
                <w:noProof/>
              </w:rPr>
              <w:t>ndere wetten (Belastingplan 202</w:t>
            </w:r>
            <w:r w:rsidR="00B87F58">
              <w:rPr>
                <w:b/>
                <w:noProof/>
              </w:rPr>
              <w:t>5</w:t>
            </w:r>
            <w:r w:rsidRPr="00941C3A" w:rsidR="00941C3A">
              <w:rPr>
                <w:b/>
                <w:noProof/>
              </w:rPr>
              <w:t>)</w:t>
            </w:r>
            <w:r w:rsidRPr="00C035D4">
              <w:rPr>
                <w:b/>
              </w:rPr>
              <w:fldChar w:fldCharType="end"/>
            </w:r>
          </w:p>
        </w:tc>
      </w:tr>
      <w:tr w:rsidR="003C21AC" w:rsidTr="00EA1CE4" w14:paraId="1BA251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6AF020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2ECA5D3" w14:textId="77777777">
            <w:pPr>
              <w:pStyle w:val="Amendement"/>
              <w:tabs>
                <w:tab w:val="clear" w:pos="3310"/>
                <w:tab w:val="clear" w:pos="3600"/>
              </w:tabs>
              <w:ind w:left="-70"/>
              <w:rPr>
                <w:rFonts w:ascii="Times New Roman" w:hAnsi="Times New Roman"/>
              </w:rPr>
            </w:pPr>
          </w:p>
        </w:tc>
      </w:tr>
      <w:tr w:rsidR="003C21AC" w:rsidTr="00EA1CE4" w14:paraId="081E6A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D26A17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E0C4777" w14:textId="77777777">
            <w:pPr>
              <w:pStyle w:val="Amendement"/>
              <w:tabs>
                <w:tab w:val="clear" w:pos="3310"/>
                <w:tab w:val="clear" w:pos="3600"/>
              </w:tabs>
              <w:ind w:left="-70"/>
              <w:rPr>
                <w:rFonts w:ascii="Times New Roman" w:hAnsi="Times New Roman"/>
              </w:rPr>
            </w:pPr>
          </w:p>
        </w:tc>
      </w:tr>
      <w:tr w:rsidR="003C21AC" w:rsidTr="00EA1CE4" w14:paraId="2229C4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1F37099" w14:textId="66345D47">
            <w:pPr>
              <w:pStyle w:val="Amendement"/>
              <w:tabs>
                <w:tab w:val="clear" w:pos="3310"/>
                <w:tab w:val="clear" w:pos="3600"/>
              </w:tabs>
              <w:rPr>
                <w:rFonts w:ascii="Times New Roman" w:hAnsi="Times New Roman"/>
              </w:rPr>
            </w:pPr>
            <w:r w:rsidRPr="00C035D4">
              <w:rPr>
                <w:rFonts w:ascii="Times New Roman" w:hAnsi="Times New Roman"/>
              </w:rPr>
              <w:t xml:space="preserve">Nr. </w:t>
            </w:r>
            <w:r w:rsidR="00C31D39">
              <w:rPr>
                <w:rFonts w:ascii="Times New Roman" w:hAnsi="Times New Roman"/>
                <w:caps/>
              </w:rPr>
              <w:t>59</w:t>
            </w:r>
          </w:p>
        </w:tc>
        <w:tc>
          <w:tcPr>
            <w:tcW w:w="7371" w:type="dxa"/>
            <w:gridSpan w:val="2"/>
          </w:tcPr>
          <w:p w:rsidRPr="00C035D4" w:rsidR="003C21AC" w:rsidP="006E0971" w:rsidRDefault="003C21AC" w14:paraId="43334D50" w14:textId="1131C6E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E15CAD">
              <w:rPr>
                <w:rFonts w:ascii="Times New Roman" w:hAnsi="Times New Roman"/>
                <w:caps/>
              </w:rPr>
              <w:t>VERMEER</w:t>
            </w:r>
          </w:p>
        </w:tc>
      </w:tr>
      <w:tr w:rsidR="003C21AC" w:rsidTr="00EA1CE4" w14:paraId="68CC74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767961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BF6DEC2" w14:textId="74B3B0BC">
            <w:pPr>
              <w:pStyle w:val="Amendement"/>
              <w:tabs>
                <w:tab w:val="clear" w:pos="3310"/>
                <w:tab w:val="clear" w:pos="3600"/>
              </w:tabs>
              <w:ind w:left="-70"/>
              <w:rPr>
                <w:rFonts w:ascii="Times New Roman" w:hAnsi="Times New Roman"/>
              </w:rPr>
            </w:pPr>
            <w:r>
              <w:rPr>
                <w:rFonts w:ascii="Times New Roman" w:hAnsi="Times New Roman"/>
                <w:b w:val="0"/>
              </w:rPr>
              <w:t>Ontvangen</w:t>
            </w:r>
            <w:r w:rsidR="0082292E">
              <w:rPr>
                <w:rFonts w:ascii="Times New Roman" w:hAnsi="Times New Roman"/>
                <w:b w:val="0"/>
              </w:rPr>
              <w:t xml:space="preserve"> 7 november 2024</w:t>
            </w:r>
          </w:p>
        </w:tc>
      </w:tr>
      <w:tr w:rsidR="00B01BA6" w:rsidTr="00EA1CE4" w14:paraId="7899AE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69DF29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46F9AFC" w14:textId="77777777">
            <w:pPr>
              <w:pStyle w:val="Amendement"/>
              <w:tabs>
                <w:tab w:val="clear" w:pos="3310"/>
                <w:tab w:val="clear" w:pos="3600"/>
              </w:tabs>
              <w:ind w:left="-70"/>
              <w:rPr>
                <w:rFonts w:ascii="Times New Roman" w:hAnsi="Times New Roman"/>
                <w:b w:val="0"/>
              </w:rPr>
            </w:pPr>
          </w:p>
        </w:tc>
      </w:tr>
      <w:tr w:rsidRPr="00EA69AC" w:rsidR="00B01BA6" w:rsidTr="00EA1CE4" w14:paraId="134AA1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AC7851E" w14:textId="77777777">
            <w:pPr>
              <w:ind w:firstLine="284"/>
            </w:pPr>
            <w:r w:rsidRPr="00EA69AC">
              <w:t>De ondergetekende stelt het volgende amendement voor:</w:t>
            </w:r>
          </w:p>
        </w:tc>
      </w:tr>
    </w:tbl>
    <w:p w:rsidR="00850FFD" w:rsidP="00D774B3" w:rsidRDefault="00850FFD" w14:paraId="68C8F36C" w14:textId="77777777">
      <w:pPr>
        <w:rPr>
          <w:i/>
          <w:iCs/>
        </w:rPr>
      </w:pPr>
    </w:p>
    <w:p w:rsidR="0018584B" w:rsidP="003F538F" w:rsidRDefault="005C30B7" w14:paraId="50BD5167" w14:textId="50582357">
      <w:pPr>
        <w:ind w:firstLine="284"/>
      </w:pPr>
      <w:r>
        <w:t>In</w:t>
      </w:r>
      <w:r w:rsidR="00E15CAD">
        <w:t xml:space="preserve"> </w:t>
      </w:r>
      <w:r w:rsidRPr="005C30B7" w:rsidR="0018584B">
        <w:t xml:space="preserve">artikel </w:t>
      </w:r>
      <w:r w:rsidRPr="005C30B7" w:rsidR="00E15CAD">
        <w:t>LVI</w:t>
      </w:r>
      <w:r>
        <w:t xml:space="preserve"> wordt na </w:t>
      </w:r>
      <w:r w:rsidR="00850FFD">
        <w:t>onderdeel A een onderdeel ingevoegd, luidende</w:t>
      </w:r>
      <w:r w:rsidR="0018584B">
        <w:t>:</w:t>
      </w:r>
    </w:p>
    <w:p w:rsidR="0018584B" w:rsidP="00BF623B" w:rsidRDefault="0018584B" w14:paraId="65DD89E4" w14:textId="77777777"/>
    <w:p w:rsidRPr="00E15CAD" w:rsidR="00E15CAD" w:rsidP="00237CFA" w:rsidRDefault="00E15CAD" w14:paraId="71237094" w14:textId="6B437C49">
      <w:r w:rsidRPr="00850FFD">
        <w:t>A</w:t>
      </w:r>
      <w:r w:rsidRPr="00850FFD" w:rsidR="00850FFD">
        <w:t>a</w:t>
      </w:r>
    </w:p>
    <w:p w:rsidR="00E15CAD" w:rsidP="00237CFA" w:rsidRDefault="00E15CAD" w14:paraId="3EEADC40" w14:textId="77777777">
      <w:pPr>
        <w:rPr>
          <w:b/>
          <w:bCs/>
        </w:rPr>
      </w:pPr>
    </w:p>
    <w:p w:rsidRPr="00850FFD" w:rsidR="00E15CAD" w:rsidP="00237CFA" w:rsidRDefault="00E15CAD" w14:paraId="7AABCD7F" w14:textId="2465AB8E">
      <w:r>
        <w:rPr>
          <w:b/>
          <w:bCs/>
        </w:rPr>
        <w:tab/>
      </w:r>
      <w:r w:rsidRPr="00850FFD">
        <w:t>Artikel XX, onderdelen A, C en D</w:t>
      </w:r>
      <w:r w:rsidR="00BF4CC1">
        <w:t>,</w:t>
      </w:r>
      <w:r w:rsidRPr="00850FFD">
        <w:t xml:space="preserve"> verval</w:t>
      </w:r>
      <w:r w:rsidR="00BF4CC1">
        <w:t>t</w:t>
      </w:r>
      <w:r w:rsidRPr="00850FFD">
        <w:t xml:space="preserve">. </w:t>
      </w:r>
    </w:p>
    <w:p w:rsidR="00E15CAD" w:rsidP="00237CFA" w:rsidRDefault="00E15CAD" w14:paraId="36B602AF" w14:textId="77777777">
      <w:pPr>
        <w:rPr>
          <w:b/>
          <w:bCs/>
        </w:rPr>
      </w:pPr>
    </w:p>
    <w:p w:rsidRPr="002850CC" w:rsidR="003C21AC" w:rsidP="002850CC" w:rsidRDefault="003C21AC" w14:paraId="3DD119C9" w14:textId="41B83EB5">
      <w:pPr>
        <w:widowControl/>
        <w:rPr>
          <w:b/>
        </w:rPr>
      </w:pPr>
      <w:bookmarkStart w:name="_Hlk178260638" w:id="1"/>
      <w:r w:rsidRPr="00BC6776">
        <w:rPr>
          <w:b/>
          <w:szCs w:val="24"/>
        </w:rPr>
        <w:t>Toelichting</w:t>
      </w:r>
    </w:p>
    <w:p w:rsidRPr="00BC6776" w:rsidR="003C21AC" w:rsidP="00BF623B" w:rsidRDefault="003C21AC" w14:paraId="19D711D5" w14:textId="77777777">
      <w:pPr>
        <w:rPr>
          <w:szCs w:val="24"/>
        </w:rPr>
      </w:pPr>
    </w:p>
    <w:p w:rsidRPr="00BC6776" w:rsidR="003F538F" w:rsidP="003F538F" w:rsidRDefault="003F538F" w14:paraId="3604A0A7" w14:textId="7A0E0572">
      <w:pPr>
        <w:widowControl/>
        <w:rPr>
          <w:i/>
          <w:iCs/>
          <w:szCs w:val="24"/>
        </w:rPr>
      </w:pPr>
      <w:r w:rsidRPr="00BC6776">
        <w:rPr>
          <w:i/>
          <w:iCs/>
          <w:szCs w:val="24"/>
        </w:rPr>
        <w:t>Algemeen deel</w:t>
      </w:r>
    </w:p>
    <w:p w:rsidR="003F538F" w:rsidP="00191DA0" w:rsidRDefault="003F538F" w14:paraId="5998C6EF" w14:textId="77777777">
      <w:pPr>
        <w:rPr>
          <w:szCs w:val="24"/>
        </w:rPr>
      </w:pPr>
    </w:p>
    <w:p w:rsidRPr="002850CC" w:rsidR="002850CC" w:rsidP="002850CC" w:rsidRDefault="002850CC" w14:paraId="1047291F" w14:textId="2A8583AC">
      <w:pPr>
        <w:rPr>
          <w:szCs w:val="24"/>
        </w:rPr>
      </w:pPr>
      <w:r w:rsidRPr="002850CC">
        <w:rPr>
          <w:szCs w:val="24"/>
        </w:rPr>
        <w:t xml:space="preserve">In het Belastingplan 2024 is besloten om de LPG-G3 kortingsregeling af te schaffen per 1 januari 2026.  </w:t>
      </w:r>
      <w:r w:rsidR="005C30B7">
        <w:rPr>
          <w:szCs w:val="24"/>
        </w:rPr>
        <w:t>Indiener wil deze korting met dit amendement juist handhaven.</w:t>
      </w:r>
    </w:p>
    <w:p w:rsidRPr="002850CC" w:rsidR="002850CC" w:rsidP="002850CC" w:rsidRDefault="002850CC" w14:paraId="15014981" w14:textId="77777777">
      <w:pPr>
        <w:rPr>
          <w:szCs w:val="24"/>
        </w:rPr>
      </w:pPr>
      <w:r w:rsidRPr="002850CC">
        <w:rPr>
          <w:szCs w:val="24"/>
        </w:rPr>
        <w:t xml:space="preserve"> </w:t>
      </w:r>
    </w:p>
    <w:p w:rsidR="002850CC" w:rsidP="002850CC" w:rsidRDefault="002850CC" w14:paraId="03CAEC6B" w14:textId="1F33E138">
      <w:pPr>
        <w:rPr>
          <w:szCs w:val="24"/>
        </w:rPr>
      </w:pPr>
      <w:r w:rsidRPr="002850CC">
        <w:rPr>
          <w:szCs w:val="24"/>
        </w:rPr>
        <w:t>Het afschaffen van de LPG-G3 kortingsregeling per 1 januari 2026 heeft als gevolg dat juist</w:t>
      </w:r>
      <w:r w:rsidR="005C30B7">
        <w:rPr>
          <w:szCs w:val="24"/>
        </w:rPr>
        <w:t xml:space="preserve"> wordt</w:t>
      </w:r>
      <w:r w:rsidRPr="002850CC">
        <w:rPr>
          <w:szCs w:val="24"/>
        </w:rPr>
        <w:t xml:space="preserve"> ingaan tegen allerlei andere doelstellingen die </w:t>
      </w:r>
      <w:r w:rsidR="005C30B7">
        <w:rPr>
          <w:szCs w:val="24"/>
        </w:rPr>
        <w:t xml:space="preserve">bestaan </w:t>
      </w:r>
      <w:r w:rsidRPr="002850CC">
        <w:rPr>
          <w:szCs w:val="24"/>
        </w:rPr>
        <w:t xml:space="preserve">om auto's te vergroenen. Andere Europese landen propageren LPG juist op dit moment, in plaats van dit op deze manier te demotiveren. Daarnaast is het ook zo dat op deze manier eigenlijk naar de milieunormen van de jaren negentig </w:t>
      </w:r>
      <w:r w:rsidR="005C30B7">
        <w:rPr>
          <w:szCs w:val="24"/>
        </w:rPr>
        <w:t xml:space="preserve">wordt </w:t>
      </w:r>
      <w:r w:rsidRPr="002850CC">
        <w:rPr>
          <w:szCs w:val="24"/>
        </w:rPr>
        <w:t xml:space="preserve">teruggaan. Wat op het oog een fiscale vereenvoudiging is, gaat hier recht tegen alle andere doelen in die op dit moment in ons beleid </w:t>
      </w:r>
      <w:r w:rsidR="005C30B7">
        <w:rPr>
          <w:szCs w:val="24"/>
        </w:rPr>
        <w:t>zijn gesteld</w:t>
      </w:r>
      <w:r w:rsidRPr="002850CC">
        <w:rPr>
          <w:szCs w:val="24"/>
        </w:rPr>
        <w:t xml:space="preserve">. </w:t>
      </w:r>
    </w:p>
    <w:p w:rsidR="002850CC" w:rsidP="002850CC" w:rsidRDefault="002850CC" w14:paraId="16218A18" w14:textId="77777777">
      <w:pPr>
        <w:rPr>
          <w:szCs w:val="24"/>
        </w:rPr>
      </w:pPr>
    </w:p>
    <w:p w:rsidRPr="002850CC" w:rsidR="002850CC" w:rsidP="002850CC" w:rsidRDefault="002850CC" w14:paraId="2094801B" w14:textId="4D5CBF93">
      <w:pPr>
        <w:rPr>
          <w:szCs w:val="24"/>
        </w:rPr>
      </w:pPr>
      <w:r w:rsidRPr="002850CC">
        <w:rPr>
          <w:szCs w:val="24"/>
        </w:rPr>
        <w:t xml:space="preserve">Het behouden van de LPG-G3 kortingsregeling zou het volgende opleveren:  </w:t>
      </w:r>
    </w:p>
    <w:p w:rsidRPr="002850CC" w:rsidR="002850CC" w:rsidP="002850CC" w:rsidRDefault="002850CC" w14:paraId="7C034846" w14:textId="2453D618">
      <w:pPr>
        <w:rPr>
          <w:szCs w:val="24"/>
        </w:rPr>
      </w:pPr>
      <w:r w:rsidRPr="002850CC">
        <w:rPr>
          <w:szCs w:val="24"/>
        </w:rPr>
        <w:t>Betaalbare mobiliteit</w:t>
      </w:r>
      <w:r w:rsidR="005C30B7">
        <w:rPr>
          <w:szCs w:val="24"/>
        </w:rPr>
        <w:t xml:space="preserve">: </w:t>
      </w:r>
      <w:r w:rsidRPr="002850CC">
        <w:rPr>
          <w:szCs w:val="24"/>
        </w:rPr>
        <w:t xml:space="preserve">De mobiliteit in Nederland wordt voor heel veel mensen steeds onbetaalbaarder. Door behoud van de kortingsregeling blijft mobiliteit betaalbaar voor de bijna 100.000 LPG-rijders. </w:t>
      </w:r>
    </w:p>
    <w:p w:rsidRPr="002850CC" w:rsidR="002850CC" w:rsidP="002850CC" w:rsidRDefault="002850CC" w14:paraId="24F895AD" w14:textId="77777777">
      <w:pPr>
        <w:rPr>
          <w:szCs w:val="24"/>
        </w:rPr>
      </w:pPr>
      <w:r w:rsidRPr="002850CC">
        <w:rPr>
          <w:szCs w:val="24"/>
        </w:rPr>
        <w:t xml:space="preserve">  </w:t>
      </w:r>
    </w:p>
    <w:p w:rsidRPr="002850CC" w:rsidR="002850CC" w:rsidP="002850CC" w:rsidRDefault="002850CC" w14:paraId="6F92C538" w14:textId="033BC727">
      <w:pPr>
        <w:rPr>
          <w:szCs w:val="24"/>
        </w:rPr>
      </w:pPr>
      <w:r w:rsidRPr="002850CC">
        <w:rPr>
          <w:szCs w:val="24"/>
        </w:rPr>
        <w:t>Minder CO2- en fijnstofuitstoot</w:t>
      </w:r>
      <w:r w:rsidR="005C30B7">
        <w:rPr>
          <w:szCs w:val="24"/>
        </w:rPr>
        <w:t xml:space="preserve">: </w:t>
      </w:r>
      <w:r w:rsidRPr="002850CC">
        <w:rPr>
          <w:szCs w:val="24"/>
        </w:rPr>
        <w:t xml:space="preserve">Door op LPG te (gaan) rijden in plaats van op benzine wordt de uitstoot van CO2 en fijnstof aanzienlijk verminderd, omdat rijden op LPG schoner is. Bij het verlies van de korting op de mrb voor LPG rijders zal naar alle waarschijnlijkheid de helft of zelfs meer van de mensen besluiten het LPG systeem te laten </w:t>
      </w:r>
      <w:r w:rsidR="005C30B7">
        <w:rPr>
          <w:szCs w:val="24"/>
        </w:rPr>
        <w:t>weghalen</w:t>
      </w:r>
      <w:r w:rsidRPr="002850CC" w:rsidR="005C30B7">
        <w:rPr>
          <w:szCs w:val="24"/>
        </w:rPr>
        <w:t xml:space="preserve"> </w:t>
      </w:r>
      <w:r w:rsidRPr="002850CC">
        <w:rPr>
          <w:szCs w:val="24"/>
        </w:rPr>
        <w:t xml:space="preserve">en (weer) op benzine gaan rijden. Het afschaffen van de korting heeft dus meer uitstoot van schadelijke stoffen tot gevolg. In het buitenland, bijvoorbeeld </w:t>
      </w:r>
      <w:r w:rsidRPr="002850CC" w:rsidR="005C30B7">
        <w:rPr>
          <w:szCs w:val="24"/>
        </w:rPr>
        <w:t>Italië</w:t>
      </w:r>
      <w:r w:rsidRPr="002850CC">
        <w:rPr>
          <w:szCs w:val="24"/>
        </w:rPr>
        <w:t xml:space="preserve"> en Spanje</w:t>
      </w:r>
      <w:r w:rsidR="005C30B7">
        <w:rPr>
          <w:szCs w:val="24"/>
        </w:rPr>
        <w:t>,</w:t>
      </w:r>
      <w:r w:rsidRPr="002850CC">
        <w:rPr>
          <w:szCs w:val="24"/>
        </w:rPr>
        <w:t xml:space="preserve"> wordt het juist aantrekkelijker gemaakt om op LPG te gaan rijden met behulp van incentives en andere voordelen. </w:t>
      </w:r>
    </w:p>
    <w:p w:rsidRPr="002850CC" w:rsidR="002850CC" w:rsidP="002850CC" w:rsidRDefault="002850CC" w14:paraId="1202E496" w14:textId="3905D02A">
      <w:pPr>
        <w:rPr>
          <w:szCs w:val="24"/>
        </w:rPr>
      </w:pPr>
      <w:r w:rsidRPr="002850CC">
        <w:rPr>
          <w:szCs w:val="24"/>
        </w:rPr>
        <w:t xml:space="preserve">    </w:t>
      </w:r>
    </w:p>
    <w:p w:rsidRPr="002850CC" w:rsidR="002850CC" w:rsidP="002850CC" w:rsidRDefault="002850CC" w14:paraId="1407FB4D" w14:textId="58AEB446">
      <w:pPr>
        <w:rPr>
          <w:szCs w:val="24"/>
        </w:rPr>
      </w:pPr>
      <w:r w:rsidRPr="002850CC">
        <w:rPr>
          <w:szCs w:val="24"/>
        </w:rPr>
        <w:t>Behoud controle op uitstoot</w:t>
      </w:r>
      <w:r w:rsidR="005C30B7">
        <w:rPr>
          <w:szCs w:val="24"/>
        </w:rPr>
        <w:t xml:space="preserve">: </w:t>
      </w:r>
      <w:r w:rsidRPr="002850CC">
        <w:rPr>
          <w:szCs w:val="24"/>
        </w:rPr>
        <w:t xml:space="preserve">Als de G3 regeling wordt afgeschaft kan de emissiecontrole niet meer worden gegarandeerd, wat wildgroei gaat bevorderen, </w:t>
      </w:r>
      <w:r w:rsidR="005C30B7">
        <w:rPr>
          <w:szCs w:val="24"/>
        </w:rPr>
        <w:t>en waarmee</w:t>
      </w:r>
      <w:r w:rsidRPr="002850CC">
        <w:rPr>
          <w:szCs w:val="24"/>
        </w:rPr>
        <w:t xml:space="preserve"> dan 30 jaar terug in de tijd</w:t>
      </w:r>
      <w:r w:rsidR="005C30B7">
        <w:rPr>
          <w:szCs w:val="24"/>
        </w:rPr>
        <w:t xml:space="preserve"> wordt gegaan</w:t>
      </w:r>
      <w:r w:rsidRPr="002850CC">
        <w:rPr>
          <w:szCs w:val="24"/>
        </w:rPr>
        <w:t xml:space="preserve">. De investeringen om tot het huidige niveau te komen zijn dan weggegooid, terwijl deze investeringen nu de mogelijkheid geven voor een duurzamer wagenpark.  </w:t>
      </w:r>
    </w:p>
    <w:p w:rsidRPr="002850CC" w:rsidR="002850CC" w:rsidP="002850CC" w:rsidRDefault="002850CC" w14:paraId="11408447" w14:textId="77777777">
      <w:pPr>
        <w:rPr>
          <w:szCs w:val="24"/>
        </w:rPr>
      </w:pPr>
      <w:r w:rsidRPr="002850CC">
        <w:rPr>
          <w:szCs w:val="24"/>
        </w:rPr>
        <w:lastRenderedPageBreak/>
        <w:t xml:space="preserve">  </w:t>
      </w:r>
    </w:p>
    <w:p w:rsidRPr="002850CC" w:rsidR="002850CC" w:rsidP="002850CC" w:rsidRDefault="002850CC" w14:paraId="731F6052" w14:textId="5093E2DC">
      <w:pPr>
        <w:rPr>
          <w:szCs w:val="24"/>
        </w:rPr>
      </w:pPr>
      <w:r w:rsidRPr="002850CC">
        <w:rPr>
          <w:szCs w:val="24"/>
        </w:rPr>
        <w:t>Behoud investeringen bedrijven</w:t>
      </w:r>
      <w:r w:rsidR="005C30B7">
        <w:rPr>
          <w:szCs w:val="24"/>
        </w:rPr>
        <w:t xml:space="preserve">: </w:t>
      </w:r>
      <w:r w:rsidRPr="002850CC">
        <w:rPr>
          <w:szCs w:val="24"/>
        </w:rPr>
        <w:t xml:space="preserve">Nederlandse bedrijven die zorgen voor werkgelegenheid en geïnvesteerd hebben in duurzaamheid, zouden juist de kans moeten krijgen om het wagenpark verder te verduurzamen in plaats van dat ze door het afschaffen van de korting in de kou komen te staan. </w:t>
      </w:r>
    </w:p>
    <w:p w:rsidRPr="002850CC" w:rsidR="002850CC" w:rsidP="002850CC" w:rsidRDefault="002850CC" w14:paraId="15BF2367" w14:textId="77777777">
      <w:pPr>
        <w:rPr>
          <w:szCs w:val="24"/>
        </w:rPr>
      </w:pPr>
      <w:r w:rsidRPr="002850CC">
        <w:rPr>
          <w:szCs w:val="24"/>
        </w:rPr>
        <w:t xml:space="preserve">   </w:t>
      </w:r>
    </w:p>
    <w:p w:rsidR="00BF4CC1" w:rsidP="002850CC" w:rsidRDefault="002850CC" w14:paraId="66CB1E7B" w14:textId="29839B4C">
      <w:pPr>
        <w:rPr>
          <w:szCs w:val="24"/>
        </w:rPr>
      </w:pPr>
      <w:r w:rsidRPr="002850CC">
        <w:rPr>
          <w:szCs w:val="24"/>
        </w:rPr>
        <w:t xml:space="preserve">Zo </w:t>
      </w:r>
      <w:r w:rsidR="005C30B7">
        <w:rPr>
          <w:szCs w:val="24"/>
        </w:rPr>
        <w:t>kan</w:t>
      </w:r>
      <w:r w:rsidRPr="002850CC" w:rsidR="005C30B7">
        <w:rPr>
          <w:szCs w:val="24"/>
        </w:rPr>
        <w:t xml:space="preserve"> </w:t>
      </w:r>
      <w:r w:rsidRPr="002850CC">
        <w:rPr>
          <w:szCs w:val="24"/>
        </w:rPr>
        <w:t>een duurzamer en betaalbaarder wagenpark</w:t>
      </w:r>
      <w:r w:rsidR="005C30B7">
        <w:rPr>
          <w:szCs w:val="24"/>
        </w:rPr>
        <w:t xml:space="preserve"> ontwikkeld</w:t>
      </w:r>
      <w:r w:rsidRPr="002850CC">
        <w:rPr>
          <w:szCs w:val="24"/>
        </w:rPr>
        <w:t xml:space="preserve"> blijven </w:t>
      </w:r>
      <w:r w:rsidR="005C30B7">
        <w:rPr>
          <w:szCs w:val="24"/>
        </w:rPr>
        <w:t>worden</w:t>
      </w:r>
      <w:r w:rsidRPr="002850CC">
        <w:rPr>
          <w:szCs w:val="24"/>
        </w:rPr>
        <w:t>.</w:t>
      </w:r>
    </w:p>
    <w:p w:rsidRPr="00BC6776" w:rsidR="002850CC" w:rsidP="002850CC" w:rsidRDefault="002850CC" w14:paraId="3F38F33E" w14:textId="77777777">
      <w:pPr>
        <w:rPr>
          <w:szCs w:val="24"/>
        </w:rPr>
      </w:pPr>
    </w:p>
    <w:p w:rsidR="00E81F7B" w:rsidP="0095613F" w:rsidRDefault="003F538F" w14:paraId="2AF282A6" w14:textId="508E8F14">
      <w:pPr>
        <w:rPr>
          <w:szCs w:val="24"/>
          <w:u w:val="single"/>
        </w:rPr>
      </w:pPr>
      <w:r w:rsidRPr="00BC6776">
        <w:rPr>
          <w:szCs w:val="24"/>
          <w:u w:val="single"/>
        </w:rPr>
        <w:t>Budgettaire gevolgen</w:t>
      </w:r>
      <w:r w:rsidRPr="00BC6776" w:rsidR="00D7765E">
        <w:rPr>
          <w:szCs w:val="24"/>
          <w:u w:val="single"/>
        </w:rPr>
        <w:t xml:space="preserve"> in prijzen 2026</w:t>
      </w:r>
    </w:p>
    <w:p w:rsidR="00E81F7B" w:rsidP="0095613F" w:rsidRDefault="00E81F7B" w14:paraId="7DEE126C" w14:textId="4D9242C1">
      <w:pPr>
        <w:rPr>
          <w:szCs w:val="24"/>
          <w:u w:val="single"/>
        </w:rPr>
      </w:pPr>
    </w:p>
    <w:p w:rsidR="00E81F7B" w:rsidP="0095613F" w:rsidRDefault="00E81F7B" w14:paraId="584CED70" w14:textId="71C3D4B3">
      <w:pPr>
        <w:rPr>
          <w:szCs w:val="24"/>
        </w:rPr>
      </w:pPr>
      <w:r>
        <w:rPr>
          <w:szCs w:val="24"/>
        </w:rPr>
        <w:t xml:space="preserve">Zoals aangegeven door het </w:t>
      </w:r>
      <w:r w:rsidR="005C30B7">
        <w:rPr>
          <w:szCs w:val="24"/>
        </w:rPr>
        <w:t>M</w:t>
      </w:r>
      <w:r>
        <w:rPr>
          <w:szCs w:val="24"/>
        </w:rPr>
        <w:t xml:space="preserve">inisterie van </w:t>
      </w:r>
      <w:r w:rsidR="005C30B7">
        <w:rPr>
          <w:szCs w:val="24"/>
        </w:rPr>
        <w:t>Financiën</w:t>
      </w:r>
      <w:r>
        <w:rPr>
          <w:szCs w:val="24"/>
        </w:rPr>
        <w:t xml:space="preserve">: </w:t>
      </w:r>
    </w:p>
    <w:p w:rsidRPr="00E81F7B" w:rsidR="00E81F7B" w:rsidP="0095613F" w:rsidRDefault="00E81F7B" w14:paraId="1CF3A365" w14:textId="77777777">
      <w:pPr>
        <w:rPr>
          <w:szCs w:val="24"/>
        </w:rPr>
      </w:pPr>
    </w:p>
    <w:tbl>
      <w:tblPr>
        <w:tblW w:w="9212" w:type="dxa"/>
        <w:tblLayout w:type="fixed"/>
        <w:tblCellMar>
          <w:left w:w="70" w:type="dxa"/>
          <w:right w:w="70" w:type="dxa"/>
        </w:tblCellMar>
        <w:tblLook w:val="04A0" w:firstRow="1" w:lastRow="0" w:firstColumn="1" w:lastColumn="0" w:noHBand="0" w:noVBand="1"/>
      </w:tblPr>
      <w:tblGrid>
        <w:gridCol w:w="3756"/>
        <w:gridCol w:w="1091"/>
        <w:gridCol w:w="1091"/>
        <w:gridCol w:w="1091"/>
        <w:gridCol w:w="1091"/>
        <w:gridCol w:w="1092"/>
      </w:tblGrid>
      <w:tr w:rsidRPr="00BC6776" w:rsidR="00BF4CC1" w:rsidTr="004A7A97" w14:paraId="1BF97B58" w14:textId="77777777">
        <w:trPr>
          <w:trHeight w:val="315"/>
        </w:trPr>
        <w:tc>
          <w:tcPr>
            <w:tcW w:w="3756" w:type="dxa"/>
            <w:tcBorders>
              <w:top w:val="single" w:color="7BA0CD" w:sz="8" w:space="0"/>
              <w:left w:val="single" w:color="7BA0CD" w:sz="8" w:space="0"/>
              <w:right w:val="nil"/>
            </w:tcBorders>
            <w:shd w:val="clear" w:color="000000" w:fill="4F81BD"/>
            <w:noWrap/>
            <w:vAlign w:val="center"/>
            <w:hideMark/>
          </w:tcPr>
          <w:p w:rsidRPr="00BC6776" w:rsidR="00BF4CC1" w:rsidP="004A7A97" w:rsidRDefault="00BF4CC1" w14:paraId="4AC7D1FC" w14:textId="77777777">
            <w:pPr>
              <w:rPr>
                <w:rFonts w:cs="Calibri"/>
                <w:b/>
                <w:bCs/>
                <w:color w:val="FFFFFF"/>
                <w:szCs w:val="24"/>
              </w:rPr>
            </w:pPr>
            <w:r w:rsidRPr="00BC6776">
              <w:rPr>
                <w:rFonts w:cs="Calibri"/>
                <w:b/>
                <w:bCs/>
                <w:color w:val="FFFFFF"/>
                <w:szCs w:val="24"/>
              </w:rPr>
              <w:t>(Bedragen in mln euro)</w:t>
            </w:r>
          </w:p>
        </w:tc>
        <w:tc>
          <w:tcPr>
            <w:tcW w:w="1091" w:type="dxa"/>
            <w:tcBorders>
              <w:top w:val="single" w:color="7BA0CD" w:sz="8" w:space="0"/>
              <w:left w:val="single" w:color="7BA0CD" w:sz="8" w:space="0"/>
              <w:right w:val="nil"/>
            </w:tcBorders>
            <w:shd w:val="clear" w:color="000000" w:fill="4F81BD"/>
            <w:noWrap/>
            <w:vAlign w:val="center"/>
            <w:hideMark/>
          </w:tcPr>
          <w:p w:rsidRPr="00BC6776" w:rsidR="00BF4CC1" w:rsidP="004A7A97" w:rsidRDefault="00BF4CC1" w14:paraId="6ECF971F" w14:textId="77777777">
            <w:pPr>
              <w:jc w:val="center"/>
              <w:rPr>
                <w:rFonts w:cs="Calibri"/>
                <w:b/>
                <w:bCs/>
                <w:color w:val="FFFFFF"/>
                <w:szCs w:val="24"/>
              </w:rPr>
            </w:pPr>
            <w:r w:rsidRPr="00BC6776">
              <w:rPr>
                <w:rFonts w:cs="Calibri"/>
                <w:b/>
                <w:bCs/>
                <w:color w:val="FFFFFF"/>
                <w:szCs w:val="24"/>
              </w:rPr>
              <w:t>2026</w:t>
            </w:r>
          </w:p>
        </w:tc>
        <w:tc>
          <w:tcPr>
            <w:tcW w:w="1091" w:type="dxa"/>
            <w:tcBorders>
              <w:top w:val="single" w:color="7BA0CD" w:sz="8" w:space="0"/>
              <w:left w:val="single" w:color="7BA0CD" w:sz="8" w:space="0"/>
              <w:right w:val="nil"/>
            </w:tcBorders>
            <w:shd w:val="clear" w:color="000000" w:fill="4F81BD"/>
            <w:noWrap/>
            <w:vAlign w:val="center"/>
            <w:hideMark/>
          </w:tcPr>
          <w:p w:rsidRPr="00BC6776" w:rsidR="00BF4CC1" w:rsidP="004A7A97" w:rsidRDefault="00BF4CC1" w14:paraId="2CE5820A" w14:textId="77777777">
            <w:pPr>
              <w:jc w:val="center"/>
              <w:rPr>
                <w:rFonts w:cs="Calibri"/>
                <w:b/>
                <w:bCs/>
                <w:color w:val="FFFFFF"/>
                <w:szCs w:val="24"/>
              </w:rPr>
            </w:pPr>
            <w:r w:rsidRPr="00BC6776">
              <w:rPr>
                <w:rFonts w:cs="Calibri"/>
                <w:b/>
                <w:bCs/>
                <w:color w:val="FFFFFF"/>
                <w:szCs w:val="24"/>
              </w:rPr>
              <w:t>2027</w:t>
            </w:r>
          </w:p>
        </w:tc>
        <w:tc>
          <w:tcPr>
            <w:tcW w:w="1091" w:type="dxa"/>
            <w:tcBorders>
              <w:top w:val="single" w:color="7BA0CD" w:sz="8" w:space="0"/>
              <w:left w:val="single" w:color="7BA0CD" w:sz="8" w:space="0"/>
              <w:right w:val="nil"/>
            </w:tcBorders>
            <w:shd w:val="clear" w:color="000000" w:fill="4F81BD"/>
            <w:noWrap/>
            <w:vAlign w:val="center"/>
            <w:hideMark/>
          </w:tcPr>
          <w:p w:rsidRPr="00BC6776" w:rsidR="00BF4CC1" w:rsidP="004A7A97" w:rsidRDefault="00BF4CC1" w14:paraId="7BBA842F" w14:textId="77777777">
            <w:pPr>
              <w:jc w:val="center"/>
              <w:rPr>
                <w:rFonts w:cs="Calibri"/>
                <w:b/>
                <w:bCs/>
                <w:color w:val="FFFFFF"/>
                <w:szCs w:val="24"/>
              </w:rPr>
            </w:pPr>
            <w:r w:rsidRPr="00BC6776">
              <w:rPr>
                <w:rFonts w:cs="Calibri"/>
                <w:b/>
                <w:bCs/>
                <w:color w:val="FFFFFF"/>
                <w:szCs w:val="24"/>
              </w:rPr>
              <w:t>2028</w:t>
            </w:r>
          </w:p>
        </w:tc>
        <w:tc>
          <w:tcPr>
            <w:tcW w:w="1091" w:type="dxa"/>
            <w:tcBorders>
              <w:top w:val="single" w:color="7BA0CD" w:sz="8" w:space="0"/>
              <w:left w:val="single" w:color="7BA0CD" w:sz="8" w:space="0"/>
              <w:right w:val="nil"/>
            </w:tcBorders>
            <w:shd w:val="clear" w:color="000000" w:fill="4F81BD"/>
            <w:noWrap/>
            <w:vAlign w:val="center"/>
            <w:hideMark/>
          </w:tcPr>
          <w:p w:rsidRPr="00BC6776" w:rsidR="00BF4CC1" w:rsidP="004A7A97" w:rsidRDefault="00BF4CC1" w14:paraId="3D6DF503" w14:textId="77777777">
            <w:pPr>
              <w:jc w:val="center"/>
              <w:rPr>
                <w:rFonts w:cs="Calibri"/>
                <w:b/>
                <w:bCs/>
                <w:color w:val="FFFFFF"/>
                <w:szCs w:val="24"/>
              </w:rPr>
            </w:pPr>
            <w:r w:rsidRPr="00BC6776">
              <w:rPr>
                <w:rFonts w:cs="Calibri"/>
                <w:b/>
                <w:bCs/>
                <w:color w:val="FFFFFF"/>
                <w:szCs w:val="24"/>
              </w:rPr>
              <w:t>struc</w:t>
            </w:r>
          </w:p>
        </w:tc>
        <w:tc>
          <w:tcPr>
            <w:tcW w:w="1092" w:type="dxa"/>
            <w:tcBorders>
              <w:top w:val="single" w:color="7BA0CD" w:sz="8" w:space="0"/>
              <w:left w:val="single" w:color="7BA0CD" w:sz="8" w:space="0"/>
              <w:right w:val="nil"/>
            </w:tcBorders>
            <w:shd w:val="clear" w:color="000000" w:fill="4F81BD"/>
            <w:noWrap/>
            <w:vAlign w:val="center"/>
            <w:hideMark/>
          </w:tcPr>
          <w:p w:rsidRPr="00BC6776" w:rsidR="00BF4CC1" w:rsidP="004A7A97" w:rsidRDefault="00BF4CC1" w14:paraId="3E5D4A55" w14:textId="77777777">
            <w:pPr>
              <w:jc w:val="center"/>
              <w:rPr>
                <w:rFonts w:cs="Calibri"/>
                <w:b/>
                <w:bCs/>
                <w:color w:val="FFFFFF"/>
                <w:szCs w:val="24"/>
              </w:rPr>
            </w:pPr>
            <w:r w:rsidRPr="00BC6776">
              <w:rPr>
                <w:rFonts w:cs="Calibri"/>
                <w:b/>
                <w:bCs/>
                <w:color w:val="FFFFFF"/>
                <w:szCs w:val="24"/>
              </w:rPr>
              <w:t>Struc in</w:t>
            </w:r>
          </w:p>
        </w:tc>
      </w:tr>
      <w:tr w:rsidRPr="00BC6776" w:rsidR="00BF4CC1" w:rsidTr="004A7A97" w14:paraId="38CF60AE" w14:textId="77777777">
        <w:trPr>
          <w:trHeight w:val="315"/>
        </w:trPr>
        <w:tc>
          <w:tcPr>
            <w:tcW w:w="3756" w:type="dxa"/>
            <w:tcBorders>
              <w:left w:val="single" w:color="7BA0CD" w:sz="8" w:space="0"/>
              <w:bottom w:val="single" w:color="7BA0CD" w:sz="8" w:space="0"/>
              <w:right w:val="nil"/>
            </w:tcBorders>
            <w:shd w:val="clear" w:color="000000" w:fill="auto"/>
            <w:vAlign w:val="center"/>
            <w:hideMark/>
          </w:tcPr>
          <w:p w:rsidRPr="00BC6776" w:rsidR="00BF4CC1" w:rsidP="004A7A97" w:rsidRDefault="00BF4CC1" w14:paraId="4CFD97FD" w14:textId="77777777">
            <w:pPr>
              <w:rPr>
                <w:rFonts w:cs="Calibri"/>
                <w:color w:val="000000"/>
                <w:szCs w:val="24"/>
              </w:rPr>
            </w:pPr>
            <w:r w:rsidRPr="00BC6776">
              <w:rPr>
                <w:rFonts w:cs="Calibri"/>
                <w:color w:val="000000"/>
                <w:szCs w:val="24"/>
              </w:rPr>
              <w:t>Terugdraaien beëindigen nihil- of lager tarief motorrijtuigenbelasting voor LPG, CNG en LNG</w:t>
            </w:r>
          </w:p>
        </w:tc>
        <w:tc>
          <w:tcPr>
            <w:tcW w:w="1091" w:type="dxa"/>
            <w:tcBorders>
              <w:left w:val="nil"/>
              <w:bottom w:val="single" w:color="7BA0CD" w:sz="8" w:space="0"/>
              <w:right w:val="nil"/>
            </w:tcBorders>
            <w:shd w:val="clear" w:color="000000" w:fill="auto"/>
            <w:noWrap/>
            <w:vAlign w:val="center"/>
            <w:hideMark/>
          </w:tcPr>
          <w:p w:rsidRPr="00BC6776" w:rsidR="00BF4CC1" w:rsidP="004A7A97" w:rsidRDefault="00BF4CC1" w14:paraId="37BCA784" w14:textId="77777777">
            <w:pPr>
              <w:jc w:val="center"/>
              <w:rPr>
                <w:rFonts w:cs="Calibri"/>
                <w:color w:val="000000"/>
                <w:szCs w:val="24"/>
              </w:rPr>
            </w:pPr>
            <w:r w:rsidRPr="00BC6776">
              <w:rPr>
                <w:rFonts w:cs="Calibri"/>
                <w:color w:val="000000"/>
                <w:szCs w:val="24"/>
              </w:rPr>
              <w:t>-5</w:t>
            </w:r>
            <w:r>
              <w:rPr>
                <w:rFonts w:cs="Calibri"/>
                <w:color w:val="000000"/>
                <w:szCs w:val="24"/>
              </w:rPr>
              <w:t>4</w:t>
            </w:r>
          </w:p>
        </w:tc>
        <w:tc>
          <w:tcPr>
            <w:tcW w:w="1091" w:type="dxa"/>
            <w:tcBorders>
              <w:left w:val="nil"/>
              <w:bottom w:val="single" w:color="7BA0CD" w:sz="8" w:space="0"/>
              <w:right w:val="nil"/>
            </w:tcBorders>
            <w:shd w:val="clear" w:color="000000" w:fill="auto"/>
            <w:noWrap/>
            <w:vAlign w:val="center"/>
            <w:hideMark/>
          </w:tcPr>
          <w:p w:rsidRPr="00BC6776" w:rsidR="00BF4CC1" w:rsidP="004A7A97" w:rsidRDefault="00BF4CC1" w14:paraId="5B734E4A" w14:textId="77777777">
            <w:pPr>
              <w:jc w:val="center"/>
              <w:rPr>
                <w:rFonts w:cs="Calibri"/>
                <w:color w:val="000000"/>
                <w:szCs w:val="24"/>
              </w:rPr>
            </w:pPr>
            <w:r w:rsidRPr="00BC6776">
              <w:rPr>
                <w:rFonts w:cs="Calibri"/>
                <w:color w:val="000000"/>
                <w:szCs w:val="24"/>
              </w:rPr>
              <w:t>-5</w:t>
            </w:r>
            <w:r>
              <w:rPr>
                <w:rFonts w:cs="Calibri"/>
                <w:color w:val="000000"/>
                <w:szCs w:val="24"/>
              </w:rPr>
              <w:t>1</w:t>
            </w:r>
          </w:p>
        </w:tc>
        <w:tc>
          <w:tcPr>
            <w:tcW w:w="1091" w:type="dxa"/>
            <w:tcBorders>
              <w:left w:val="nil"/>
              <w:bottom w:val="single" w:color="7BA0CD" w:sz="8" w:space="0"/>
              <w:right w:val="nil"/>
            </w:tcBorders>
            <w:shd w:val="clear" w:color="000000" w:fill="auto"/>
            <w:noWrap/>
            <w:vAlign w:val="center"/>
            <w:hideMark/>
          </w:tcPr>
          <w:p w:rsidRPr="00BC6776" w:rsidR="00BF4CC1" w:rsidP="004A7A97" w:rsidRDefault="00BF4CC1" w14:paraId="718F56D4" w14:textId="77777777">
            <w:pPr>
              <w:jc w:val="center"/>
              <w:rPr>
                <w:rFonts w:cs="Calibri"/>
                <w:color w:val="000000"/>
                <w:szCs w:val="24"/>
              </w:rPr>
            </w:pPr>
            <w:r w:rsidRPr="00BC6776">
              <w:rPr>
                <w:rFonts w:cs="Calibri"/>
                <w:color w:val="000000"/>
                <w:szCs w:val="24"/>
              </w:rPr>
              <w:t>-</w:t>
            </w:r>
            <w:r>
              <w:rPr>
                <w:rFonts w:cs="Calibri"/>
                <w:color w:val="000000"/>
                <w:szCs w:val="24"/>
              </w:rPr>
              <w:t>48</w:t>
            </w:r>
          </w:p>
        </w:tc>
        <w:tc>
          <w:tcPr>
            <w:tcW w:w="1091" w:type="dxa"/>
            <w:tcBorders>
              <w:left w:val="nil"/>
              <w:bottom w:val="single" w:color="7BA0CD" w:sz="8" w:space="0"/>
              <w:right w:val="nil"/>
            </w:tcBorders>
            <w:shd w:val="clear" w:color="000000" w:fill="auto"/>
            <w:noWrap/>
            <w:vAlign w:val="center"/>
            <w:hideMark/>
          </w:tcPr>
          <w:p w:rsidRPr="00BC6776" w:rsidR="00BF4CC1" w:rsidP="004A7A97" w:rsidRDefault="00BF4CC1" w14:paraId="2302FD13" w14:textId="77777777">
            <w:pPr>
              <w:jc w:val="center"/>
              <w:rPr>
                <w:rFonts w:cs="Calibri"/>
                <w:color w:val="000000"/>
                <w:szCs w:val="24"/>
              </w:rPr>
            </w:pPr>
            <w:r>
              <w:rPr>
                <w:rFonts w:cs="Calibri"/>
                <w:color w:val="000000"/>
                <w:szCs w:val="24"/>
              </w:rPr>
              <w:t>-44</w:t>
            </w:r>
          </w:p>
        </w:tc>
        <w:tc>
          <w:tcPr>
            <w:tcW w:w="1092" w:type="dxa"/>
            <w:tcBorders>
              <w:left w:val="nil"/>
              <w:bottom w:val="single" w:color="7BA0CD" w:sz="8" w:space="0"/>
              <w:right w:val="single" w:color="7BA0CD" w:sz="8" w:space="0"/>
            </w:tcBorders>
            <w:shd w:val="clear" w:color="000000" w:fill="auto"/>
            <w:noWrap/>
            <w:vAlign w:val="center"/>
            <w:hideMark/>
          </w:tcPr>
          <w:p w:rsidRPr="00BC6776" w:rsidR="00BF4CC1" w:rsidP="004A7A97" w:rsidRDefault="00BF4CC1" w14:paraId="44B397B2" w14:textId="77777777">
            <w:pPr>
              <w:jc w:val="center"/>
              <w:rPr>
                <w:rFonts w:cs="Calibri"/>
                <w:color w:val="000000"/>
                <w:szCs w:val="24"/>
              </w:rPr>
            </w:pPr>
            <w:r>
              <w:rPr>
                <w:rFonts w:cs="Calibri"/>
                <w:color w:val="000000"/>
                <w:szCs w:val="24"/>
              </w:rPr>
              <w:t>2030</w:t>
            </w:r>
          </w:p>
        </w:tc>
      </w:tr>
    </w:tbl>
    <w:p w:rsidR="00BF4CC1" w:rsidP="0095613F" w:rsidRDefault="00BF4CC1" w14:paraId="006200DD" w14:textId="77777777">
      <w:pPr>
        <w:rPr>
          <w:szCs w:val="24"/>
          <w:highlight w:val="yellow"/>
        </w:rPr>
      </w:pPr>
    </w:p>
    <w:p w:rsidR="00E81F7B" w:rsidP="002850CC" w:rsidRDefault="00E81F7B" w14:paraId="37D9EE0E" w14:textId="2EEB185D">
      <w:pPr>
        <w:rPr>
          <w:szCs w:val="24"/>
        </w:rPr>
      </w:pPr>
      <w:r>
        <w:rPr>
          <w:szCs w:val="24"/>
        </w:rPr>
        <w:t xml:space="preserve">Deze budgettaire gevolgen zullen in de praktijk echter zeker ook optreden bij het niet terugdraaien van de maatregel. Dit omdat er bij </w:t>
      </w:r>
      <w:r w:rsidRPr="002850CC" w:rsidR="002850CC">
        <w:rPr>
          <w:szCs w:val="24"/>
        </w:rPr>
        <w:t>het afschaffen aanzienlijk minder mrb binnen</w:t>
      </w:r>
      <w:r>
        <w:rPr>
          <w:szCs w:val="24"/>
        </w:rPr>
        <w:t>komt</w:t>
      </w:r>
      <w:r w:rsidRPr="002850CC" w:rsidR="002850CC">
        <w:rPr>
          <w:szCs w:val="24"/>
        </w:rPr>
        <w:t xml:space="preserve">, omdat de LPG-rijders </w:t>
      </w:r>
      <w:r>
        <w:rPr>
          <w:szCs w:val="24"/>
        </w:rPr>
        <w:t>niet alleen zullen</w:t>
      </w:r>
      <w:r w:rsidRPr="002850CC" w:rsidR="002850CC">
        <w:rPr>
          <w:szCs w:val="24"/>
        </w:rPr>
        <w:t xml:space="preserve"> stoppen met rijden op LPG</w:t>
      </w:r>
      <w:r>
        <w:rPr>
          <w:szCs w:val="24"/>
        </w:rPr>
        <w:t xml:space="preserve"> maar ook de tank zullen verwijderen om zo in een lagere gewichtsklasse en daarmee in de benzinecategorie te gaan vallen</w:t>
      </w:r>
      <w:r w:rsidRPr="002850CC" w:rsidR="002850CC">
        <w:rPr>
          <w:szCs w:val="24"/>
        </w:rPr>
        <w:t>.</w:t>
      </w:r>
      <w:r>
        <w:rPr>
          <w:szCs w:val="24"/>
        </w:rPr>
        <w:t xml:space="preserve"> </w:t>
      </w:r>
    </w:p>
    <w:p w:rsidRPr="00E81F7B" w:rsidR="002850CC" w:rsidP="0095613F" w:rsidRDefault="00E81F7B" w14:paraId="7F5BEB20" w14:textId="5E2F4F99">
      <w:pPr>
        <w:rPr>
          <w:szCs w:val="24"/>
        </w:rPr>
      </w:pPr>
      <w:r w:rsidRPr="00E81F7B">
        <w:rPr>
          <w:szCs w:val="24"/>
        </w:rPr>
        <w:t xml:space="preserve">Indien de regeling doorgaat moet </w:t>
      </w:r>
      <w:r>
        <w:rPr>
          <w:szCs w:val="24"/>
        </w:rPr>
        <w:t xml:space="preserve">namelijk </w:t>
      </w:r>
      <w:r w:rsidRPr="00E81F7B">
        <w:rPr>
          <w:szCs w:val="24"/>
        </w:rPr>
        <w:t>iemand met een gemiddelde auto (bijvoorbeeld een Ford C Max) in Noord-Brabant op LPG € 1.892 per jaar aan mrb (= € 572/j meer dan nu) gaan betalen ten opzichte van €776 als hij op benzine zou rijden. Hierbij houden we rekening met de 1-klasse gewichtscorrectie vanwege de zwaardere LPG tank. Dit is bovendien gerekend met de prijzen van 2024, dus inflatie niet meegerekend.</w:t>
      </w:r>
      <w:r>
        <w:rPr>
          <w:szCs w:val="24"/>
        </w:rPr>
        <w:t xml:space="preserve"> Dit gaat natuurlijk geen LPG-rijder doen.</w:t>
      </w:r>
    </w:p>
    <w:p w:rsidRPr="00BC6776" w:rsidR="002850CC" w:rsidP="0095613F" w:rsidRDefault="002850CC" w14:paraId="4AEA5A34" w14:textId="77777777">
      <w:pPr>
        <w:rPr>
          <w:szCs w:val="24"/>
          <w:highlight w:val="yellow"/>
        </w:rPr>
      </w:pPr>
    </w:p>
    <w:p w:rsidRPr="00BC6776" w:rsidR="003F538F" w:rsidP="00191DA0" w:rsidRDefault="003F538F" w14:paraId="0005A0D7" w14:textId="010A838C">
      <w:pPr>
        <w:rPr>
          <w:i/>
          <w:iCs/>
          <w:szCs w:val="24"/>
        </w:rPr>
      </w:pPr>
      <w:r w:rsidRPr="00BC6776">
        <w:rPr>
          <w:i/>
          <w:iCs/>
          <w:szCs w:val="24"/>
        </w:rPr>
        <w:t>Artikelsgewijze deel</w:t>
      </w:r>
    </w:p>
    <w:p w:rsidRPr="00BC6776" w:rsidR="003F538F" w:rsidP="00191DA0" w:rsidRDefault="003F538F" w14:paraId="331A4B32" w14:textId="77777777">
      <w:pPr>
        <w:rPr>
          <w:szCs w:val="24"/>
        </w:rPr>
      </w:pPr>
    </w:p>
    <w:p w:rsidR="00BC6776" w:rsidP="00BC6776" w:rsidRDefault="00FC720A" w14:paraId="03D41514" w14:textId="6F1FEA5A">
      <w:pPr>
        <w:rPr>
          <w:szCs w:val="24"/>
        </w:rPr>
      </w:pPr>
      <w:r w:rsidRPr="00BC6776">
        <w:rPr>
          <w:szCs w:val="24"/>
        </w:rPr>
        <w:t xml:space="preserve">Dit amendement regelt dat de </w:t>
      </w:r>
      <w:r w:rsidRPr="00BC6776" w:rsidR="00BC6776">
        <w:rPr>
          <w:szCs w:val="24"/>
        </w:rPr>
        <w:t xml:space="preserve">specifieke </w:t>
      </w:r>
      <w:r w:rsidRPr="00BC6776">
        <w:rPr>
          <w:szCs w:val="24"/>
        </w:rPr>
        <w:t xml:space="preserve">brandstoftoeslag </w:t>
      </w:r>
      <w:r w:rsidR="00BC6776">
        <w:rPr>
          <w:szCs w:val="24"/>
        </w:rPr>
        <w:t xml:space="preserve">binnen de motorrijtuigenbelasting behouden blijft </w:t>
      </w:r>
      <w:r w:rsidRPr="00BC6776">
        <w:rPr>
          <w:szCs w:val="24"/>
        </w:rPr>
        <w:t xml:space="preserve">voor </w:t>
      </w:r>
      <w:r w:rsidR="00BC6776">
        <w:t>personenauto’s waarbij in het kentekenregister de brandstofsoort CNG, LNG of de brandstofsoort LPG met de typeaanduiding af-fabriek-, G3- of R115-installatie is opgenomen</w:t>
      </w:r>
      <w:r w:rsidRPr="00BC6776">
        <w:rPr>
          <w:szCs w:val="24"/>
        </w:rPr>
        <w:t xml:space="preserve">. </w:t>
      </w:r>
      <w:r w:rsidR="00BC6776">
        <w:rPr>
          <w:szCs w:val="24"/>
        </w:rPr>
        <w:t xml:space="preserve">Teruggedraaid worden de </w:t>
      </w:r>
      <w:r w:rsidRPr="00BC6776">
        <w:rPr>
          <w:szCs w:val="24"/>
        </w:rPr>
        <w:t xml:space="preserve">wijzigingen in het Belastingplan 2024, waarmee </w:t>
      </w:r>
      <w:r w:rsidR="00BC6776">
        <w:rPr>
          <w:szCs w:val="24"/>
        </w:rPr>
        <w:t xml:space="preserve">deze specifieke brandstoftoeslag </w:t>
      </w:r>
      <w:r w:rsidRPr="00BC6776">
        <w:rPr>
          <w:szCs w:val="24"/>
        </w:rPr>
        <w:t xml:space="preserve">per 1 januari 2026 zou vervallen. </w:t>
      </w:r>
      <w:r w:rsidR="00BC6776">
        <w:rPr>
          <w:szCs w:val="24"/>
        </w:rPr>
        <w:t xml:space="preserve"> </w:t>
      </w:r>
    </w:p>
    <w:p w:rsidR="00BC6776" w:rsidP="00BC6776" w:rsidRDefault="00BC6776" w14:paraId="656D53C4" w14:textId="77777777">
      <w:pPr>
        <w:rPr>
          <w:szCs w:val="24"/>
        </w:rPr>
      </w:pPr>
    </w:p>
    <w:bookmarkEnd w:id="0"/>
    <w:bookmarkEnd w:id="1"/>
    <w:p w:rsidRPr="00BC6776" w:rsidR="003F538F" w:rsidP="00191DA0" w:rsidRDefault="00850FFD" w14:paraId="53E538D6" w14:textId="39264FA8">
      <w:pPr>
        <w:rPr>
          <w:szCs w:val="24"/>
        </w:rPr>
      </w:pPr>
      <w:r w:rsidRPr="00BC6776">
        <w:rPr>
          <w:szCs w:val="24"/>
        </w:rPr>
        <w:t>Vermeer</w:t>
      </w:r>
    </w:p>
    <w:sectPr w:rsidRPr="00BC6776" w:rsidR="003F538F" w:rsidSect="00EA1CE4">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EC329" w14:textId="77777777" w:rsidR="00241465" w:rsidRDefault="00241465">
      <w:pPr>
        <w:spacing w:line="20" w:lineRule="exact"/>
      </w:pPr>
    </w:p>
  </w:endnote>
  <w:endnote w:type="continuationSeparator" w:id="0">
    <w:p w14:paraId="7C17EDDB" w14:textId="77777777" w:rsidR="00241465" w:rsidRDefault="00241465">
      <w:pPr>
        <w:pStyle w:val="Amendement"/>
      </w:pPr>
      <w:r>
        <w:rPr>
          <w:b w:val="0"/>
        </w:rPr>
        <w:t xml:space="preserve"> </w:t>
      </w:r>
    </w:p>
  </w:endnote>
  <w:endnote w:type="continuationNotice" w:id="1">
    <w:p w14:paraId="30CE2CA9" w14:textId="77777777" w:rsidR="00241465" w:rsidRDefault="0024146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00A4" w14:textId="77777777" w:rsidR="00E94B6C" w:rsidRDefault="00E94B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AB87" w14:textId="77777777" w:rsidR="00E94B6C" w:rsidRDefault="00E94B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818F" w14:textId="77777777" w:rsidR="00E94B6C" w:rsidRDefault="00E94B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45FB1" w14:textId="77777777" w:rsidR="00241465" w:rsidRDefault="00241465">
      <w:pPr>
        <w:pStyle w:val="Amendement"/>
      </w:pPr>
      <w:r>
        <w:rPr>
          <w:b w:val="0"/>
        </w:rPr>
        <w:separator/>
      </w:r>
    </w:p>
  </w:footnote>
  <w:footnote w:type="continuationSeparator" w:id="0">
    <w:p w14:paraId="48A8875B" w14:textId="77777777" w:rsidR="00241465" w:rsidRDefault="00241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69CB" w14:textId="77777777" w:rsidR="00E94B6C" w:rsidRDefault="00E94B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50DE" w14:textId="77777777" w:rsidR="00E94B6C" w:rsidRDefault="00E94B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6343" w14:textId="77777777" w:rsidR="00E94B6C" w:rsidRDefault="00E94B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61218"/>
    <w:multiLevelType w:val="hybridMultilevel"/>
    <w:tmpl w:val="838E827A"/>
    <w:lvl w:ilvl="0" w:tplc="3814CCC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361833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36"/>
    <w:rsid w:val="0001758A"/>
    <w:rsid w:val="00071418"/>
    <w:rsid w:val="000C0A86"/>
    <w:rsid w:val="000D17BF"/>
    <w:rsid w:val="000F6AA6"/>
    <w:rsid w:val="00157CAF"/>
    <w:rsid w:val="001656EE"/>
    <w:rsid w:val="0016653D"/>
    <w:rsid w:val="00184A22"/>
    <w:rsid w:val="0018584B"/>
    <w:rsid w:val="00191DA0"/>
    <w:rsid w:val="001E0E21"/>
    <w:rsid w:val="001F2C2E"/>
    <w:rsid w:val="002024C2"/>
    <w:rsid w:val="002153B0"/>
    <w:rsid w:val="0021777F"/>
    <w:rsid w:val="00234E5C"/>
    <w:rsid w:val="00237CFA"/>
    <w:rsid w:val="00241465"/>
    <w:rsid w:val="00241DD0"/>
    <w:rsid w:val="00257F7F"/>
    <w:rsid w:val="002850CC"/>
    <w:rsid w:val="002923E2"/>
    <w:rsid w:val="00297377"/>
    <w:rsid w:val="002A0713"/>
    <w:rsid w:val="002D5939"/>
    <w:rsid w:val="002E499B"/>
    <w:rsid w:val="00300E76"/>
    <w:rsid w:val="003726E3"/>
    <w:rsid w:val="00384F96"/>
    <w:rsid w:val="003931C9"/>
    <w:rsid w:val="003C0163"/>
    <w:rsid w:val="003C21AC"/>
    <w:rsid w:val="003C5218"/>
    <w:rsid w:val="003E2F98"/>
    <w:rsid w:val="003F538F"/>
    <w:rsid w:val="003F6231"/>
    <w:rsid w:val="0041422C"/>
    <w:rsid w:val="0042574B"/>
    <w:rsid w:val="004330ED"/>
    <w:rsid w:val="0044733B"/>
    <w:rsid w:val="004642EC"/>
    <w:rsid w:val="004666EB"/>
    <w:rsid w:val="004727AA"/>
    <w:rsid w:val="00481C91"/>
    <w:rsid w:val="004911E3"/>
    <w:rsid w:val="00497D57"/>
    <w:rsid w:val="004A7DD4"/>
    <w:rsid w:val="004B50D8"/>
    <w:rsid w:val="004B5B90"/>
    <w:rsid w:val="00501109"/>
    <w:rsid w:val="00523396"/>
    <w:rsid w:val="005604CC"/>
    <w:rsid w:val="005703C9"/>
    <w:rsid w:val="00597703"/>
    <w:rsid w:val="005A6097"/>
    <w:rsid w:val="005A7645"/>
    <w:rsid w:val="005B1DCC"/>
    <w:rsid w:val="005B7323"/>
    <w:rsid w:val="005C25B9"/>
    <w:rsid w:val="005C30B7"/>
    <w:rsid w:val="00621D97"/>
    <w:rsid w:val="006265D1"/>
    <w:rsid w:val="006267E6"/>
    <w:rsid w:val="006465C1"/>
    <w:rsid w:val="006558D2"/>
    <w:rsid w:val="006610DC"/>
    <w:rsid w:val="00672D25"/>
    <w:rsid w:val="006738BC"/>
    <w:rsid w:val="00693AE5"/>
    <w:rsid w:val="006A2C1D"/>
    <w:rsid w:val="006A3945"/>
    <w:rsid w:val="006B2FAE"/>
    <w:rsid w:val="006B4616"/>
    <w:rsid w:val="006D3E69"/>
    <w:rsid w:val="006D7738"/>
    <w:rsid w:val="006E0971"/>
    <w:rsid w:val="007076B6"/>
    <w:rsid w:val="00711AEC"/>
    <w:rsid w:val="007709F6"/>
    <w:rsid w:val="007719B4"/>
    <w:rsid w:val="0077507E"/>
    <w:rsid w:val="00786649"/>
    <w:rsid w:val="007965FC"/>
    <w:rsid w:val="007D2608"/>
    <w:rsid w:val="007E4F2B"/>
    <w:rsid w:val="007F424F"/>
    <w:rsid w:val="007F4681"/>
    <w:rsid w:val="00804165"/>
    <w:rsid w:val="0080754B"/>
    <w:rsid w:val="008109E7"/>
    <w:rsid w:val="008164E5"/>
    <w:rsid w:val="0082292E"/>
    <w:rsid w:val="0082399C"/>
    <w:rsid w:val="00827898"/>
    <w:rsid w:val="00830081"/>
    <w:rsid w:val="00832A36"/>
    <w:rsid w:val="008413F4"/>
    <w:rsid w:val="008467D7"/>
    <w:rsid w:val="00850FFD"/>
    <w:rsid w:val="00852541"/>
    <w:rsid w:val="00865D47"/>
    <w:rsid w:val="008766F7"/>
    <w:rsid w:val="0088452C"/>
    <w:rsid w:val="008B01C6"/>
    <w:rsid w:val="008D7DCB"/>
    <w:rsid w:val="009055DB"/>
    <w:rsid w:val="00905ECB"/>
    <w:rsid w:val="00941C3A"/>
    <w:rsid w:val="00947492"/>
    <w:rsid w:val="0095613F"/>
    <w:rsid w:val="0096165D"/>
    <w:rsid w:val="009A409F"/>
    <w:rsid w:val="009B5845"/>
    <w:rsid w:val="009C0C1F"/>
    <w:rsid w:val="009E320C"/>
    <w:rsid w:val="00A10505"/>
    <w:rsid w:val="00A1288B"/>
    <w:rsid w:val="00A53203"/>
    <w:rsid w:val="00A772EB"/>
    <w:rsid w:val="00AC449A"/>
    <w:rsid w:val="00AE522F"/>
    <w:rsid w:val="00B01BA6"/>
    <w:rsid w:val="00B028C6"/>
    <w:rsid w:val="00B04C44"/>
    <w:rsid w:val="00B4646B"/>
    <w:rsid w:val="00B4708A"/>
    <w:rsid w:val="00B54D3B"/>
    <w:rsid w:val="00B709BF"/>
    <w:rsid w:val="00B87F58"/>
    <w:rsid w:val="00BA0069"/>
    <w:rsid w:val="00BA3CC7"/>
    <w:rsid w:val="00BB6D7D"/>
    <w:rsid w:val="00BC6776"/>
    <w:rsid w:val="00BF4CBE"/>
    <w:rsid w:val="00BF4CC1"/>
    <w:rsid w:val="00BF623B"/>
    <w:rsid w:val="00BF76E5"/>
    <w:rsid w:val="00C035D4"/>
    <w:rsid w:val="00C13C1C"/>
    <w:rsid w:val="00C159CB"/>
    <w:rsid w:val="00C30E12"/>
    <w:rsid w:val="00C31D39"/>
    <w:rsid w:val="00C34704"/>
    <w:rsid w:val="00C54B1F"/>
    <w:rsid w:val="00C679BF"/>
    <w:rsid w:val="00C71923"/>
    <w:rsid w:val="00C81BBD"/>
    <w:rsid w:val="00CC30B9"/>
    <w:rsid w:val="00CD3132"/>
    <w:rsid w:val="00CE27CD"/>
    <w:rsid w:val="00D134F3"/>
    <w:rsid w:val="00D47D01"/>
    <w:rsid w:val="00D674EE"/>
    <w:rsid w:val="00D774B3"/>
    <w:rsid w:val="00D7765E"/>
    <w:rsid w:val="00DD35A5"/>
    <w:rsid w:val="00DF68BE"/>
    <w:rsid w:val="00DF712A"/>
    <w:rsid w:val="00E01659"/>
    <w:rsid w:val="00E14CC9"/>
    <w:rsid w:val="00E15CAD"/>
    <w:rsid w:val="00E23AEB"/>
    <w:rsid w:val="00E25DF4"/>
    <w:rsid w:val="00E3485D"/>
    <w:rsid w:val="00E6619B"/>
    <w:rsid w:val="00E81F7B"/>
    <w:rsid w:val="00E94B6C"/>
    <w:rsid w:val="00EA0703"/>
    <w:rsid w:val="00EA1CE4"/>
    <w:rsid w:val="00EA69AC"/>
    <w:rsid w:val="00EB26DD"/>
    <w:rsid w:val="00EB40A1"/>
    <w:rsid w:val="00EC3112"/>
    <w:rsid w:val="00ED0585"/>
    <w:rsid w:val="00ED5E57"/>
    <w:rsid w:val="00EE1BD8"/>
    <w:rsid w:val="00F0524D"/>
    <w:rsid w:val="00F56E16"/>
    <w:rsid w:val="00F70439"/>
    <w:rsid w:val="00F839B4"/>
    <w:rsid w:val="00FA36F5"/>
    <w:rsid w:val="00FA5BBE"/>
    <w:rsid w:val="00FC720A"/>
    <w:rsid w:val="00FD7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3081C"/>
  <w15:docId w15:val="{881808F6-F95C-44C6-900A-B82EEAE6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A0069"/>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BA0069"/>
  </w:style>
  <w:style w:type="character" w:styleId="Eindnootmarkering">
    <w:name w:val="endnote reference"/>
    <w:semiHidden/>
    <w:rsid w:val="00BA0069"/>
    <w:rPr>
      <w:sz w:val="20"/>
      <w:vertAlign w:val="superscript"/>
    </w:rPr>
  </w:style>
  <w:style w:type="paragraph" w:styleId="Voetnoottekst">
    <w:name w:val="footnote text"/>
    <w:basedOn w:val="Standaard"/>
    <w:semiHidden/>
    <w:rsid w:val="00BA0069"/>
  </w:style>
  <w:style w:type="character" w:customStyle="1" w:styleId="Voetnootverwijzing">
    <w:name w:val="Voetnootverwijzing"/>
    <w:rsid w:val="00BA0069"/>
    <w:rPr>
      <w:sz w:val="20"/>
      <w:vertAlign w:val="superscript"/>
    </w:rPr>
  </w:style>
  <w:style w:type="paragraph" w:customStyle="1" w:styleId="wetsvoorstel">
    <w:name w:val="wetsvoorstel"/>
    <w:rsid w:val="00BA0069"/>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sid w:val="00BA0069"/>
    <w:rPr>
      <w:sz w:val="20"/>
    </w:rPr>
  </w:style>
  <w:style w:type="character" w:customStyle="1" w:styleId="Bibliografie1">
    <w:name w:val="Bibliografie1"/>
    <w:rsid w:val="00BA0069"/>
    <w:rPr>
      <w:sz w:val="20"/>
    </w:rPr>
  </w:style>
  <w:style w:type="character" w:customStyle="1" w:styleId="Dokument5">
    <w:name w:val="Dokument 5"/>
    <w:rsid w:val="00BA0069"/>
    <w:rPr>
      <w:sz w:val="20"/>
    </w:rPr>
  </w:style>
  <w:style w:type="character" w:customStyle="1" w:styleId="Dokument6">
    <w:name w:val="Dokument 6"/>
    <w:rsid w:val="00BA0069"/>
    <w:rPr>
      <w:sz w:val="20"/>
    </w:rPr>
  </w:style>
  <w:style w:type="character" w:customStyle="1" w:styleId="Dokument4">
    <w:name w:val="Dokument 4"/>
    <w:rsid w:val="00BA0069"/>
    <w:rPr>
      <w:b/>
      <w:i/>
    </w:rPr>
  </w:style>
  <w:style w:type="character" w:customStyle="1" w:styleId="Alineanummer2">
    <w:name w:val="Alineanummer 2"/>
    <w:rsid w:val="00BA0069"/>
    <w:rPr>
      <w:sz w:val="20"/>
    </w:rPr>
  </w:style>
  <w:style w:type="paragraph" w:customStyle="1" w:styleId="Dokument1">
    <w:name w:val="Dokument 1"/>
    <w:rsid w:val="00BA0069"/>
    <w:pPr>
      <w:keepNext/>
      <w:keepLines/>
      <w:widowControl w:val="0"/>
      <w:tabs>
        <w:tab w:val="left" w:pos="-720"/>
      </w:tabs>
      <w:suppressAutoHyphens/>
    </w:pPr>
    <w:rPr>
      <w:rFonts w:ascii="Courier New" w:hAnsi="Courier New"/>
      <w:sz w:val="24"/>
    </w:rPr>
  </w:style>
  <w:style w:type="character" w:customStyle="1" w:styleId="Alineanummer3">
    <w:name w:val="Alineanummer 3"/>
    <w:rsid w:val="00BA0069"/>
    <w:rPr>
      <w:sz w:val="20"/>
    </w:rPr>
  </w:style>
  <w:style w:type="character" w:customStyle="1" w:styleId="Alineanummer4">
    <w:name w:val="Alineanummer 4"/>
    <w:rsid w:val="00BA0069"/>
    <w:rPr>
      <w:sz w:val="20"/>
    </w:rPr>
  </w:style>
  <w:style w:type="character" w:customStyle="1" w:styleId="Alineanummer5">
    <w:name w:val="Alineanummer 5"/>
    <w:rsid w:val="00BA0069"/>
    <w:rPr>
      <w:sz w:val="20"/>
    </w:rPr>
  </w:style>
  <w:style w:type="character" w:customStyle="1" w:styleId="Alineanummer6">
    <w:name w:val="Alineanummer 6"/>
    <w:rsid w:val="00BA0069"/>
    <w:rPr>
      <w:sz w:val="20"/>
    </w:rPr>
  </w:style>
  <w:style w:type="character" w:customStyle="1" w:styleId="Dokument2">
    <w:name w:val="Dokument 2"/>
    <w:rsid w:val="00BA0069"/>
    <w:rPr>
      <w:rFonts w:ascii="Courier New" w:hAnsi="Courier New"/>
    </w:rPr>
  </w:style>
  <w:style w:type="character" w:customStyle="1" w:styleId="Alineanummer7">
    <w:name w:val="Alineanummer 7"/>
    <w:rsid w:val="00BA0069"/>
    <w:rPr>
      <w:sz w:val="20"/>
    </w:rPr>
  </w:style>
  <w:style w:type="character" w:customStyle="1" w:styleId="Alineanummer8">
    <w:name w:val="Alineanummer 8"/>
    <w:rsid w:val="00BA0069"/>
    <w:rPr>
      <w:sz w:val="20"/>
    </w:rPr>
  </w:style>
  <w:style w:type="character" w:customStyle="1" w:styleId="Techninit">
    <w:name w:val="Techn init"/>
    <w:rsid w:val="00BA0069"/>
    <w:rPr>
      <w:rFonts w:ascii="Courier New" w:hAnsi="Courier New"/>
    </w:rPr>
  </w:style>
  <w:style w:type="character" w:customStyle="1" w:styleId="Dokuinit">
    <w:name w:val="Doku init"/>
    <w:rsid w:val="00BA0069"/>
    <w:rPr>
      <w:sz w:val="20"/>
    </w:rPr>
  </w:style>
  <w:style w:type="character" w:customStyle="1" w:styleId="Dokument3">
    <w:name w:val="Dokument 3"/>
    <w:rsid w:val="00BA0069"/>
    <w:rPr>
      <w:rFonts w:ascii="Courier New" w:hAnsi="Courier New"/>
    </w:rPr>
  </w:style>
  <w:style w:type="character" w:customStyle="1" w:styleId="Dokument7">
    <w:name w:val="Dokument 7"/>
    <w:rsid w:val="00BA0069"/>
    <w:rPr>
      <w:sz w:val="20"/>
    </w:rPr>
  </w:style>
  <w:style w:type="character" w:customStyle="1" w:styleId="Dokument8">
    <w:name w:val="Dokument 8"/>
    <w:rsid w:val="00BA0069"/>
    <w:rPr>
      <w:sz w:val="20"/>
    </w:rPr>
  </w:style>
  <w:style w:type="character" w:customStyle="1" w:styleId="Technisch1">
    <w:name w:val="Technisch 1"/>
    <w:rsid w:val="00BA0069"/>
    <w:rPr>
      <w:rFonts w:ascii="Courier New" w:hAnsi="Courier New"/>
    </w:rPr>
  </w:style>
  <w:style w:type="character" w:customStyle="1" w:styleId="Technisch2">
    <w:name w:val="Technisch 2"/>
    <w:rsid w:val="00BA0069"/>
    <w:rPr>
      <w:rFonts w:ascii="Courier New" w:hAnsi="Courier New"/>
    </w:rPr>
  </w:style>
  <w:style w:type="character" w:customStyle="1" w:styleId="Technisch3">
    <w:name w:val="Technisch 3"/>
    <w:rsid w:val="00BA0069"/>
    <w:rPr>
      <w:rFonts w:ascii="Courier New" w:hAnsi="Courier New"/>
    </w:rPr>
  </w:style>
  <w:style w:type="character" w:customStyle="1" w:styleId="Technisch5">
    <w:name w:val="Technisch 5"/>
    <w:rsid w:val="00BA0069"/>
    <w:rPr>
      <w:sz w:val="20"/>
    </w:rPr>
  </w:style>
  <w:style w:type="character" w:customStyle="1" w:styleId="Technisch6">
    <w:name w:val="Technisch 6"/>
    <w:rsid w:val="00BA0069"/>
    <w:rPr>
      <w:sz w:val="20"/>
    </w:rPr>
  </w:style>
  <w:style w:type="character" w:customStyle="1" w:styleId="Technisch7">
    <w:name w:val="Technisch 7"/>
    <w:rsid w:val="00BA0069"/>
    <w:rPr>
      <w:sz w:val="20"/>
    </w:rPr>
  </w:style>
  <w:style w:type="character" w:customStyle="1" w:styleId="Technisch4">
    <w:name w:val="Technisch 4"/>
    <w:rsid w:val="00BA0069"/>
    <w:rPr>
      <w:sz w:val="20"/>
    </w:rPr>
  </w:style>
  <w:style w:type="character" w:customStyle="1" w:styleId="Technisch8">
    <w:name w:val="Technisch 8"/>
    <w:rsid w:val="00BA0069"/>
    <w:rPr>
      <w:sz w:val="20"/>
    </w:rPr>
  </w:style>
  <w:style w:type="paragraph" w:customStyle="1" w:styleId="Amendement">
    <w:name w:val="Amendement"/>
    <w:rsid w:val="00BA0069"/>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rsid w:val="00BA0069"/>
    <w:pPr>
      <w:tabs>
        <w:tab w:val="right" w:leader="dot" w:pos="9360"/>
      </w:tabs>
      <w:suppressAutoHyphens/>
      <w:spacing w:before="480"/>
      <w:ind w:left="720" w:right="720" w:hanging="720"/>
    </w:pPr>
  </w:style>
  <w:style w:type="paragraph" w:customStyle="1" w:styleId="inhopg2">
    <w:name w:val="inhopg 2"/>
    <w:basedOn w:val="Standaard"/>
    <w:rsid w:val="00BA0069"/>
    <w:pPr>
      <w:tabs>
        <w:tab w:val="right" w:leader="dot" w:pos="9360"/>
      </w:tabs>
      <w:suppressAutoHyphens/>
      <w:ind w:left="1440" w:right="720" w:hanging="720"/>
    </w:pPr>
  </w:style>
  <w:style w:type="paragraph" w:customStyle="1" w:styleId="inhopg3">
    <w:name w:val="inhopg 3"/>
    <w:basedOn w:val="Standaard"/>
    <w:rsid w:val="00BA0069"/>
    <w:pPr>
      <w:tabs>
        <w:tab w:val="right" w:leader="dot" w:pos="9360"/>
      </w:tabs>
      <w:suppressAutoHyphens/>
      <w:ind w:left="2160" w:right="720" w:hanging="720"/>
    </w:pPr>
  </w:style>
  <w:style w:type="paragraph" w:customStyle="1" w:styleId="inhopg4">
    <w:name w:val="inhopg 4"/>
    <w:basedOn w:val="Standaard"/>
    <w:rsid w:val="00BA0069"/>
    <w:pPr>
      <w:tabs>
        <w:tab w:val="right" w:leader="dot" w:pos="9360"/>
      </w:tabs>
      <w:suppressAutoHyphens/>
      <w:ind w:left="2880" w:right="720" w:hanging="720"/>
    </w:pPr>
  </w:style>
  <w:style w:type="paragraph" w:customStyle="1" w:styleId="inhopg5">
    <w:name w:val="inhopg 5"/>
    <w:basedOn w:val="Standaard"/>
    <w:rsid w:val="00BA0069"/>
    <w:pPr>
      <w:tabs>
        <w:tab w:val="right" w:leader="dot" w:pos="9360"/>
      </w:tabs>
      <w:suppressAutoHyphens/>
      <w:ind w:left="3600" w:right="720" w:hanging="720"/>
    </w:pPr>
  </w:style>
  <w:style w:type="paragraph" w:customStyle="1" w:styleId="inhopg6">
    <w:name w:val="inhopg 6"/>
    <w:basedOn w:val="Standaard"/>
    <w:rsid w:val="00BA0069"/>
    <w:pPr>
      <w:tabs>
        <w:tab w:val="right" w:pos="9360"/>
      </w:tabs>
      <w:suppressAutoHyphens/>
      <w:ind w:left="720" w:hanging="720"/>
    </w:pPr>
  </w:style>
  <w:style w:type="paragraph" w:customStyle="1" w:styleId="inhopg7">
    <w:name w:val="inhopg 7"/>
    <w:basedOn w:val="Standaard"/>
    <w:rsid w:val="00BA0069"/>
    <w:pPr>
      <w:suppressAutoHyphens/>
      <w:ind w:left="720" w:hanging="720"/>
    </w:pPr>
  </w:style>
  <w:style w:type="paragraph" w:customStyle="1" w:styleId="inhopg8">
    <w:name w:val="inhopg 8"/>
    <w:basedOn w:val="Standaard"/>
    <w:rsid w:val="00BA0069"/>
    <w:pPr>
      <w:tabs>
        <w:tab w:val="right" w:pos="9360"/>
      </w:tabs>
      <w:suppressAutoHyphens/>
      <w:ind w:left="720" w:hanging="720"/>
    </w:pPr>
  </w:style>
  <w:style w:type="paragraph" w:customStyle="1" w:styleId="inhopg9">
    <w:name w:val="inhopg 9"/>
    <w:basedOn w:val="Standaard"/>
    <w:rsid w:val="00BA0069"/>
    <w:pPr>
      <w:tabs>
        <w:tab w:val="right" w:leader="dot" w:pos="9360"/>
      </w:tabs>
      <w:suppressAutoHyphens/>
      <w:ind w:left="720" w:hanging="720"/>
    </w:pPr>
  </w:style>
  <w:style w:type="paragraph" w:styleId="Index1">
    <w:name w:val="index 1"/>
    <w:basedOn w:val="Standaard"/>
    <w:next w:val="Standaard"/>
    <w:semiHidden/>
    <w:rsid w:val="00BA0069"/>
    <w:pPr>
      <w:tabs>
        <w:tab w:val="right" w:leader="dot" w:pos="9360"/>
      </w:tabs>
      <w:suppressAutoHyphens/>
      <w:ind w:left="1440" w:right="720" w:hanging="1440"/>
    </w:pPr>
  </w:style>
  <w:style w:type="paragraph" w:styleId="Index2">
    <w:name w:val="index 2"/>
    <w:basedOn w:val="Standaard"/>
    <w:next w:val="Standaard"/>
    <w:semiHidden/>
    <w:rsid w:val="00BA0069"/>
    <w:pPr>
      <w:tabs>
        <w:tab w:val="right" w:leader="dot" w:pos="9360"/>
      </w:tabs>
      <w:suppressAutoHyphens/>
      <w:ind w:left="1440" w:right="720" w:hanging="720"/>
    </w:pPr>
  </w:style>
  <w:style w:type="paragraph" w:customStyle="1" w:styleId="bronvermelding">
    <w:name w:val="bronvermelding"/>
    <w:basedOn w:val="Standaard"/>
    <w:rsid w:val="00BA0069"/>
    <w:pPr>
      <w:tabs>
        <w:tab w:val="right" w:pos="9360"/>
      </w:tabs>
      <w:suppressAutoHyphens/>
    </w:pPr>
  </w:style>
  <w:style w:type="paragraph" w:customStyle="1" w:styleId="bijschrift">
    <w:name w:val="bijschrift"/>
    <w:basedOn w:val="Standaard"/>
    <w:rsid w:val="00BA0069"/>
  </w:style>
  <w:style w:type="character" w:customStyle="1" w:styleId="EquationCaption">
    <w:name w:val="_Equation Caption"/>
    <w:rsid w:val="00BA0069"/>
    <w:rPr>
      <w:sz w:val="20"/>
    </w:rPr>
  </w:style>
  <w:style w:type="paragraph" w:styleId="Koptekst">
    <w:name w:val="header"/>
    <w:basedOn w:val="Standaard"/>
    <w:rsid w:val="00BA0069"/>
    <w:pPr>
      <w:tabs>
        <w:tab w:val="center" w:pos="4536"/>
        <w:tab w:val="right" w:pos="9072"/>
      </w:tabs>
    </w:pPr>
  </w:style>
  <w:style w:type="paragraph" w:styleId="Voettekst">
    <w:name w:val="footer"/>
    <w:basedOn w:val="Standaard"/>
    <w:rsid w:val="00BA0069"/>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D674EE"/>
    <w:rPr>
      <w:vertAlign w:val="superscript"/>
    </w:rPr>
  </w:style>
  <w:style w:type="paragraph" w:styleId="Lijstalinea">
    <w:name w:val="List Paragraph"/>
    <w:basedOn w:val="Standaard"/>
    <w:uiPriority w:val="34"/>
    <w:qFormat/>
    <w:rsid w:val="00FA36F5"/>
    <w:pPr>
      <w:ind w:left="720"/>
      <w:contextualSpacing/>
    </w:pPr>
  </w:style>
  <w:style w:type="paragraph" w:styleId="Revisie">
    <w:name w:val="Revision"/>
    <w:hidden/>
    <w:uiPriority w:val="99"/>
    <w:semiHidden/>
    <w:rsid w:val="00947492"/>
    <w:rPr>
      <w:sz w:val="24"/>
    </w:rPr>
  </w:style>
  <w:style w:type="character" w:styleId="Verwijzingopmerking">
    <w:name w:val="annotation reference"/>
    <w:basedOn w:val="Standaardalinea-lettertype"/>
    <w:semiHidden/>
    <w:unhideWhenUsed/>
    <w:rsid w:val="007F4681"/>
    <w:rPr>
      <w:sz w:val="16"/>
      <w:szCs w:val="16"/>
    </w:rPr>
  </w:style>
  <w:style w:type="paragraph" w:styleId="Tekstopmerking">
    <w:name w:val="annotation text"/>
    <w:basedOn w:val="Standaard"/>
    <w:link w:val="TekstopmerkingChar"/>
    <w:unhideWhenUsed/>
    <w:rsid w:val="007F4681"/>
    <w:rPr>
      <w:sz w:val="20"/>
    </w:rPr>
  </w:style>
  <w:style w:type="character" w:customStyle="1" w:styleId="TekstopmerkingChar">
    <w:name w:val="Tekst opmerking Char"/>
    <w:basedOn w:val="Standaardalinea-lettertype"/>
    <w:link w:val="Tekstopmerking"/>
    <w:rsid w:val="007F4681"/>
  </w:style>
  <w:style w:type="paragraph" w:styleId="Onderwerpvanopmerking">
    <w:name w:val="annotation subject"/>
    <w:basedOn w:val="Tekstopmerking"/>
    <w:next w:val="Tekstopmerking"/>
    <w:link w:val="OnderwerpvanopmerkingChar"/>
    <w:semiHidden/>
    <w:unhideWhenUsed/>
    <w:rsid w:val="007F4681"/>
    <w:rPr>
      <w:b/>
      <w:bCs/>
    </w:rPr>
  </w:style>
  <w:style w:type="character" w:customStyle="1" w:styleId="OnderwerpvanopmerkingChar">
    <w:name w:val="Onderwerp van opmerking Char"/>
    <w:basedOn w:val="TekstopmerkingChar"/>
    <w:link w:val="Onderwerpvanopmerking"/>
    <w:semiHidden/>
    <w:rsid w:val="007F46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8936">
      <w:bodyDiv w:val="1"/>
      <w:marLeft w:val="0"/>
      <w:marRight w:val="0"/>
      <w:marTop w:val="0"/>
      <w:marBottom w:val="0"/>
      <w:divBdr>
        <w:top w:val="none" w:sz="0" w:space="0" w:color="auto"/>
        <w:left w:val="none" w:sz="0" w:space="0" w:color="auto"/>
        <w:bottom w:val="none" w:sz="0" w:space="0" w:color="auto"/>
        <w:right w:val="none" w:sz="0" w:space="0" w:color="auto"/>
      </w:divBdr>
    </w:div>
    <w:div w:id="65149761">
      <w:bodyDiv w:val="1"/>
      <w:marLeft w:val="0"/>
      <w:marRight w:val="0"/>
      <w:marTop w:val="0"/>
      <w:marBottom w:val="0"/>
      <w:divBdr>
        <w:top w:val="none" w:sz="0" w:space="0" w:color="auto"/>
        <w:left w:val="none" w:sz="0" w:space="0" w:color="auto"/>
        <w:bottom w:val="none" w:sz="0" w:space="0" w:color="auto"/>
        <w:right w:val="none" w:sz="0" w:space="0" w:color="auto"/>
      </w:divBdr>
    </w:div>
    <w:div w:id="364672609">
      <w:bodyDiv w:val="1"/>
      <w:marLeft w:val="0"/>
      <w:marRight w:val="0"/>
      <w:marTop w:val="0"/>
      <w:marBottom w:val="0"/>
      <w:divBdr>
        <w:top w:val="none" w:sz="0" w:space="0" w:color="auto"/>
        <w:left w:val="none" w:sz="0" w:space="0" w:color="auto"/>
        <w:bottom w:val="none" w:sz="0" w:space="0" w:color="auto"/>
        <w:right w:val="none" w:sz="0" w:space="0" w:color="auto"/>
      </w:divBdr>
    </w:div>
    <w:div w:id="432895725">
      <w:bodyDiv w:val="1"/>
      <w:marLeft w:val="0"/>
      <w:marRight w:val="0"/>
      <w:marTop w:val="0"/>
      <w:marBottom w:val="0"/>
      <w:divBdr>
        <w:top w:val="none" w:sz="0" w:space="0" w:color="auto"/>
        <w:left w:val="none" w:sz="0" w:space="0" w:color="auto"/>
        <w:bottom w:val="none" w:sz="0" w:space="0" w:color="auto"/>
        <w:right w:val="none" w:sz="0" w:space="0" w:color="auto"/>
      </w:divBdr>
    </w:div>
    <w:div w:id="582960123">
      <w:bodyDiv w:val="1"/>
      <w:marLeft w:val="0"/>
      <w:marRight w:val="0"/>
      <w:marTop w:val="0"/>
      <w:marBottom w:val="0"/>
      <w:divBdr>
        <w:top w:val="none" w:sz="0" w:space="0" w:color="auto"/>
        <w:left w:val="none" w:sz="0" w:space="0" w:color="auto"/>
        <w:bottom w:val="none" w:sz="0" w:space="0" w:color="auto"/>
        <w:right w:val="none" w:sz="0" w:space="0" w:color="auto"/>
      </w:divBdr>
    </w:div>
    <w:div w:id="588732095">
      <w:bodyDiv w:val="1"/>
      <w:marLeft w:val="0"/>
      <w:marRight w:val="0"/>
      <w:marTop w:val="0"/>
      <w:marBottom w:val="0"/>
      <w:divBdr>
        <w:top w:val="none" w:sz="0" w:space="0" w:color="auto"/>
        <w:left w:val="none" w:sz="0" w:space="0" w:color="auto"/>
        <w:bottom w:val="none" w:sz="0" w:space="0" w:color="auto"/>
        <w:right w:val="none" w:sz="0" w:space="0" w:color="auto"/>
      </w:divBdr>
    </w:div>
    <w:div w:id="805850611">
      <w:bodyDiv w:val="1"/>
      <w:marLeft w:val="0"/>
      <w:marRight w:val="0"/>
      <w:marTop w:val="0"/>
      <w:marBottom w:val="0"/>
      <w:divBdr>
        <w:top w:val="none" w:sz="0" w:space="0" w:color="auto"/>
        <w:left w:val="none" w:sz="0" w:space="0" w:color="auto"/>
        <w:bottom w:val="none" w:sz="0" w:space="0" w:color="auto"/>
        <w:right w:val="none" w:sz="0" w:space="0" w:color="auto"/>
      </w:divBdr>
    </w:div>
    <w:div w:id="911626157">
      <w:bodyDiv w:val="1"/>
      <w:marLeft w:val="0"/>
      <w:marRight w:val="0"/>
      <w:marTop w:val="0"/>
      <w:marBottom w:val="0"/>
      <w:divBdr>
        <w:top w:val="none" w:sz="0" w:space="0" w:color="auto"/>
        <w:left w:val="none" w:sz="0" w:space="0" w:color="auto"/>
        <w:bottom w:val="none" w:sz="0" w:space="0" w:color="auto"/>
        <w:right w:val="none" w:sz="0" w:space="0" w:color="auto"/>
      </w:divBdr>
    </w:div>
    <w:div w:id="931160279">
      <w:bodyDiv w:val="1"/>
      <w:marLeft w:val="0"/>
      <w:marRight w:val="0"/>
      <w:marTop w:val="0"/>
      <w:marBottom w:val="0"/>
      <w:divBdr>
        <w:top w:val="none" w:sz="0" w:space="0" w:color="auto"/>
        <w:left w:val="none" w:sz="0" w:space="0" w:color="auto"/>
        <w:bottom w:val="none" w:sz="0" w:space="0" w:color="auto"/>
        <w:right w:val="none" w:sz="0" w:space="0" w:color="auto"/>
      </w:divBdr>
    </w:div>
    <w:div w:id="981538399">
      <w:bodyDiv w:val="1"/>
      <w:marLeft w:val="0"/>
      <w:marRight w:val="0"/>
      <w:marTop w:val="0"/>
      <w:marBottom w:val="0"/>
      <w:divBdr>
        <w:top w:val="none" w:sz="0" w:space="0" w:color="auto"/>
        <w:left w:val="none" w:sz="0" w:space="0" w:color="auto"/>
        <w:bottom w:val="none" w:sz="0" w:space="0" w:color="auto"/>
        <w:right w:val="none" w:sz="0" w:space="0" w:color="auto"/>
      </w:divBdr>
    </w:div>
    <w:div w:id="1031615937">
      <w:bodyDiv w:val="1"/>
      <w:marLeft w:val="0"/>
      <w:marRight w:val="0"/>
      <w:marTop w:val="0"/>
      <w:marBottom w:val="0"/>
      <w:divBdr>
        <w:top w:val="none" w:sz="0" w:space="0" w:color="auto"/>
        <w:left w:val="none" w:sz="0" w:space="0" w:color="auto"/>
        <w:bottom w:val="none" w:sz="0" w:space="0" w:color="auto"/>
        <w:right w:val="none" w:sz="0" w:space="0" w:color="auto"/>
      </w:divBdr>
    </w:div>
    <w:div w:id="1313289228">
      <w:bodyDiv w:val="1"/>
      <w:marLeft w:val="0"/>
      <w:marRight w:val="0"/>
      <w:marTop w:val="0"/>
      <w:marBottom w:val="0"/>
      <w:divBdr>
        <w:top w:val="none" w:sz="0" w:space="0" w:color="auto"/>
        <w:left w:val="none" w:sz="0" w:space="0" w:color="auto"/>
        <w:bottom w:val="none" w:sz="0" w:space="0" w:color="auto"/>
        <w:right w:val="none" w:sz="0" w:space="0" w:color="auto"/>
      </w:divBdr>
    </w:div>
    <w:div w:id="1313749682">
      <w:bodyDiv w:val="1"/>
      <w:marLeft w:val="0"/>
      <w:marRight w:val="0"/>
      <w:marTop w:val="0"/>
      <w:marBottom w:val="0"/>
      <w:divBdr>
        <w:top w:val="none" w:sz="0" w:space="0" w:color="auto"/>
        <w:left w:val="none" w:sz="0" w:space="0" w:color="auto"/>
        <w:bottom w:val="none" w:sz="0" w:space="0" w:color="auto"/>
        <w:right w:val="none" w:sz="0" w:space="0" w:color="auto"/>
      </w:divBdr>
    </w:div>
    <w:div w:id="1350138948">
      <w:bodyDiv w:val="1"/>
      <w:marLeft w:val="0"/>
      <w:marRight w:val="0"/>
      <w:marTop w:val="0"/>
      <w:marBottom w:val="0"/>
      <w:divBdr>
        <w:top w:val="none" w:sz="0" w:space="0" w:color="auto"/>
        <w:left w:val="none" w:sz="0" w:space="0" w:color="auto"/>
        <w:bottom w:val="none" w:sz="0" w:space="0" w:color="auto"/>
        <w:right w:val="none" w:sz="0" w:space="0" w:color="auto"/>
      </w:divBdr>
    </w:div>
    <w:div w:id="1812675856">
      <w:bodyDiv w:val="1"/>
      <w:marLeft w:val="0"/>
      <w:marRight w:val="0"/>
      <w:marTop w:val="0"/>
      <w:marBottom w:val="0"/>
      <w:divBdr>
        <w:top w:val="none" w:sz="0" w:space="0" w:color="auto"/>
        <w:left w:val="none" w:sz="0" w:space="0" w:color="auto"/>
        <w:bottom w:val="none" w:sz="0" w:space="0" w:color="auto"/>
        <w:right w:val="none" w:sz="0" w:space="0" w:color="auto"/>
      </w:divBdr>
    </w:div>
    <w:div w:id="210511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655</ap:Words>
  <ap:Characters>3714</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2024-09-26T14:00:00.0000000Z</lastPrinted>
  <dcterms:created xsi:type="dcterms:W3CDTF">2024-11-07T14:49:00.0000000Z</dcterms:created>
  <dcterms:modified xsi:type="dcterms:W3CDTF">2024-11-07T14:49:00.0000000Z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2024-09-25T14:16:39Z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096dd55d-fd10-4e82-889d-0bbd87b01025</vt:lpwstr>
  </property>
  <property fmtid="{D5CDD505-2E9C-101B-9397-08002B2CF9AE}" pid="8" name="MSIP_Label_f4b587cc-5349-4506-9b19-2242ab88a0ee_ContentBits">
    <vt:lpwstr>0</vt:lpwstr>
  </property>
</Properties>
</file>