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CDA4D0D" w14:textId="77777777">
        <w:tc>
          <w:tcPr>
            <w:tcW w:w="6379" w:type="dxa"/>
            <w:gridSpan w:val="2"/>
            <w:tcBorders>
              <w:top w:val="nil"/>
              <w:left w:val="nil"/>
              <w:bottom w:val="nil"/>
              <w:right w:val="nil"/>
            </w:tcBorders>
            <w:vAlign w:val="center"/>
          </w:tcPr>
          <w:p w:rsidR="004330ED" w:rsidP="00EA1CE4" w:rsidRDefault="004330ED" w14:paraId="6E9D765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D0DDD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03B4B7" w14:textId="77777777">
        <w:trPr>
          <w:cantSplit/>
        </w:trPr>
        <w:tc>
          <w:tcPr>
            <w:tcW w:w="10348" w:type="dxa"/>
            <w:gridSpan w:val="3"/>
            <w:tcBorders>
              <w:top w:val="single" w:color="auto" w:sz="4" w:space="0"/>
              <w:left w:val="nil"/>
              <w:bottom w:val="nil"/>
              <w:right w:val="nil"/>
            </w:tcBorders>
          </w:tcPr>
          <w:p w:rsidR="004330ED" w:rsidP="004A1E29" w:rsidRDefault="004330ED" w14:paraId="6DCAD9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2D7D04" w14:textId="77777777">
        <w:trPr>
          <w:cantSplit/>
        </w:trPr>
        <w:tc>
          <w:tcPr>
            <w:tcW w:w="10348" w:type="dxa"/>
            <w:gridSpan w:val="3"/>
            <w:tcBorders>
              <w:top w:val="nil"/>
              <w:left w:val="nil"/>
              <w:bottom w:val="nil"/>
              <w:right w:val="nil"/>
            </w:tcBorders>
          </w:tcPr>
          <w:p w:rsidR="004330ED" w:rsidP="00BF623B" w:rsidRDefault="004330ED" w14:paraId="1B38980A" w14:textId="77777777">
            <w:pPr>
              <w:pStyle w:val="Amendement"/>
              <w:tabs>
                <w:tab w:val="clear" w:pos="3310"/>
                <w:tab w:val="clear" w:pos="3600"/>
              </w:tabs>
              <w:rPr>
                <w:rFonts w:ascii="Times New Roman" w:hAnsi="Times New Roman"/>
                <w:b w:val="0"/>
              </w:rPr>
            </w:pPr>
          </w:p>
        </w:tc>
      </w:tr>
      <w:tr w:rsidR="004330ED" w:rsidTr="00EA1CE4" w14:paraId="38322DBA" w14:textId="77777777">
        <w:trPr>
          <w:cantSplit/>
        </w:trPr>
        <w:tc>
          <w:tcPr>
            <w:tcW w:w="10348" w:type="dxa"/>
            <w:gridSpan w:val="3"/>
            <w:tcBorders>
              <w:top w:val="nil"/>
              <w:left w:val="nil"/>
              <w:bottom w:val="single" w:color="auto" w:sz="4" w:space="0"/>
              <w:right w:val="nil"/>
            </w:tcBorders>
          </w:tcPr>
          <w:p w:rsidR="004330ED" w:rsidP="00BF623B" w:rsidRDefault="004330ED" w14:paraId="1D21E3F0" w14:textId="77777777">
            <w:pPr>
              <w:pStyle w:val="Amendement"/>
              <w:tabs>
                <w:tab w:val="clear" w:pos="3310"/>
                <w:tab w:val="clear" w:pos="3600"/>
              </w:tabs>
              <w:rPr>
                <w:rFonts w:ascii="Times New Roman" w:hAnsi="Times New Roman"/>
              </w:rPr>
            </w:pPr>
          </w:p>
        </w:tc>
      </w:tr>
      <w:tr w:rsidR="004330ED" w:rsidTr="00EA1CE4" w14:paraId="63912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11139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2A15BF" w14:textId="77777777">
            <w:pPr>
              <w:suppressAutoHyphens/>
              <w:ind w:left="-70"/>
              <w:rPr>
                <w:b/>
              </w:rPr>
            </w:pPr>
          </w:p>
        </w:tc>
      </w:tr>
      <w:tr w:rsidR="003C21AC" w:rsidTr="00EA1CE4" w14:paraId="4809E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44373" w14:paraId="523A62A3" w14:textId="09623ED4">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244373" w:rsidR="003C21AC" w:rsidP="00244373" w:rsidRDefault="00244373" w14:paraId="24E6DF1C" w14:textId="3C591440">
            <w:pPr>
              <w:rPr>
                <w:b/>
                <w:bCs/>
                <w:szCs w:val="24"/>
              </w:rPr>
            </w:pPr>
            <w:r w:rsidRPr="00244373">
              <w:rPr>
                <w:b/>
                <w:bCs/>
                <w:szCs w:val="24"/>
              </w:rPr>
              <w:t>Wijziging van enkele belastingwetten en enige andere wetten (Belastingplan 2025)</w:t>
            </w:r>
          </w:p>
        </w:tc>
      </w:tr>
      <w:tr w:rsidR="003C21AC" w:rsidTr="00EA1CE4" w14:paraId="71C8C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8DD5B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F4C6B9A" w14:textId="77777777">
            <w:pPr>
              <w:pStyle w:val="Amendement"/>
              <w:tabs>
                <w:tab w:val="clear" w:pos="3310"/>
                <w:tab w:val="clear" w:pos="3600"/>
              </w:tabs>
              <w:ind w:left="-70"/>
              <w:rPr>
                <w:rFonts w:ascii="Times New Roman" w:hAnsi="Times New Roman"/>
              </w:rPr>
            </w:pPr>
          </w:p>
        </w:tc>
      </w:tr>
      <w:tr w:rsidR="003C21AC" w:rsidTr="00EA1CE4" w14:paraId="45BC6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81CB6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164DE98" w14:textId="77777777">
            <w:pPr>
              <w:pStyle w:val="Amendement"/>
              <w:tabs>
                <w:tab w:val="clear" w:pos="3310"/>
                <w:tab w:val="clear" w:pos="3600"/>
              </w:tabs>
              <w:ind w:left="-70"/>
              <w:rPr>
                <w:rFonts w:ascii="Times New Roman" w:hAnsi="Times New Roman"/>
              </w:rPr>
            </w:pPr>
          </w:p>
        </w:tc>
      </w:tr>
      <w:tr w:rsidR="003C21AC" w:rsidTr="00EA1CE4" w14:paraId="2A9BA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790C7A2" w14:textId="6E1B710B">
            <w:pPr>
              <w:pStyle w:val="Amendement"/>
              <w:tabs>
                <w:tab w:val="clear" w:pos="3310"/>
                <w:tab w:val="clear" w:pos="3600"/>
              </w:tabs>
              <w:rPr>
                <w:rFonts w:ascii="Times New Roman" w:hAnsi="Times New Roman"/>
              </w:rPr>
            </w:pPr>
            <w:r w:rsidRPr="00C035D4">
              <w:rPr>
                <w:rFonts w:ascii="Times New Roman" w:hAnsi="Times New Roman"/>
              </w:rPr>
              <w:t xml:space="preserve">Nr. </w:t>
            </w:r>
            <w:r w:rsidR="00CC662F">
              <w:rPr>
                <w:rFonts w:ascii="Times New Roman" w:hAnsi="Times New Roman"/>
                <w:caps/>
              </w:rPr>
              <w:t>72</w:t>
            </w:r>
          </w:p>
        </w:tc>
        <w:tc>
          <w:tcPr>
            <w:tcW w:w="7371" w:type="dxa"/>
            <w:gridSpan w:val="2"/>
          </w:tcPr>
          <w:p w:rsidRPr="00C035D4" w:rsidR="003C21AC" w:rsidP="006E0971" w:rsidRDefault="003C21AC" w14:paraId="384783E5" w14:textId="1C9D64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25423">
              <w:rPr>
                <w:rFonts w:ascii="Times New Roman" w:hAnsi="Times New Roman"/>
                <w:caps/>
              </w:rPr>
              <w:t xml:space="preserve">de leden </w:t>
            </w:r>
            <w:r w:rsidR="00244373">
              <w:rPr>
                <w:rFonts w:ascii="Times New Roman" w:hAnsi="Times New Roman"/>
                <w:caps/>
              </w:rPr>
              <w:t>maatoug</w:t>
            </w:r>
            <w:r w:rsidR="00AE4BB7">
              <w:rPr>
                <w:rFonts w:ascii="Times New Roman" w:hAnsi="Times New Roman"/>
                <w:caps/>
              </w:rPr>
              <w:t xml:space="preserve"> en stultiens</w:t>
            </w:r>
          </w:p>
        </w:tc>
      </w:tr>
      <w:tr w:rsidR="003C21AC" w:rsidTr="00EA1CE4" w14:paraId="12872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150628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E0CF8C" w14:textId="762C21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25423">
              <w:rPr>
                <w:rFonts w:ascii="Times New Roman" w:hAnsi="Times New Roman"/>
                <w:b w:val="0"/>
              </w:rPr>
              <w:t>11 november 2024</w:t>
            </w:r>
          </w:p>
        </w:tc>
      </w:tr>
      <w:tr w:rsidR="00B01BA6" w:rsidTr="00EA1CE4" w14:paraId="44DBA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E50E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C758E29" w14:textId="77777777">
            <w:pPr>
              <w:pStyle w:val="Amendement"/>
              <w:tabs>
                <w:tab w:val="clear" w:pos="3310"/>
                <w:tab w:val="clear" w:pos="3600"/>
              </w:tabs>
              <w:ind w:left="-70"/>
              <w:rPr>
                <w:rFonts w:ascii="Times New Roman" w:hAnsi="Times New Roman"/>
                <w:b w:val="0"/>
              </w:rPr>
            </w:pPr>
          </w:p>
        </w:tc>
      </w:tr>
      <w:tr w:rsidRPr="00EA69AC" w:rsidR="00B01BA6" w:rsidTr="00EA1CE4" w14:paraId="2AE18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2A67EC" w14:textId="6978A5F9">
            <w:pPr>
              <w:ind w:firstLine="284"/>
            </w:pPr>
            <w:r w:rsidRPr="00EA69AC">
              <w:t>De ondergetekende</w:t>
            </w:r>
            <w:r w:rsidR="00AE4BB7">
              <w:t>n</w:t>
            </w:r>
            <w:r w:rsidRPr="00EA69AC">
              <w:t xml:space="preserve"> stel</w:t>
            </w:r>
            <w:r w:rsidR="00AE4BB7">
              <w:t>len</w:t>
            </w:r>
            <w:r w:rsidRPr="00EA69AC">
              <w:t xml:space="preserve"> het volgende amendement voor:</w:t>
            </w:r>
          </w:p>
        </w:tc>
      </w:tr>
    </w:tbl>
    <w:p w:rsidRPr="00EA69AC" w:rsidR="004330ED" w:rsidP="00D774B3" w:rsidRDefault="004330ED" w14:paraId="2A1BB620" w14:textId="77777777"/>
    <w:p w:rsidR="00AE4BB7" w:rsidP="00AE4BB7" w:rsidRDefault="00AE4BB7" w14:paraId="2EA582F8" w14:textId="77777777">
      <w:pPr>
        <w:ind w:firstLine="284"/>
      </w:pPr>
      <w:r>
        <w:t>In artikel XV, onderdeel K, onder 1, wordt “25%” vervangen door “10%”.</w:t>
      </w:r>
    </w:p>
    <w:p w:rsidR="00244373" w:rsidP="00244373" w:rsidRDefault="00244373" w14:paraId="5C2DAAFE" w14:textId="77777777"/>
    <w:p w:rsidRPr="00EA69AC" w:rsidR="003C21AC" w:rsidP="00EA1CE4" w:rsidRDefault="003C21AC" w14:paraId="7F5AEEBD" w14:textId="77777777">
      <w:pPr>
        <w:rPr>
          <w:b/>
        </w:rPr>
      </w:pPr>
      <w:r w:rsidRPr="00EA69AC">
        <w:rPr>
          <w:b/>
        </w:rPr>
        <w:t>Toelichting</w:t>
      </w:r>
    </w:p>
    <w:p w:rsidRPr="00EA69AC" w:rsidR="003C21AC" w:rsidP="00BF623B" w:rsidRDefault="003C21AC" w14:paraId="5E85D274" w14:textId="77777777"/>
    <w:p w:rsidR="00AE4BB7" w:rsidP="00AE4BB7" w:rsidRDefault="00AE4BB7" w14:paraId="7BC4D8CF" w14:textId="77777777">
      <w:r w:rsidRPr="00244373">
        <w:t>In het Belastingplan 2025 wordt voorgesteld het percentage voor het bepalen van de aftrekruimte in de generieke renteaftrekbeperking te verhogen van 20% naar 25%. Met dit amendement wordt voorgesteld deze maatregel te schrappe</w:t>
      </w:r>
      <w:r>
        <w:t xml:space="preserve">n, en in plaats daarvan de generieke renteaftrekbeperking juist aan te scherpen naar 10%. </w:t>
      </w:r>
    </w:p>
    <w:p w:rsidR="00AE4BB7" w:rsidP="00AE4BB7" w:rsidRDefault="00AE4BB7" w14:paraId="49BE687F" w14:textId="77777777"/>
    <w:p w:rsidR="00AE4BB7" w:rsidP="00AE4BB7" w:rsidRDefault="00AE4BB7" w14:paraId="28BBAE2C" w14:textId="77777777">
      <w:r>
        <w:t>De maatregel is slecht onderbouwd en dient klaarblijkelijk geen duidelijk doel. Daarnaast is de verlaging van het percentage naar 20% pas sinds enkele jaren van kracht en zijn er sindsdien geen signalen gekomen dat deze verlaging daadwerkelijk problematische knelpunten veroorzaakt, met uitzondering van de situatie van woningcorporaties. De indiener is echter van mening dat woningcorporaties beter gericht geholpen kunnen worden dan via deze dure maatregel, die vooral ten goede komt aan zeer grote bedrijven.</w:t>
      </w:r>
    </w:p>
    <w:p w:rsidR="00AE4BB7" w:rsidP="00AE4BB7" w:rsidRDefault="00AE4BB7" w14:paraId="4315A640" w14:textId="77777777"/>
    <w:p w:rsidR="00AE4BB7" w:rsidP="00AE4BB7" w:rsidRDefault="00AE4BB7" w14:paraId="3097BE0B" w14:textId="77777777">
      <w:r>
        <w:t>Daarnaast is de indiener van mening dat het van groot belang is dat de strijd tegen belastingontwijking geïntensiveerd wordt. Daarom stelt de indiener voor het percentage voor het bepalen van de aftrekruimte in de generieke renteaftrekbeperking te verlagen naar 10%.</w:t>
      </w:r>
    </w:p>
    <w:p w:rsidR="00AE4BB7" w:rsidP="00AE4BB7" w:rsidRDefault="00AE4BB7" w14:paraId="486268D6" w14:textId="77777777"/>
    <w:p w:rsidRPr="003A08DF" w:rsidR="00AE4BB7" w:rsidP="00AE4BB7" w:rsidRDefault="00AE4BB7" w14:paraId="025CC678" w14:textId="77777777">
      <w:pPr>
        <w:rPr>
          <w:i/>
          <w:iCs/>
        </w:rPr>
      </w:pPr>
      <w:r w:rsidRPr="003A08DF">
        <w:rPr>
          <w:i/>
          <w:iCs/>
        </w:rPr>
        <w:t xml:space="preserve">Budgettaire </w:t>
      </w:r>
      <w:r>
        <w:rPr>
          <w:i/>
          <w:iCs/>
        </w:rPr>
        <w:t>gevolgen</w:t>
      </w:r>
      <w:r w:rsidRPr="003A08DF">
        <w:rPr>
          <w:i/>
          <w:iCs/>
        </w:rPr>
        <w:t xml:space="preserve"> </w:t>
      </w:r>
    </w:p>
    <w:p w:rsidR="00AE4BB7" w:rsidP="00AE4BB7" w:rsidRDefault="00AE4BB7" w14:paraId="3C368C36" w14:textId="77777777">
      <w:pPr>
        <w:rPr>
          <w:lang w:eastAsia="zh-CN" w:bidi="hi-IN"/>
        </w:rPr>
      </w:pPr>
      <w:r>
        <w:rPr>
          <w:lang w:eastAsia="zh-CN" w:bidi="hi-IN"/>
        </w:rPr>
        <w:t xml:space="preserve">De budgettaire gevolgen van dit amendement worden in de onderstaande tabel gegeven. </w:t>
      </w:r>
    </w:p>
    <w:p w:rsidR="00AE4BB7" w:rsidP="00AE4BB7" w:rsidRDefault="00AE4BB7" w14:paraId="13ADCA51" w14:textId="77777777">
      <w:pPr>
        <w:rPr>
          <w:lang w:eastAsia="zh-CN" w:bidi="hi-IN"/>
        </w:rPr>
      </w:pPr>
    </w:p>
    <w:tbl>
      <w:tblPr>
        <w:tblW w:w="5000" w:type="pct"/>
        <w:tblCellMar>
          <w:left w:w="70" w:type="dxa"/>
          <w:right w:w="70" w:type="dxa"/>
        </w:tblCellMar>
        <w:tblLook w:val="04A0" w:firstRow="1" w:lastRow="0" w:firstColumn="1" w:lastColumn="0" w:noHBand="0" w:noVBand="1"/>
      </w:tblPr>
      <w:tblGrid>
        <w:gridCol w:w="2501"/>
        <w:gridCol w:w="605"/>
        <w:gridCol w:w="1210"/>
        <w:gridCol w:w="1207"/>
        <w:gridCol w:w="1206"/>
        <w:gridCol w:w="1206"/>
        <w:gridCol w:w="1206"/>
        <w:gridCol w:w="1206"/>
      </w:tblGrid>
      <w:tr w:rsidRPr="00AE4BB7" w:rsidR="00AE4BB7" w:rsidTr="00AE4BB7" w14:paraId="10EF5EE5" w14:textId="77777777">
        <w:trPr>
          <w:trHeight w:val="259"/>
        </w:trPr>
        <w:tc>
          <w:tcPr>
            <w:tcW w:w="1500" w:type="pct"/>
            <w:gridSpan w:val="2"/>
            <w:tcBorders>
              <w:top w:val="single" w:color="000000" w:sz="8" w:space="0"/>
              <w:left w:val="nil"/>
              <w:bottom w:val="single" w:color="000000" w:sz="8" w:space="0"/>
              <w:right w:val="nil"/>
            </w:tcBorders>
            <w:shd w:val="clear" w:color="000000" w:fill="A6A6A6"/>
            <w:vAlign w:val="center"/>
            <w:hideMark/>
          </w:tcPr>
          <w:p w:rsidRPr="00AE4BB7" w:rsidR="00AE4BB7" w:rsidP="000919D4" w:rsidRDefault="00AE4BB7" w14:paraId="0D372F9D" w14:textId="77777777">
            <w:pPr>
              <w:rPr>
                <w:color w:val="FFFFFF"/>
                <w:sz w:val="20"/>
              </w:rPr>
            </w:pPr>
            <w:r w:rsidRPr="00AE4BB7">
              <w:rPr>
                <w:color w:val="000000"/>
                <w:sz w:val="20"/>
              </w:rPr>
              <w:t>In mln EUR en in prijzen</w:t>
            </w:r>
          </w:p>
        </w:tc>
        <w:tc>
          <w:tcPr>
            <w:tcW w:w="583" w:type="pct"/>
            <w:tcBorders>
              <w:top w:val="single" w:color="000000" w:sz="8" w:space="0"/>
              <w:left w:val="nil"/>
              <w:bottom w:val="single" w:color="000000" w:sz="8" w:space="0"/>
              <w:right w:val="nil"/>
            </w:tcBorders>
            <w:shd w:val="clear" w:color="000000" w:fill="A6A6A6"/>
            <w:vAlign w:val="center"/>
            <w:hideMark/>
          </w:tcPr>
          <w:p w:rsidRPr="00AE4BB7" w:rsidR="00AE4BB7" w:rsidP="000919D4" w:rsidRDefault="00AE4BB7" w14:paraId="192A57A1" w14:textId="77777777">
            <w:pPr>
              <w:jc w:val="center"/>
              <w:rPr>
                <w:color w:val="FFFFFF"/>
                <w:sz w:val="20"/>
              </w:rPr>
            </w:pPr>
            <w:r w:rsidRPr="00AE4BB7">
              <w:rPr>
                <w:color w:val="FFFFFF"/>
                <w:sz w:val="20"/>
              </w:rPr>
              <w:t>2024</w:t>
            </w:r>
          </w:p>
        </w:tc>
        <w:tc>
          <w:tcPr>
            <w:tcW w:w="583" w:type="pct"/>
            <w:tcBorders>
              <w:top w:val="single" w:color="000000" w:sz="8" w:space="0"/>
              <w:left w:val="nil"/>
              <w:bottom w:val="single" w:color="000000" w:sz="8" w:space="0"/>
              <w:right w:val="nil"/>
            </w:tcBorders>
            <w:shd w:val="clear" w:color="000000" w:fill="A6A6A6"/>
            <w:vAlign w:val="center"/>
            <w:hideMark/>
          </w:tcPr>
          <w:p w:rsidRPr="00AE4BB7" w:rsidR="00AE4BB7" w:rsidP="000919D4" w:rsidRDefault="00AE4BB7" w14:paraId="08707ACE" w14:textId="77777777">
            <w:pPr>
              <w:jc w:val="center"/>
              <w:rPr>
                <w:color w:val="FFFFFF"/>
                <w:sz w:val="20"/>
              </w:rPr>
            </w:pPr>
            <w:r w:rsidRPr="00AE4BB7">
              <w:rPr>
                <w:color w:val="FFFFFF"/>
                <w:sz w:val="20"/>
              </w:rPr>
              <w:t>2025</w:t>
            </w:r>
          </w:p>
        </w:tc>
        <w:tc>
          <w:tcPr>
            <w:tcW w:w="583" w:type="pct"/>
            <w:tcBorders>
              <w:top w:val="single" w:color="000000" w:sz="8" w:space="0"/>
              <w:left w:val="nil"/>
              <w:bottom w:val="single" w:color="000000" w:sz="8" w:space="0"/>
              <w:right w:val="nil"/>
            </w:tcBorders>
            <w:shd w:val="clear" w:color="000000" w:fill="A6A6A6"/>
            <w:vAlign w:val="center"/>
            <w:hideMark/>
          </w:tcPr>
          <w:p w:rsidRPr="00AE4BB7" w:rsidR="00AE4BB7" w:rsidP="000919D4" w:rsidRDefault="00AE4BB7" w14:paraId="5E23F6F8" w14:textId="77777777">
            <w:pPr>
              <w:jc w:val="center"/>
              <w:rPr>
                <w:color w:val="FFFFFF"/>
                <w:sz w:val="20"/>
              </w:rPr>
            </w:pPr>
            <w:r w:rsidRPr="00AE4BB7">
              <w:rPr>
                <w:color w:val="FFFFFF"/>
                <w:sz w:val="20"/>
              </w:rPr>
              <w:t>2026</w:t>
            </w:r>
          </w:p>
        </w:tc>
        <w:tc>
          <w:tcPr>
            <w:tcW w:w="583" w:type="pct"/>
            <w:tcBorders>
              <w:top w:val="single" w:color="000000" w:sz="8" w:space="0"/>
              <w:left w:val="nil"/>
              <w:bottom w:val="single" w:color="000000" w:sz="8" w:space="0"/>
              <w:right w:val="nil"/>
            </w:tcBorders>
            <w:shd w:val="clear" w:color="000000" w:fill="A6A6A6"/>
            <w:vAlign w:val="center"/>
            <w:hideMark/>
          </w:tcPr>
          <w:p w:rsidRPr="00AE4BB7" w:rsidR="00AE4BB7" w:rsidP="000919D4" w:rsidRDefault="00AE4BB7" w14:paraId="24C66289" w14:textId="77777777">
            <w:pPr>
              <w:jc w:val="center"/>
              <w:rPr>
                <w:color w:val="FFFFFF"/>
                <w:sz w:val="20"/>
              </w:rPr>
            </w:pPr>
            <w:r w:rsidRPr="00AE4BB7">
              <w:rPr>
                <w:color w:val="FFFFFF"/>
                <w:sz w:val="20"/>
              </w:rPr>
              <w:t>2027</w:t>
            </w:r>
          </w:p>
        </w:tc>
        <w:tc>
          <w:tcPr>
            <w:tcW w:w="583" w:type="pct"/>
            <w:tcBorders>
              <w:top w:val="single" w:color="000000" w:sz="8" w:space="0"/>
              <w:left w:val="nil"/>
              <w:bottom w:val="single" w:color="000000" w:sz="8" w:space="0"/>
              <w:right w:val="nil"/>
            </w:tcBorders>
            <w:shd w:val="clear" w:color="000000" w:fill="A6A6A6"/>
          </w:tcPr>
          <w:p w:rsidRPr="00AE4BB7" w:rsidR="00AE4BB7" w:rsidP="000919D4" w:rsidRDefault="00AE4BB7" w14:paraId="69BEDE76" w14:textId="77777777">
            <w:pPr>
              <w:jc w:val="center"/>
              <w:rPr>
                <w:color w:val="FFFFFF"/>
                <w:sz w:val="20"/>
              </w:rPr>
            </w:pPr>
            <w:r w:rsidRPr="00AE4BB7">
              <w:rPr>
                <w:color w:val="FFFFFF"/>
                <w:sz w:val="20"/>
              </w:rPr>
              <w:t>2028</w:t>
            </w:r>
          </w:p>
        </w:tc>
        <w:tc>
          <w:tcPr>
            <w:tcW w:w="583" w:type="pct"/>
            <w:tcBorders>
              <w:top w:val="single" w:color="000000" w:sz="8" w:space="0"/>
              <w:left w:val="nil"/>
              <w:bottom w:val="single" w:color="000000" w:sz="8" w:space="0"/>
              <w:right w:val="nil"/>
            </w:tcBorders>
            <w:shd w:val="clear" w:color="000000" w:fill="A6A6A6"/>
          </w:tcPr>
          <w:p w:rsidRPr="00AE4BB7" w:rsidR="00AE4BB7" w:rsidP="000919D4" w:rsidRDefault="00AE4BB7" w14:paraId="5A6933A6" w14:textId="77777777">
            <w:pPr>
              <w:jc w:val="center"/>
              <w:rPr>
                <w:color w:val="FFFFFF"/>
                <w:sz w:val="20"/>
              </w:rPr>
            </w:pPr>
            <w:r w:rsidRPr="00AE4BB7">
              <w:rPr>
                <w:color w:val="FFFFFF"/>
                <w:sz w:val="20"/>
              </w:rPr>
              <w:t xml:space="preserve">Struc </w:t>
            </w:r>
          </w:p>
        </w:tc>
      </w:tr>
      <w:tr w:rsidRPr="00AE4BB7" w:rsidR="00AE4BB7" w:rsidTr="00AE4BB7" w14:paraId="5C675281" w14:textId="77777777">
        <w:trPr>
          <w:trHeight w:val="259"/>
        </w:trPr>
        <w:tc>
          <w:tcPr>
            <w:tcW w:w="1500" w:type="pct"/>
            <w:gridSpan w:val="2"/>
            <w:tcBorders>
              <w:top w:val="nil"/>
              <w:left w:val="nil"/>
              <w:bottom w:val="nil"/>
              <w:right w:val="nil"/>
            </w:tcBorders>
            <w:shd w:val="clear" w:color="auto" w:fill="auto"/>
            <w:noWrap/>
            <w:vAlign w:val="bottom"/>
            <w:hideMark/>
          </w:tcPr>
          <w:p w:rsidRPr="00AE4BB7" w:rsidR="00AE4BB7" w:rsidP="000919D4" w:rsidRDefault="00AE4BB7" w14:paraId="4A1826C5" w14:textId="77777777">
            <w:pPr>
              <w:rPr>
                <w:color w:val="000000"/>
                <w:sz w:val="20"/>
              </w:rPr>
            </w:pPr>
            <w:r w:rsidRPr="00AE4BB7">
              <w:rPr>
                <w:color w:val="000000"/>
                <w:sz w:val="20"/>
              </w:rPr>
              <w:t xml:space="preserve">Budgettaire opbrengst </w:t>
            </w:r>
          </w:p>
        </w:tc>
        <w:tc>
          <w:tcPr>
            <w:tcW w:w="583" w:type="pct"/>
            <w:tcBorders>
              <w:top w:val="nil"/>
              <w:left w:val="nil"/>
              <w:bottom w:val="nil"/>
              <w:right w:val="nil"/>
            </w:tcBorders>
            <w:shd w:val="clear" w:color="auto" w:fill="auto"/>
            <w:noWrap/>
            <w:vAlign w:val="center"/>
          </w:tcPr>
          <w:p w:rsidRPr="00AE4BB7" w:rsidR="00AE4BB7" w:rsidP="000919D4" w:rsidRDefault="00AE4BB7" w14:paraId="1B943A85" w14:textId="77777777">
            <w:pPr>
              <w:jc w:val="center"/>
              <w:rPr>
                <w:color w:val="000000"/>
                <w:sz w:val="20"/>
              </w:rPr>
            </w:pPr>
            <w:r w:rsidRPr="00AE4BB7">
              <w:rPr>
                <w:color w:val="000000"/>
                <w:sz w:val="20"/>
              </w:rPr>
              <w:t>10</w:t>
            </w:r>
          </w:p>
        </w:tc>
        <w:tc>
          <w:tcPr>
            <w:tcW w:w="583" w:type="pct"/>
            <w:tcBorders>
              <w:top w:val="nil"/>
              <w:left w:val="nil"/>
              <w:bottom w:val="nil"/>
              <w:right w:val="nil"/>
            </w:tcBorders>
            <w:shd w:val="clear" w:color="auto" w:fill="auto"/>
            <w:noWrap/>
            <w:vAlign w:val="center"/>
          </w:tcPr>
          <w:p w:rsidRPr="00AE4BB7" w:rsidR="00AE4BB7" w:rsidP="000919D4" w:rsidRDefault="00AE4BB7" w14:paraId="2095C9D3" w14:textId="77777777">
            <w:pPr>
              <w:jc w:val="center"/>
              <w:rPr>
                <w:color w:val="000000"/>
                <w:sz w:val="20"/>
              </w:rPr>
            </w:pPr>
            <w:r w:rsidRPr="00AE4BB7">
              <w:rPr>
                <w:color w:val="000000"/>
                <w:sz w:val="20"/>
              </w:rPr>
              <w:t>1540</w:t>
            </w:r>
          </w:p>
        </w:tc>
        <w:tc>
          <w:tcPr>
            <w:tcW w:w="583" w:type="pct"/>
            <w:tcBorders>
              <w:top w:val="nil"/>
              <w:left w:val="nil"/>
              <w:bottom w:val="nil"/>
              <w:right w:val="nil"/>
            </w:tcBorders>
            <w:shd w:val="clear" w:color="auto" w:fill="auto"/>
            <w:noWrap/>
            <w:vAlign w:val="center"/>
          </w:tcPr>
          <w:p w:rsidRPr="00AE4BB7" w:rsidR="00AE4BB7" w:rsidP="000919D4" w:rsidRDefault="00AE4BB7" w14:paraId="2D6C5E66" w14:textId="77777777">
            <w:pPr>
              <w:jc w:val="center"/>
              <w:rPr>
                <w:color w:val="000000"/>
                <w:sz w:val="20"/>
              </w:rPr>
            </w:pPr>
            <w:r w:rsidRPr="00AE4BB7">
              <w:rPr>
                <w:color w:val="000000"/>
                <w:sz w:val="20"/>
              </w:rPr>
              <w:t>1520</w:t>
            </w:r>
          </w:p>
        </w:tc>
        <w:tc>
          <w:tcPr>
            <w:tcW w:w="583" w:type="pct"/>
            <w:tcBorders>
              <w:top w:val="nil"/>
              <w:left w:val="nil"/>
              <w:bottom w:val="nil"/>
              <w:right w:val="nil"/>
            </w:tcBorders>
            <w:shd w:val="clear" w:color="auto" w:fill="auto"/>
            <w:noWrap/>
            <w:vAlign w:val="bottom"/>
          </w:tcPr>
          <w:p w:rsidRPr="00AE4BB7" w:rsidR="00AE4BB7" w:rsidP="000919D4" w:rsidRDefault="00AE4BB7" w14:paraId="316E321E" w14:textId="77777777">
            <w:pPr>
              <w:jc w:val="center"/>
              <w:rPr>
                <w:color w:val="000000"/>
                <w:sz w:val="20"/>
              </w:rPr>
            </w:pPr>
            <w:r w:rsidRPr="00AE4BB7">
              <w:rPr>
                <w:color w:val="000000"/>
                <w:sz w:val="20"/>
              </w:rPr>
              <w:t>1510</w:t>
            </w:r>
          </w:p>
        </w:tc>
        <w:tc>
          <w:tcPr>
            <w:tcW w:w="583" w:type="pct"/>
            <w:tcBorders>
              <w:top w:val="nil"/>
              <w:left w:val="nil"/>
              <w:bottom w:val="nil"/>
              <w:right w:val="nil"/>
            </w:tcBorders>
          </w:tcPr>
          <w:p w:rsidRPr="00AE4BB7" w:rsidR="00AE4BB7" w:rsidP="000919D4" w:rsidRDefault="00AE4BB7" w14:paraId="6B85722D" w14:textId="77777777">
            <w:pPr>
              <w:jc w:val="center"/>
              <w:rPr>
                <w:color w:val="000000"/>
                <w:sz w:val="20"/>
              </w:rPr>
            </w:pPr>
            <w:r w:rsidRPr="00AE4BB7">
              <w:rPr>
                <w:color w:val="000000"/>
                <w:sz w:val="20"/>
              </w:rPr>
              <w:t>1510</w:t>
            </w:r>
          </w:p>
        </w:tc>
        <w:tc>
          <w:tcPr>
            <w:tcW w:w="583" w:type="pct"/>
            <w:tcBorders>
              <w:top w:val="nil"/>
              <w:left w:val="nil"/>
              <w:bottom w:val="nil"/>
              <w:right w:val="nil"/>
            </w:tcBorders>
          </w:tcPr>
          <w:p w:rsidRPr="00AE4BB7" w:rsidR="00AE4BB7" w:rsidP="000919D4" w:rsidRDefault="00AE4BB7" w14:paraId="797A1AE9" w14:textId="77777777">
            <w:pPr>
              <w:jc w:val="center"/>
              <w:rPr>
                <w:color w:val="000000"/>
                <w:sz w:val="20"/>
              </w:rPr>
            </w:pPr>
            <w:r w:rsidRPr="00AE4BB7">
              <w:rPr>
                <w:color w:val="000000"/>
                <w:sz w:val="20"/>
              </w:rPr>
              <w:t>1500</w:t>
            </w:r>
          </w:p>
        </w:tc>
      </w:tr>
      <w:tr w:rsidRPr="00AE4BB7" w:rsidR="00AE4BB7" w:rsidTr="00AE4BB7" w14:paraId="6BB25400" w14:textId="77777777">
        <w:trPr>
          <w:trHeight w:val="259"/>
        </w:trPr>
        <w:tc>
          <w:tcPr>
            <w:tcW w:w="1208" w:type="pct"/>
            <w:tcBorders>
              <w:top w:val="nil"/>
              <w:left w:val="nil"/>
              <w:bottom w:val="single" w:color="auto" w:sz="8" w:space="0"/>
              <w:right w:val="nil"/>
            </w:tcBorders>
            <w:shd w:val="clear" w:color="auto" w:fill="auto"/>
            <w:noWrap/>
            <w:vAlign w:val="bottom"/>
            <w:hideMark/>
          </w:tcPr>
          <w:p w:rsidRPr="00AE4BB7" w:rsidR="00AE4BB7" w:rsidP="000919D4" w:rsidRDefault="00AE4BB7" w14:paraId="02D5146E" w14:textId="77777777">
            <w:pPr>
              <w:rPr>
                <w:color w:val="000000"/>
                <w:sz w:val="20"/>
              </w:rPr>
            </w:pPr>
          </w:p>
        </w:tc>
        <w:tc>
          <w:tcPr>
            <w:tcW w:w="876" w:type="pct"/>
            <w:gridSpan w:val="2"/>
            <w:tcBorders>
              <w:top w:val="nil"/>
              <w:left w:val="nil"/>
              <w:bottom w:val="single" w:color="auto" w:sz="8" w:space="0"/>
              <w:right w:val="nil"/>
            </w:tcBorders>
            <w:shd w:val="clear" w:color="auto" w:fill="auto"/>
            <w:noWrap/>
            <w:vAlign w:val="bottom"/>
            <w:hideMark/>
          </w:tcPr>
          <w:p w:rsidRPr="00AE4BB7" w:rsidR="00AE4BB7" w:rsidP="000919D4" w:rsidRDefault="00AE4BB7" w14:paraId="437D7336" w14:textId="77777777">
            <w:pPr>
              <w:rPr>
                <w:color w:val="000000"/>
                <w:sz w:val="20"/>
              </w:rPr>
            </w:pPr>
            <w:r w:rsidRPr="00AE4BB7">
              <w:rPr>
                <w:color w:val="000000"/>
                <w:sz w:val="20"/>
              </w:rPr>
              <w:t> </w:t>
            </w:r>
          </w:p>
        </w:tc>
        <w:tc>
          <w:tcPr>
            <w:tcW w:w="583" w:type="pct"/>
            <w:tcBorders>
              <w:top w:val="nil"/>
              <w:left w:val="nil"/>
              <w:bottom w:val="single" w:color="auto" w:sz="8" w:space="0"/>
              <w:right w:val="nil"/>
            </w:tcBorders>
            <w:shd w:val="clear" w:color="auto" w:fill="auto"/>
            <w:noWrap/>
            <w:vAlign w:val="bottom"/>
            <w:hideMark/>
          </w:tcPr>
          <w:p w:rsidRPr="00AE4BB7" w:rsidR="00AE4BB7" w:rsidP="000919D4" w:rsidRDefault="00AE4BB7" w14:paraId="3EB9C1C0" w14:textId="77777777">
            <w:pPr>
              <w:rPr>
                <w:color w:val="000000"/>
                <w:sz w:val="20"/>
              </w:rPr>
            </w:pPr>
            <w:r w:rsidRPr="00AE4BB7">
              <w:rPr>
                <w:color w:val="000000"/>
                <w:sz w:val="20"/>
              </w:rPr>
              <w:t> </w:t>
            </w:r>
          </w:p>
        </w:tc>
        <w:tc>
          <w:tcPr>
            <w:tcW w:w="583" w:type="pct"/>
            <w:tcBorders>
              <w:top w:val="nil"/>
              <w:left w:val="nil"/>
              <w:bottom w:val="single" w:color="auto" w:sz="8" w:space="0"/>
              <w:right w:val="nil"/>
            </w:tcBorders>
            <w:shd w:val="clear" w:color="auto" w:fill="auto"/>
            <w:noWrap/>
            <w:vAlign w:val="bottom"/>
            <w:hideMark/>
          </w:tcPr>
          <w:p w:rsidRPr="00AE4BB7" w:rsidR="00AE4BB7" w:rsidP="000919D4" w:rsidRDefault="00AE4BB7" w14:paraId="774AB924" w14:textId="77777777">
            <w:pPr>
              <w:rPr>
                <w:color w:val="000000"/>
                <w:sz w:val="20"/>
              </w:rPr>
            </w:pPr>
            <w:r w:rsidRPr="00AE4BB7">
              <w:rPr>
                <w:color w:val="000000"/>
                <w:sz w:val="20"/>
              </w:rPr>
              <w:t> </w:t>
            </w:r>
          </w:p>
        </w:tc>
        <w:tc>
          <w:tcPr>
            <w:tcW w:w="583" w:type="pct"/>
            <w:tcBorders>
              <w:top w:val="nil"/>
              <w:left w:val="nil"/>
              <w:bottom w:val="single" w:color="auto" w:sz="8" w:space="0"/>
              <w:right w:val="nil"/>
            </w:tcBorders>
            <w:shd w:val="clear" w:color="auto" w:fill="auto"/>
            <w:noWrap/>
            <w:vAlign w:val="bottom"/>
            <w:hideMark/>
          </w:tcPr>
          <w:p w:rsidRPr="00AE4BB7" w:rsidR="00AE4BB7" w:rsidP="000919D4" w:rsidRDefault="00AE4BB7" w14:paraId="08AD847B" w14:textId="77777777">
            <w:pPr>
              <w:rPr>
                <w:color w:val="000000"/>
                <w:sz w:val="20"/>
              </w:rPr>
            </w:pPr>
            <w:r w:rsidRPr="00AE4BB7">
              <w:rPr>
                <w:color w:val="000000"/>
                <w:sz w:val="20"/>
              </w:rPr>
              <w:t> </w:t>
            </w:r>
          </w:p>
        </w:tc>
        <w:tc>
          <w:tcPr>
            <w:tcW w:w="583" w:type="pct"/>
            <w:tcBorders>
              <w:top w:val="nil"/>
              <w:left w:val="nil"/>
              <w:bottom w:val="single" w:color="auto" w:sz="8" w:space="0"/>
              <w:right w:val="nil"/>
            </w:tcBorders>
          </w:tcPr>
          <w:p w:rsidRPr="00AE4BB7" w:rsidR="00AE4BB7" w:rsidP="000919D4" w:rsidRDefault="00AE4BB7" w14:paraId="03C01377" w14:textId="77777777">
            <w:pPr>
              <w:rPr>
                <w:color w:val="000000"/>
                <w:sz w:val="20"/>
              </w:rPr>
            </w:pPr>
          </w:p>
        </w:tc>
        <w:tc>
          <w:tcPr>
            <w:tcW w:w="583" w:type="pct"/>
            <w:tcBorders>
              <w:top w:val="nil"/>
              <w:left w:val="nil"/>
              <w:bottom w:val="single" w:color="auto" w:sz="8" w:space="0"/>
              <w:right w:val="nil"/>
            </w:tcBorders>
          </w:tcPr>
          <w:p w:rsidRPr="00AE4BB7" w:rsidR="00AE4BB7" w:rsidP="000919D4" w:rsidRDefault="00AE4BB7" w14:paraId="7AB77938" w14:textId="77777777">
            <w:pPr>
              <w:rPr>
                <w:color w:val="000000"/>
                <w:sz w:val="20"/>
              </w:rPr>
            </w:pPr>
          </w:p>
        </w:tc>
      </w:tr>
    </w:tbl>
    <w:p w:rsidR="00AE4BB7" w:rsidP="00AE4BB7" w:rsidRDefault="00AE4BB7" w14:paraId="334D6B2D" w14:textId="77777777">
      <w:pPr>
        <w:rPr>
          <w:lang w:eastAsia="zh-CN" w:bidi="hi-IN"/>
        </w:rPr>
      </w:pPr>
    </w:p>
    <w:p w:rsidRPr="00EA69AC" w:rsidR="00AE4BB7" w:rsidP="00AE4BB7" w:rsidRDefault="00AE4BB7" w14:paraId="3C157BD5" w14:textId="77777777"/>
    <w:p w:rsidR="00AE4BB7" w:rsidP="00AE4BB7" w:rsidRDefault="00AE4BB7" w14:paraId="1F3C7618" w14:textId="77777777">
      <w:r>
        <w:t>Maatoug</w:t>
      </w:r>
    </w:p>
    <w:p w:rsidRPr="00EA69AC" w:rsidR="00AE4BB7" w:rsidP="00AE4BB7" w:rsidRDefault="00AE4BB7" w14:paraId="6D8B36C8" w14:textId="77777777">
      <w:r>
        <w:t>Stultiens</w:t>
      </w:r>
    </w:p>
    <w:p w:rsidRPr="00EA69AC" w:rsidR="00B4708A" w:rsidP="00AE4BB7" w:rsidRDefault="00B4708A" w14:paraId="324C53C3" w14:textId="6132FA9A"/>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E233" w14:textId="77777777" w:rsidR="00244373" w:rsidRDefault="00244373">
      <w:pPr>
        <w:spacing w:line="20" w:lineRule="exact"/>
      </w:pPr>
    </w:p>
  </w:endnote>
  <w:endnote w:type="continuationSeparator" w:id="0">
    <w:p w14:paraId="21856226" w14:textId="77777777" w:rsidR="00244373" w:rsidRDefault="00244373">
      <w:pPr>
        <w:pStyle w:val="Amendement"/>
      </w:pPr>
      <w:r>
        <w:rPr>
          <w:b w:val="0"/>
        </w:rPr>
        <w:t xml:space="preserve"> </w:t>
      </w:r>
    </w:p>
  </w:endnote>
  <w:endnote w:type="continuationNotice" w:id="1">
    <w:p w14:paraId="1A2501CA" w14:textId="77777777" w:rsidR="00244373" w:rsidRDefault="002443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358F" w14:textId="77777777" w:rsidR="00244373" w:rsidRDefault="00244373">
      <w:pPr>
        <w:pStyle w:val="Amendement"/>
      </w:pPr>
      <w:r>
        <w:rPr>
          <w:b w:val="0"/>
        </w:rPr>
        <w:separator/>
      </w:r>
    </w:p>
  </w:footnote>
  <w:footnote w:type="continuationSeparator" w:id="0">
    <w:p w14:paraId="63AE8C81" w14:textId="77777777" w:rsidR="00244373" w:rsidRDefault="00244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73"/>
    <w:rsid w:val="0007471A"/>
    <w:rsid w:val="000D17BF"/>
    <w:rsid w:val="00157CAF"/>
    <w:rsid w:val="001656EE"/>
    <w:rsid w:val="0016653D"/>
    <w:rsid w:val="001D56AF"/>
    <w:rsid w:val="001E0E21"/>
    <w:rsid w:val="00212E0A"/>
    <w:rsid w:val="002153B0"/>
    <w:rsid w:val="0021777F"/>
    <w:rsid w:val="00241DD0"/>
    <w:rsid w:val="00244373"/>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A42A8"/>
    <w:rsid w:val="008D7DCB"/>
    <w:rsid w:val="009055DB"/>
    <w:rsid w:val="00905ECB"/>
    <w:rsid w:val="0096165D"/>
    <w:rsid w:val="00993E91"/>
    <w:rsid w:val="009A409F"/>
    <w:rsid w:val="009B5845"/>
    <w:rsid w:val="009C0C1F"/>
    <w:rsid w:val="00A10505"/>
    <w:rsid w:val="00A1288B"/>
    <w:rsid w:val="00A53203"/>
    <w:rsid w:val="00A772EB"/>
    <w:rsid w:val="00AE4BB7"/>
    <w:rsid w:val="00B01BA6"/>
    <w:rsid w:val="00B4708A"/>
    <w:rsid w:val="00BF623B"/>
    <w:rsid w:val="00C035D4"/>
    <w:rsid w:val="00C679BF"/>
    <w:rsid w:val="00C81BBD"/>
    <w:rsid w:val="00CC662F"/>
    <w:rsid w:val="00CD3132"/>
    <w:rsid w:val="00CE27CD"/>
    <w:rsid w:val="00D134F3"/>
    <w:rsid w:val="00D2542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68694"/>
  <w15:docId w15:val="{7285B4EA-6243-4D6C-8BF6-CD2C3843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1493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2024-11-11T13:51:00.0000000Z</dcterms:created>
  <dcterms:modified xsi:type="dcterms:W3CDTF">2024-11-11T13:51:00.0000000Z</dcterms:modified>
  <dc:description>------------------------</dc:description>
  <dc:subject/>
  <keywords/>
  <version/>
  <category/>
</coreProperties>
</file>