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7C73" w:rsidP="00937C73" w:rsidRDefault="00937C73" w14:paraId="17C75C96" w14:textId="77777777">
      <w:pPr>
        <w:pStyle w:val="StandaardAanhef"/>
      </w:pPr>
      <w:r>
        <w:t>Geachte voorzitter,</w:t>
      </w:r>
    </w:p>
    <w:p w:rsidR="00937C73" w:rsidP="00937C73" w:rsidRDefault="00937C73" w14:paraId="5637A6A1" w14:textId="77777777">
      <w:r>
        <w:t>Op 15 november aanstaande vindt de Ecofin-</w:t>
      </w:r>
      <w:proofErr w:type="spellStart"/>
      <w:r>
        <w:t>begrotingsraad</w:t>
      </w:r>
      <w:proofErr w:type="spellEnd"/>
      <w:r>
        <w:t xml:space="preserve"> plaats. Deze </w:t>
      </w:r>
    </w:p>
    <w:p w:rsidR="00937C73" w:rsidP="00937C73" w:rsidRDefault="00937C73" w14:paraId="30005AE9" w14:textId="77777777">
      <w:proofErr w:type="gramStart"/>
      <w:r>
        <w:t>vergadering</w:t>
      </w:r>
      <w:proofErr w:type="gramEnd"/>
      <w:r>
        <w:t xml:space="preserve"> is aan het einde van de zogeheten conciliatieperiode, waarin de Raad van de Europese Unie (de Raad) en het Europees Parlement (EP) onderhandelen over een akkoord over de Europese begroting voor 2025. Op 10 oktober jl. presenteerde de Europese Commissie (Commissie) het aangepaste voorstel voor de Europese begroting 2025 (</w:t>
      </w:r>
      <w:r w:rsidRPr="0082519E">
        <w:rPr>
          <w:i/>
          <w:iCs/>
        </w:rPr>
        <w:t>Amending Letter</w:t>
      </w:r>
      <w:r>
        <w:t xml:space="preserve"> 1; AL1). Dit document vormt de basis voor de onderhandelingen tijdens de conciliatie. In deze brief informeer ik uw Kamer over de inhoud van AL1, de positie van het EP, de Nederlandse inzet voor de Begrotingsraad, de gevolgen voor de Nederlandse afdrachten en het vervolgproces. Hiermee vervangt deze brief, zoals gebruikelijk, de geannoteerde agenda voor de Begrotingsraad. Zoals gebruikelijk neem ik niet zelf deel aan de Begrotingsraad en wordt Nederland vertegenwoordigd door de Permanente Vertegenwoordiger van Nederland bij de Europese Unie.</w:t>
      </w:r>
    </w:p>
    <w:p w:rsidR="00937C73" w:rsidP="00937C73" w:rsidRDefault="00937C73" w14:paraId="18AC701E" w14:textId="77777777"/>
    <w:p w:rsidR="00937C73" w:rsidP="00937C73" w:rsidRDefault="00937C73" w14:paraId="2A55EFB7" w14:textId="77777777">
      <w:r>
        <w:t>Daarnaast informeer ik uw Kamer in deze brief over de vijfde aanvullende Europese begroting voor 2024 (</w:t>
      </w:r>
      <w:r w:rsidRPr="0082519E">
        <w:rPr>
          <w:i/>
          <w:iCs/>
        </w:rPr>
        <w:t>Draft Amending Budget</w:t>
      </w:r>
      <w:r>
        <w:t xml:space="preserve"> 5; DAB5). Deze brief vervangt zoals gebruikelijk het BNC-fiche over een aanvullende Europese begroting.</w:t>
      </w:r>
    </w:p>
    <w:p w:rsidR="00937C73" w:rsidP="00937C73" w:rsidRDefault="00937C73" w14:paraId="3DD9F787" w14:textId="77777777"/>
    <w:p w:rsidRPr="00CB514F" w:rsidR="00937C73" w:rsidP="00937C73" w:rsidRDefault="00937C73" w14:paraId="6DF9CAC9" w14:textId="77777777">
      <w:pPr>
        <w:rPr>
          <w:b/>
          <w:bCs/>
          <w:color w:val="auto"/>
        </w:rPr>
      </w:pPr>
      <w:r w:rsidRPr="00672EFC">
        <w:rPr>
          <w:b/>
          <w:bCs/>
          <w:color w:val="auto"/>
        </w:rPr>
        <w:t>Europese jaarbegroting 202</w:t>
      </w:r>
      <w:r>
        <w:rPr>
          <w:b/>
          <w:bCs/>
          <w:color w:val="auto"/>
        </w:rPr>
        <w:t>5</w:t>
      </w:r>
    </w:p>
    <w:p w:rsidRPr="00837D39" w:rsidR="00937C73" w:rsidP="00937C73" w:rsidRDefault="00937C73" w14:paraId="22E56B92" w14:textId="77777777">
      <w:pPr>
        <w:rPr>
          <w:color w:val="FF0000"/>
        </w:rPr>
      </w:pPr>
      <w:r w:rsidRPr="00E30E97">
        <w:rPr>
          <w:color w:val="auto"/>
        </w:rPr>
        <w:t xml:space="preserve">Op </w:t>
      </w:r>
      <w:r>
        <w:rPr>
          <w:color w:val="auto"/>
        </w:rPr>
        <w:t>19 j</w:t>
      </w:r>
      <w:r w:rsidRPr="00E30E97">
        <w:rPr>
          <w:color w:val="auto"/>
        </w:rPr>
        <w:t>uni jl. presenteerde de Commissie het voorstel voor de Europese begroting 202</w:t>
      </w:r>
      <w:r>
        <w:rPr>
          <w:color w:val="auto"/>
        </w:rPr>
        <w:t>5</w:t>
      </w:r>
      <w:r w:rsidRPr="00E30E97">
        <w:rPr>
          <w:color w:val="auto"/>
        </w:rPr>
        <w:t xml:space="preserve">. Uw Kamer is hier op </w:t>
      </w:r>
      <w:r>
        <w:rPr>
          <w:color w:val="auto"/>
        </w:rPr>
        <w:t>28</w:t>
      </w:r>
      <w:r w:rsidRPr="00E30E97">
        <w:rPr>
          <w:color w:val="auto"/>
        </w:rPr>
        <w:t xml:space="preserve"> ju</w:t>
      </w:r>
      <w:r w:rsidR="007734A7">
        <w:rPr>
          <w:color w:val="auto"/>
        </w:rPr>
        <w:t>n</w:t>
      </w:r>
      <w:r w:rsidRPr="00E30E97">
        <w:rPr>
          <w:color w:val="auto"/>
        </w:rPr>
        <w:t>i jl. over geïnformeerd</w:t>
      </w:r>
      <w:r>
        <w:rPr>
          <w:color w:val="auto"/>
        </w:rPr>
        <w:t>.</w:t>
      </w:r>
      <w:r>
        <w:rPr>
          <w:rStyle w:val="Voetnootmarkering"/>
          <w:color w:val="auto"/>
        </w:rPr>
        <w:footnoteReference w:id="1"/>
      </w:r>
      <w:r w:rsidRPr="00837D39">
        <w:rPr>
          <w:color w:val="FF0000"/>
        </w:rPr>
        <w:t xml:space="preserve"> </w:t>
      </w:r>
      <w:r w:rsidRPr="00CB514F">
        <w:rPr>
          <w:color w:val="auto"/>
        </w:rPr>
        <w:t xml:space="preserve">Uw Kamer is op </w:t>
      </w:r>
      <w:r>
        <w:rPr>
          <w:color w:val="auto"/>
        </w:rPr>
        <w:t>4</w:t>
      </w:r>
      <w:r w:rsidRPr="00CB514F">
        <w:rPr>
          <w:color w:val="auto"/>
        </w:rPr>
        <w:t xml:space="preserve"> </w:t>
      </w:r>
      <w:proofErr w:type="gramStart"/>
      <w:r>
        <w:rPr>
          <w:color w:val="auto"/>
        </w:rPr>
        <w:t>september</w:t>
      </w:r>
      <w:proofErr w:type="gramEnd"/>
      <w:r w:rsidRPr="00CB514F">
        <w:rPr>
          <w:color w:val="auto"/>
        </w:rPr>
        <w:t xml:space="preserve"> tevens geïnformeerd over de bereikte Raadspositie ten aanzien van dit voorstel</w:t>
      </w:r>
      <w:r>
        <w:rPr>
          <w:color w:val="auto"/>
        </w:rPr>
        <w:t>.</w:t>
      </w:r>
      <w:r>
        <w:rPr>
          <w:rStyle w:val="Voetnootmarkering"/>
          <w:color w:val="auto"/>
        </w:rPr>
        <w:footnoteReference w:id="2"/>
      </w:r>
      <w:r w:rsidRPr="00837D39">
        <w:rPr>
          <w:color w:val="FF0000"/>
        </w:rPr>
        <w:t xml:space="preserve"> </w:t>
      </w:r>
      <w:r w:rsidRPr="00580055">
        <w:rPr>
          <w:color w:val="auto"/>
        </w:rPr>
        <w:t xml:space="preserve">Op </w:t>
      </w:r>
      <w:r>
        <w:rPr>
          <w:color w:val="auto"/>
        </w:rPr>
        <w:t>7</w:t>
      </w:r>
      <w:r w:rsidRPr="00714BE9">
        <w:rPr>
          <w:color w:val="auto"/>
        </w:rPr>
        <w:t xml:space="preserve"> oktober</w:t>
      </w:r>
      <w:r w:rsidRPr="00580055">
        <w:rPr>
          <w:color w:val="auto"/>
        </w:rPr>
        <w:t xml:space="preserve"> nam ook</w:t>
      </w:r>
      <w:r w:rsidRPr="003D6C3D">
        <w:rPr>
          <w:color w:val="auto"/>
        </w:rPr>
        <w:t xml:space="preserve"> het EP formeel een positie in.</w:t>
      </w:r>
      <w:r>
        <w:rPr>
          <w:rStyle w:val="Voetnootmarkering"/>
          <w:color w:val="auto"/>
        </w:rPr>
        <w:footnoteReference w:id="3"/>
      </w:r>
      <w:r w:rsidRPr="003D6C3D">
        <w:rPr>
          <w:color w:val="auto"/>
        </w:rPr>
        <w:t xml:space="preserve"> Daarmee zijn de uitgangsposities voor de begrotingsonderhandelingen bepaald. </w:t>
      </w:r>
    </w:p>
    <w:p w:rsidR="00937C73" w:rsidP="00937C73" w:rsidRDefault="00937C73" w14:paraId="565C7EE7" w14:textId="77777777">
      <w:pPr>
        <w:rPr>
          <w:color w:val="FF0000"/>
        </w:rPr>
      </w:pPr>
    </w:p>
    <w:p w:rsidR="00937C73" w:rsidP="00937C73" w:rsidRDefault="00937C73" w14:paraId="357D4CF8" w14:textId="77777777">
      <w:pPr>
        <w:rPr>
          <w:lang w:eastAsia="zh-CN" w:bidi="hi-IN"/>
        </w:rPr>
      </w:pPr>
      <w:r>
        <w:t xml:space="preserve">Op 10 oktober jl. presenteerde de Commissie AL1 als update op het voorstel voor de Europese begroting 2025. In AL1 actualiseert de Commissie de ramingen voor verschillende uitgaven. Daarmee vormt AL1 de nieuwe basis voor de begrotingsonderhandelingen tussen de Raad en het EP. Het netto-effect van </w:t>
      </w:r>
      <w:r>
        <w:rPr>
          <w:lang w:eastAsia="zh-CN" w:bidi="hi-IN"/>
        </w:rPr>
        <w:t xml:space="preserve">AL1 is een verlaging van de vastleggingen met 303 miljoen euro en een verhoging van </w:t>
      </w:r>
      <w:r>
        <w:rPr>
          <w:lang w:eastAsia="zh-CN" w:bidi="hi-IN"/>
        </w:rPr>
        <w:lastRenderedPageBreak/>
        <w:t>de betalingen met ca. 2,7 miljard euro.</w:t>
      </w:r>
      <w:r>
        <w:rPr>
          <w:rStyle w:val="Voetnootmarkering"/>
          <w:lang w:eastAsia="zh-CN" w:bidi="hi-IN"/>
        </w:rPr>
        <w:footnoteReference w:id="4"/>
      </w:r>
      <w:r>
        <w:rPr>
          <w:lang w:eastAsia="zh-CN" w:bidi="hi-IN"/>
        </w:rPr>
        <w:t xml:space="preserve"> De betalingen zijn relevant voor de raming van de Nederlandse afdrachten. Hier wordt later in de brief nader op in gegaan. Tabel 1 geeft een overzicht van de aanpassingen uitgesplitst per programma die een effect hebben op de omvang van de Europese jaarbegroting 2025. </w:t>
      </w:r>
    </w:p>
    <w:p w:rsidR="00937C73" w:rsidP="00937C73" w:rsidRDefault="00937C73" w14:paraId="22FE92E6" w14:textId="77777777">
      <w:pPr>
        <w:rPr>
          <w:lang w:eastAsia="zh-CN" w:bidi="hi-IN"/>
        </w:rPr>
      </w:pPr>
    </w:p>
    <w:tbl>
      <w:tblPr>
        <w:tblW w:w="7550" w:type="dxa"/>
        <w:tblCellMar>
          <w:left w:w="70" w:type="dxa"/>
          <w:right w:w="70" w:type="dxa"/>
        </w:tblCellMar>
        <w:tblLook w:val="04A0" w:firstRow="1" w:lastRow="0" w:firstColumn="1" w:lastColumn="0" w:noHBand="0" w:noVBand="1"/>
      </w:tblPr>
      <w:tblGrid>
        <w:gridCol w:w="197"/>
        <w:gridCol w:w="4765"/>
        <w:gridCol w:w="764"/>
        <w:gridCol w:w="1843"/>
      </w:tblGrid>
      <w:tr w:rsidRPr="003667C9" w:rsidR="00937C73" w:rsidTr="00BC08F6" w14:paraId="5648998D" w14:textId="77777777">
        <w:trPr>
          <w:trHeight w:val="300"/>
        </w:trPr>
        <w:tc>
          <w:tcPr>
            <w:tcW w:w="7550" w:type="dxa"/>
            <w:gridSpan w:val="4"/>
            <w:tcBorders>
              <w:top w:val="nil"/>
              <w:left w:val="nil"/>
              <w:bottom w:val="nil"/>
              <w:right w:val="nil"/>
            </w:tcBorders>
            <w:shd w:val="clear" w:color="000000" w:fill="203764"/>
            <w:noWrap/>
            <w:vAlign w:val="bottom"/>
            <w:hideMark/>
          </w:tcPr>
          <w:p w:rsidRPr="003667C9" w:rsidR="00937C73" w:rsidP="00BC08F6" w:rsidRDefault="00937C73" w14:paraId="1B563C00" w14:textId="77777777">
            <w:pPr>
              <w:autoSpaceDN/>
              <w:spacing w:line="240" w:lineRule="auto"/>
              <w:textAlignment w:val="auto"/>
              <w:rPr>
                <w:rFonts w:eastAsia="Times New Roman" w:cs="Calibri"/>
                <w:color w:val="FFFFFF"/>
                <w:sz w:val="16"/>
                <w:szCs w:val="16"/>
              </w:rPr>
            </w:pPr>
            <w:r w:rsidRPr="003667C9">
              <w:rPr>
                <w:rFonts w:eastAsia="Times New Roman" w:cs="Calibri"/>
                <w:b/>
                <w:bCs/>
                <w:color w:val="FFFFFF"/>
                <w:sz w:val="16"/>
                <w:szCs w:val="16"/>
              </w:rPr>
              <w:t xml:space="preserve">Tabel </w:t>
            </w:r>
            <w:r>
              <w:rPr>
                <w:rFonts w:eastAsia="Times New Roman" w:cs="Calibri"/>
                <w:b/>
                <w:bCs/>
                <w:color w:val="FFFFFF"/>
                <w:sz w:val="16"/>
                <w:szCs w:val="16"/>
              </w:rPr>
              <w:t>1</w:t>
            </w:r>
            <w:r w:rsidRPr="003667C9">
              <w:rPr>
                <w:rFonts w:eastAsia="Times New Roman" w:cs="Calibri"/>
                <w:b/>
                <w:bCs/>
                <w:color w:val="FFFFFF"/>
                <w:sz w:val="16"/>
                <w:szCs w:val="16"/>
              </w:rPr>
              <w:t xml:space="preserve">: </w:t>
            </w:r>
            <w:r>
              <w:rPr>
                <w:rFonts w:eastAsia="Times New Roman" w:cs="Calibri"/>
                <w:b/>
                <w:bCs/>
                <w:color w:val="FFFFFF"/>
                <w:sz w:val="16"/>
                <w:szCs w:val="16"/>
              </w:rPr>
              <w:t>Overzicht wijzigingen AL1</w:t>
            </w:r>
            <w:r w:rsidR="0059259C">
              <w:rPr>
                <w:rFonts w:eastAsia="Times New Roman" w:cs="Calibri"/>
                <w:b/>
                <w:bCs/>
                <w:color w:val="FFFFFF"/>
                <w:sz w:val="16"/>
                <w:szCs w:val="16"/>
              </w:rPr>
              <w:t xml:space="preserve"> voor Europese jaarbegroting 2025</w:t>
            </w:r>
            <w:r w:rsidRPr="003667C9">
              <w:rPr>
                <w:rFonts w:eastAsia="Times New Roman" w:cs="Calibri"/>
                <w:b/>
                <w:bCs/>
                <w:color w:val="FFFFFF"/>
                <w:sz w:val="16"/>
                <w:szCs w:val="16"/>
              </w:rPr>
              <w:t xml:space="preserve"> </w:t>
            </w:r>
            <w:r w:rsidRPr="00D56C00">
              <w:rPr>
                <w:rFonts w:eastAsia="Times New Roman" w:cs="Calibri"/>
                <w:color w:val="FFFFFF"/>
                <w:sz w:val="16"/>
                <w:szCs w:val="16"/>
              </w:rPr>
              <w:t>(in miljoenen euro’s, lopende prijzen</w:t>
            </w:r>
            <w:r>
              <w:rPr>
                <w:rFonts w:eastAsia="Times New Roman" w:cs="Calibri"/>
                <w:color w:val="FFFFFF"/>
                <w:sz w:val="16"/>
                <w:szCs w:val="16"/>
              </w:rPr>
              <w:t>)</w:t>
            </w:r>
          </w:p>
        </w:tc>
      </w:tr>
      <w:tr w:rsidRPr="003667C9" w:rsidR="00937C73" w:rsidTr="00BC08F6" w14:paraId="06069002" w14:textId="77777777">
        <w:trPr>
          <w:trHeight w:val="315"/>
        </w:trPr>
        <w:tc>
          <w:tcPr>
            <w:tcW w:w="197" w:type="dxa"/>
            <w:tcBorders>
              <w:top w:val="single" w:color="auto" w:sz="4" w:space="0"/>
              <w:left w:val="nil"/>
              <w:bottom w:val="single" w:color="auto" w:sz="4" w:space="0"/>
              <w:right w:val="nil"/>
            </w:tcBorders>
            <w:shd w:val="clear" w:color="auto" w:fill="auto"/>
            <w:noWrap/>
            <w:vAlign w:val="bottom"/>
            <w:hideMark/>
          </w:tcPr>
          <w:p w:rsidRPr="003667C9" w:rsidR="00937C73" w:rsidP="00BC08F6" w:rsidRDefault="00937C73" w14:paraId="3A378FFD" w14:textId="77777777">
            <w:pPr>
              <w:autoSpaceDN/>
              <w:spacing w:line="240" w:lineRule="auto"/>
              <w:textAlignment w:val="auto"/>
              <w:rPr>
                <w:rFonts w:eastAsia="Times New Roman" w:cs="Calibri"/>
                <w:sz w:val="16"/>
                <w:szCs w:val="16"/>
              </w:rPr>
            </w:pPr>
            <w:r w:rsidRPr="003667C9">
              <w:rPr>
                <w:rFonts w:eastAsia="Times New Roman" w:cs="Calibri"/>
                <w:sz w:val="16"/>
                <w:szCs w:val="16"/>
              </w:rPr>
              <w:t> </w:t>
            </w:r>
          </w:p>
        </w:tc>
        <w:tc>
          <w:tcPr>
            <w:tcW w:w="4765" w:type="dxa"/>
            <w:tcBorders>
              <w:top w:val="single" w:color="auto" w:sz="4" w:space="0"/>
              <w:left w:val="nil"/>
              <w:bottom w:val="single" w:color="auto" w:sz="4" w:space="0"/>
              <w:right w:val="nil"/>
            </w:tcBorders>
            <w:shd w:val="clear" w:color="auto" w:fill="auto"/>
            <w:noWrap/>
            <w:vAlign w:val="bottom"/>
            <w:hideMark/>
          </w:tcPr>
          <w:p w:rsidRPr="008D2715" w:rsidR="00937C73" w:rsidP="00BC08F6" w:rsidRDefault="00937C73" w14:paraId="009BA79E" w14:textId="77777777">
            <w:pPr>
              <w:autoSpaceDN/>
              <w:spacing w:line="240" w:lineRule="auto"/>
              <w:textAlignment w:val="auto"/>
              <w:rPr>
                <w:rFonts w:eastAsia="Times New Roman" w:cs="Calibri"/>
                <w:b/>
                <w:bCs/>
                <w:sz w:val="16"/>
                <w:szCs w:val="16"/>
              </w:rPr>
            </w:pPr>
            <w:r w:rsidRPr="008D2715">
              <w:rPr>
                <w:rFonts w:eastAsia="Times New Roman" w:cs="Calibri"/>
                <w:b/>
                <w:bCs/>
                <w:sz w:val="16"/>
                <w:szCs w:val="16"/>
              </w:rPr>
              <w:t>Programma’s</w:t>
            </w:r>
          </w:p>
        </w:tc>
        <w:tc>
          <w:tcPr>
            <w:tcW w:w="745" w:type="dxa"/>
            <w:tcBorders>
              <w:top w:val="single" w:color="auto" w:sz="4" w:space="0"/>
              <w:left w:val="nil"/>
              <w:bottom w:val="single" w:color="auto" w:sz="4" w:space="0"/>
              <w:right w:val="nil"/>
            </w:tcBorders>
            <w:shd w:val="clear" w:color="auto" w:fill="auto"/>
            <w:noWrap/>
            <w:vAlign w:val="center"/>
            <w:hideMark/>
          </w:tcPr>
          <w:p w:rsidRPr="008D2715" w:rsidR="00937C73" w:rsidP="00BC08F6" w:rsidRDefault="00937C73" w14:paraId="6E7A0F8B" w14:textId="77777777">
            <w:pPr>
              <w:autoSpaceDN/>
              <w:spacing w:line="240" w:lineRule="auto"/>
              <w:jc w:val="right"/>
              <w:textAlignment w:val="auto"/>
              <w:rPr>
                <w:rFonts w:eastAsia="Times New Roman" w:cs="Calibri"/>
                <w:b/>
                <w:bCs/>
                <w:sz w:val="16"/>
                <w:szCs w:val="16"/>
              </w:rPr>
            </w:pPr>
            <w:proofErr w:type="gramStart"/>
            <w:r>
              <w:rPr>
                <w:rFonts w:eastAsia="Times New Roman" w:cs="Calibri"/>
                <w:b/>
                <w:bCs/>
                <w:sz w:val="16"/>
                <w:szCs w:val="16"/>
              </w:rPr>
              <w:t>Va</w:t>
            </w:r>
            <w:r w:rsidRPr="008D2715">
              <w:rPr>
                <w:rFonts w:eastAsia="Times New Roman" w:cs="Calibri"/>
                <w:b/>
                <w:bCs/>
                <w:sz w:val="16"/>
                <w:szCs w:val="16"/>
              </w:rPr>
              <w:t>stl</w:t>
            </w:r>
            <w:r>
              <w:rPr>
                <w:rFonts w:eastAsia="Times New Roman" w:cs="Calibri"/>
                <w:b/>
                <w:bCs/>
                <w:sz w:val="16"/>
                <w:szCs w:val="16"/>
              </w:rPr>
              <w:t>.*</w:t>
            </w:r>
            <w:proofErr w:type="gramEnd"/>
          </w:p>
        </w:tc>
        <w:tc>
          <w:tcPr>
            <w:tcW w:w="1843" w:type="dxa"/>
            <w:tcBorders>
              <w:top w:val="single" w:color="auto" w:sz="4" w:space="0"/>
              <w:left w:val="nil"/>
              <w:bottom w:val="single" w:color="auto" w:sz="4" w:space="0"/>
              <w:right w:val="nil"/>
            </w:tcBorders>
            <w:shd w:val="clear" w:color="auto" w:fill="auto"/>
            <w:noWrap/>
            <w:vAlign w:val="center"/>
            <w:hideMark/>
          </w:tcPr>
          <w:p w:rsidRPr="008D2715" w:rsidR="00937C73" w:rsidP="00BC08F6" w:rsidRDefault="00937C73" w14:paraId="5BB33BB6" w14:textId="77777777">
            <w:pPr>
              <w:autoSpaceDN/>
              <w:spacing w:line="240" w:lineRule="auto"/>
              <w:jc w:val="right"/>
              <w:textAlignment w:val="auto"/>
              <w:rPr>
                <w:rFonts w:eastAsia="Times New Roman" w:cs="Calibri"/>
                <w:b/>
                <w:bCs/>
                <w:sz w:val="16"/>
                <w:szCs w:val="16"/>
              </w:rPr>
            </w:pPr>
            <w:proofErr w:type="gramStart"/>
            <w:r>
              <w:rPr>
                <w:rFonts w:eastAsia="Times New Roman" w:cs="Calibri"/>
                <w:b/>
                <w:bCs/>
                <w:sz w:val="16"/>
                <w:szCs w:val="16"/>
              </w:rPr>
              <w:t>Bet.*</w:t>
            </w:r>
            <w:proofErr w:type="gramEnd"/>
            <w:r>
              <w:rPr>
                <w:rFonts w:eastAsia="Times New Roman" w:cs="Calibri"/>
                <w:b/>
                <w:bCs/>
                <w:sz w:val="16"/>
                <w:szCs w:val="16"/>
              </w:rPr>
              <w:t>*</w:t>
            </w:r>
          </w:p>
        </w:tc>
      </w:tr>
      <w:tr w:rsidRPr="003667C9" w:rsidR="00937C73" w:rsidTr="00BC08F6" w14:paraId="1787E284" w14:textId="77777777">
        <w:trPr>
          <w:trHeight w:val="370"/>
        </w:trPr>
        <w:tc>
          <w:tcPr>
            <w:tcW w:w="197" w:type="dxa"/>
            <w:tcBorders>
              <w:top w:val="nil"/>
              <w:left w:val="nil"/>
              <w:bottom w:val="nil"/>
              <w:right w:val="nil"/>
            </w:tcBorders>
            <w:shd w:val="clear" w:color="auto" w:fill="auto"/>
            <w:vAlign w:val="bottom"/>
          </w:tcPr>
          <w:p w:rsidRPr="003667C9" w:rsidR="00937C73" w:rsidP="00BC08F6" w:rsidRDefault="00937C73" w14:paraId="44CF5CDD" w14:textId="77777777">
            <w:pPr>
              <w:autoSpaceDN/>
              <w:spacing w:line="240" w:lineRule="auto"/>
              <w:textAlignment w:val="auto"/>
              <w:rPr>
                <w:rFonts w:ascii="Times New Roman" w:hAnsi="Times New Roman" w:eastAsia="Times New Roman" w:cs="Times New Roman"/>
                <w:color w:val="auto"/>
                <w:sz w:val="20"/>
                <w:szCs w:val="20"/>
              </w:rPr>
            </w:pPr>
          </w:p>
        </w:tc>
        <w:tc>
          <w:tcPr>
            <w:tcW w:w="4765" w:type="dxa"/>
            <w:tcBorders>
              <w:top w:val="nil"/>
              <w:left w:val="nil"/>
              <w:bottom w:val="nil"/>
              <w:right w:val="nil"/>
            </w:tcBorders>
            <w:shd w:val="clear" w:color="auto" w:fill="auto"/>
            <w:vAlign w:val="center"/>
          </w:tcPr>
          <w:p w:rsidR="00937C73" w:rsidP="00BC08F6" w:rsidRDefault="00937C73" w14:paraId="622A76B4" w14:textId="77777777">
            <w:pPr>
              <w:autoSpaceDN/>
              <w:spacing w:line="240" w:lineRule="auto"/>
              <w:textAlignment w:val="auto"/>
              <w:rPr>
                <w:rFonts w:eastAsia="Times New Roman" w:cs="Calibri"/>
                <w:sz w:val="16"/>
                <w:szCs w:val="16"/>
              </w:rPr>
            </w:pPr>
            <w:r>
              <w:rPr>
                <w:rFonts w:eastAsia="Times New Roman" w:cs="Calibri"/>
                <w:sz w:val="16"/>
                <w:szCs w:val="16"/>
              </w:rPr>
              <w:t>H2a: Europees Fonds voor Regionale Ontwikkeling (EFRO)</w:t>
            </w:r>
          </w:p>
        </w:tc>
        <w:tc>
          <w:tcPr>
            <w:tcW w:w="745" w:type="dxa"/>
            <w:tcBorders>
              <w:top w:val="nil"/>
              <w:left w:val="nil"/>
              <w:bottom w:val="nil"/>
              <w:right w:val="nil"/>
            </w:tcBorders>
            <w:shd w:val="clear" w:color="auto" w:fill="auto"/>
            <w:vAlign w:val="center"/>
          </w:tcPr>
          <w:p w:rsidR="00937C73" w:rsidP="00BC08F6" w:rsidRDefault="00937C73" w14:paraId="1218D13A" w14:textId="77777777">
            <w:pPr>
              <w:autoSpaceDN/>
              <w:spacing w:line="240" w:lineRule="auto"/>
              <w:jc w:val="right"/>
              <w:textAlignment w:val="auto"/>
              <w:rPr>
                <w:rFonts w:eastAsia="Times New Roman" w:cs="Calibri"/>
                <w:sz w:val="16"/>
                <w:szCs w:val="16"/>
              </w:rPr>
            </w:pPr>
          </w:p>
        </w:tc>
        <w:tc>
          <w:tcPr>
            <w:tcW w:w="1843" w:type="dxa"/>
            <w:tcBorders>
              <w:top w:val="nil"/>
              <w:left w:val="nil"/>
              <w:bottom w:val="nil"/>
              <w:right w:val="nil"/>
            </w:tcBorders>
            <w:shd w:val="clear" w:color="auto" w:fill="auto"/>
            <w:vAlign w:val="center"/>
          </w:tcPr>
          <w:p w:rsidR="00937C73" w:rsidP="00BC08F6" w:rsidRDefault="00937C73" w14:paraId="5D1F5EE2" w14:textId="77777777">
            <w:pPr>
              <w:autoSpaceDN/>
              <w:spacing w:line="240" w:lineRule="auto"/>
              <w:jc w:val="right"/>
              <w:textAlignment w:val="auto"/>
              <w:rPr>
                <w:rFonts w:eastAsia="Times New Roman" w:cs="Calibri"/>
                <w:sz w:val="16"/>
                <w:szCs w:val="16"/>
              </w:rPr>
            </w:pPr>
            <w:r>
              <w:rPr>
                <w:rFonts w:eastAsia="Times New Roman" w:cs="Calibri"/>
                <w:sz w:val="16"/>
                <w:szCs w:val="16"/>
              </w:rPr>
              <w:t>3.000</w:t>
            </w:r>
          </w:p>
        </w:tc>
      </w:tr>
      <w:tr w:rsidRPr="003667C9" w:rsidR="00937C73" w:rsidTr="00BC08F6" w14:paraId="384D5A69" w14:textId="77777777">
        <w:trPr>
          <w:trHeight w:val="370"/>
        </w:trPr>
        <w:tc>
          <w:tcPr>
            <w:tcW w:w="197" w:type="dxa"/>
            <w:tcBorders>
              <w:top w:val="nil"/>
              <w:left w:val="nil"/>
              <w:bottom w:val="nil"/>
              <w:right w:val="nil"/>
            </w:tcBorders>
            <w:shd w:val="clear" w:color="auto" w:fill="auto"/>
            <w:vAlign w:val="bottom"/>
            <w:hideMark/>
          </w:tcPr>
          <w:p w:rsidRPr="003667C9" w:rsidR="00937C73" w:rsidP="00BC08F6" w:rsidRDefault="00937C73" w14:paraId="53099055" w14:textId="77777777">
            <w:pPr>
              <w:autoSpaceDN/>
              <w:spacing w:line="240" w:lineRule="auto"/>
              <w:textAlignment w:val="auto"/>
              <w:rPr>
                <w:rFonts w:ascii="Times New Roman" w:hAnsi="Times New Roman" w:eastAsia="Times New Roman" w:cs="Times New Roman"/>
                <w:color w:val="auto"/>
                <w:sz w:val="20"/>
                <w:szCs w:val="20"/>
              </w:rPr>
            </w:pPr>
          </w:p>
        </w:tc>
        <w:tc>
          <w:tcPr>
            <w:tcW w:w="4765" w:type="dxa"/>
            <w:tcBorders>
              <w:top w:val="nil"/>
              <w:left w:val="nil"/>
              <w:bottom w:val="nil"/>
              <w:right w:val="nil"/>
            </w:tcBorders>
            <w:shd w:val="clear" w:color="auto" w:fill="auto"/>
            <w:vAlign w:val="center"/>
            <w:hideMark/>
          </w:tcPr>
          <w:p w:rsidRPr="003667C9" w:rsidR="00937C73" w:rsidP="00BC08F6" w:rsidRDefault="00937C73" w14:paraId="30F2F76E" w14:textId="77777777">
            <w:pPr>
              <w:autoSpaceDN/>
              <w:spacing w:line="240" w:lineRule="auto"/>
              <w:textAlignment w:val="auto"/>
              <w:rPr>
                <w:rFonts w:eastAsia="Times New Roman" w:cs="Calibri"/>
                <w:sz w:val="16"/>
                <w:szCs w:val="16"/>
              </w:rPr>
            </w:pPr>
            <w:r>
              <w:rPr>
                <w:rFonts w:eastAsia="Times New Roman" w:cs="Calibri"/>
                <w:sz w:val="16"/>
                <w:szCs w:val="16"/>
              </w:rPr>
              <w:t xml:space="preserve">H2b: Rentekosten </w:t>
            </w:r>
            <w:proofErr w:type="spellStart"/>
            <w:r>
              <w:rPr>
                <w:rFonts w:eastAsia="Times New Roman" w:cs="Calibri"/>
                <w:sz w:val="16"/>
                <w:szCs w:val="16"/>
              </w:rPr>
              <w:t>coronaherstelinstrument</w:t>
            </w:r>
            <w:proofErr w:type="spellEnd"/>
            <w:r>
              <w:rPr>
                <w:rFonts w:eastAsia="Times New Roman" w:cs="Calibri"/>
                <w:sz w:val="16"/>
                <w:szCs w:val="16"/>
              </w:rPr>
              <w:t xml:space="preserve"> (EURI-line)</w:t>
            </w:r>
          </w:p>
        </w:tc>
        <w:tc>
          <w:tcPr>
            <w:tcW w:w="745" w:type="dxa"/>
            <w:tcBorders>
              <w:top w:val="nil"/>
              <w:left w:val="nil"/>
              <w:bottom w:val="nil"/>
              <w:right w:val="nil"/>
            </w:tcBorders>
            <w:shd w:val="clear" w:color="auto" w:fill="auto"/>
            <w:vAlign w:val="center"/>
            <w:hideMark/>
          </w:tcPr>
          <w:p w:rsidRPr="003667C9" w:rsidR="00937C73" w:rsidP="00BC08F6" w:rsidRDefault="00937C73" w14:paraId="740AF5AC" w14:textId="77777777">
            <w:pPr>
              <w:autoSpaceDN/>
              <w:spacing w:line="240" w:lineRule="auto"/>
              <w:jc w:val="right"/>
              <w:textAlignment w:val="auto"/>
              <w:rPr>
                <w:rFonts w:eastAsia="Times New Roman" w:cs="Calibri"/>
                <w:sz w:val="16"/>
                <w:szCs w:val="16"/>
              </w:rPr>
            </w:pPr>
            <w:r>
              <w:rPr>
                <w:rFonts w:eastAsia="Times New Roman" w:cs="Calibri"/>
                <w:sz w:val="16"/>
                <w:szCs w:val="16"/>
              </w:rPr>
              <w:t>-195</w:t>
            </w:r>
          </w:p>
        </w:tc>
        <w:tc>
          <w:tcPr>
            <w:tcW w:w="1843" w:type="dxa"/>
            <w:tcBorders>
              <w:top w:val="nil"/>
              <w:left w:val="nil"/>
              <w:bottom w:val="nil"/>
              <w:right w:val="nil"/>
            </w:tcBorders>
            <w:shd w:val="clear" w:color="auto" w:fill="auto"/>
            <w:vAlign w:val="center"/>
            <w:hideMark/>
          </w:tcPr>
          <w:p w:rsidRPr="003667C9" w:rsidR="00937C73" w:rsidP="00BC08F6" w:rsidRDefault="00937C73" w14:paraId="637FC8F5" w14:textId="77777777">
            <w:pPr>
              <w:autoSpaceDN/>
              <w:spacing w:line="240" w:lineRule="auto"/>
              <w:jc w:val="right"/>
              <w:textAlignment w:val="auto"/>
              <w:rPr>
                <w:rFonts w:eastAsia="Times New Roman" w:cs="Calibri"/>
                <w:sz w:val="16"/>
                <w:szCs w:val="16"/>
              </w:rPr>
            </w:pPr>
            <w:r>
              <w:rPr>
                <w:rFonts w:eastAsia="Times New Roman" w:cs="Calibri"/>
                <w:sz w:val="16"/>
                <w:szCs w:val="16"/>
              </w:rPr>
              <w:t>-195</w:t>
            </w:r>
          </w:p>
        </w:tc>
      </w:tr>
      <w:tr w:rsidRPr="003667C9" w:rsidR="00937C73" w:rsidTr="00BC08F6" w14:paraId="605D4B0F" w14:textId="77777777">
        <w:trPr>
          <w:trHeight w:val="300"/>
        </w:trPr>
        <w:tc>
          <w:tcPr>
            <w:tcW w:w="197" w:type="dxa"/>
            <w:tcBorders>
              <w:top w:val="nil"/>
              <w:left w:val="nil"/>
              <w:bottom w:val="nil"/>
              <w:right w:val="nil"/>
            </w:tcBorders>
            <w:shd w:val="clear" w:color="auto" w:fill="auto"/>
            <w:vAlign w:val="bottom"/>
          </w:tcPr>
          <w:p w:rsidRPr="003667C9" w:rsidR="00937C73" w:rsidP="00BC08F6" w:rsidRDefault="00937C73" w14:paraId="0A924E35" w14:textId="77777777">
            <w:pPr>
              <w:autoSpaceDN/>
              <w:spacing w:line="240" w:lineRule="auto"/>
              <w:textAlignment w:val="auto"/>
              <w:rPr>
                <w:rFonts w:ascii="Times New Roman" w:hAnsi="Times New Roman" w:eastAsia="Times New Roman" w:cs="Times New Roman"/>
                <w:color w:val="auto"/>
                <w:sz w:val="20"/>
                <w:szCs w:val="20"/>
              </w:rPr>
            </w:pPr>
          </w:p>
        </w:tc>
        <w:tc>
          <w:tcPr>
            <w:tcW w:w="4765" w:type="dxa"/>
            <w:tcBorders>
              <w:top w:val="nil"/>
              <w:left w:val="nil"/>
              <w:bottom w:val="nil"/>
              <w:right w:val="nil"/>
            </w:tcBorders>
            <w:shd w:val="clear" w:color="auto" w:fill="auto"/>
            <w:vAlign w:val="center"/>
          </w:tcPr>
          <w:p w:rsidRPr="003667C9" w:rsidR="00937C73" w:rsidP="00BC08F6" w:rsidRDefault="00937C73" w14:paraId="29CEF57D" w14:textId="77777777">
            <w:pPr>
              <w:autoSpaceDN/>
              <w:spacing w:line="240" w:lineRule="auto"/>
              <w:textAlignment w:val="auto"/>
              <w:rPr>
                <w:rFonts w:eastAsia="Times New Roman" w:cs="Calibri"/>
                <w:sz w:val="16"/>
                <w:szCs w:val="16"/>
              </w:rPr>
            </w:pPr>
            <w:r>
              <w:rPr>
                <w:rFonts w:eastAsia="Times New Roman" w:cs="Calibri"/>
                <w:sz w:val="16"/>
                <w:szCs w:val="16"/>
              </w:rPr>
              <w:t>H3: Europees Landbouwgarantiefonds (ELGF)</w:t>
            </w:r>
          </w:p>
        </w:tc>
        <w:tc>
          <w:tcPr>
            <w:tcW w:w="745" w:type="dxa"/>
            <w:tcBorders>
              <w:top w:val="nil"/>
              <w:left w:val="nil"/>
              <w:bottom w:val="nil"/>
              <w:right w:val="nil"/>
            </w:tcBorders>
            <w:shd w:val="clear" w:color="auto" w:fill="auto"/>
            <w:vAlign w:val="center"/>
            <w:hideMark/>
          </w:tcPr>
          <w:p w:rsidRPr="003667C9" w:rsidR="00937C73" w:rsidP="00BC08F6" w:rsidRDefault="00937C73" w14:paraId="03AC72AA" w14:textId="77777777">
            <w:pPr>
              <w:autoSpaceDN/>
              <w:spacing w:line="240" w:lineRule="auto"/>
              <w:jc w:val="right"/>
              <w:textAlignment w:val="auto"/>
              <w:rPr>
                <w:rFonts w:eastAsia="Times New Roman" w:cs="Calibri"/>
                <w:sz w:val="16"/>
                <w:szCs w:val="16"/>
              </w:rPr>
            </w:pPr>
            <w:r>
              <w:rPr>
                <w:rFonts w:eastAsia="Times New Roman" w:cs="Calibri"/>
                <w:sz w:val="16"/>
                <w:szCs w:val="16"/>
              </w:rPr>
              <w:t>-351,9</w:t>
            </w:r>
          </w:p>
        </w:tc>
        <w:tc>
          <w:tcPr>
            <w:tcW w:w="1843" w:type="dxa"/>
            <w:tcBorders>
              <w:top w:val="nil"/>
              <w:left w:val="nil"/>
              <w:bottom w:val="nil"/>
              <w:right w:val="nil"/>
            </w:tcBorders>
            <w:shd w:val="clear" w:color="auto" w:fill="auto"/>
            <w:vAlign w:val="center"/>
            <w:hideMark/>
          </w:tcPr>
          <w:p w:rsidRPr="003667C9" w:rsidR="00937C73" w:rsidP="00BC08F6" w:rsidRDefault="00937C73" w14:paraId="09B7845B" w14:textId="77777777">
            <w:pPr>
              <w:autoSpaceDN/>
              <w:spacing w:line="240" w:lineRule="auto"/>
              <w:jc w:val="right"/>
              <w:textAlignment w:val="auto"/>
              <w:rPr>
                <w:rFonts w:eastAsia="Times New Roman" w:cs="Calibri"/>
                <w:sz w:val="16"/>
                <w:szCs w:val="16"/>
              </w:rPr>
            </w:pPr>
            <w:r>
              <w:rPr>
                <w:rFonts w:eastAsia="Times New Roman" w:cs="Calibri"/>
                <w:sz w:val="16"/>
                <w:szCs w:val="16"/>
              </w:rPr>
              <w:t>-391,9</w:t>
            </w:r>
          </w:p>
        </w:tc>
      </w:tr>
      <w:tr w:rsidRPr="003667C9" w:rsidR="00937C73" w:rsidTr="00BC08F6" w14:paraId="03606630" w14:textId="77777777">
        <w:trPr>
          <w:trHeight w:val="300"/>
        </w:trPr>
        <w:tc>
          <w:tcPr>
            <w:tcW w:w="197" w:type="dxa"/>
            <w:tcBorders>
              <w:top w:val="nil"/>
              <w:left w:val="nil"/>
              <w:bottom w:val="nil"/>
              <w:right w:val="nil"/>
            </w:tcBorders>
            <w:shd w:val="clear" w:color="auto" w:fill="auto"/>
            <w:vAlign w:val="bottom"/>
            <w:hideMark/>
          </w:tcPr>
          <w:p w:rsidRPr="003667C9" w:rsidR="00937C73" w:rsidP="00BC08F6" w:rsidRDefault="00937C73" w14:paraId="76155A88" w14:textId="77777777">
            <w:pPr>
              <w:autoSpaceDN/>
              <w:spacing w:line="240" w:lineRule="auto"/>
              <w:textAlignment w:val="auto"/>
              <w:rPr>
                <w:rFonts w:ascii="Times New Roman" w:hAnsi="Times New Roman" w:eastAsia="Times New Roman" w:cs="Times New Roman"/>
                <w:color w:val="auto"/>
                <w:sz w:val="20"/>
                <w:szCs w:val="20"/>
              </w:rPr>
            </w:pPr>
          </w:p>
        </w:tc>
        <w:tc>
          <w:tcPr>
            <w:tcW w:w="4765" w:type="dxa"/>
            <w:tcBorders>
              <w:top w:val="nil"/>
              <w:left w:val="nil"/>
              <w:bottom w:val="nil"/>
              <w:right w:val="nil"/>
            </w:tcBorders>
            <w:shd w:val="clear" w:color="auto" w:fill="auto"/>
            <w:vAlign w:val="center"/>
            <w:hideMark/>
          </w:tcPr>
          <w:p w:rsidRPr="003667C9" w:rsidR="00937C73" w:rsidP="00BC08F6" w:rsidRDefault="00937C73" w14:paraId="2C3F1CAD" w14:textId="77777777">
            <w:pPr>
              <w:autoSpaceDN/>
              <w:spacing w:line="240" w:lineRule="auto"/>
              <w:textAlignment w:val="auto"/>
              <w:rPr>
                <w:rFonts w:eastAsia="Times New Roman" w:cs="Calibri"/>
                <w:sz w:val="16"/>
                <w:szCs w:val="16"/>
              </w:rPr>
            </w:pPr>
            <w:r>
              <w:rPr>
                <w:rFonts w:eastAsia="Times New Roman" w:cs="Calibri"/>
                <w:sz w:val="16"/>
                <w:szCs w:val="16"/>
              </w:rPr>
              <w:t>H7: administratieve uitgaven – salarisupdates</w:t>
            </w:r>
          </w:p>
        </w:tc>
        <w:tc>
          <w:tcPr>
            <w:tcW w:w="745" w:type="dxa"/>
            <w:tcBorders>
              <w:top w:val="nil"/>
              <w:left w:val="nil"/>
              <w:bottom w:val="nil"/>
              <w:right w:val="nil"/>
            </w:tcBorders>
            <w:shd w:val="clear" w:color="auto" w:fill="auto"/>
            <w:vAlign w:val="center"/>
            <w:hideMark/>
          </w:tcPr>
          <w:p w:rsidRPr="003667C9" w:rsidR="00937C73" w:rsidP="00BC08F6" w:rsidRDefault="00937C73" w14:paraId="0C3BE9B3" w14:textId="77777777">
            <w:pPr>
              <w:autoSpaceDN/>
              <w:spacing w:line="240" w:lineRule="auto"/>
              <w:jc w:val="right"/>
              <w:textAlignment w:val="auto"/>
              <w:rPr>
                <w:rFonts w:eastAsia="Times New Roman" w:cs="Calibri"/>
                <w:sz w:val="16"/>
                <w:szCs w:val="16"/>
              </w:rPr>
            </w:pPr>
            <w:r>
              <w:rPr>
                <w:rFonts w:eastAsia="Times New Roman" w:cs="Calibri"/>
                <w:sz w:val="16"/>
                <w:szCs w:val="16"/>
              </w:rPr>
              <w:t>219,9</w:t>
            </w:r>
          </w:p>
        </w:tc>
        <w:tc>
          <w:tcPr>
            <w:tcW w:w="1843" w:type="dxa"/>
            <w:tcBorders>
              <w:top w:val="nil"/>
              <w:left w:val="nil"/>
              <w:bottom w:val="nil"/>
              <w:right w:val="nil"/>
            </w:tcBorders>
            <w:shd w:val="clear" w:color="auto" w:fill="auto"/>
            <w:vAlign w:val="center"/>
            <w:hideMark/>
          </w:tcPr>
          <w:p w:rsidRPr="003667C9" w:rsidR="00937C73" w:rsidP="00BC08F6" w:rsidRDefault="00937C73" w14:paraId="71812B20" w14:textId="77777777">
            <w:pPr>
              <w:autoSpaceDN/>
              <w:spacing w:line="240" w:lineRule="auto"/>
              <w:jc w:val="right"/>
              <w:textAlignment w:val="auto"/>
              <w:rPr>
                <w:rFonts w:eastAsia="Times New Roman" w:cs="Calibri"/>
                <w:sz w:val="16"/>
                <w:szCs w:val="16"/>
              </w:rPr>
            </w:pPr>
            <w:r>
              <w:rPr>
                <w:rFonts w:eastAsia="Times New Roman" w:cs="Calibri"/>
                <w:sz w:val="16"/>
                <w:szCs w:val="16"/>
              </w:rPr>
              <w:t>219,9</w:t>
            </w:r>
          </w:p>
        </w:tc>
      </w:tr>
      <w:tr w:rsidRPr="003667C9" w:rsidR="00937C73" w:rsidTr="00BC08F6" w14:paraId="3A072E71" w14:textId="77777777">
        <w:trPr>
          <w:trHeight w:val="300"/>
        </w:trPr>
        <w:tc>
          <w:tcPr>
            <w:tcW w:w="197" w:type="dxa"/>
            <w:tcBorders>
              <w:top w:val="nil"/>
              <w:left w:val="nil"/>
              <w:bottom w:val="nil"/>
              <w:right w:val="nil"/>
            </w:tcBorders>
            <w:shd w:val="clear" w:color="auto" w:fill="auto"/>
            <w:vAlign w:val="bottom"/>
          </w:tcPr>
          <w:p w:rsidRPr="003667C9" w:rsidR="00937C73" w:rsidP="00BC08F6" w:rsidRDefault="00937C73" w14:paraId="243CE0C8" w14:textId="77777777">
            <w:pPr>
              <w:autoSpaceDN/>
              <w:spacing w:line="240" w:lineRule="auto"/>
              <w:textAlignment w:val="auto"/>
              <w:rPr>
                <w:rFonts w:ascii="Times New Roman" w:hAnsi="Times New Roman" w:eastAsia="Times New Roman" w:cs="Times New Roman"/>
                <w:color w:val="auto"/>
                <w:sz w:val="20"/>
                <w:szCs w:val="20"/>
              </w:rPr>
            </w:pPr>
          </w:p>
        </w:tc>
        <w:tc>
          <w:tcPr>
            <w:tcW w:w="4765" w:type="dxa"/>
            <w:tcBorders>
              <w:top w:val="nil"/>
              <w:left w:val="nil"/>
              <w:bottom w:val="nil"/>
              <w:right w:val="nil"/>
            </w:tcBorders>
            <w:shd w:val="clear" w:color="auto" w:fill="auto"/>
            <w:vAlign w:val="center"/>
          </w:tcPr>
          <w:p w:rsidR="00937C73" w:rsidP="00BC08F6" w:rsidRDefault="00937C73" w14:paraId="4E882BFA" w14:textId="77777777">
            <w:pPr>
              <w:autoSpaceDN/>
              <w:spacing w:line="240" w:lineRule="auto"/>
              <w:textAlignment w:val="auto"/>
              <w:rPr>
                <w:rFonts w:eastAsia="Times New Roman" w:cs="Calibri"/>
                <w:sz w:val="16"/>
                <w:szCs w:val="16"/>
              </w:rPr>
            </w:pPr>
            <w:r>
              <w:rPr>
                <w:rFonts w:eastAsia="Times New Roman" w:cs="Calibri"/>
                <w:sz w:val="16"/>
                <w:szCs w:val="16"/>
              </w:rPr>
              <w:t xml:space="preserve">H1-H6 salarisupdates </w:t>
            </w:r>
          </w:p>
        </w:tc>
        <w:tc>
          <w:tcPr>
            <w:tcW w:w="745" w:type="dxa"/>
            <w:tcBorders>
              <w:top w:val="nil"/>
              <w:left w:val="nil"/>
              <w:bottom w:val="nil"/>
              <w:right w:val="nil"/>
            </w:tcBorders>
            <w:shd w:val="clear" w:color="auto" w:fill="auto"/>
            <w:vAlign w:val="center"/>
          </w:tcPr>
          <w:p w:rsidR="00937C73" w:rsidP="00BC08F6" w:rsidRDefault="00937C73" w14:paraId="590BEF0F" w14:textId="77777777">
            <w:pPr>
              <w:autoSpaceDN/>
              <w:spacing w:line="240" w:lineRule="auto"/>
              <w:jc w:val="right"/>
              <w:textAlignment w:val="auto"/>
              <w:rPr>
                <w:rFonts w:eastAsia="Times New Roman" w:cs="Calibri"/>
                <w:sz w:val="16"/>
                <w:szCs w:val="16"/>
              </w:rPr>
            </w:pPr>
            <w:r>
              <w:rPr>
                <w:rFonts w:eastAsia="Times New Roman" w:cs="Calibri"/>
                <w:sz w:val="16"/>
                <w:szCs w:val="16"/>
              </w:rPr>
              <w:t>19,6</w:t>
            </w:r>
          </w:p>
        </w:tc>
        <w:tc>
          <w:tcPr>
            <w:tcW w:w="1843" w:type="dxa"/>
            <w:tcBorders>
              <w:top w:val="nil"/>
              <w:left w:val="nil"/>
              <w:bottom w:val="nil"/>
              <w:right w:val="nil"/>
            </w:tcBorders>
            <w:shd w:val="clear" w:color="auto" w:fill="auto"/>
            <w:vAlign w:val="center"/>
          </w:tcPr>
          <w:p w:rsidR="00937C73" w:rsidP="00BC08F6" w:rsidRDefault="00937C73" w14:paraId="39DEF91A" w14:textId="77777777">
            <w:pPr>
              <w:autoSpaceDN/>
              <w:spacing w:line="240" w:lineRule="auto"/>
              <w:jc w:val="right"/>
              <w:textAlignment w:val="auto"/>
              <w:rPr>
                <w:rFonts w:eastAsia="Times New Roman" w:cs="Calibri"/>
                <w:sz w:val="16"/>
                <w:szCs w:val="16"/>
              </w:rPr>
            </w:pPr>
            <w:r>
              <w:rPr>
                <w:rFonts w:eastAsia="Times New Roman" w:cs="Calibri"/>
                <w:sz w:val="16"/>
                <w:szCs w:val="16"/>
              </w:rPr>
              <w:t>19,6</w:t>
            </w:r>
          </w:p>
        </w:tc>
      </w:tr>
      <w:tr w:rsidRPr="003667C9" w:rsidR="00937C73" w:rsidTr="00BC08F6" w14:paraId="63E295E2" w14:textId="77777777">
        <w:trPr>
          <w:trHeight w:val="300"/>
        </w:trPr>
        <w:tc>
          <w:tcPr>
            <w:tcW w:w="197" w:type="dxa"/>
            <w:tcBorders>
              <w:top w:val="nil"/>
              <w:left w:val="nil"/>
              <w:bottom w:val="nil"/>
              <w:right w:val="nil"/>
            </w:tcBorders>
            <w:shd w:val="clear" w:color="auto" w:fill="auto"/>
            <w:vAlign w:val="bottom"/>
          </w:tcPr>
          <w:p w:rsidRPr="003667C9" w:rsidR="00937C73" w:rsidP="00BC08F6" w:rsidRDefault="00937C73" w14:paraId="408D7047" w14:textId="77777777">
            <w:pPr>
              <w:autoSpaceDN/>
              <w:spacing w:line="240" w:lineRule="auto"/>
              <w:textAlignment w:val="auto"/>
              <w:rPr>
                <w:rFonts w:ascii="Times New Roman" w:hAnsi="Times New Roman" w:eastAsia="Times New Roman" w:cs="Times New Roman"/>
                <w:color w:val="auto"/>
                <w:sz w:val="20"/>
                <w:szCs w:val="20"/>
              </w:rPr>
            </w:pPr>
          </w:p>
        </w:tc>
        <w:tc>
          <w:tcPr>
            <w:tcW w:w="4765" w:type="dxa"/>
            <w:tcBorders>
              <w:top w:val="nil"/>
              <w:left w:val="nil"/>
              <w:bottom w:val="nil"/>
              <w:right w:val="nil"/>
            </w:tcBorders>
            <w:shd w:val="clear" w:color="auto" w:fill="auto"/>
            <w:vAlign w:val="center"/>
          </w:tcPr>
          <w:p w:rsidR="00937C73" w:rsidP="00BC08F6" w:rsidRDefault="00937C73" w14:paraId="0D193BB9" w14:textId="77777777">
            <w:pPr>
              <w:autoSpaceDN/>
              <w:spacing w:line="240" w:lineRule="auto"/>
              <w:textAlignment w:val="auto"/>
              <w:rPr>
                <w:rFonts w:eastAsia="Times New Roman" w:cs="Calibri"/>
                <w:sz w:val="16"/>
                <w:szCs w:val="16"/>
              </w:rPr>
            </w:pPr>
            <w:r>
              <w:rPr>
                <w:rFonts w:eastAsia="Times New Roman" w:cs="Calibri"/>
                <w:sz w:val="16"/>
                <w:szCs w:val="16"/>
              </w:rPr>
              <w:t>Aanpassingen in decentrale agentschappen</w:t>
            </w:r>
          </w:p>
        </w:tc>
        <w:tc>
          <w:tcPr>
            <w:tcW w:w="745" w:type="dxa"/>
            <w:tcBorders>
              <w:top w:val="nil"/>
              <w:left w:val="nil"/>
              <w:bottom w:val="nil"/>
              <w:right w:val="nil"/>
            </w:tcBorders>
            <w:shd w:val="clear" w:color="auto" w:fill="auto"/>
            <w:vAlign w:val="center"/>
          </w:tcPr>
          <w:p w:rsidR="00937C73" w:rsidP="00BC08F6" w:rsidRDefault="00937C73" w14:paraId="1C14D936" w14:textId="77777777">
            <w:pPr>
              <w:autoSpaceDN/>
              <w:spacing w:line="240" w:lineRule="auto"/>
              <w:jc w:val="right"/>
              <w:textAlignment w:val="auto"/>
              <w:rPr>
                <w:rFonts w:eastAsia="Times New Roman" w:cs="Calibri"/>
                <w:sz w:val="16"/>
                <w:szCs w:val="16"/>
              </w:rPr>
            </w:pPr>
            <w:r>
              <w:rPr>
                <w:rFonts w:eastAsia="Times New Roman" w:cs="Calibri"/>
                <w:sz w:val="16"/>
                <w:szCs w:val="16"/>
              </w:rPr>
              <w:t>4,4</w:t>
            </w:r>
          </w:p>
        </w:tc>
        <w:tc>
          <w:tcPr>
            <w:tcW w:w="1843" w:type="dxa"/>
            <w:tcBorders>
              <w:top w:val="nil"/>
              <w:left w:val="nil"/>
              <w:bottom w:val="nil"/>
              <w:right w:val="nil"/>
            </w:tcBorders>
            <w:shd w:val="clear" w:color="auto" w:fill="auto"/>
            <w:vAlign w:val="center"/>
          </w:tcPr>
          <w:p w:rsidR="00937C73" w:rsidP="00BC08F6" w:rsidRDefault="00937C73" w14:paraId="66DDBE83" w14:textId="77777777">
            <w:pPr>
              <w:autoSpaceDN/>
              <w:spacing w:line="240" w:lineRule="auto"/>
              <w:jc w:val="right"/>
              <w:textAlignment w:val="auto"/>
              <w:rPr>
                <w:rFonts w:eastAsia="Times New Roman" w:cs="Calibri"/>
                <w:sz w:val="16"/>
                <w:szCs w:val="16"/>
              </w:rPr>
            </w:pPr>
            <w:r>
              <w:rPr>
                <w:rFonts w:eastAsia="Times New Roman" w:cs="Calibri"/>
                <w:sz w:val="16"/>
                <w:szCs w:val="16"/>
              </w:rPr>
              <w:t>4,4</w:t>
            </w:r>
          </w:p>
        </w:tc>
      </w:tr>
      <w:tr w:rsidRPr="003667C9" w:rsidR="00937C73" w:rsidTr="00BC08F6" w14:paraId="48EBE94C" w14:textId="77777777">
        <w:trPr>
          <w:trHeight w:val="300"/>
        </w:trPr>
        <w:tc>
          <w:tcPr>
            <w:tcW w:w="197" w:type="dxa"/>
            <w:tcBorders>
              <w:top w:val="single" w:color="auto" w:sz="4" w:space="0"/>
              <w:left w:val="nil"/>
              <w:bottom w:val="nil"/>
              <w:right w:val="nil"/>
            </w:tcBorders>
            <w:shd w:val="clear" w:color="auto" w:fill="auto"/>
            <w:vAlign w:val="center"/>
            <w:hideMark/>
          </w:tcPr>
          <w:p w:rsidRPr="003667C9" w:rsidR="00937C73" w:rsidP="00BC08F6" w:rsidRDefault="00937C73" w14:paraId="069CE755" w14:textId="77777777">
            <w:pPr>
              <w:autoSpaceDN/>
              <w:spacing w:line="240" w:lineRule="auto"/>
              <w:jc w:val="center"/>
              <w:textAlignment w:val="auto"/>
              <w:rPr>
                <w:rFonts w:eastAsia="Times New Roman" w:cs="Calibri"/>
                <w:sz w:val="16"/>
                <w:szCs w:val="16"/>
              </w:rPr>
            </w:pPr>
          </w:p>
        </w:tc>
        <w:tc>
          <w:tcPr>
            <w:tcW w:w="4765" w:type="dxa"/>
            <w:tcBorders>
              <w:top w:val="single" w:color="auto" w:sz="4" w:space="0"/>
              <w:left w:val="nil"/>
              <w:bottom w:val="nil"/>
              <w:right w:val="nil"/>
            </w:tcBorders>
            <w:shd w:val="clear" w:color="auto" w:fill="auto"/>
            <w:vAlign w:val="center"/>
            <w:hideMark/>
          </w:tcPr>
          <w:p w:rsidRPr="003667C9" w:rsidR="00937C73" w:rsidP="00BC08F6" w:rsidRDefault="00937C73" w14:paraId="4C634E64" w14:textId="77777777">
            <w:pPr>
              <w:autoSpaceDN/>
              <w:spacing w:line="240" w:lineRule="auto"/>
              <w:textAlignment w:val="auto"/>
              <w:rPr>
                <w:rFonts w:eastAsia="Times New Roman" w:cs="Calibri"/>
                <w:b/>
                <w:bCs/>
                <w:sz w:val="16"/>
                <w:szCs w:val="16"/>
              </w:rPr>
            </w:pPr>
            <w:r w:rsidRPr="003667C9">
              <w:rPr>
                <w:rFonts w:eastAsia="Times New Roman" w:cs="Calibri"/>
                <w:b/>
                <w:bCs/>
                <w:sz w:val="16"/>
                <w:szCs w:val="16"/>
              </w:rPr>
              <w:t xml:space="preserve">Totaal </w:t>
            </w:r>
            <w:r>
              <w:rPr>
                <w:rFonts w:eastAsia="Times New Roman" w:cs="Calibri"/>
                <w:b/>
                <w:bCs/>
                <w:sz w:val="16"/>
                <w:szCs w:val="16"/>
              </w:rPr>
              <w:t>wijzigingen AL1</w:t>
            </w:r>
          </w:p>
        </w:tc>
        <w:tc>
          <w:tcPr>
            <w:tcW w:w="745" w:type="dxa"/>
            <w:tcBorders>
              <w:top w:val="single" w:color="auto" w:sz="4" w:space="0"/>
              <w:left w:val="nil"/>
              <w:bottom w:val="nil"/>
              <w:right w:val="nil"/>
            </w:tcBorders>
            <w:shd w:val="clear" w:color="auto" w:fill="auto"/>
            <w:vAlign w:val="bottom"/>
            <w:hideMark/>
          </w:tcPr>
          <w:p w:rsidRPr="003667C9" w:rsidR="00937C73" w:rsidP="00BC08F6" w:rsidRDefault="00937C73" w14:paraId="18C33A1B" w14:textId="77777777">
            <w:pPr>
              <w:autoSpaceDN/>
              <w:spacing w:line="240" w:lineRule="auto"/>
              <w:jc w:val="right"/>
              <w:textAlignment w:val="auto"/>
              <w:rPr>
                <w:rFonts w:eastAsia="Times New Roman" w:cs="Calibri"/>
                <w:b/>
                <w:bCs/>
                <w:sz w:val="16"/>
                <w:szCs w:val="16"/>
              </w:rPr>
            </w:pPr>
            <w:r>
              <w:rPr>
                <w:rFonts w:eastAsia="Times New Roman" w:cs="Calibri"/>
                <w:b/>
                <w:bCs/>
                <w:sz w:val="16"/>
                <w:szCs w:val="16"/>
              </w:rPr>
              <w:t>-303</w:t>
            </w:r>
          </w:p>
        </w:tc>
        <w:tc>
          <w:tcPr>
            <w:tcW w:w="1843" w:type="dxa"/>
            <w:tcBorders>
              <w:top w:val="single" w:color="auto" w:sz="4" w:space="0"/>
              <w:left w:val="nil"/>
              <w:bottom w:val="nil"/>
              <w:right w:val="nil"/>
            </w:tcBorders>
            <w:shd w:val="clear" w:color="auto" w:fill="auto"/>
            <w:vAlign w:val="bottom"/>
            <w:hideMark/>
          </w:tcPr>
          <w:p w:rsidRPr="003667C9" w:rsidR="00937C73" w:rsidP="00BC08F6" w:rsidRDefault="00937C73" w14:paraId="1498E73E" w14:textId="77777777">
            <w:pPr>
              <w:autoSpaceDN/>
              <w:spacing w:line="240" w:lineRule="auto"/>
              <w:jc w:val="right"/>
              <w:textAlignment w:val="auto"/>
              <w:rPr>
                <w:rFonts w:eastAsia="Times New Roman" w:cs="Calibri"/>
                <w:b/>
                <w:bCs/>
                <w:sz w:val="16"/>
                <w:szCs w:val="16"/>
              </w:rPr>
            </w:pPr>
            <w:r>
              <w:rPr>
                <w:rFonts w:eastAsia="Times New Roman" w:cs="Calibri"/>
                <w:b/>
                <w:bCs/>
                <w:sz w:val="16"/>
                <w:szCs w:val="16"/>
              </w:rPr>
              <w:t>2.657</w:t>
            </w:r>
          </w:p>
        </w:tc>
      </w:tr>
    </w:tbl>
    <w:p w:rsidRPr="008F68D9" w:rsidR="00937C73" w:rsidP="00937C73" w:rsidRDefault="00937C73" w14:paraId="1D61F628" w14:textId="77777777">
      <w:pPr>
        <w:rPr>
          <w:sz w:val="14"/>
          <w:szCs w:val="14"/>
        </w:rPr>
      </w:pPr>
      <w:r w:rsidRPr="008F68D9">
        <w:rPr>
          <w:sz w:val="14"/>
          <w:szCs w:val="14"/>
        </w:rPr>
        <w:t>*Vastleggingen</w:t>
      </w:r>
    </w:p>
    <w:p w:rsidRPr="008F68D9" w:rsidR="00937C73" w:rsidP="00937C73" w:rsidRDefault="00937C73" w14:paraId="522D2570" w14:textId="77777777">
      <w:pPr>
        <w:rPr>
          <w:sz w:val="14"/>
          <w:szCs w:val="14"/>
        </w:rPr>
      </w:pPr>
      <w:r w:rsidRPr="008F68D9">
        <w:rPr>
          <w:sz w:val="14"/>
          <w:szCs w:val="14"/>
        </w:rPr>
        <w:t>**Betalingen</w:t>
      </w:r>
    </w:p>
    <w:p w:rsidR="00937C73" w:rsidP="00937C73" w:rsidRDefault="00937C73" w14:paraId="2902096A" w14:textId="77777777">
      <w:pPr>
        <w:rPr>
          <w:lang w:eastAsia="zh-CN" w:bidi="hi-IN"/>
        </w:rPr>
      </w:pPr>
    </w:p>
    <w:p w:rsidR="00681910" w:rsidP="00681910" w:rsidRDefault="00937C73" w14:paraId="4E2FE52C" w14:textId="77777777">
      <w:r>
        <w:t xml:space="preserve">AL1 bevat een aantal substantiële aanpassingen. Allereerst bevat AL1 een voorstel om het betalingenplafond voor het Europees Fonds voor regionale ontwikkeling (EFRO) te verhogen met 3 miljard euro. De Commissie wil hiermee betalingen mogelijk maken in reactie op de recente overstromingen in centraal Europa. De Commissie heeft hiervoor op 21 oktober jl. het RESTORE-voorstel gepresenteerd, waarin wordt voorgesteld om een nieuwe specifieke doelstelling te creëren binnen de bestaande reikwijdte van EFRO. Dit zou getroffen lidstaten in staat stellen om de bedragen voor programma’s die onder de doelstelling “Investeringen in groei en banen” vallen te </w:t>
      </w:r>
      <w:proofErr w:type="spellStart"/>
      <w:r>
        <w:t>herprogrammeren</w:t>
      </w:r>
      <w:proofErr w:type="spellEnd"/>
      <w:r>
        <w:t xml:space="preserve"> en in te zetten voor wederopbouw na natuurrampen. Dit voorstel dateert nog van voor de recente overstromingen in Spanje.</w:t>
      </w:r>
      <w:r w:rsidR="00C511AB">
        <w:t xml:space="preserve"> </w:t>
      </w:r>
      <w:r w:rsidRPr="007C6BA8" w:rsidR="00681910">
        <w:t xml:space="preserve">Uw Kamer wordt </w:t>
      </w:r>
      <w:r w:rsidR="00681910">
        <w:t xml:space="preserve">door de minister van Economische Zaken </w:t>
      </w:r>
      <w:r w:rsidRPr="007C6BA8" w:rsidR="00681910">
        <w:t>separaat geïnformeerd</w:t>
      </w:r>
      <w:r w:rsidR="00681910">
        <w:t xml:space="preserve"> over de Nederlandse inzet ten aanzien van dit voorstel. Het RESTORE-voorstel bevat ook een wijziging van het Gemeenschappelijk Landbouwbeleid (POP3). Hiermee zou steun kunnen worden verleend via het programma voor plattelandsontwikkeling aan landbouwers, boseigenaren en </w:t>
      </w:r>
      <w:proofErr w:type="spellStart"/>
      <w:r w:rsidR="00681910">
        <w:t>MKB’ers</w:t>
      </w:r>
      <w:proofErr w:type="spellEnd"/>
      <w:r w:rsidR="00681910">
        <w:t xml:space="preserve"> die ten gevolge van de natuurrampen schade hebben geleden. Dit is nog niet meegenomen in AL1. Uw Kamer wordt door de minister van Landbouw, Visserij, Voedselzekerheid en Natuur separaat geïnformeerd over de Nederlandse inzet ten aanzien van </w:t>
      </w:r>
      <w:r w:rsidR="008728A3">
        <w:t>de voorgestelde wijziging in het POP3.</w:t>
      </w:r>
    </w:p>
    <w:p w:rsidR="00937C73" w:rsidP="00937C73" w:rsidRDefault="00937C73" w14:paraId="1E77B5A2" w14:textId="77777777"/>
    <w:p w:rsidR="00937C73" w:rsidP="00937C73" w:rsidRDefault="00937C73" w14:paraId="717FC9DC" w14:textId="77777777">
      <w:r>
        <w:t xml:space="preserve">Daarnaast bevat AL1 een neerwaartse bijstelling van de geraamde rentekosten voor het coronaherstelfonds </w:t>
      </w:r>
      <w:proofErr w:type="spellStart"/>
      <w:r>
        <w:t>NextGenerationEU</w:t>
      </w:r>
      <w:proofErr w:type="spellEnd"/>
      <w:r>
        <w:t xml:space="preserve"> (de zogeheten “EURI-line”). De neerwaartse bijstelling van 195 miljoen euro komt met name doordat in 2024 minder betalingen zijn gedaan in het kader van de Herstel- en Veerkrachtfaciliteit (HVF) dan eerder verwacht. Dit betekent dat de Commissie minder leningen is aangegaan en daardoor de rentekosten lager uitvallen dan eerder verwacht. In totaal bedragen de rentekosten in 2025 naar verwachting nu </w:t>
      </w:r>
      <w:proofErr w:type="gramStart"/>
      <w:r>
        <w:t>circa</w:t>
      </w:r>
      <w:proofErr w:type="gramEnd"/>
      <w:r>
        <w:t xml:space="preserve"> 5 miljard euro. De rentekosten zijn hoger dan voorzien in de meerjarige programmering. Het </w:t>
      </w:r>
      <w:proofErr w:type="gramStart"/>
      <w:r>
        <w:lastRenderedPageBreak/>
        <w:t>reeds</w:t>
      </w:r>
      <w:proofErr w:type="gramEnd"/>
      <w:r>
        <w:t xml:space="preserve"> begrote budget bedraagt 2,7 miljard euro. Dit betekent een kostenoverschrijding van 2,3 miljard euro</w:t>
      </w:r>
      <w:r w:rsidRPr="004F03FD">
        <w:t xml:space="preserve"> </w:t>
      </w:r>
      <w:r>
        <w:t xml:space="preserve">in 2025.  </w:t>
      </w:r>
    </w:p>
    <w:p w:rsidR="00937C73" w:rsidP="00937C73" w:rsidRDefault="00937C73" w14:paraId="4E6FFE19" w14:textId="77777777"/>
    <w:p w:rsidR="00937C73" w:rsidP="00937C73" w:rsidRDefault="00937C73" w14:paraId="3973E49E" w14:textId="77777777">
      <w:r>
        <w:t xml:space="preserve">In de herziening van het Meerjarig Financieel Kader (MFK) 2024 is een ‘cascademodel’ afgesproken voor het financieren van de rentekosten voor NGEU. Het cascademechanisme werkt volgens een vaste volgorde. In de eerste stap wordt het </w:t>
      </w:r>
      <w:proofErr w:type="gramStart"/>
      <w:r>
        <w:t>reeds</w:t>
      </w:r>
      <w:proofErr w:type="gramEnd"/>
      <w:r>
        <w:t xml:space="preserve"> begrote budget (EURI-line) gebruikt. </w:t>
      </w:r>
      <w:proofErr w:type="gramStart"/>
      <w:r>
        <w:t>Indien</w:t>
      </w:r>
      <w:proofErr w:type="gramEnd"/>
      <w:r>
        <w:t xml:space="preserve"> dit onvoldoende is wordt voor de overschrijding middels stap 2 financiering gezocht in het kader van de jaarbegrotingsprocedure. De rentekosten worden hiermee door middel van </w:t>
      </w:r>
      <w:proofErr w:type="spellStart"/>
      <w:r>
        <w:t>herprioriteringen</w:t>
      </w:r>
      <w:proofErr w:type="spellEnd"/>
      <w:r>
        <w:t xml:space="preserve"> en de inzet van de marges en speciale instrumenten gedekt. Bij deze afspraak geldt voor stap 2 als benchmark dat 50% van de overschrijding hiermee wordt gefinancierd. </w:t>
      </w:r>
      <w:proofErr w:type="gramStart"/>
      <w:r>
        <w:t>Indien</w:t>
      </w:r>
      <w:proofErr w:type="gramEnd"/>
      <w:r>
        <w:t xml:space="preserve"> dit onvoldoende middelen oplevert</w:t>
      </w:r>
      <w:r w:rsidR="00AF281A">
        <w:t>,</w:t>
      </w:r>
      <w:r>
        <w:t xml:space="preserve"> wordt middels stap 3 het EURI-instrument ingezet. Dit is een speciaal instrument, waarmee uitgaven boven de MFK-plafonds kunnen worden gedaan. Hiermee kunnen </w:t>
      </w:r>
      <w:proofErr w:type="spellStart"/>
      <w:r>
        <w:t>decommiteringen</w:t>
      </w:r>
      <w:proofErr w:type="spellEnd"/>
      <w:r>
        <w:t xml:space="preserve"> (niet tot betaling gekomen vastleggingen) opnieuw worden ingezet. Indien er onvoldoende </w:t>
      </w:r>
      <w:proofErr w:type="spellStart"/>
      <w:r>
        <w:t>decommiteringen</w:t>
      </w:r>
      <w:proofErr w:type="spellEnd"/>
      <w:r>
        <w:t xml:space="preserve"> zijn geldt de </w:t>
      </w:r>
      <w:r>
        <w:rPr>
          <w:i/>
          <w:iCs/>
        </w:rPr>
        <w:t xml:space="preserve">backstop, </w:t>
      </w:r>
      <w:r>
        <w:t xml:space="preserve">die </w:t>
      </w:r>
      <w:proofErr w:type="gramStart"/>
      <w:r>
        <w:t>er toe</w:t>
      </w:r>
      <w:proofErr w:type="gramEnd"/>
      <w:r>
        <w:t xml:space="preserve"> leidt</w:t>
      </w:r>
      <w:r>
        <w:rPr>
          <w:i/>
          <w:iCs/>
        </w:rPr>
        <w:t xml:space="preserve"> </w:t>
      </w:r>
      <w:r>
        <w:t>dat de lidstaten via de afdrachten aan de Unie op basis van het eigenmiddelenbesluit extra bijdragen om de overschrijding te dekken.</w:t>
      </w:r>
    </w:p>
    <w:p w:rsidR="00937C73" w:rsidP="00937C73" w:rsidRDefault="00937C73" w14:paraId="2E164B94" w14:textId="77777777"/>
    <w:p w:rsidR="00937C73" w:rsidP="00937C73" w:rsidRDefault="00937C73" w14:paraId="285E3FDD" w14:textId="77777777">
      <w:r>
        <w:t xml:space="preserve">De Europese jaarbegroting kent speciale instrumenten buiten de reguliere MFK-plafonds, die aanvullende flexibiliteit bieden om in te kunnen spelen op onvoorziene omstandigheden, waaronder het Flexibiliteitsinstrument en </w:t>
      </w:r>
      <w:r w:rsidRPr="0066322D">
        <w:rPr>
          <w:i/>
          <w:iCs/>
        </w:rPr>
        <w:t xml:space="preserve">het Single </w:t>
      </w:r>
      <w:proofErr w:type="spellStart"/>
      <w:r w:rsidRPr="0066322D">
        <w:rPr>
          <w:i/>
          <w:iCs/>
        </w:rPr>
        <w:t>Margin</w:t>
      </w:r>
      <w:proofErr w:type="spellEnd"/>
      <w:r w:rsidRPr="0066322D">
        <w:rPr>
          <w:i/>
          <w:iCs/>
        </w:rPr>
        <w:t xml:space="preserve"> Instrument</w:t>
      </w:r>
      <w:r>
        <w:t xml:space="preserve"> (SMI).</w:t>
      </w:r>
      <w:r>
        <w:rPr>
          <w:rStyle w:val="Voetnootmarkering"/>
        </w:rPr>
        <w:footnoteReference w:id="5"/>
      </w:r>
      <w:r>
        <w:t xml:space="preserve"> De Commissie stelt voor om de kostenoverschrijding voor 50% te dekken uit het Flexibiliteitsinstrument (1,1 miljard euro) en de marge van </w:t>
      </w:r>
      <w:proofErr w:type="spellStart"/>
      <w:r>
        <w:t>heading</w:t>
      </w:r>
      <w:proofErr w:type="spellEnd"/>
      <w:r>
        <w:t xml:space="preserve"> 2b Veerkracht en waarden (35,7 miljoen euro). Voor de tweede stap van het cascademodel stelt de Commissie geen </w:t>
      </w:r>
      <w:proofErr w:type="spellStart"/>
      <w:r>
        <w:t>herprioriteringen</w:t>
      </w:r>
      <w:proofErr w:type="spellEnd"/>
      <w:r>
        <w:t xml:space="preserve"> voor. De rest wordt in het Commissievoorstel gedekt vanuit het EURI-instrument door de inzet van </w:t>
      </w:r>
      <w:proofErr w:type="spellStart"/>
      <w:r>
        <w:t>decommiteringen</w:t>
      </w:r>
      <w:proofErr w:type="spellEnd"/>
      <w:r>
        <w:t xml:space="preserve">. </w:t>
      </w:r>
    </w:p>
    <w:p w:rsidR="00937C73" w:rsidP="00937C73" w:rsidRDefault="00937C73" w14:paraId="42C4C59F" w14:textId="77777777"/>
    <w:p w:rsidRPr="00C055BE" w:rsidR="00937C73" w:rsidP="00937C73" w:rsidRDefault="00937C73" w14:paraId="11DE316B" w14:textId="77777777">
      <w:r>
        <w:t xml:space="preserve">AL1 bevat verder een neerwaartse bijstelling van de verwachte uitgaven voor het Europees Landbouwgarantiefonds (ELGF) van 351,9 miljoen euro voor de vastleggingen en 391,9 miljoen euro voor de betalingen. Dit wordt met name veroorzaakt door lager dan verwachte betalingen voor uitvoering van maatregelen uit de strategische plannen van lidstaten binnen het gemeenschappelijk landbouwbeleid. De laatste substantiële wijziging in AL1 is een stijging van de administratieve uitgaven in begrotingscategorie 7 Administratieve uitgaven van 219,9 miljoen euro. Dit wordt veroorzaakt door hoger dan verwachte salarisbijstelling. De Commissie stelt voor dit bedrag volledig te dekken vanuit het SMI. </w:t>
      </w:r>
      <w:r w:rsidRPr="001C2C7A">
        <w:t xml:space="preserve"> </w:t>
      </w:r>
    </w:p>
    <w:p w:rsidRPr="00714BE9" w:rsidR="00937C73" w:rsidP="00937C73" w:rsidRDefault="00937C73" w14:paraId="141A8262" w14:textId="77777777">
      <w:pPr>
        <w:rPr>
          <w:b/>
          <w:bCs/>
          <w:i/>
          <w:iCs/>
        </w:rPr>
      </w:pPr>
    </w:p>
    <w:p w:rsidRPr="00641E3B" w:rsidR="00937C73" w:rsidP="00937C73" w:rsidRDefault="00937C73" w14:paraId="58089908" w14:textId="77777777">
      <w:r w:rsidRPr="00641E3B">
        <w:rPr>
          <w:i/>
          <w:iCs/>
        </w:rPr>
        <w:t>Positie Europees Parlement</w:t>
      </w:r>
    </w:p>
    <w:p w:rsidR="00937C73" w:rsidP="00937C73" w:rsidRDefault="00937C73" w14:paraId="5CE3A0EB" w14:textId="77777777">
      <w:r>
        <w:t>Het EP heeft in zijn positie</w:t>
      </w:r>
      <w:r>
        <w:rPr>
          <w:rStyle w:val="Voetnootmarkering"/>
        </w:rPr>
        <w:footnoteReference w:id="6"/>
      </w:r>
      <w:r>
        <w:t xml:space="preserve"> alle neerwaartse aanpassingen afgewezen die de Raad heeft voorgesteld in de Raadspositie, waaronder de voorgestelde </w:t>
      </w:r>
      <w:proofErr w:type="spellStart"/>
      <w:r>
        <w:t>herprioriteringen</w:t>
      </w:r>
      <w:proofErr w:type="spellEnd"/>
      <w:r>
        <w:t xml:space="preserve"> van 1,5 miljard euro ter dekking van de rentekosten van NGEU. Meer specifiek stelt het EP voor dat het dekken van de gestegen rentekosten van NGEU niet ten koste mag gaan van de uitgaven voor programma’s binnen de Europese begroting. In plaats daarvan wordt in stap 2 van het cascademechanisme, de benchmark van 50% dekking vanuit </w:t>
      </w:r>
      <w:proofErr w:type="spellStart"/>
      <w:r>
        <w:t>herprioriteringen</w:t>
      </w:r>
      <w:proofErr w:type="spellEnd"/>
      <w:r>
        <w:t xml:space="preserve"> en inzet speciale instrumenten gereduceerd tot 35%. Deze 35% wordt volledig gedekt uit speciale </w:t>
      </w:r>
      <w:r>
        <w:lastRenderedPageBreak/>
        <w:t xml:space="preserve">instrumenten. De rest wordt gedekt vanuit het EURI-instrument door het gebruik van </w:t>
      </w:r>
      <w:proofErr w:type="spellStart"/>
      <w:r>
        <w:t>decommiteringen</w:t>
      </w:r>
      <w:proofErr w:type="spellEnd"/>
      <w:r>
        <w:t xml:space="preserve">. </w:t>
      </w:r>
    </w:p>
    <w:p w:rsidR="00937C73" w:rsidP="00937C73" w:rsidRDefault="00937C73" w14:paraId="23A14F7C" w14:textId="77777777"/>
    <w:p w:rsidR="00937C73" w:rsidP="00937C73" w:rsidRDefault="00937C73" w14:paraId="7E73020A" w14:textId="77777777">
      <w:r>
        <w:t xml:space="preserve">Het EP stelt daarnaast voor om bepaalde programma’s te intensiveren, waaronder een verhoging van de uitgaven in begrotingscategorie 1 </w:t>
      </w:r>
      <w:r w:rsidRPr="00B64B92">
        <w:t xml:space="preserve">Interne markt, innovatie en digitaal </w:t>
      </w:r>
      <w:r>
        <w:t xml:space="preserve">van 419 miljoen euro. Ook stelt het EP een verhoging van de uitgaven in begrotingscategorie 2 </w:t>
      </w:r>
      <w:r w:rsidRPr="00B64B92">
        <w:t xml:space="preserve">Cohesie, veerkracht en waarden </w:t>
      </w:r>
      <w:r>
        <w:t xml:space="preserve">voor van 260 miljoen euro op Erasmus+, EU4Health en </w:t>
      </w:r>
      <w:r>
        <w:rPr>
          <w:i/>
          <w:iCs/>
        </w:rPr>
        <w:t xml:space="preserve">Union </w:t>
      </w:r>
      <w:proofErr w:type="spellStart"/>
      <w:r>
        <w:rPr>
          <w:i/>
          <w:iCs/>
        </w:rPr>
        <w:t>Civil</w:t>
      </w:r>
      <w:proofErr w:type="spellEnd"/>
      <w:r>
        <w:rPr>
          <w:i/>
          <w:iCs/>
        </w:rPr>
        <w:t xml:space="preserve"> </w:t>
      </w:r>
      <w:proofErr w:type="spellStart"/>
      <w:r>
        <w:rPr>
          <w:i/>
          <w:iCs/>
        </w:rPr>
        <w:t>Protection</w:t>
      </w:r>
      <w:proofErr w:type="spellEnd"/>
      <w:r>
        <w:rPr>
          <w:i/>
          <w:iCs/>
        </w:rPr>
        <w:t xml:space="preserve"> </w:t>
      </w:r>
      <w:proofErr w:type="spellStart"/>
      <w:r>
        <w:rPr>
          <w:i/>
          <w:iCs/>
        </w:rPr>
        <w:t>Mechanism</w:t>
      </w:r>
      <w:proofErr w:type="spellEnd"/>
      <w:r>
        <w:t xml:space="preserve">. Een andere substantiële verhoging van de uitgaven in de voorgestelde positie van het EP is 256 miljoen euro voor NDICI en humanitaire hulp. Als laatste wordt er </w:t>
      </w:r>
      <w:r w:rsidRPr="00EF0157">
        <w:t xml:space="preserve">voorgesteld om de administratieve uitgaven vanuit </w:t>
      </w:r>
      <w:r>
        <w:t>begrotingscategorie</w:t>
      </w:r>
      <w:r w:rsidRPr="00EF0157">
        <w:t xml:space="preserve"> 7 te verhogen met 42 miljoen euro. </w:t>
      </w:r>
    </w:p>
    <w:p w:rsidR="00937C73" w:rsidP="00937C73" w:rsidRDefault="00937C73" w14:paraId="1D222A1A" w14:textId="77777777"/>
    <w:p w:rsidR="00937C73" w:rsidP="00937C73" w:rsidRDefault="00937C73" w14:paraId="42B5F3A6" w14:textId="77777777">
      <w:r>
        <w:t>Het EP stelt voor om de speciale instrumenten voor in totaal 2,2 miljard euro in te zetten. Hiermee liggen de uitgaven, inclusief marges en inzet van het EURI-instrument, 1,5 miljard euro hoger ten opzichte van het Commissievoorstel inclusief AL1. De Raad stelt daarentegen juist voor om meer flexibele ruimte beschikbaar te behouden om op onvoorziene omstandigheden te kunnen reageren, waarmee de uitgaven 1,2 miljard onder het Commissievoorstel (inclusief AL1) liggen.</w:t>
      </w:r>
    </w:p>
    <w:p w:rsidR="00937C73" w:rsidP="00937C73" w:rsidRDefault="00937C73" w14:paraId="5950F6BA" w14:textId="77777777"/>
    <w:p w:rsidR="00937C73" w:rsidP="00937C73" w:rsidRDefault="00937C73" w14:paraId="12162C18" w14:textId="77777777">
      <w:r w:rsidRPr="00EF0157">
        <w:t>In tabel 2 in de bijlage vindt u een overzicht van de posities van de Commissie inclusief AL1, de Raad en het EP.</w:t>
      </w:r>
    </w:p>
    <w:p w:rsidR="00937C73" w:rsidP="00937C73" w:rsidRDefault="00937C73" w14:paraId="77A6451F" w14:textId="77777777">
      <w:pPr>
        <w:rPr>
          <w:i/>
          <w:iCs/>
        </w:rPr>
      </w:pPr>
    </w:p>
    <w:p w:rsidRPr="00675430" w:rsidR="00937C73" w:rsidP="00937C73" w:rsidRDefault="00937C73" w14:paraId="40B69D23" w14:textId="77777777">
      <w:pPr>
        <w:rPr>
          <w:i/>
          <w:iCs/>
        </w:rPr>
      </w:pPr>
      <w:r>
        <w:rPr>
          <w:i/>
          <w:iCs/>
        </w:rPr>
        <w:t>Nederlandse inzet voor de Begrotingsraad</w:t>
      </w:r>
    </w:p>
    <w:p w:rsidR="00937C73" w:rsidP="00937C73" w:rsidRDefault="00937C73" w14:paraId="38B730B1" w14:textId="77777777">
      <w:r>
        <w:t xml:space="preserve">Het kabinet streeft naar een prudente, realistische en moderne Europese begroting. Dit wil zeggen dat er volgens Nederland voldoende flexibele bestedingsruimte moet zijn om in te spelen op onvoorziene omstandigheden en dat rekening gehouden moet worden met de absorptiecapaciteit van de verschillende programma’s op de Europese begroting. Daarnaast hecht het kabinet aan samenwerking met gelijkgestemde lidstaten. </w:t>
      </w:r>
    </w:p>
    <w:p w:rsidR="00937C73" w:rsidP="00937C73" w:rsidRDefault="00937C73" w14:paraId="66D3BC22" w14:textId="77777777"/>
    <w:p w:rsidR="00937C73" w:rsidP="00937C73" w:rsidRDefault="00937C73" w14:paraId="63E54947" w14:textId="77777777">
      <w:r>
        <w:t xml:space="preserve">Voor de begroting van 2025 geeft het kabinet in de onderhandelingen prioriteit aan het dekken van de gestegen rentekosten voor NGEU in de context van de in de MFK-herziening gemaakte afspraken over het EURI-instrument. </w:t>
      </w:r>
    </w:p>
    <w:p w:rsidR="00937C73" w:rsidP="00937C73" w:rsidRDefault="00937C73" w14:paraId="6E391C54" w14:textId="77777777"/>
    <w:p w:rsidR="00937C73" w:rsidP="00937C73" w:rsidRDefault="00937C73" w14:paraId="2000C62B" w14:textId="77777777">
      <w:r w:rsidRPr="00E5502C">
        <w:t>Tijdens de conciliatie streeft</w:t>
      </w:r>
      <w:r w:rsidRPr="00B87AC6">
        <w:t xml:space="preserve"> Nederland </w:t>
      </w:r>
      <w:r>
        <w:t xml:space="preserve">op dit vlak </w:t>
      </w:r>
      <w:r w:rsidRPr="00B87AC6">
        <w:t>naar behoud van de Raadspositie, waarbij Nederland zal inzetten op</w:t>
      </w:r>
      <w:r>
        <w:t xml:space="preserve"> het zoveel als mogelijk dekken van de gestegen rentekosten van NGEU door middel van stap 2 van het cascademodel, waarbij ook gekeken moet worden naar </w:t>
      </w:r>
      <w:proofErr w:type="spellStart"/>
      <w:r>
        <w:t>herprioriteringen</w:t>
      </w:r>
      <w:proofErr w:type="spellEnd"/>
      <w:r>
        <w:t xml:space="preserve">. Het is ook van belang de inzet van de speciale instrumenten zoveel mogelijk te beperken, om zo ruimte te houden voor onvoorziene uitgaven in de resterende MFK-periode. De overschrijding van de rentekosten is daarnaast in 2026 en 2027 naar verwachting veel groter dan in 2025. Het beperken van de inzet van de speciale instrumenten betekent dat er de komende jaren meer middelen beschikbaar zijn om de kostenoverschrijding te dekken, aangezien deze middelen kunnen worden doorgeschoven. </w:t>
      </w:r>
    </w:p>
    <w:p w:rsidR="00937C73" w:rsidP="00937C73" w:rsidRDefault="00937C73" w14:paraId="58BF18A4" w14:textId="77777777"/>
    <w:p w:rsidR="00937C73" w:rsidP="00937C73" w:rsidRDefault="00937C73" w14:paraId="36212E2F" w14:textId="77777777">
      <w:r>
        <w:t xml:space="preserve">Hierbij moeten de Nederlandse prioriteiten in de Europese jaarbegroting wel zoveel mogelijk worden gewaarborgd. Nederland zal zich inzetten voor de Nederlandse prioriteiten als onderzoek en innovatie, klimaat en defensie, veiligheid, strategische afhankelijkheden en migratie en op basis hiervan ook mogelijke compromisvoorstellen beoordelen. In de Raadspositie zijn </w:t>
      </w:r>
      <w:r>
        <w:lastRenderedPageBreak/>
        <w:t xml:space="preserve">bezuinigingen opgenomen op enkele voor Nederland belangrijke programma’s, waaronder op Horizon Europe, </w:t>
      </w:r>
      <w:proofErr w:type="spellStart"/>
      <w:r>
        <w:t>InvestEU</w:t>
      </w:r>
      <w:proofErr w:type="spellEnd"/>
      <w:r>
        <w:t xml:space="preserve">, de </w:t>
      </w:r>
      <w:proofErr w:type="spellStart"/>
      <w:r>
        <w:rPr>
          <w:i/>
          <w:iCs/>
        </w:rPr>
        <w:t>Connecting</w:t>
      </w:r>
      <w:proofErr w:type="spellEnd"/>
      <w:r>
        <w:rPr>
          <w:i/>
          <w:iCs/>
        </w:rPr>
        <w:t xml:space="preserve"> Europe Facility</w:t>
      </w:r>
      <w:r>
        <w:t xml:space="preserve">, het </w:t>
      </w:r>
      <w:r w:rsidRPr="0066322D">
        <w:rPr>
          <w:i/>
          <w:iCs/>
        </w:rPr>
        <w:t xml:space="preserve">Digital Europe </w:t>
      </w:r>
      <w:proofErr w:type="spellStart"/>
      <w:r w:rsidRPr="0066322D">
        <w:rPr>
          <w:i/>
          <w:iCs/>
        </w:rPr>
        <w:t>Programme</w:t>
      </w:r>
      <w:proofErr w:type="spellEnd"/>
      <w:r>
        <w:t xml:space="preserve">, EU4Health en </w:t>
      </w:r>
      <w:proofErr w:type="spellStart"/>
      <w:r>
        <w:t>Frontex</w:t>
      </w:r>
      <w:proofErr w:type="spellEnd"/>
      <w:r>
        <w:t>. Het kabinet zal zich ervoor inzetten dat op deze onderwerpen niet verder bezuinigd wordt</w:t>
      </w:r>
      <w:r w:rsidR="007D61AF">
        <w:t xml:space="preserve"> en dat </w:t>
      </w:r>
      <w:r w:rsidR="003718F2">
        <w:t xml:space="preserve">er </w:t>
      </w:r>
      <w:r w:rsidR="007D61AF">
        <w:t xml:space="preserve">geen bezuinigingen op </w:t>
      </w:r>
      <w:proofErr w:type="spellStart"/>
      <w:r w:rsidR="007D61AF">
        <w:t>Frontex</w:t>
      </w:r>
      <w:proofErr w:type="spellEnd"/>
      <w:r w:rsidR="007D61AF">
        <w:t xml:space="preserve"> plaatsvinden die invloed hebben op de grens- en terugkeeroperaties van het agentschap.</w:t>
      </w:r>
      <w:r>
        <w:t xml:space="preserve"> </w:t>
      </w:r>
    </w:p>
    <w:p w:rsidR="00937C73" w:rsidP="00937C73" w:rsidRDefault="00937C73" w14:paraId="31F59C6A" w14:textId="77777777"/>
    <w:p w:rsidR="00937C73" w:rsidP="00937C73" w:rsidRDefault="00937C73" w14:paraId="367E5218" w14:textId="77777777">
      <w:r w:rsidRPr="00E5502C">
        <w:t xml:space="preserve">Voor wat betreft de positie van het Europees Parlement </w:t>
      </w:r>
      <w:r>
        <w:t>vindt het kabinet</w:t>
      </w:r>
      <w:r w:rsidRPr="00E5502C">
        <w:t xml:space="preserve"> het problematisch dat </w:t>
      </w:r>
      <w:r>
        <w:t xml:space="preserve">het EP voorstelt slechts 35% van de kostenoverschrijdingen van de rente voor NGEU te dekken met stap 2 uit het cascademodel. In de MFK-herziening is afgesproken dat dit als benchmark ongeveer 50% zal zijn en deze afspraak is volgens het kabinet dan ook leidend. Daarbij is ook overeengekomen dat voor de invulling van die 50% zowel naar speciale instrumenten als </w:t>
      </w:r>
      <w:proofErr w:type="spellStart"/>
      <w:r>
        <w:t>herprioriteringen</w:t>
      </w:r>
      <w:proofErr w:type="spellEnd"/>
      <w:r>
        <w:t xml:space="preserve"> binnen de begroting zal worden gekeken. In het voorstel van het Europees Parlement zijn geen </w:t>
      </w:r>
      <w:proofErr w:type="spellStart"/>
      <w:r>
        <w:t>herprioriteringen</w:t>
      </w:r>
      <w:proofErr w:type="spellEnd"/>
      <w:r>
        <w:t xml:space="preserve"> opgenomen. </w:t>
      </w:r>
    </w:p>
    <w:p w:rsidR="00937C73" w:rsidP="00937C73" w:rsidRDefault="00937C73" w14:paraId="2720366A" w14:textId="77777777"/>
    <w:p w:rsidR="00937C73" w:rsidP="00937C73" w:rsidRDefault="00937C73" w14:paraId="19D4563A" w14:textId="77777777">
      <w:r>
        <w:t xml:space="preserve">Het EP stelt daarnaast voor om de speciale instrumenten bij aanvang van het begrotingsjaar al vrijwel volledig uit te putten. Daarmee resteert in de ogen van het kabinet onvoldoende ruimte om te kunnen reageren op onvoorziene uitgaven in de resterende MFK-periode. Nederland zal zich inzetten op het zoveel mogelijk beperken van de inzet van de speciale instrumenten. </w:t>
      </w:r>
    </w:p>
    <w:p w:rsidR="00937C73" w:rsidP="00937C73" w:rsidRDefault="00937C73" w14:paraId="01FCC11F" w14:textId="77777777"/>
    <w:p w:rsidR="00937C73" w:rsidP="00937C73" w:rsidRDefault="00937C73" w14:paraId="588971C4" w14:textId="77777777">
      <w:r>
        <w:t>Het kabinet is kritisch ten aanzien van de voorgestelde stijging van de administratieve uitgaven en het inzetten van speciale instrumenten hiervoor. De inzet van speciale instrumenten biedt geen structurele oplossing voor de structurele stijging van de administratieve lasten.</w:t>
      </w:r>
    </w:p>
    <w:p w:rsidR="00937C73" w:rsidP="00937C73" w:rsidRDefault="00937C73" w14:paraId="2BDE4C31" w14:textId="77777777"/>
    <w:p w:rsidR="00937C73" w:rsidP="00937C73" w:rsidRDefault="00937C73" w14:paraId="0A1DB212" w14:textId="77777777">
      <w:r>
        <w:t>Het voorgestelde betalingenniveau van AL1 en het EP ligt onder de raming van de Nederlandse EU-afdrachten. In het geval van een verdere stijging van het betalingenniveau bestaat er een groter risico dat de Nederlandse raming zal moeten worden verhoogd. Dit kan het geval zijn als de betalingenbehoefte als gevolg van het RESTORE-voorstel hoger uitvalt, bijvoorbeeld naar aanleiding van de overstromingen in Spanje</w:t>
      </w:r>
      <w:r w:rsidR="00681910">
        <w:t xml:space="preserve"> en de voorgestelde wijzigingen in het POP3.</w:t>
      </w:r>
    </w:p>
    <w:p w:rsidR="00937C73" w:rsidP="00937C73" w:rsidRDefault="00937C73" w14:paraId="30450DD8" w14:textId="77777777"/>
    <w:p w:rsidRPr="006932D0" w:rsidR="00937C73" w:rsidP="00937C73" w:rsidRDefault="00937C73" w14:paraId="6430DEE0" w14:textId="77777777">
      <w:pPr>
        <w:rPr>
          <w:i/>
          <w:iCs/>
        </w:rPr>
      </w:pPr>
      <w:r w:rsidRPr="00B87AC6">
        <w:rPr>
          <w:i/>
          <w:iCs/>
        </w:rPr>
        <w:t>Gevolgen voor de Nederlandse afdrachten</w:t>
      </w:r>
      <w:r w:rsidRPr="006932D0">
        <w:rPr>
          <w:i/>
          <w:iCs/>
        </w:rPr>
        <w:t xml:space="preserve"> </w:t>
      </w:r>
    </w:p>
    <w:p w:rsidR="00937C73" w:rsidP="00937C73" w:rsidRDefault="00937C73" w14:paraId="41E3152F" w14:textId="77777777">
      <w:r>
        <w:t xml:space="preserve">Zoals toegelicht in de begroting van het ministerie van Buitenlandse Zaken, artikel 3.1, is de raming van de Nederlandse afdrachten aan de Europese begroting normaliter gebaseerd op de omvang van het jaarlijkse betalingenplafond uit het MFK plus de maximale inzet van speciale instrumenten die boven dit plafond worden gefinancierd. </w:t>
      </w:r>
    </w:p>
    <w:p w:rsidR="00937C73" w:rsidP="00937C73" w:rsidRDefault="00937C73" w14:paraId="3FB095CC" w14:textId="77777777"/>
    <w:p w:rsidR="00937C73" w:rsidP="00937C73" w:rsidRDefault="00937C73" w14:paraId="746F9842" w14:textId="77777777">
      <w:r>
        <w:t xml:space="preserve">Het betalingenniveau lag in het Commissievoorstel voor de Europese jaarbegroting 2025 aanzienlijk onder het maximaal jaarlijkse betalingenplafond, zoals vastgelegd in het MFK. Dit komt voornamelijk door vertraging in betalingen bij de cohesie- en landbouwfondsen. Vanwege dit lage betalingenniveau is gekozen om af te wijken van de gebruikelijke ramingssystematiek. Dit zou immers kunnen leiden tot forse </w:t>
      </w:r>
      <w:proofErr w:type="spellStart"/>
      <w:r>
        <w:t>onderuitputting</w:t>
      </w:r>
      <w:proofErr w:type="spellEnd"/>
      <w:r>
        <w:t xml:space="preserve"> op de Rijksbegroting eind volgend jaar. </w:t>
      </w:r>
      <w:r w:rsidRPr="009E5166">
        <w:t>Hierbij is gekozen om te ramen op het betalingenniveau zoals door de Commissie voorgesteld in de Ontwerpbegroting (152 m</w:t>
      </w:r>
      <w:r>
        <w:t>iljard euro</w:t>
      </w:r>
      <w:r w:rsidRPr="009E5166">
        <w:t xml:space="preserve">) </w:t>
      </w:r>
      <w:r>
        <w:t>en d</w:t>
      </w:r>
      <w:r w:rsidRPr="009E5166">
        <w:t>aarbij</w:t>
      </w:r>
      <w:r>
        <w:t xml:space="preserve"> is een </w:t>
      </w:r>
      <w:r w:rsidRPr="009E5166">
        <w:t>marge van 3,5 miljard aan</w:t>
      </w:r>
      <w:r>
        <w:t xml:space="preserve"> te </w:t>
      </w:r>
      <w:r w:rsidRPr="009E5166">
        <w:t>houden</w:t>
      </w:r>
      <w:r>
        <w:t xml:space="preserve"> </w:t>
      </w:r>
      <w:proofErr w:type="gramStart"/>
      <w:r>
        <w:t>bovenop</w:t>
      </w:r>
      <w:proofErr w:type="gramEnd"/>
      <w:r>
        <w:t xml:space="preserve"> dit betalingenniveau. Uw Kamer is hierover op 4 september jl. geïnformeerd.</w:t>
      </w:r>
      <w:r>
        <w:rPr>
          <w:rStyle w:val="Voetnootmarkering"/>
        </w:rPr>
        <w:footnoteReference w:id="7"/>
      </w:r>
    </w:p>
    <w:p w:rsidR="00937C73" w:rsidP="00937C73" w:rsidRDefault="00937C73" w14:paraId="7831246B" w14:textId="77777777"/>
    <w:p w:rsidR="00937C73" w:rsidP="00937C73" w:rsidRDefault="00937C73" w14:paraId="104F143C" w14:textId="77777777">
      <w:r>
        <w:lastRenderedPageBreak/>
        <w:t xml:space="preserve">Zoals eerder benoemd is het netto-effect van </w:t>
      </w:r>
      <w:r w:rsidRPr="009E5166">
        <w:t xml:space="preserve">AL1 </w:t>
      </w:r>
      <w:r>
        <w:t xml:space="preserve">een verhoging van de betalingen van </w:t>
      </w:r>
      <w:proofErr w:type="gramStart"/>
      <w:r>
        <w:t>circa</w:t>
      </w:r>
      <w:proofErr w:type="gramEnd"/>
      <w:r>
        <w:t xml:space="preserve"> 2,7 mld. euro. Het </w:t>
      </w:r>
      <w:r w:rsidRPr="009E5166">
        <w:t xml:space="preserve">bevat een vrij forse bijstelling </w:t>
      </w:r>
      <w:r>
        <w:t xml:space="preserve">van het betalingenniveau </w:t>
      </w:r>
      <w:r w:rsidRPr="009E5166">
        <w:t>als gevolg van de recente overstromingen in centraal Europa.</w:t>
      </w:r>
      <w:r>
        <w:t xml:space="preserve"> De Commissie stelt, zoals eerder benoemd, een verhoging van 3 miljard euro voor van het betalingenplafond van EFRO. </w:t>
      </w:r>
      <w:r w:rsidRPr="009E5166">
        <w:t>Dit betekent dat de marge in</w:t>
      </w:r>
      <w:r>
        <w:t xml:space="preserve"> de raming van de Nederlandse afdrachten aan de Europese Unie voor 2025 aanzienlijk</w:t>
      </w:r>
      <w:r w:rsidRPr="009E5166">
        <w:t xml:space="preserve"> beperkt is (843 miljoen euro). </w:t>
      </w:r>
      <w:r>
        <w:t>Dit betekent dat het mogelijk is dat</w:t>
      </w:r>
      <w:r w:rsidRPr="009E5166">
        <w:t xml:space="preserve"> </w:t>
      </w:r>
      <w:r>
        <w:t>de raming van de Nederlandse afdracht voor 2025 in de loop van het jaar naar boven bijgesteld moet worden, als in de loop van het jaar via aanvullende EU-jaarbegrotingen de betalingenniveaus verder verhoogd worden. Dit is nu echter nog niet te voorspellen. Ik zal uw Kamer zoals gebruikelijk per brief informeren over Europese aanvullende begrotingen en wijzingen in de raming van de Nederlandse afdrachten als gevolg hiervan. Het eerstvolgende begrotingsmoment waarop dergelijke mutaties verwerkt zullen worden is de Voorjaarsnota 2025.</w:t>
      </w:r>
    </w:p>
    <w:p w:rsidR="00937C73" w:rsidP="00937C73" w:rsidRDefault="00937C73" w14:paraId="44C802E9" w14:textId="77777777"/>
    <w:p w:rsidRPr="006932D0" w:rsidR="00937C73" w:rsidP="00937C73" w:rsidRDefault="00937C73" w14:paraId="48247890" w14:textId="77777777">
      <w:pPr>
        <w:rPr>
          <w:i/>
          <w:iCs/>
        </w:rPr>
      </w:pPr>
      <w:r w:rsidRPr="00234DDC">
        <w:rPr>
          <w:i/>
          <w:iCs/>
        </w:rPr>
        <w:t>Vervolgproces</w:t>
      </w:r>
      <w:r w:rsidRPr="006932D0">
        <w:rPr>
          <w:i/>
          <w:iCs/>
        </w:rPr>
        <w:t xml:space="preserve"> </w:t>
      </w:r>
    </w:p>
    <w:p w:rsidRPr="00837D39" w:rsidR="00937C73" w:rsidP="00937C73" w:rsidRDefault="00937C73" w14:paraId="3A3216F0" w14:textId="77777777">
      <w:pPr>
        <w:rPr>
          <w:color w:val="FF0000"/>
        </w:rPr>
      </w:pPr>
      <w:r>
        <w:t xml:space="preserve">De Raad en het EP hebben eerder hun posities vastgesteld en dienen volgens artikel 314 van het Verdrag </w:t>
      </w:r>
      <w:proofErr w:type="gramStart"/>
      <w:r>
        <w:t>betreffende</w:t>
      </w:r>
      <w:proofErr w:type="gramEnd"/>
      <w:r>
        <w:t xml:space="preserve"> de werking van de Europese Unie (VWEU) nu overeenstemming te bereiken tijdens de conciliatieprocedure. De Raad stemt hierbij met een gekwalificeerde meerderheid en het EP met een gewone meerderheid over de Europese begroting 2025. Naar verwachting bereiken de Raad en het EP tijdens de Begrotingsraad van 15 november een akkoord. Indien onverhoopt niet voor het einde van de conciliatieperiode een akkoord wordt bereikt, moet de Commissie een aangepast begrotingsvoorstel presenteren om een compromis mogelijk te maken. Uw Kamer zal </w:t>
      </w:r>
      <w:proofErr w:type="gramStart"/>
      <w:r>
        <w:t>middels</w:t>
      </w:r>
      <w:proofErr w:type="gramEnd"/>
      <w:r>
        <w:t xml:space="preserve"> een brief geïnformeerd worden over de uitkomst van de Begrotingsraad. </w:t>
      </w:r>
    </w:p>
    <w:p w:rsidR="00937C73" w:rsidP="00937C73" w:rsidRDefault="00937C73" w14:paraId="2EA6BADF" w14:textId="77777777">
      <w:pPr>
        <w:spacing w:line="240" w:lineRule="auto"/>
        <w:rPr>
          <w:b/>
          <w:bCs/>
        </w:rPr>
      </w:pPr>
    </w:p>
    <w:p w:rsidR="00937C73" w:rsidP="00937C73" w:rsidRDefault="00937C73" w14:paraId="4D5BD401" w14:textId="77777777">
      <w:pPr>
        <w:spacing w:line="240" w:lineRule="auto"/>
        <w:rPr>
          <w:b/>
          <w:bCs/>
        </w:rPr>
      </w:pPr>
      <w:r>
        <w:rPr>
          <w:b/>
          <w:bCs/>
        </w:rPr>
        <w:t>Vijfde aanvullende begroting 2024</w:t>
      </w:r>
    </w:p>
    <w:p w:rsidR="00937C73" w:rsidP="00937C73" w:rsidRDefault="00937C73" w14:paraId="56E0FFC8" w14:textId="77777777">
      <w:pPr>
        <w:spacing w:line="266" w:lineRule="auto"/>
      </w:pPr>
      <w:r w:rsidRPr="008455ED">
        <w:t xml:space="preserve">Op 10 oktober jl. </w:t>
      </w:r>
      <w:r w:rsidRPr="004D16F6">
        <w:t xml:space="preserve">presenteerde </w:t>
      </w:r>
      <w:r w:rsidRPr="008455ED">
        <w:t>de Commissie de vijfde aanvullende Europese begroting van 2024 (DAB5), met daarin zowel een actualisatie van de uitgaven- als de ontvangstenzijde van de begroting.</w:t>
      </w:r>
      <w:r>
        <w:t xml:space="preserve"> </w:t>
      </w:r>
      <w:r w:rsidRPr="004D16F6">
        <w:t xml:space="preserve">Het netto-effect van DAB5 is een stijging van 44,5 </w:t>
      </w:r>
      <w:r>
        <w:t>miljoen</w:t>
      </w:r>
      <w:r w:rsidRPr="004D16F6">
        <w:t xml:space="preserve"> euro aan vastleggingen (verplichtingen), een stijging van </w:t>
      </w:r>
      <w:proofErr w:type="gramStart"/>
      <w:r w:rsidRPr="004D16F6">
        <w:t>circa</w:t>
      </w:r>
      <w:proofErr w:type="gramEnd"/>
      <w:r w:rsidRPr="004D16F6">
        <w:t xml:space="preserve"> 2,96 </w:t>
      </w:r>
      <w:r>
        <w:t>miljard</w:t>
      </w:r>
      <w:r w:rsidRPr="004D16F6">
        <w:t xml:space="preserve"> euro aan betalingen (uitgaven) en een toename van 2,8 </w:t>
      </w:r>
      <w:r>
        <w:t>miljard</w:t>
      </w:r>
      <w:r w:rsidRPr="004D16F6">
        <w:t xml:space="preserve"> euro aan de inkomstenzijde door definitieve boete</w:t>
      </w:r>
      <w:r>
        <w:t>s</w:t>
      </w:r>
      <w:r w:rsidRPr="004D16F6">
        <w:t xml:space="preserve"> en strafbetalingen die tot 30 september 2024 zijn betaald.</w:t>
      </w:r>
      <w:r>
        <w:t xml:space="preserve"> Zie tabel 3 voor een overzicht van de wijzigingen als gevolg van DAB5. </w:t>
      </w:r>
    </w:p>
    <w:p w:rsidR="00937C73" w:rsidP="007E1798" w:rsidRDefault="000115ED" w14:paraId="10C17832" w14:textId="77777777">
      <w:pPr>
        <w:spacing w:line="240" w:lineRule="auto"/>
      </w:pPr>
      <w:r>
        <w:br w:type="page"/>
      </w:r>
    </w:p>
    <w:tbl>
      <w:tblPr>
        <w:tblW w:w="8287" w:type="dxa"/>
        <w:tblInd w:w="-445" w:type="dxa"/>
        <w:tblCellMar>
          <w:left w:w="70" w:type="dxa"/>
          <w:right w:w="70" w:type="dxa"/>
        </w:tblCellMar>
        <w:tblLook w:val="04A0" w:firstRow="1" w:lastRow="0" w:firstColumn="1" w:lastColumn="0" w:noHBand="0" w:noVBand="1"/>
      </w:tblPr>
      <w:tblGrid>
        <w:gridCol w:w="197"/>
        <w:gridCol w:w="5483"/>
        <w:gridCol w:w="764"/>
        <w:gridCol w:w="1843"/>
      </w:tblGrid>
      <w:tr w:rsidRPr="00D11965" w:rsidR="00937C73" w:rsidTr="00BC08F6" w14:paraId="782074A6" w14:textId="77777777">
        <w:trPr>
          <w:trHeight w:val="300"/>
        </w:trPr>
        <w:tc>
          <w:tcPr>
            <w:tcW w:w="8287" w:type="dxa"/>
            <w:gridSpan w:val="4"/>
            <w:tcBorders>
              <w:top w:val="nil"/>
              <w:left w:val="nil"/>
              <w:bottom w:val="nil"/>
              <w:right w:val="nil"/>
            </w:tcBorders>
            <w:shd w:val="clear" w:color="000000" w:fill="203764"/>
            <w:noWrap/>
            <w:vAlign w:val="bottom"/>
            <w:hideMark/>
          </w:tcPr>
          <w:p w:rsidRPr="00013608" w:rsidR="00937C73" w:rsidP="00BC08F6" w:rsidRDefault="00937C73" w14:paraId="692CD627" w14:textId="77777777">
            <w:pPr>
              <w:autoSpaceDN/>
              <w:spacing w:line="240" w:lineRule="auto"/>
              <w:textAlignment w:val="auto"/>
              <w:rPr>
                <w:rFonts w:eastAsia="Times New Roman" w:cs="Calibri"/>
                <w:color w:val="FFFFFF"/>
                <w:sz w:val="16"/>
                <w:szCs w:val="16"/>
              </w:rPr>
            </w:pPr>
            <w:r w:rsidRPr="00013608">
              <w:rPr>
                <w:rFonts w:eastAsia="Times New Roman" w:cs="Calibri"/>
                <w:b/>
                <w:bCs/>
                <w:color w:val="FFFFFF" w:themeColor="background1"/>
                <w:sz w:val="16"/>
                <w:szCs w:val="16"/>
              </w:rPr>
              <w:lastRenderedPageBreak/>
              <w:t xml:space="preserve">Tabel </w:t>
            </w:r>
            <w:proofErr w:type="gramStart"/>
            <w:r w:rsidRPr="00013608">
              <w:rPr>
                <w:rFonts w:eastAsia="Times New Roman" w:cs="Calibri"/>
                <w:b/>
                <w:bCs/>
                <w:color w:val="FFFFFF" w:themeColor="background1"/>
                <w:sz w:val="16"/>
                <w:szCs w:val="16"/>
              </w:rPr>
              <w:t>3:  Overzicht</w:t>
            </w:r>
            <w:proofErr w:type="gramEnd"/>
            <w:r w:rsidRPr="00013608">
              <w:rPr>
                <w:rFonts w:eastAsia="Times New Roman" w:cs="Calibri"/>
                <w:b/>
                <w:bCs/>
                <w:color w:val="FFFFFF" w:themeColor="background1"/>
                <w:sz w:val="16"/>
                <w:szCs w:val="16"/>
              </w:rPr>
              <w:t xml:space="preserve"> wijzigingen vastleggingen en betalingen n.a.v. DAB 5</w:t>
            </w:r>
            <w:r w:rsidR="00693F11">
              <w:rPr>
                <w:rFonts w:eastAsia="Times New Roman" w:cs="Calibri"/>
                <w:b/>
                <w:bCs/>
                <w:color w:val="FFFFFF" w:themeColor="background1"/>
                <w:sz w:val="16"/>
                <w:szCs w:val="16"/>
              </w:rPr>
              <w:t xml:space="preserve"> voor Europese jaarbegroting 2024</w:t>
            </w:r>
            <w:r w:rsidRPr="00013608">
              <w:rPr>
                <w:rFonts w:eastAsia="Times New Roman" w:cs="Calibri"/>
                <w:b/>
                <w:bCs/>
                <w:color w:val="FFFFFF" w:themeColor="background1"/>
                <w:sz w:val="16"/>
                <w:szCs w:val="16"/>
              </w:rPr>
              <w:t xml:space="preserve"> </w:t>
            </w:r>
            <w:r w:rsidRPr="00013608">
              <w:rPr>
                <w:rFonts w:eastAsia="Times New Roman" w:cs="Calibri"/>
                <w:color w:val="FFFFFF" w:themeColor="background1"/>
                <w:sz w:val="16"/>
                <w:szCs w:val="16"/>
              </w:rPr>
              <w:t>(in miljoenen euro’s, lopende prijzen)</w:t>
            </w:r>
          </w:p>
        </w:tc>
      </w:tr>
      <w:tr w:rsidRPr="00013608" w:rsidR="00937C73" w:rsidTr="00BC08F6" w14:paraId="11C5530F" w14:textId="77777777">
        <w:trPr>
          <w:trHeight w:val="315"/>
        </w:trPr>
        <w:tc>
          <w:tcPr>
            <w:tcW w:w="197" w:type="dxa"/>
            <w:tcBorders>
              <w:top w:val="single" w:color="auto" w:sz="4" w:space="0"/>
              <w:left w:val="nil"/>
              <w:bottom w:val="single" w:color="auto" w:sz="4" w:space="0"/>
              <w:right w:val="nil"/>
            </w:tcBorders>
            <w:shd w:val="clear" w:color="auto" w:fill="auto"/>
            <w:noWrap/>
            <w:vAlign w:val="bottom"/>
            <w:hideMark/>
          </w:tcPr>
          <w:p w:rsidRPr="00013608" w:rsidR="00937C73" w:rsidP="00BC08F6" w:rsidRDefault="00937C73" w14:paraId="10280662" w14:textId="77777777">
            <w:pPr>
              <w:autoSpaceDN/>
              <w:spacing w:line="240" w:lineRule="auto"/>
              <w:textAlignment w:val="auto"/>
              <w:rPr>
                <w:rFonts w:eastAsia="Times New Roman" w:cs="Calibri"/>
                <w:sz w:val="16"/>
                <w:szCs w:val="16"/>
              </w:rPr>
            </w:pPr>
            <w:r w:rsidRPr="00013608">
              <w:rPr>
                <w:rFonts w:eastAsia="Times New Roman" w:cs="Calibri"/>
                <w:sz w:val="16"/>
                <w:szCs w:val="16"/>
              </w:rPr>
              <w:t> </w:t>
            </w:r>
          </w:p>
        </w:tc>
        <w:tc>
          <w:tcPr>
            <w:tcW w:w="5483" w:type="dxa"/>
            <w:tcBorders>
              <w:top w:val="single" w:color="auto" w:sz="4" w:space="0"/>
              <w:left w:val="nil"/>
              <w:bottom w:val="single" w:color="auto" w:sz="4" w:space="0"/>
              <w:right w:val="nil"/>
            </w:tcBorders>
            <w:shd w:val="clear" w:color="auto" w:fill="auto"/>
            <w:noWrap/>
            <w:vAlign w:val="bottom"/>
            <w:hideMark/>
          </w:tcPr>
          <w:p w:rsidRPr="00013608" w:rsidR="00937C73" w:rsidP="00BC08F6" w:rsidRDefault="00937C73" w14:paraId="6A899DAA" w14:textId="77777777">
            <w:pPr>
              <w:autoSpaceDN/>
              <w:spacing w:line="240" w:lineRule="auto"/>
              <w:textAlignment w:val="auto"/>
              <w:rPr>
                <w:rFonts w:eastAsia="Times New Roman" w:cs="Calibri"/>
                <w:b/>
                <w:bCs/>
                <w:sz w:val="16"/>
                <w:szCs w:val="16"/>
              </w:rPr>
            </w:pPr>
            <w:r w:rsidRPr="00013608">
              <w:rPr>
                <w:rFonts w:eastAsia="Times New Roman" w:cs="Calibri"/>
                <w:b/>
                <w:bCs/>
                <w:sz w:val="16"/>
                <w:szCs w:val="16"/>
              </w:rPr>
              <w:t>Programma</w:t>
            </w:r>
          </w:p>
        </w:tc>
        <w:tc>
          <w:tcPr>
            <w:tcW w:w="764" w:type="dxa"/>
            <w:tcBorders>
              <w:top w:val="single" w:color="auto" w:sz="4" w:space="0"/>
              <w:left w:val="nil"/>
              <w:bottom w:val="single" w:color="auto" w:sz="4" w:space="0"/>
              <w:right w:val="nil"/>
            </w:tcBorders>
            <w:shd w:val="clear" w:color="auto" w:fill="auto"/>
            <w:noWrap/>
            <w:vAlign w:val="center"/>
            <w:hideMark/>
          </w:tcPr>
          <w:p w:rsidRPr="00013608" w:rsidR="00937C73" w:rsidP="00BC08F6" w:rsidRDefault="00937C73" w14:paraId="3C726836" w14:textId="77777777">
            <w:pPr>
              <w:autoSpaceDN/>
              <w:spacing w:line="240" w:lineRule="auto"/>
              <w:jc w:val="right"/>
              <w:textAlignment w:val="auto"/>
              <w:rPr>
                <w:rFonts w:eastAsia="Times New Roman" w:cs="Calibri"/>
                <w:b/>
                <w:bCs/>
                <w:sz w:val="16"/>
                <w:szCs w:val="16"/>
              </w:rPr>
            </w:pPr>
            <w:proofErr w:type="gramStart"/>
            <w:r w:rsidRPr="00013608">
              <w:rPr>
                <w:rFonts w:eastAsia="Times New Roman" w:cs="Calibri"/>
                <w:b/>
                <w:bCs/>
                <w:sz w:val="16"/>
                <w:szCs w:val="16"/>
              </w:rPr>
              <w:t>Vastl.</w:t>
            </w:r>
            <w:r>
              <w:rPr>
                <w:rFonts w:eastAsia="Times New Roman" w:cs="Calibri"/>
                <w:b/>
                <w:bCs/>
                <w:sz w:val="16"/>
                <w:szCs w:val="16"/>
              </w:rPr>
              <w:t>*</w:t>
            </w:r>
            <w:proofErr w:type="gramEnd"/>
          </w:p>
        </w:tc>
        <w:tc>
          <w:tcPr>
            <w:tcW w:w="1843" w:type="dxa"/>
            <w:tcBorders>
              <w:top w:val="single" w:color="auto" w:sz="4" w:space="0"/>
              <w:left w:val="nil"/>
              <w:bottom w:val="single" w:color="auto" w:sz="4" w:space="0"/>
              <w:right w:val="nil"/>
            </w:tcBorders>
            <w:shd w:val="clear" w:color="auto" w:fill="auto"/>
            <w:noWrap/>
            <w:vAlign w:val="center"/>
            <w:hideMark/>
          </w:tcPr>
          <w:p w:rsidRPr="00013608" w:rsidR="00937C73" w:rsidP="00BC08F6" w:rsidRDefault="00937C73" w14:paraId="0C14B736" w14:textId="77777777">
            <w:pPr>
              <w:autoSpaceDN/>
              <w:spacing w:line="240" w:lineRule="auto"/>
              <w:jc w:val="right"/>
              <w:textAlignment w:val="auto"/>
              <w:rPr>
                <w:rFonts w:eastAsia="Times New Roman" w:cs="Calibri"/>
                <w:b/>
                <w:bCs/>
                <w:sz w:val="16"/>
                <w:szCs w:val="16"/>
              </w:rPr>
            </w:pPr>
            <w:proofErr w:type="gramStart"/>
            <w:r w:rsidRPr="00013608">
              <w:rPr>
                <w:rFonts w:eastAsia="Times New Roman" w:cs="Calibri"/>
                <w:b/>
                <w:bCs/>
                <w:sz w:val="16"/>
                <w:szCs w:val="16"/>
              </w:rPr>
              <w:t>Bet.</w:t>
            </w:r>
            <w:r>
              <w:rPr>
                <w:rFonts w:eastAsia="Times New Roman" w:cs="Calibri"/>
                <w:b/>
                <w:bCs/>
                <w:sz w:val="16"/>
                <w:szCs w:val="16"/>
              </w:rPr>
              <w:t>*</w:t>
            </w:r>
            <w:proofErr w:type="gramEnd"/>
            <w:r>
              <w:rPr>
                <w:rFonts w:eastAsia="Times New Roman" w:cs="Calibri"/>
                <w:b/>
                <w:bCs/>
                <w:sz w:val="16"/>
                <w:szCs w:val="16"/>
              </w:rPr>
              <w:t>*</w:t>
            </w:r>
          </w:p>
        </w:tc>
      </w:tr>
      <w:tr w:rsidRPr="00013608" w:rsidR="00937C73" w:rsidTr="00BC08F6" w14:paraId="59E2B009" w14:textId="77777777">
        <w:trPr>
          <w:trHeight w:val="370"/>
        </w:trPr>
        <w:tc>
          <w:tcPr>
            <w:tcW w:w="197" w:type="dxa"/>
            <w:tcBorders>
              <w:top w:val="nil"/>
              <w:left w:val="nil"/>
              <w:bottom w:val="nil"/>
              <w:right w:val="nil"/>
            </w:tcBorders>
            <w:shd w:val="clear" w:color="auto" w:fill="auto"/>
            <w:vAlign w:val="bottom"/>
          </w:tcPr>
          <w:p w:rsidRPr="00013608" w:rsidR="00937C73" w:rsidP="00BC08F6" w:rsidRDefault="00937C73" w14:paraId="5A102204" w14:textId="77777777">
            <w:pPr>
              <w:autoSpaceDN/>
              <w:spacing w:line="240" w:lineRule="auto"/>
              <w:textAlignment w:val="auto"/>
              <w:rPr>
                <w:rFonts w:eastAsia="Times New Roman" w:cs="Times New Roman"/>
                <w:color w:val="auto"/>
                <w:sz w:val="16"/>
                <w:szCs w:val="16"/>
              </w:rPr>
            </w:pPr>
          </w:p>
        </w:tc>
        <w:tc>
          <w:tcPr>
            <w:tcW w:w="5483" w:type="dxa"/>
            <w:tcBorders>
              <w:top w:val="nil"/>
              <w:left w:val="nil"/>
              <w:bottom w:val="nil"/>
              <w:right w:val="nil"/>
            </w:tcBorders>
            <w:shd w:val="clear" w:color="auto" w:fill="auto"/>
          </w:tcPr>
          <w:p w:rsidRPr="00013608" w:rsidR="00937C73" w:rsidP="00BC08F6" w:rsidRDefault="00937C73" w14:paraId="37F5DCCE" w14:textId="77777777">
            <w:pPr>
              <w:autoSpaceDN/>
              <w:spacing w:line="240" w:lineRule="auto"/>
              <w:textAlignment w:val="auto"/>
              <w:rPr>
                <w:rFonts w:eastAsia="Times New Roman" w:cs="Calibri"/>
                <w:sz w:val="16"/>
                <w:szCs w:val="16"/>
              </w:rPr>
            </w:pPr>
            <w:r w:rsidRPr="00013608">
              <w:rPr>
                <w:sz w:val="16"/>
                <w:szCs w:val="16"/>
              </w:rPr>
              <w:t>Europees Fonds voor Regionale Ontwikkeling (EFRO)</w:t>
            </w:r>
          </w:p>
        </w:tc>
        <w:tc>
          <w:tcPr>
            <w:tcW w:w="764" w:type="dxa"/>
            <w:tcBorders>
              <w:top w:val="nil"/>
              <w:left w:val="nil"/>
              <w:bottom w:val="nil"/>
              <w:right w:val="nil"/>
            </w:tcBorders>
            <w:shd w:val="clear" w:color="auto" w:fill="auto"/>
          </w:tcPr>
          <w:p w:rsidRPr="00013608" w:rsidR="00937C73" w:rsidP="00BC08F6" w:rsidRDefault="00937C73" w14:paraId="6E248D25" w14:textId="77777777">
            <w:pPr>
              <w:autoSpaceDN/>
              <w:spacing w:line="240" w:lineRule="auto"/>
              <w:jc w:val="right"/>
              <w:textAlignment w:val="auto"/>
              <w:rPr>
                <w:rFonts w:eastAsia="Times New Roman" w:cs="Calibri"/>
                <w:sz w:val="16"/>
                <w:szCs w:val="16"/>
              </w:rPr>
            </w:pPr>
            <w:r w:rsidRPr="00013608">
              <w:rPr>
                <w:sz w:val="16"/>
                <w:szCs w:val="16"/>
              </w:rPr>
              <w:t xml:space="preserve"> </w:t>
            </w:r>
          </w:p>
        </w:tc>
        <w:tc>
          <w:tcPr>
            <w:tcW w:w="1843" w:type="dxa"/>
            <w:tcBorders>
              <w:top w:val="nil"/>
              <w:left w:val="nil"/>
              <w:bottom w:val="nil"/>
              <w:right w:val="nil"/>
            </w:tcBorders>
            <w:shd w:val="clear" w:color="auto" w:fill="auto"/>
          </w:tcPr>
          <w:p w:rsidRPr="00013608" w:rsidR="00937C73" w:rsidP="00BC08F6" w:rsidRDefault="00937C73" w14:paraId="0B47BB22" w14:textId="77777777">
            <w:pPr>
              <w:autoSpaceDN/>
              <w:spacing w:line="240" w:lineRule="auto"/>
              <w:jc w:val="right"/>
              <w:textAlignment w:val="auto"/>
              <w:rPr>
                <w:rFonts w:eastAsia="Times New Roman" w:cs="Calibri"/>
                <w:sz w:val="16"/>
                <w:szCs w:val="16"/>
              </w:rPr>
            </w:pPr>
            <w:r w:rsidRPr="00013608">
              <w:rPr>
                <w:sz w:val="16"/>
                <w:szCs w:val="16"/>
              </w:rPr>
              <w:t>2.900</w:t>
            </w:r>
          </w:p>
        </w:tc>
      </w:tr>
      <w:tr w:rsidRPr="00013608" w:rsidR="00937C73" w:rsidTr="00BC08F6" w14:paraId="2C08F8BF" w14:textId="77777777">
        <w:trPr>
          <w:trHeight w:val="301"/>
        </w:trPr>
        <w:tc>
          <w:tcPr>
            <w:tcW w:w="197" w:type="dxa"/>
            <w:tcBorders>
              <w:top w:val="nil"/>
              <w:left w:val="nil"/>
              <w:bottom w:val="nil"/>
              <w:right w:val="nil"/>
            </w:tcBorders>
            <w:shd w:val="clear" w:color="auto" w:fill="auto"/>
            <w:vAlign w:val="bottom"/>
            <w:hideMark/>
          </w:tcPr>
          <w:p w:rsidRPr="00013608" w:rsidR="00937C73" w:rsidP="00BC08F6" w:rsidRDefault="00937C73" w14:paraId="68883B4F" w14:textId="77777777">
            <w:pPr>
              <w:autoSpaceDN/>
              <w:spacing w:line="240" w:lineRule="auto"/>
              <w:textAlignment w:val="auto"/>
              <w:rPr>
                <w:rFonts w:eastAsia="Times New Roman" w:cs="Times New Roman"/>
                <w:color w:val="auto"/>
                <w:sz w:val="16"/>
                <w:szCs w:val="16"/>
              </w:rPr>
            </w:pPr>
          </w:p>
        </w:tc>
        <w:tc>
          <w:tcPr>
            <w:tcW w:w="5483" w:type="dxa"/>
            <w:tcBorders>
              <w:top w:val="nil"/>
              <w:left w:val="nil"/>
              <w:bottom w:val="nil"/>
              <w:right w:val="nil"/>
            </w:tcBorders>
            <w:shd w:val="clear" w:color="auto" w:fill="auto"/>
            <w:hideMark/>
          </w:tcPr>
          <w:p w:rsidRPr="00013608" w:rsidR="00937C73" w:rsidP="00BC08F6" w:rsidRDefault="00937C73" w14:paraId="4D583112" w14:textId="77777777">
            <w:pPr>
              <w:autoSpaceDN/>
              <w:spacing w:line="240" w:lineRule="auto"/>
              <w:textAlignment w:val="auto"/>
              <w:rPr>
                <w:rFonts w:eastAsia="Times New Roman" w:cs="Calibri"/>
                <w:sz w:val="16"/>
                <w:szCs w:val="16"/>
                <w:lang w:val="en-US"/>
              </w:rPr>
            </w:pPr>
            <w:r w:rsidRPr="00013608">
              <w:rPr>
                <w:sz w:val="16"/>
                <w:szCs w:val="16"/>
                <w:lang w:val="en-US"/>
              </w:rPr>
              <w:t>Sustainable Fisheries Partnership Agreements (SFPAs)</w:t>
            </w:r>
          </w:p>
        </w:tc>
        <w:tc>
          <w:tcPr>
            <w:tcW w:w="764" w:type="dxa"/>
            <w:tcBorders>
              <w:top w:val="nil"/>
              <w:left w:val="nil"/>
              <w:bottom w:val="nil"/>
              <w:right w:val="nil"/>
            </w:tcBorders>
            <w:shd w:val="clear" w:color="auto" w:fill="auto"/>
            <w:hideMark/>
          </w:tcPr>
          <w:p w:rsidRPr="00013608" w:rsidR="00937C73" w:rsidP="00BC08F6" w:rsidRDefault="00937C73" w14:paraId="4B5F648B" w14:textId="77777777">
            <w:pPr>
              <w:autoSpaceDN/>
              <w:spacing w:line="240" w:lineRule="auto"/>
              <w:jc w:val="right"/>
              <w:textAlignment w:val="auto"/>
              <w:rPr>
                <w:rFonts w:eastAsia="Times New Roman" w:cs="Calibri"/>
                <w:sz w:val="16"/>
                <w:szCs w:val="16"/>
              </w:rPr>
            </w:pPr>
            <w:r w:rsidRPr="00013608">
              <w:rPr>
                <w:sz w:val="16"/>
                <w:szCs w:val="16"/>
              </w:rPr>
              <w:t>-32,9</w:t>
            </w:r>
          </w:p>
        </w:tc>
        <w:tc>
          <w:tcPr>
            <w:tcW w:w="1843" w:type="dxa"/>
            <w:tcBorders>
              <w:top w:val="nil"/>
              <w:left w:val="nil"/>
              <w:bottom w:val="nil"/>
              <w:right w:val="nil"/>
            </w:tcBorders>
            <w:shd w:val="clear" w:color="auto" w:fill="auto"/>
            <w:hideMark/>
          </w:tcPr>
          <w:p w:rsidRPr="00013608" w:rsidR="00937C73" w:rsidP="00BC08F6" w:rsidRDefault="00937C73" w14:paraId="25A0FCA4" w14:textId="77777777">
            <w:pPr>
              <w:autoSpaceDN/>
              <w:spacing w:line="240" w:lineRule="auto"/>
              <w:jc w:val="right"/>
              <w:textAlignment w:val="auto"/>
              <w:rPr>
                <w:rFonts w:eastAsia="Times New Roman" w:cs="Calibri"/>
                <w:sz w:val="16"/>
                <w:szCs w:val="16"/>
              </w:rPr>
            </w:pPr>
            <w:r w:rsidRPr="00013608">
              <w:rPr>
                <w:sz w:val="16"/>
                <w:szCs w:val="16"/>
              </w:rPr>
              <w:t>-25,8</w:t>
            </w:r>
          </w:p>
        </w:tc>
      </w:tr>
      <w:tr w:rsidRPr="00013608" w:rsidR="00937C73" w:rsidTr="00BC08F6" w14:paraId="2EB7E0DE" w14:textId="77777777">
        <w:trPr>
          <w:trHeight w:val="300"/>
        </w:trPr>
        <w:tc>
          <w:tcPr>
            <w:tcW w:w="197" w:type="dxa"/>
            <w:tcBorders>
              <w:top w:val="nil"/>
              <w:left w:val="nil"/>
              <w:bottom w:val="nil"/>
              <w:right w:val="nil"/>
            </w:tcBorders>
            <w:shd w:val="clear" w:color="auto" w:fill="auto"/>
            <w:vAlign w:val="bottom"/>
          </w:tcPr>
          <w:p w:rsidRPr="00013608" w:rsidR="00937C73" w:rsidP="00BC08F6" w:rsidRDefault="00937C73" w14:paraId="6F3B70B4" w14:textId="77777777">
            <w:pPr>
              <w:autoSpaceDN/>
              <w:spacing w:line="240" w:lineRule="auto"/>
              <w:textAlignment w:val="auto"/>
              <w:rPr>
                <w:rFonts w:eastAsia="Times New Roman" w:cs="Times New Roman"/>
                <w:color w:val="auto"/>
                <w:sz w:val="16"/>
                <w:szCs w:val="16"/>
              </w:rPr>
            </w:pPr>
          </w:p>
        </w:tc>
        <w:tc>
          <w:tcPr>
            <w:tcW w:w="8090" w:type="dxa"/>
            <w:gridSpan w:val="3"/>
            <w:tcBorders>
              <w:top w:val="nil"/>
              <w:left w:val="nil"/>
              <w:bottom w:val="nil"/>
              <w:right w:val="nil"/>
            </w:tcBorders>
            <w:shd w:val="clear" w:color="auto" w:fill="auto"/>
          </w:tcPr>
          <w:p w:rsidRPr="00013608" w:rsidR="00937C73" w:rsidP="00BC08F6" w:rsidRDefault="00937C73" w14:paraId="565FA7DE" w14:textId="77777777">
            <w:pPr>
              <w:autoSpaceDN/>
              <w:spacing w:line="240" w:lineRule="auto"/>
              <w:textAlignment w:val="auto"/>
              <w:rPr>
                <w:rFonts w:eastAsia="Times New Roman" w:cs="Calibri"/>
                <w:sz w:val="16"/>
                <w:szCs w:val="16"/>
              </w:rPr>
            </w:pPr>
            <w:r w:rsidRPr="00013608">
              <w:rPr>
                <w:b/>
                <w:bCs/>
                <w:sz w:val="16"/>
                <w:szCs w:val="16"/>
              </w:rPr>
              <w:t>Begrotingscategorie 7: Administratieve uitgaven</w:t>
            </w:r>
          </w:p>
        </w:tc>
      </w:tr>
      <w:tr w:rsidRPr="00013608" w:rsidR="00937C73" w:rsidTr="00BC08F6" w14:paraId="0210D48A" w14:textId="77777777">
        <w:trPr>
          <w:trHeight w:val="300"/>
        </w:trPr>
        <w:tc>
          <w:tcPr>
            <w:tcW w:w="197" w:type="dxa"/>
            <w:tcBorders>
              <w:top w:val="nil"/>
              <w:left w:val="nil"/>
              <w:bottom w:val="nil"/>
              <w:right w:val="nil"/>
            </w:tcBorders>
            <w:shd w:val="clear" w:color="auto" w:fill="auto"/>
            <w:vAlign w:val="bottom"/>
            <w:hideMark/>
          </w:tcPr>
          <w:p w:rsidRPr="00013608" w:rsidR="00937C73" w:rsidP="00BC08F6" w:rsidRDefault="00937C73" w14:paraId="5F3A69BB" w14:textId="77777777">
            <w:pPr>
              <w:autoSpaceDN/>
              <w:spacing w:line="240" w:lineRule="auto"/>
              <w:textAlignment w:val="auto"/>
              <w:rPr>
                <w:rFonts w:eastAsia="Times New Roman" w:cs="Times New Roman"/>
                <w:color w:val="auto"/>
                <w:sz w:val="16"/>
                <w:szCs w:val="16"/>
              </w:rPr>
            </w:pPr>
          </w:p>
        </w:tc>
        <w:tc>
          <w:tcPr>
            <w:tcW w:w="5483" w:type="dxa"/>
            <w:tcBorders>
              <w:top w:val="nil"/>
              <w:left w:val="nil"/>
              <w:bottom w:val="nil"/>
              <w:right w:val="nil"/>
            </w:tcBorders>
            <w:shd w:val="clear" w:color="auto" w:fill="auto"/>
            <w:hideMark/>
          </w:tcPr>
          <w:p w:rsidRPr="00013608" w:rsidR="00937C73" w:rsidP="00BC08F6" w:rsidRDefault="00937C73" w14:paraId="5EF716E7" w14:textId="77777777">
            <w:pPr>
              <w:autoSpaceDN/>
              <w:spacing w:line="240" w:lineRule="auto"/>
              <w:textAlignment w:val="auto"/>
              <w:rPr>
                <w:rFonts w:eastAsia="Times New Roman" w:cs="Calibri"/>
                <w:sz w:val="16"/>
                <w:szCs w:val="16"/>
              </w:rPr>
            </w:pPr>
            <w:r w:rsidRPr="00013608">
              <w:rPr>
                <w:sz w:val="16"/>
                <w:szCs w:val="16"/>
              </w:rPr>
              <w:t xml:space="preserve">Pensioen </w:t>
            </w:r>
          </w:p>
        </w:tc>
        <w:tc>
          <w:tcPr>
            <w:tcW w:w="764" w:type="dxa"/>
            <w:tcBorders>
              <w:top w:val="nil"/>
              <w:left w:val="nil"/>
              <w:bottom w:val="nil"/>
              <w:right w:val="nil"/>
            </w:tcBorders>
            <w:shd w:val="clear" w:color="auto" w:fill="auto"/>
            <w:hideMark/>
          </w:tcPr>
          <w:p w:rsidRPr="00013608" w:rsidR="00937C73" w:rsidP="00BC08F6" w:rsidRDefault="00937C73" w14:paraId="4836924E" w14:textId="77777777">
            <w:pPr>
              <w:autoSpaceDN/>
              <w:spacing w:line="240" w:lineRule="auto"/>
              <w:jc w:val="right"/>
              <w:textAlignment w:val="auto"/>
              <w:rPr>
                <w:rFonts w:eastAsia="Times New Roman" w:cs="Calibri"/>
                <w:sz w:val="16"/>
                <w:szCs w:val="16"/>
              </w:rPr>
            </w:pPr>
            <w:r w:rsidRPr="00013608">
              <w:rPr>
                <w:sz w:val="16"/>
                <w:szCs w:val="16"/>
              </w:rPr>
              <w:t>67,2</w:t>
            </w:r>
          </w:p>
        </w:tc>
        <w:tc>
          <w:tcPr>
            <w:tcW w:w="1843" w:type="dxa"/>
            <w:tcBorders>
              <w:top w:val="nil"/>
              <w:left w:val="nil"/>
              <w:bottom w:val="nil"/>
              <w:right w:val="nil"/>
            </w:tcBorders>
            <w:shd w:val="clear" w:color="auto" w:fill="auto"/>
            <w:hideMark/>
          </w:tcPr>
          <w:p w:rsidRPr="00013608" w:rsidR="00937C73" w:rsidP="00BC08F6" w:rsidRDefault="00937C73" w14:paraId="709793DF" w14:textId="77777777">
            <w:pPr>
              <w:autoSpaceDN/>
              <w:spacing w:line="240" w:lineRule="auto"/>
              <w:jc w:val="right"/>
              <w:textAlignment w:val="auto"/>
              <w:rPr>
                <w:rFonts w:eastAsia="Times New Roman" w:cs="Calibri"/>
                <w:sz w:val="16"/>
                <w:szCs w:val="16"/>
              </w:rPr>
            </w:pPr>
            <w:r w:rsidRPr="00013608">
              <w:rPr>
                <w:sz w:val="16"/>
                <w:szCs w:val="16"/>
              </w:rPr>
              <w:t>67,2</w:t>
            </w:r>
          </w:p>
        </w:tc>
      </w:tr>
      <w:tr w:rsidRPr="00013608" w:rsidR="00937C73" w:rsidTr="00BC08F6" w14:paraId="09C5BB33" w14:textId="77777777">
        <w:trPr>
          <w:trHeight w:val="314"/>
        </w:trPr>
        <w:tc>
          <w:tcPr>
            <w:tcW w:w="197" w:type="dxa"/>
            <w:tcBorders>
              <w:top w:val="nil"/>
              <w:left w:val="nil"/>
              <w:bottom w:val="nil"/>
              <w:right w:val="nil"/>
            </w:tcBorders>
            <w:shd w:val="clear" w:color="auto" w:fill="auto"/>
            <w:vAlign w:val="bottom"/>
          </w:tcPr>
          <w:p w:rsidRPr="00013608" w:rsidR="00937C73" w:rsidP="00BC08F6" w:rsidRDefault="00937C73" w14:paraId="5AB675CB" w14:textId="77777777">
            <w:pPr>
              <w:autoSpaceDN/>
              <w:spacing w:line="240" w:lineRule="auto"/>
              <w:textAlignment w:val="auto"/>
              <w:rPr>
                <w:rFonts w:eastAsia="Times New Roman" w:cs="Times New Roman"/>
                <w:color w:val="auto"/>
                <w:sz w:val="16"/>
                <w:szCs w:val="16"/>
              </w:rPr>
            </w:pPr>
          </w:p>
        </w:tc>
        <w:tc>
          <w:tcPr>
            <w:tcW w:w="5483" w:type="dxa"/>
            <w:tcBorders>
              <w:top w:val="nil"/>
              <w:left w:val="nil"/>
              <w:bottom w:val="nil"/>
              <w:right w:val="nil"/>
            </w:tcBorders>
            <w:shd w:val="clear" w:color="auto" w:fill="auto"/>
          </w:tcPr>
          <w:p w:rsidRPr="00013608" w:rsidR="00937C73" w:rsidP="00BC08F6" w:rsidRDefault="00937C73" w14:paraId="24D1C76A" w14:textId="77777777">
            <w:pPr>
              <w:autoSpaceDN/>
              <w:spacing w:line="240" w:lineRule="auto"/>
              <w:textAlignment w:val="auto"/>
              <w:rPr>
                <w:rFonts w:eastAsia="Times New Roman" w:cs="Calibri"/>
                <w:sz w:val="16"/>
                <w:szCs w:val="16"/>
              </w:rPr>
            </w:pPr>
            <w:r w:rsidRPr="00013608">
              <w:rPr>
                <w:sz w:val="16"/>
                <w:szCs w:val="16"/>
              </w:rPr>
              <w:t>Europees Comité van de Regio's (vergoedingen en toelagen)</w:t>
            </w:r>
          </w:p>
        </w:tc>
        <w:tc>
          <w:tcPr>
            <w:tcW w:w="764" w:type="dxa"/>
            <w:tcBorders>
              <w:top w:val="nil"/>
              <w:left w:val="nil"/>
              <w:bottom w:val="nil"/>
              <w:right w:val="nil"/>
            </w:tcBorders>
            <w:shd w:val="clear" w:color="auto" w:fill="auto"/>
          </w:tcPr>
          <w:p w:rsidRPr="00013608" w:rsidR="00937C73" w:rsidP="00BC08F6" w:rsidRDefault="00937C73" w14:paraId="1EDBEFBF" w14:textId="77777777">
            <w:pPr>
              <w:autoSpaceDN/>
              <w:spacing w:line="240" w:lineRule="auto"/>
              <w:jc w:val="right"/>
              <w:textAlignment w:val="auto"/>
              <w:rPr>
                <w:rFonts w:eastAsia="Times New Roman" w:cs="Calibri"/>
                <w:sz w:val="16"/>
                <w:szCs w:val="16"/>
              </w:rPr>
            </w:pPr>
            <w:r w:rsidRPr="00013608">
              <w:rPr>
                <w:sz w:val="16"/>
                <w:szCs w:val="16"/>
              </w:rPr>
              <w:t>1,3</w:t>
            </w:r>
          </w:p>
        </w:tc>
        <w:tc>
          <w:tcPr>
            <w:tcW w:w="1843" w:type="dxa"/>
            <w:tcBorders>
              <w:top w:val="nil"/>
              <w:left w:val="nil"/>
              <w:bottom w:val="nil"/>
              <w:right w:val="nil"/>
            </w:tcBorders>
            <w:shd w:val="clear" w:color="auto" w:fill="auto"/>
          </w:tcPr>
          <w:p w:rsidRPr="00013608" w:rsidR="00937C73" w:rsidP="00BC08F6" w:rsidRDefault="00937C73" w14:paraId="76893BBD" w14:textId="77777777">
            <w:pPr>
              <w:autoSpaceDN/>
              <w:spacing w:line="240" w:lineRule="auto"/>
              <w:jc w:val="right"/>
              <w:textAlignment w:val="auto"/>
              <w:rPr>
                <w:rFonts w:eastAsia="Times New Roman" w:cs="Calibri"/>
                <w:sz w:val="16"/>
                <w:szCs w:val="16"/>
              </w:rPr>
            </w:pPr>
            <w:r w:rsidRPr="00013608">
              <w:rPr>
                <w:sz w:val="16"/>
                <w:szCs w:val="16"/>
              </w:rPr>
              <w:t>1,3</w:t>
            </w:r>
          </w:p>
        </w:tc>
      </w:tr>
      <w:tr w:rsidRPr="00013608" w:rsidR="00937C73" w:rsidTr="00BC08F6" w14:paraId="6A2B9EF6" w14:textId="77777777">
        <w:trPr>
          <w:trHeight w:val="290"/>
        </w:trPr>
        <w:tc>
          <w:tcPr>
            <w:tcW w:w="197" w:type="dxa"/>
            <w:tcBorders>
              <w:top w:val="nil"/>
              <w:left w:val="nil"/>
              <w:bottom w:val="nil"/>
              <w:right w:val="nil"/>
            </w:tcBorders>
            <w:shd w:val="clear" w:color="auto" w:fill="auto"/>
            <w:vAlign w:val="bottom"/>
          </w:tcPr>
          <w:p w:rsidRPr="00013608" w:rsidR="00937C73" w:rsidP="00BC08F6" w:rsidRDefault="00937C73" w14:paraId="01AB389F" w14:textId="77777777">
            <w:pPr>
              <w:autoSpaceDN/>
              <w:spacing w:line="240" w:lineRule="auto"/>
              <w:textAlignment w:val="auto"/>
              <w:rPr>
                <w:rFonts w:eastAsia="Times New Roman" w:cs="Times New Roman"/>
                <w:color w:val="auto"/>
                <w:sz w:val="16"/>
                <w:szCs w:val="16"/>
              </w:rPr>
            </w:pPr>
          </w:p>
        </w:tc>
        <w:tc>
          <w:tcPr>
            <w:tcW w:w="5483" w:type="dxa"/>
            <w:tcBorders>
              <w:top w:val="nil"/>
              <w:left w:val="nil"/>
              <w:bottom w:val="nil"/>
              <w:right w:val="nil"/>
            </w:tcBorders>
            <w:shd w:val="clear" w:color="auto" w:fill="auto"/>
          </w:tcPr>
          <w:p w:rsidRPr="00013608" w:rsidR="00937C73" w:rsidP="00BC08F6" w:rsidRDefault="00937C73" w14:paraId="20A7DBDE" w14:textId="77777777">
            <w:pPr>
              <w:autoSpaceDN/>
              <w:spacing w:line="240" w:lineRule="auto"/>
              <w:textAlignment w:val="auto"/>
              <w:rPr>
                <w:rFonts w:eastAsia="Times New Roman" w:cs="Calibri"/>
                <w:b/>
                <w:bCs/>
                <w:sz w:val="16"/>
                <w:szCs w:val="16"/>
              </w:rPr>
            </w:pPr>
            <w:r w:rsidRPr="00013608">
              <w:rPr>
                <w:b/>
                <w:bCs/>
                <w:sz w:val="16"/>
                <w:szCs w:val="16"/>
              </w:rPr>
              <w:t xml:space="preserve">Administratieve uitgaven buiten begrotingscategorie 7 </w:t>
            </w:r>
          </w:p>
        </w:tc>
        <w:tc>
          <w:tcPr>
            <w:tcW w:w="764" w:type="dxa"/>
            <w:tcBorders>
              <w:top w:val="nil"/>
              <w:left w:val="nil"/>
              <w:bottom w:val="nil"/>
              <w:right w:val="nil"/>
            </w:tcBorders>
            <w:shd w:val="clear" w:color="auto" w:fill="auto"/>
          </w:tcPr>
          <w:p w:rsidRPr="00013608" w:rsidR="00937C73" w:rsidP="00BC08F6" w:rsidRDefault="00937C73" w14:paraId="62AA9EA7" w14:textId="77777777">
            <w:pPr>
              <w:autoSpaceDN/>
              <w:spacing w:line="240" w:lineRule="auto"/>
              <w:jc w:val="right"/>
              <w:textAlignment w:val="auto"/>
              <w:rPr>
                <w:rFonts w:eastAsia="Times New Roman" w:cs="Calibri"/>
                <w:sz w:val="16"/>
                <w:szCs w:val="16"/>
              </w:rPr>
            </w:pPr>
          </w:p>
        </w:tc>
        <w:tc>
          <w:tcPr>
            <w:tcW w:w="1843" w:type="dxa"/>
            <w:tcBorders>
              <w:top w:val="nil"/>
              <w:left w:val="nil"/>
              <w:bottom w:val="nil"/>
              <w:right w:val="nil"/>
            </w:tcBorders>
            <w:shd w:val="clear" w:color="auto" w:fill="auto"/>
          </w:tcPr>
          <w:p w:rsidRPr="00013608" w:rsidR="00937C73" w:rsidP="00BC08F6" w:rsidRDefault="00937C73" w14:paraId="469556B1" w14:textId="77777777">
            <w:pPr>
              <w:autoSpaceDN/>
              <w:spacing w:line="240" w:lineRule="auto"/>
              <w:jc w:val="right"/>
              <w:textAlignment w:val="auto"/>
              <w:rPr>
                <w:rFonts w:eastAsia="Times New Roman" w:cs="Calibri"/>
                <w:sz w:val="16"/>
                <w:szCs w:val="16"/>
              </w:rPr>
            </w:pPr>
          </w:p>
        </w:tc>
      </w:tr>
      <w:tr w:rsidRPr="00013608" w:rsidR="00937C73" w:rsidTr="00BC08F6" w14:paraId="6CBCAC4D" w14:textId="77777777">
        <w:trPr>
          <w:trHeight w:val="300"/>
        </w:trPr>
        <w:tc>
          <w:tcPr>
            <w:tcW w:w="197" w:type="dxa"/>
            <w:tcBorders>
              <w:top w:val="nil"/>
              <w:left w:val="nil"/>
              <w:bottom w:val="nil"/>
              <w:right w:val="nil"/>
            </w:tcBorders>
            <w:shd w:val="clear" w:color="auto" w:fill="auto"/>
            <w:vAlign w:val="bottom"/>
          </w:tcPr>
          <w:p w:rsidRPr="00013608" w:rsidR="00937C73" w:rsidP="00BC08F6" w:rsidRDefault="00937C73" w14:paraId="267E3B54" w14:textId="77777777">
            <w:pPr>
              <w:autoSpaceDN/>
              <w:spacing w:line="240" w:lineRule="auto"/>
              <w:textAlignment w:val="auto"/>
              <w:rPr>
                <w:rFonts w:eastAsia="Times New Roman" w:cs="Times New Roman"/>
                <w:color w:val="auto"/>
                <w:sz w:val="16"/>
                <w:szCs w:val="16"/>
              </w:rPr>
            </w:pPr>
          </w:p>
        </w:tc>
        <w:tc>
          <w:tcPr>
            <w:tcW w:w="5483" w:type="dxa"/>
            <w:tcBorders>
              <w:top w:val="nil"/>
              <w:left w:val="nil"/>
              <w:bottom w:val="nil"/>
              <w:right w:val="nil"/>
            </w:tcBorders>
            <w:shd w:val="clear" w:color="auto" w:fill="auto"/>
            <w:vAlign w:val="center"/>
          </w:tcPr>
          <w:p w:rsidRPr="0066322D" w:rsidR="00937C73" w:rsidP="00BC08F6" w:rsidRDefault="00937C73" w14:paraId="53B6D7F0" w14:textId="77777777">
            <w:pPr>
              <w:autoSpaceDN/>
              <w:spacing w:line="240" w:lineRule="auto"/>
              <w:textAlignment w:val="auto"/>
              <w:rPr>
                <w:sz w:val="16"/>
                <w:szCs w:val="16"/>
              </w:rPr>
            </w:pPr>
            <w:r w:rsidRPr="0066322D">
              <w:rPr>
                <w:sz w:val="16"/>
                <w:szCs w:val="16"/>
              </w:rPr>
              <w:t>Gedecentraliseerde agentschappen</w:t>
            </w:r>
          </w:p>
        </w:tc>
        <w:tc>
          <w:tcPr>
            <w:tcW w:w="764" w:type="dxa"/>
            <w:tcBorders>
              <w:top w:val="nil"/>
              <w:left w:val="nil"/>
              <w:bottom w:val="nil"/>
              <w:right w:val="nil"/>
            </w:tcBorders>
            <w:shd w:val="clear" w:color="auto" w:fill="auto"/>
            <w:vAlign w:val="center"/>
          </w:tcPr>
          <w:p w:rsidRPr="00013608" w:rsidR="00937C73" w:rsidP="00BC08F6" w:rsidRDefault="00937C73" w14:paraId="2886E489" w14:textId="77777777">
            <w:pPr>
              <w:autoSpaceDN/>
              <w:spacing w:line="240" w:lineRule="auto"/>
              <w:jc w:val="right"/>
              <w:textAlignment w:val="auto"/>
              <w:rPr>
                <w:rFonts w:eastAsia="Times New Roman" w:cs="Calibri"/>
                <w:sz w:val="16"/>
                <w:szCs w:val="16"/>
              </w:rPr>
            </w:pPr>
            <w:r>
              <w:rPr>
                <w:rFonts w:eastAsia="Times New Roman" w:cs="Calibri"/>
                <w:sz w:val="16"/>
                <w:szCs w:val="16"/>
              </w:rPr>
              <w:t>12,1</w:t>
            </w:r>
          </w:p>
        </w:tc>
        <w:tc>
          <w:tcPr>
            <w:tcW w:w="1843" w:type="dxa"/>
            <w:tcBorders>
              <w:top w:val="nil"/>
              <w:left w:val="nil"/>
              <w:bottom w:val="nil"/>
              <w:right w:val="nil"/>
            </w:tcBorders>
            <w:shd w:val="clear" w:color="auto" w:fill="auto"/>
            <w:vAlign w:val="center"/>
          </w:tcPr>
          <w:p w:rsidRPr="00013608" w:rsidR="00937C73" w:rsidP="00BC08F6" w:rsidRDefault="00937C73" w14:paraId="59FA2725" w14:textId="77777777">
            <w:pPr>
              <w:autoSpaceDN/>
              <w:spacing w:line="240" w:lineRule="auto"/>
              <w:jc w:val="right"/>
              <w:textAlignment w:val="auto"/>
              <w:rPr>
                <w:rFonts w:eastAsia="Times New Roman" w:cs="Calibri"/>
                <w:sz w:val="16"/>
                <w:szCs w:val="16"/>
              </w:rPr>
            </w:pPr>
            <w:r>
              <w:rPr>
                <w:rFonts w:eastAsia="Times New Roman" w:cs="Calibri"/>
                <w:sz w:val="16"/>
                <w:szCs w:val="16"/>
              </w:rPr>
              <w:t>12,1</w:t>
            </w:r>
          </w:p>
        </w:tc>
      </w:tr>
      <w:tr w:rsidRPr="00013608" w:rsidR="00937C73" w:rsidTr="00BC08F6" w14:paraId="636978D7" w14:textId="77777777">
        <w:trPr>
          <w:trHeight w:val="300"/>
        </w:trPr>
        <w:tc>
          <w:tcPr>
            <w:tcW w:w="197" w:type="dxa"/>
            <w:tcBorders>
              <w:top w:val="nil"/>
              <w:left w:val="nil"/>
              <w:bottom w:val="nil"/>
              <w:right w:val="nil"/>
            </w:tcBorders>
            <w:shd w:val="clear" w:color="auto" w:fill="auto"/>
            <w:vAlign w:val="bottom"/>
          </w:tcPr>
          <w:p w:rsidRPr="00013608" w:rsidR="00937C73" w:rsidP="00BC08F6" w:rsidRDefault="00937C73" w14:paraId="1D2AFB76" w14:textId="77777777">
            <w:pPr>
              <w:autoSpaceDN/>
              <w:spacing w:line="240" w:lineRule="auto"/>
              <w:textAlignment w:val="auto"/>
              <w:rPr>
                <w:rFonts w:eastAsia="Times New Roman" w:cs="Times New Roman"/>
                <w:color w:val="auto"/>
                <w:sz w:val="16"/>
                <w:szCs w:val="16"/>
              </w:rPr>
            </w:pPr>
          </w:p>
        </w:tc>
        <w:tc>
          <w:tcPr>
            <w:tcW w:w="8090" w:type="dxa"/>
            <w:gridSpan w:val="3"/>
            <w:tcBorders>
              <w:top w:val="nil"/>
              <w:left w:val="nil"/>
              <w:bottom w:val="nil"/>
              <w:right w:val="nil"/>
            </w:tcBorders>
            <w:shd w:val="clear" w:color="auto" w:fill="auto"/>
            <w:vAlign w:val="center"/>
          </w:tcPr>
          <w:p w:rsidRPr="00013608" w:rsidR="00937C73" w:rsidP="00BC08F6" w:rsidRDefault="00937C73" w14:paraId="14FDB084" w14:textId="77777777">
            <w:pPr>
              <w:autoSpaceDN/>
              <w:spacing w:line="240" w:lineRule="auto"/>
              <w:textAlignment w:val="auto"/>
              <w:rPr>
                <w:rFonts w:eastAsia="Times New Roman" w:cs="Calibri"/>
                <w:sz w:val="16"/>
                <w:szCs w:val="16"/>
              </w:rPr>
            </w:pPr>
            <w:r w:rsidRPr="00013608">
              <w:rPr>
                <w:rFonts w:eastAsia="Times New Roman" w:cs="Calibri"/>
                <w:b/>
                <w:bCs/>
                <w:sz w:val="16"/>
                <w:szCs w:val="16"/>
              </w:rPr>
              <w:t>Additionele aanpassingen voor gedecentraliseerde agentschappen</w:t>
            </w:r>
          </w:p>
        </w:tc>
      </w:tr>
      <w:tr w:rsidRPr="00013608" w:rsidR="00937C73" w:rsidTr="00BC08F6" w14:paraId="631DFA17" w14:textId="77777777">
        <w:trPr>
          <w:trHeight w:val="300"/>
        </w:trPr>
        <w:tc>
          <w:tcPr>
            <w:tcW w:w="197" w:type="dxa"/>
            <w:tcBorders>
              <w:top w:val="nil"/>
              <w:left w:val="nil"/>
              <w:bottom w:val="nil"/>
              <w:right w:val="nil"/>
            </w:tcBorders>
            <w:shd w:val="clear" w:color="auto" w:fill="auto"/>
            <w:vAlign w:val="bottom"/>
          </w:tcPr>
          <w:p w:rsidRPr="00013608" w:rsidR="00937C73" w:rsidP="00BC08F6" w:rsidRDefault="00937C73" w14:paraId="604DB57B" w14:textId="77777777">
            <w:pPr>
              <w:autoSpaceDN/>
              <w:spacing w:line="240" w:lineRule="auto"/>
              <w:textAlignment w:val="auto"/>
              <w:rPr>
                <w:rFonts w:eastAsia="Times New Roman" w:cs="Times New Roman"/>
                <w:color w:val="auto"/>
                <w:sz w:val="16"/>
                <w:szCs w:val="16"/>
              </w:rPr>
            </w:pPr>
          </w:p>
        </w:tc>
        <w:tc>
          <w:tcPr>
            <w:tcW w:w="5483" w:type="dxa"/>
            <w:tcBorders>
              <w:top w:val="nil"/>
              <w:left w:val="nil"/>
              <w:bottom w:val="nil"/>
              <w:right w:val="nil"/>
            </w:tcBorders>
            <w:shd w:val="clear" w:color="auto" w:fill="auto"/>
            <w:vAlign w:val="center"/>
          </w:tcPr>
          <w:p w:rsidRPr="00013608" w:rsidR="00937C73" w:rsidP="00BC08F6" w:rsidRDefault="00937C73" w14:paraId="203826AC" w14:textId="77777777">
            <w:pPr>
              <w:autoSpaceDN/>
              <w:spacing w:line="240" w:lineRule="auto"/>
              <w:textAlignment w:val="auto"/>
              <w:rPr>
                <w:rFonts w:eastAsia="Times New Roman" w:cs="Calibri"/>
                <w:sz w:val="16"/>
                <w:szCs w:val="16"/>
              </w:rPr>
            </w:pPr>
            <w:r w:rsidRPr="00013608">
              <w:rPr>
                <w:rFonts w:eastAsia="Times New Roman" w:cs="Calibri"/>
                <w:sz w:val="16"/>
                <w:szCs w:val="16"/>
              </w:rPr>
              <w:t xml:space="preserve">Europese anti-witwasautoriteit (AMLA) </w:t>
            </w:r>
          </w:p>
        </w:tc>
        <w:tc>
          <w:tcPr>
            <w:tcW w:w="764" w:type="dxa"/>
            <w:tcBorders>
              <w:top w:val="nil"/>
              <w:left w:val="nil"/>
              <w:bottom w:val="nil"/>
              <w:right w:val="nil"/>
            </w:tcBorders>
            <w:shd w:val="clear" w:color="auto" w:fill="auto"/>
            <w:vAlign w:val="center"/>
          </w:tcPr>
          <w:p w:rsidRPr="00013608" w:rsidR="00937C73" w:rsidP="00BC08F6" w:rsidRDefault="00937C73" w14:paraId="2530590C" w14:textId="77777777">
            <w:pPr>
              <w:autoSpaceDN/>
              <w:spacing w:line="240" w:lineRule="auto"/>
              <w:jc w:val="right"/>
              <w:textAlignment w:val="auto"/>
              <w:rPr>
                <w:rFonts w:eastAsia="Times New Roman" w:cs="Calibri"/>
                <w:sz w:val="16"/>
                <w:szCs w:val="16"/>
                <w:lang w:val="en-US"/>
              </w:rPr>
            </w:pPr>
            <w:r w:rsidRPr="00013608">
              <w:rPr>
                <w:rFonts w:eastAsia="Times New Roman" w:cs="Calibri"/>
                <w:sz w:val="16"/>
                <w:szCs w:val="16"/>
                <w:lang w:val="en-US"/>
              </w:rPr>
              <w:t>-0,7</w:t>
            </w:r>
          </w:p>
        </w:tc>
        <w:tc>
          <w:tcPr>
            <w:tcW w:w="1843" w:type="dxa"/>
            <w:tcBorders>
              <w:top w:val="nil"/>
              <w:left w:val="nil"/>
              <w:bottom w:val="nil"/>
              <w:right w:val="nil"/>
            </w:tcBorders>
            <w:shd w:val="clear" w:color="auto" w:fill="auto"/>
            <w:vAlign w:val="center"/>
          </w:tcPr>
          <w:p w:rsidRPr="00013608" w:rsidR="00937C73" w:rsidP="00BC08F6" w:rsidRDefault="00937C73" w14:paraId="4AD4DC8D" w14:textId="77777777">
            <w:pPr>
              <w:autoSpaceDN/>
              <w:spacing w:line="240" w:lineRule="auto"/>
              <w:jc w:val="right"/>
              <w:textAlignment w:val="auto"/>
              <w:rPr>
                <w:rFonts w:eastAsia="Times New Roman" w:cs="Calibri"/>
                <w:sz w:val="16"/>
                <w:szCs w:val="16"/>
                <w:lang w:val="en-US"/>
              </w:rPr>
            </w:pPr>
            <w:r w:rsidRPr="00013608">
              <w:rPr>
                <w:rFonts w:eastAsia="Times New Roman" w:cs="Calibri"/>
                <w:sz w:val="16"/>
                <w:szCs w:val="16"/>
                <w:lang w:val="en-US"/>
              </w:rPr>
              <w:t> </w:t>
            </w:r>
          </w:p>
        </w:tc>
      </w:tr>
      <w:tr w:rsidRPr="00013608" w:rsidR="00937C73" w:rsidTr="00BC08F6" w14:paraId="0811010F" w14:textId="77777777">
        <w:trPr>
          <w:trHeight w:val="300"/>
        </w:trPr>
        <w:tc>
          <w:tcPr>
            <w:tcW w:w="197" w:type="dxa"/>
            <w:tcBorders>
              <w:top w:val="nil"/>
              <w:left w:val="nil"/>
              <w:bottom w:val="nil"/>
              <w:right w:val="nil"/>
            </w:tcBorders>
            <w:shd w:val="clear" w:color="auto" w:fill="auto"/>
            <w:vAlign w:val="bottom"/>
          </w:tcPr>
          <w:p w:rsidRPr="00013608" w:rsidR="00937C73" w:rsidP="00BC08F6" w:rsidRDefault="00937C73" w14:paraId="101041A4" w14:textId="77777777">
            <w:pPr>
              <w:autoSpaceDN/>
              <w:spacing w:line="240" w:lineRule="auto"/>
              <w:textAlignment w:val="auto"/>
              <w:rPr>
                <w:rFonts w:eastAsia="Times New Roman" w:cs="Times New Roman"/>
                <w:color w:val="auto"/>
                <w:sz w:val="16"/>
                <w:szCs w:val="16"/>
              </w:rPr>
            </w:pPr>
          </w:p>
        </w:tc>
        <w:tc>
          <w:tcPr>
            <w:tcW w:w="5483" w:type="dxa"/>
            <w:tcBorders>
              <w:top w:val="nil"/>
              <w:left w:val="nil"/>
              <w:bottom w:val="nil"/>
              <w:right w:val="nil"/>
            </w:tcBorders>
            <w:shd w:val="clear" w:color="auto" w:fill="auto"/>
            <w:vAlign w:val="center"/>
          </w:tcPr>
          <w:p w:rsidRPr="00013608" w:rsidR="00937C73" w:rsidP="00BC08F6" w:rsidRDefault="00937C73" w14:paraId="5AB2D8AA" w14:textId="77777777">
            <w:pPr>
              <w:autoSpaceDN/>
              <w:spacing w:line="240" w:lineRule="auto"/>
              <w:textAlignment w:val="auto"/>
              <w:rPr>
                <w:rFonts w:eastAsia="Times New Roman" w:cs="Calibri"/>
                <w:sz w:val="16"/>
                <w:szCs w:val="16"/>
              </w:rPr>
            </w:pPr>
            <w:r w:rsidRPr="00013608">
              <w:rPr>
                <w:rFonts w:eastAsia="Times New Roman" w:cs="Calibri"/>
                <w:sz w:val="16"/>
                <w:szCs w:val="16"/>
              </w:rPr>
              <w:t>Procedures voor het toekennen en bekendmaken van publieke contracten</w:t>
            </w:r>
          </w:p>
        </w:tc>
        <w:tc>
          <w:tcPr>
            <w:tcW w:w="764" w:type="dxa"/>
            <w:tcBorders>
              <w:top w:val="nil"/>
              <w:left w:val="nil"/>
              <w:bottom w:val="nil"/>
              <w:right w:val="nil"/>
            </w:tcBorders>
            <w:shd w:val="clear" w:color="auto" w:fill="auto"/>
            <w:vAlign w:val="center"/>
          </w:tcPr>
          <w:p w:rsidRPr="00013608" w:rsidR="00937C73" w:rsidP="00BC08F6" w:rsidRDefault="00937C73" w14:paraId="1A2ED26B" w14:textId="77777777">
            <w:pPr>
              <w:autoSpaceDN/>
              <w:spacing w:line="240" w:lineRule="auto"/>
              <w:jc w:val="right"/>
              <w:textAlignment w:val="auto"/>
              <w:rPr>
                <w:rFonts w:eastAsia="Times New Roman" w:cs="Calibri"/>
                <w:sz w:val="16"/>
                <w:szCs w:val="16"/>
                <w:lang w:val="en-US"/>
              </w:rPr>
            </w:pPr>
            <w:r w:rsidRPr="00013608">
              <w:rPr>
                <w:rFonts w:eastAsia="Times New Roman" w:cs="Calibri"/>
                <w:sz w:val="16"/>
                <w:szCs w:val="16"/>
                <w:lang w:val="en-US"/>
              </w:rPr>
              <w:t>-2,4</w:t>
            </w:r>
          </w:p>
        </w:tc>
        <w:tc>
          <w:tcPr>
            <w:tcW w:w="1843" w:type="dxa"/>
            <w:tcBorders>
              <w:top w:val="nil"/>
              <w:left w:val="nil"/>
              <w:bottom w:val="nil"/>
              <w:right w:val="nil"/>
            </w:tcBorders>
            <w:shd w:val="clear" w:color="auto" w:fill="auto"/>
            <w:vAlign w:val="center"/>
          </w:tcPr>
          <w:p w:rsidRPr="00013608" w:rsidR="00937C73" w:rsidP="00BC08F6" w:rsidRDefault="00937C73" w14:paraId="114B127D" w14:textId="77777777">
            <w:pPr>
              <w:autoSpaceDN/>
              <w:spacing w:line="240" w:lineRule="auto"/>
              <w:jc w:val="right"/>
              <w:textAlignment w:val="auto"/>
              <w:rPr>
                <w:rFonts w:eastAsia="Times New Roman" w:cs="Calibri"/>
                <w:sz w:val="16"/>
                <w:szCs w:val="16"/>
                <w:lang w:val="en-US"/>
              </w:rPr>
            </w:pPr>
            <w:r w:rsidRPr="00013608">
              <w:rPr>
                <w:rFonts w:eastAsia="Times New Roman" w:cs="Calibri"/>
                <w:sz w:val="16"/>
                <w:szCs w:val="16"/>
                <w:lang w:val="en-US"/>
              </w:rPr>
              <w:t> </w:t>
            </w:r>
          </w:p>
        </w:tc>
      </w:tr>
      <w:tr w:rsidRPr="00013608" w:rsidR="00937C73" w:rsidTr="00BC08F6" w14:paraId="6CAD8FF5" w14:textId="77777777">
        <w:trPr>
          <w:trHeight w:val="300"/>
        </w:trPr>
        <w:tc>
          <w:tcPr>
            <w:tcW w:w="197" w:type="dxa"/>
            <w:tcBorders>
              <w:top w:val="single" w:color="auto" w:sz="4" w:space="0"/>
              <w:left w:val="nil"/>
              <w:bottom w:val="nil"/>
              <w:right w:val="nil"/>
            </w:tcBorders>
            <w:shd w:val="clear" w:color="auto" w:fill="auto"/>
            <w:vAlign w:val="center"/>
            <w:hideMark/>
          </w:tcPr>
          <w:p w:rsidRPr="00013608" w:rsidR="00937C73" w:rsidP="00BC08F6" w:rsidRDefault="00937C73" w14:paraId="0F62400B" w14:textId="77777777">
            <w:pPr>
              <w:autoSpaceDN/>
              <w:spacing w:line="240" w:lineRule="auto"/>
              <w:jc w:val="center"/>
              <w:textAlignment w:val="auto"/>
              <w:rPr>
                <w:rFonts w:eastAsia="Times New Roman" w:cs="Calibri"/>
                <w:sz w:val="16"/>
                <w:szCs w:val="16"/>
              </w:rPr>
            </w:pPr>
          </w:p>
        </w:tc>
        <w:tc>
          <w:tcPr>
            <w:tcW w:w="5483" w:type="dxa"/>
            <w:tcBorders>
              <w:top w:val="single" w:color="auto" w:sz="4" w:space="0"/>
              <w:left w:val="nil"/>
              <w:bottom w:val="nil"/>
              <w:right w:val="nil"/>
            </w:tcBorders>
            <w:shd w:val="clear" w:color="auto" w:fill="auto"/>
            <w:vAlign w:val="center"/>
            <w:hideMark/>
          </w:tcPr>
          <w:p w:rsidRPr="00013608" w:rsidR="00937C73" w:rsidP="00BC08F6" w:rsidRDefault="00937C73" w14:paraId="473FA430" w14:textId="77777777">
            <w:pPr>
              <w:autoSpaceDN/>
              <w:spacing w:line="240" w:lineRule="auto"/>
              <w:textAlignment w:val="auto"/>
              <w:rPr>
                <w:rFonts w:eastAsia="Times New Roman" w:cs="Calibri"/>
                <w:b/>
                <w:bCs/>
                <w:sz w:val="16"/>
                <w:szCs w:val="16"/>
              </w:rPr>
            </w:pPr>
            <w:r w:rsidRPr="00013608">
              <w:rPr>
                <w:rFonts w:eastAsia="Times New Roman" w:cs="Calibri"/>
                <w:b/>
                <w:bCs/>
                <w:sz w:val="16"/>
                <w:szCs w:val="16"/>
              </w:rPr>
              <w:t xml:space="preserve">Totaal </w:t>
            </w:r>
          </w:p>
        </w:tc>
        <w:tc>
          <w:tcPr>
            <w:tcW w:w="764" w:type="dxa"/>
            <w:tcBorders>
              <w:top w:val="single" w:color="auto" w:sz="4" w:space="0"/>
              <w:left w:val="nil"/>
              <w:bottom w:val="nil"/>
              <w:right w:val="nil"/>
            </w:tcBorders>
            <w:shd w:val="clear" w:color="auto" w:fill="auto"/>
            <w:vAlign w:val="center"/>
            <w:hideMark/>
          </w:tcPr>
          <w:p w:rsidRPr="00013608" w:rsidR="00937C73" w:rsidP="00BC08F6" w:rsidRDefault="00937C73" w14:paraId="6F8A9622" w14:textId="77777777">
            <w:pPr>
              <w:autoSpaceDN/>
              <w:spacing w:line="240" w:lineRule="auto"/>
              <w:jc w:val="right"/>
              <w:textAlignment w:val="auto"/>
              <w:rPr>
                <w:rFonts w:eastAsia="Times New Roman" w:cs="Calibri"/>
                <w:b/>
                <w:bCs/>
                <w:sz w:val="16"/>
                <w:szCs w:val="16"/>
              </w:rPr>
            </w:pPr>
            <w:r w:rsidRPr="00013608">
              <w:rPr>
                <w:rFonts w:eastAsia="Times New Roman" w:cs="Calibri"/>
                <w:b/>
                <w:bCs/>
                <w:sz w:val="16"/>
                <w:szCs w:val="16"/>
                <w:lang w:val="en-US"/>
              </w:rPr>
              <w:t>44,</w:t>
            </w:r>
            <w:r>
              <w:rPr>
                <w:rFonts w:eastAsia="Times New Roman" w:cs="Calibri"/>
                <w:b/>
                <w:bCs/>
                <w:sz w:val="16"/>
                <w:szCs w:val="16"/>
                <w:lang w:val="en-US"/>
              </w:rPr>
              <w:t>5</w:t>
            </w:r>
          </w:p>
        </w:tc>
        <w:tc>
          <w:tcPr>
            <w:tcW w:w="1843" w:type="dxa"/>
            <w:tcBorders>
              <w:top w:val="single" w:color="auto" w:sz="4" w:space="0"/>
              <w:left w:val="nil"/>
              <w:bottom w:val="nil"/>
              <w:right w:val="nil"/>
            </w:tcBorders>
            <w:shd w:val="clear" w:color="auto" w:fill="auto"/>
            <w:vAlign w:val="center"/>
            <w:hideMark/>
          </w:tcPr>
          <w:p w:rsidRPr="00013608" w:rsidR="00937C73" w:rsidP="00BC08F6" w:rsidRDefault="00937C73" w14:paraId="32AE883E" w14:textId="77777777">
            <w:pPr>
              <w:autoSpaceDN/>
              <w:spacing w:line="240" w:lineRule="auto"/>
              <w:jc w:val="right"/>
              <w:textAlignment w:val="auto"/>
              <w:rPr>
                <w:rFonts w:eastAsia="Times New Roman" w:cs="Calibri"/>
                <w:b/>
                <w:bCs/>
                <w:sz w:val="16"/>
                <w:szCs w:val="16"/>
              </w:rPr>
            </w:pPr>
            <w:r w:rsidRPr="00013608">
              <w:rPr>
                <w:rFonts w:eastAsia="Times New Roman" w:cs="Calibri"/>
                <w:b/>
                <w:bCs/>
                <w:sz w:val="16"/>
                <w:szCs w:val="16"/>
                <w:lang w:val="en-US"/>
              </w:rPr>
              <w:t>2.954,8</w:t>
            </w:r>
          </w:p>
        </w:tc>
      </w:tr>
    </w:tbl>
    <w:p w:rsidRPr="008F68D9" w:rsidR="00937C73" w:rsidP="00937C73" w:rsidRDefault="00937C73" w14:paraId="59789740" w14:textId="77777777">
      <w:pPr>
        <w:rPr>
          <w:sz w:val="14"/>
          <w:szCs w:val="14"/>
        </w:rPr>
      </w:pPr>
      <w:r w:rsidRPr="008F68D9">
        <w:rPr>
          <w:sz w:val="14"/>
          <w:szCs w:val="14"/>
        </w:rPr>
        <w:t>*Vastleggingen</w:t>
      </w:r>
    </w:p>
    <w:p w:rsidRPr="008F68D9" w:rsidR="00937C73" w:rsidP="00937C73" w:rsidRDefault="00937C73" w14:paraId="024F45CD" w14:textId="77777777">
      <w:pPr>
        <w:rPr>
          <w:sz w:val="14"/>
          <w:szCs w:val="14"/>
        </w:rPr>
      </w:pPr>
      <w:r w:rsidRPr="008F68D9">
        <w:rPr>
          <w:sz w:val="14"/>
          <w:szCs w:val="14"/>
        </w:rPr>
        <w:t>**Betalingen</w:t>
      </w:r>
    </w:p>
    <w:p w:rsidRPr="008F68D9" w:rsidR="00937C73" w:rsidP="00937C73" w:rsidRDefault="00937C73" w14:paraId="36356AE4" w14:textId="77777777">
      <w:pPr>
        <w:rPr>
          <w:sz w:val="14"/>
          <w:szCs w:val="14"/>
        </w:rPr>
      </w:pPr>
      <w:bookmarkStart w:name="_Hlk181621180" w:id="0"/>
      <w:r w:rsidRPr="008F68D9">
        <w:rPr>
          <w:sz w:val="14"/>
          <w:szCs w:val="14"/>
        </w:rPr>
        <w:t>***Vanwege afronding kan het totaal afwijken van de som van de waarden in de tabel</w:t>
      </w:r>
      <w:bookmarkEnd w:id="0"/>
    </w:p>
    <w:p w:rsidR="00937C73" w:rsidP="00937C73" w:rsidRDefault="00937C73" w14:paraId="3A52871F" w14:textId="77777777">
      <w:pPr>
        <w:spacing w:line="266" w:lineRule="auto"/>
      </w:pPr>
    </w:p>
    <w:p w:rsidR="00937C73" w:rsidP="00937C73" w:rsidRDefault="00937C73" w14:paraId="0B167606" w14:textId="77777777">
      <w:pPr>
        <w:spacing w:line="266" w:lineRule="auto"/>
      </w:pPr>
      <w:r>
        <w:t xml:space="preserve">Het totaal aan verhoogde budgetten voor vastleggingen en betalingen is de uitkomst van de </w:t>
      </w:r>
      <w:r w:rsidRPr="00C942C3">
        <w:rPr>
          <w:i/>
          <w:iCs/>
        </w:rPr>
        <w:t>Global Transfer</w:t>
      </w:r>
      <w:r>
        <w:t xml:space="preserve">, die de Commissie op 3 oktober heeft ingediend. Met de </w:t>
      </w:r>
      <w:r w:rsidRPr="00C942C3">
        <w:rPr>
          <w:i/>
          <w:iCs/>
        </w:rPr>
        <w:t>Global Transfer</w:t>
      </w:r>
      <w:r>
        <w:t xml:space="preserve"> beoogt de Commissie een herverdeling tussen budgetten, waarbij middelen worden verplaatst van budgetten met </w:t>
      </w:r>
      <w:proofErr w:type="spellStart"/>
      <w:r>
        <w:t>onderuitputting</w:t>
      </w:r>
      <w:proofErr w:type="spellEnd"/>
      <w:r>
        <w:t xml:space="preserve"> naar budgetten waar overschrijding te zien is. Per saldo</w:t>
      </w:r>
      <w:r w:rsidRPr="004C37D0">
        <w:t xml:space="preserve"> </w:t>
      </w:r>
      <w:r>
        <w:t>bleek er on</w:t>
      </w:r>
      <w:r w:rsidRPr="00A672F8">
        <w:t>voldoende</w:t>
      </w:r>
      <w:r>
        <w:t xml:space="preserve"> budget te zijn</w:t>
      </w:r>
      <w:r w:rsidRPr="00A672F8">
        <w:t xml:space="preserve"> om de verwachte </w:t>
      </w:r>
      <w:r>
        <w:t xml:space="preserve">vastleggings- en </w:t>
      </w:r>
      <w:r w:rsidRPr="00A672F8">
        <w:t>betalingsbehoeften tot het einde van het jaar te dekken</w:t>
      </w:r>
      <w:r>
        <w:t xml:space="preserve">. </w:t>
      </w:r>
    </w:p>
    <w:p w:rsidR="00937C73" w:rsidP="00937C73" w:rsidRDefault="00937C73" w14:paraId="77BA7BC6" w14:textId="77777777">
      <w:pPr>
        <w:spacing w:line="266" w:lineRule="auto"/>
      </w:pPr>
    </w:p>
    <w:p w:rsidR="00937C73" w:rsidP="00937C73" w:rsidRDefault="00937C73" w14:paraId="482B5297" w14:textId="77777777">
      <w:r>
        <w:t xml:space="preserve">De Commissie geeft aan dat het </w:t>
      </w:r>
      <w:r w:rsidRPr="009D3B01">
        <w:rPr>
          <w:rFonts w:eastAsia="Times New Roman" w:cs="Calibri"/>
        </w:rPr>
        <w:t xml:space="preserve">Europees Fonds voor Regionale Ontwikkeling </w:t>
      </w:r>
      <w:r>
        <w:rPr>
          <w:rFonts w:eastAsia="Times New Roman" w:cs="Calibri"/>
        </w:rPr>
        <w:t xml:space="preserve">(EFRO) dient te worden </w:t>
      </w:r>
      <w:r>
        <w:t>opgehoogd met 2,9 miljard euro. Dit a</w:t>
      </w:r>
      <w:r w:rsidRPr="00A623E8">
        <w:t xml:space="preserve">ls gevolg van de inwerkingtreding van de </w:t>
      </w:r>
      <w:r w:rsidRPr="00C942C3">
        <w:rPr>
          <w:i/>
          <w:iCs/>
        </w:rPr>
        <w:t xml:space="preserve">Strategic Technologies </w:t>
      </w:r>
      <w:proofErr w:type="spellStart"/>
      <w:r w:rsidRPr="00C942C3">
        <w:rPr>
          <w:i/>
          <w:iCs/>
        </w:rPr>
        <w:t>for</w:t>
      </w:r>
      <w:proofErr w:type="spellEnd"/>
      <w:r w:rsidRPr="00C942C3">
        <w:rPr>
          <w:i/>
          <w:iCs/>
        </w:rPr>
        <w:t xml:space="preserve"> Europe Platform</w:t>
      </w:r>
      <w:r w:rsidRPr="005A2D16">
        <w:t xml:space="preserve"> (STEP)</w:t>
      </w:r>
      <w:r>
        <w:t xml:space="preserve"> in maart 2024, waardoor de beleidsuitgaven van EFRO toenemen. </w:t>
      </w:r>
      <w:r>
        <w:rPr>
          <w:rFonts w:eastAsia="Univers LT Pro"/>
          <w:color w:val="211D1E"/>
        </w:rPr>
        <w:t>De STEP-</w:t>
      </w:r>
      <w:r>
        <w:t xml:space="preserve">verordening beoogt het versterken van </w:t>
      </w:r>
      <w:r w:rsidRPr="004C525A">
        <w:t>het industriële concurrentievermogen van de EU</w:t>
      </w:r>
      <w:r>
        <w:t xml:space="preserve">. Na inwerkingtreding van deze verordening </w:t>
      </w:r>
      <w:r w:rsidRPr="00853F61">
        <w:t>konden lidstaten financieringsaanvragen indienen ter bevordering van de STEP-prioriteiten.</w:t>
      </w:r>
      <w:r w:rsidRPr="00F72C02">
        <w:t xml:space="preserve"> </w:t>
      </w:r>
      <w:r>
        <w:t xml:space="preserve">De uitbetaling van deze (voor)financiering komt voort uit de STEP-verordening, en was daarom eerder niet opgenomen in de begroting.  </w:t>
      </w:r>
    </w:p>
    <w:p w:rsidRPr="00CC24B5" w:rsidR="00937C73" w:rsidP="00937C73" w:rsidRDefault="00937C73" w14:paraId="410C47D7" w14:textId="77777777"/>
    <w:p w:rsidR="00937C73" w:rsidP="00937C73" w:rsidRDefault="00937C73" w14:paraId="0F2CECE8" w14:textId="77777777">
      <w:pPr>
        <w:spacing w:line="266" w:lineRule="auto"/>
      </w:pPr>
      <w:r>
        <w:t xml:space="preserve">Daarnaast stijgen de administratieve uitgaven door aanpassingen van salarissen en pensioenen met 68,5 miljoen euro, die worden gedekt vanuit het </w:t>
      </w:r>
      <w:r>
        <w:rPr>
          <w:i/>
          <w:iCs/>
        </w:rPr>
        <w:t xml:space="preserve">Single </w:t>
      </w:r>
      <w:proofErr w:type="spellStart"/>
      <w:r>
        <w:rPr>
          <w:i/>
          <w:iCs/>
        </w:rPr>
        <w:t>Margin</w:t>
      </w:r>
      <w:proofErr w:type="spellEnd"/>
      <w:r>
        <w:rPr>
          <w:i/>
          <w:iCs/>
        </w:rPr>
        <w:t xml:space="preserve"> Instrument </w:t>
      </w:r>
      <w:r>
        <w:t xml:space="preserve">(SMI). De Commissie stelt dat de instellingen alle mogelijke inspanningen hebben geleverd om de extra </w:t>
      </w:r>
      <w:r w:rsidRPr="004B7ADD">
        <w:t>salariskosten</w:t>
      </w:r>
      <w:r>
        <w:t xml:space="preserve"> te dekken </w:t>
      </w:r>
      <w:proofErr w:type="gramStart"/>
      <w:r>
        <w:t>middels</w:t>
      </w:r>
      <w:proofErr w:type="gramEnd"/>
      <w:r>
        <w:t xml:space="preserve"> herschikkingen. </w:t>
      </w:r>
      <w:r w:rsidRPr="004B7ADD">
        <w:t xml:space="preserve">Alleen het Comité van de Regio's </w:t>
      </w:r>
      <w:r>
        <w:t>bleek</w:t>
      </w:r>
      <w:r w:rsidRPr="004B7ADD">
        <w:t xml:space="preserve"> niet in staat deze behoeften intern te dekken. </w:t>
      </w:r>
      <w:r>
        <w:t xml:space="preserve">De verhoogde pensioenuitgaven worden veroorzaakt door een </w:t>
      </w:r>
      <w:r w:rsidRPr="00573737">
        <w:t>hogere aanpassingsfactor voor pensioenen</w:t>
      </w:r>
      <w:r>
        <w:t xml:space="preserve"> en een hoger dan verwacht aantal </w:t>
      </w:r>
      <w:r w:rsidRPr="00573737">
        <w:t>gepensioneerden</w:t>
      </w:r>
      <w:r>
        <w:t xml:space="preserve">. De aanpassingen in salaris en pensioenen leiden eveneens tot extra administratieve uitgaven bij begrotingscategorieën 1 tot en met 5. Het totale effect hiervan is een verhoging van 12,1 miljoen euro in vastleggingen en betalingen. </w:t>
      </w:r>
    </w:p>
    <w:p w:rsidR="00937C73" w:rsidP="00937C73" w:rsidRDefault="00937C73" w14:paraId="4989460A" w14:textId="77777777">
      <w:pPr>
        <w:spacing w:line="266" w:lineRule="auto"/>
      </w:pPr>
    </w:p>
    <w:p w:rsidR="00937C73" w:rsidP="00937C73" w:rsidRDefault="00937C73" w14:paraId="3250CB98" w14:textId="77777777">
      <w:pPr>
        <w:spacing w:line="266" w:lineRule="auto"/>
      </w:pPr>
      <w:r>
        <w:lastRenderedPageBreak/>
        <w:t xml:space="preserve">Verder presenteert de Commissie in DAB5 een stijging van inkomsten uit </w:t>
      </w:r>
      <w:r w:rsidRPr="004D16F6">
        <w:t>boete</w:t>
      </w:r>
      <w:r>
        <w:t>s</w:t>
      </w:r>
      <w:r w:rsidRPr="004D16F6">
        <w:t xml:space="preserve"> en strafbetalingen</w:t>
      </w:r>
      <w:r>
        <w:t xml:space="preserve">. </w:t>
      </w:r>
      <w:r w:rsidRPr="000D6AB9">
        <w:t>Deze stijging van 2,8 miljard euro is grotendeels toe te schrijven aan boetes die zijn opgelegd in het kader van de handhaving van mededingingsregels (2,5 miljard euro).</w:t>
      </w:r>
    </w:p>
    <w:p w:rsidR="00937C73" w:rsidP="00937C73" w:rsidRDefault="00937C73" w14:paraId="609F5784" w14:textId="77777777">
      <w:pPr>
        <w:spacing w:line="266" w:lineRule="auto"/>
      </w:pPr>
    </w:p>
    <w:p w:rsidRPr="000D6AB9" w:rsidR="00937C73" w:rsidP="00937C73" w:rsidRDefault="00937C73" w14:paraId="5BED3FDD" w14:textId="77777777">
      <w:pPr>
        <w:spacing w:line="266" w:lineRule="auto"/>
        <w:rPr>
          <w:i/>
          <w:iCs/>
        </w:rPr>
      </w:pPr>
      <w:r w:rsidRPr="000D6AB9">
        <w:rPr>
          <w:i/>
          <w:iCs/>
        </w:rPr>
        <w:t xml:space="preserve">Nederlandse inzet </w:t>
      </w:r>
    </w:p>
    <w:p w:rsidR="00937C73" w:rsidP="00937C73" w:rsidRDefault="00937C73" w14:paraId="37B7E41E" w14:textId="77777777">
      <w:pPr>
        <w:spacing w:line="266" w:lineRule="auto"/>
      </w:pPr>
      <w:r>
        <w:t xml:space="preserve">Nederland heeft op 23 oktober in </w:t>
      </w:r>
      <w:proofErr w:type="spellStart"/>
      <w:r>
        <w:t>Coreper</w:t>
      </w:r>
      <w:proofErr w:type="spellEnd"/>
      <w:r>
        <w:t xml:space="preserve"> ingestemd met </w:t>
      </w:r>
      <w:r w:rsidRPr="00D465A7">
        <w:t>DAB</w:t>
      </w:r>
      <w:r>
        <w:t>5</w:t>
      </w:r>
      <w:r w:rsidRPr="00D465A7">
        <w:t>.</w:t>
      </w:r>
      <w:r>
        <w:t xml:space="preserve"> De toename van bijna 3 miljard euro aan betalingen is een logisch gevolg van de inwerkingtreding van de STEP-verordening, die eerder dit jaar is aangenomen. Het kabinet is kritisch ten aanzien van de systematiek van de administratieve uitgaven</w:t>
      </w:r>
      <w:r w:rsidRPr="00E113E7">
        <w:t xml:space="preserve"> </w:t>
      </w:r>
      <w:r>
        <w:t xml:space="preserve">en zal dit uitdragen richting de Commissie. Net als in afgelopen jaren is sprake van een overschrijding van de plafonds van begrotingscategorie 7 en moet daarvoor gebruik gemaakt worden van de speciale instrumenten. Het kabinet erkent echter dat sprake is van juridisch verplichte kosten en heeft daarom ingestemd met de voorgestelde aanvullende begroting. </w:t>
      </w:r>
    </w:p>
    <w:p w:rsidR="00937C73" w:rsidP="00937C73" w:rsidRDefault="00937C73" w14:paraId="24B71CC8" w14:textId="77777777">
      <w:pPr>
        <w:spacing w:line="266" w:lineRule="auto"/>
      </w:pPr>
    </w:p>
    <w:p w:rsidRPr="004A2552" w:rsidR="00937C73" w:rsidP="00937C73" w:rsidRDefault="00937C73" w14:paraId="1FD7DBE1" w14:textId="77777777">
      <w:pPr>
        <w:spacing w:line="266" w:lineRule="auto"/>
        <w:rPr>
          <w:i/>
          <w:iCs/>
        </w:rPr>
      </w:pPr>
      <w:r w:rsidRPr="004A2552">
        <w:rPr>
          <w:i/>
          <w:iCs/>
        </w:rPr>
        <w:t>Gevolgen voor de Nederlandse afdrachten</w:t>
      </w:r>
    </w:p>
    <w:p w:rsidR="00937C73" w:rsidP="00937C73" w:rsidRDefault="00937C73" w14:paraId="371B1B8F" w14:textId="77777777">
      <w:pPr>
        <w:spacing w:line="266" w:lineRule="auto"/>
      </w:pPr>
      <w:r>
        <w:t xml:space="preserve">De extra inkomsten uit </w:t>
      </w:r>
      <w:r w:rsidRPr="004D16F6">
        <w:t>boete</w:t>
      </w:r>
      <w:r>
        <w:t>s</w:t>
      </w:r>
      <w:r w:rsidRPr="004D16F6">
        <w:t xml:space="preserve"> en strafbetalingen</w:t>
      </w:r>
      <w:r>
        <w:t xml:space="preserve"> uit DAB5 verlagen de raming van de Nederlandse </w:t>
      </w:r>
      <w:proofErr w:type="spellStart"/>
      <w:r>
        <w:t>bni</w:t>
      </w:r>
      <w:proofErr w:type="spellEnd"/>
      <w:r>
        <w:t xml:space="preserve">-afdracht met </w:t>
      </w:r>
      <w:r w:rsidRPr="009B1F9D">
        <w:t>170</w:t>
      </w:r>
      <w:r>
        <w:t>,3 miljoen</w:t>
      </w:r>
      <w:r w:rsidRPr="009B1F9D">
        <w:t xml:space="preserve"> euro</w:t>
      </w:r>
      <w:r>
        <w:t>.</w:t>
      </w:r>
      <w:r w:rsidRPr="009B1F9D">
        <w:t xml:space="preserve"> </w:t>
      </w:r>
    </w:p>
    <w:p w:rsidR="00937C73" w:rsidP="00937C73" w:rsidRDefault="00937C73" w14:paraId="25FD081B" w14:textId="77777777">
      <w:pPr>
        <w:spacing w:line="266" w:lineRule="auto"/>
      </w:pPr>
    </w:p>
    <w:p w:rsidR="00937C73" w:rsidP="00937C73" w:rsidRDefault="00937C73" w14:paraId="772CAE66" w14:textId="77777777">
      <w:pPr>
        <w:spacing w:line="266" w:lineRule="auto"/>
      </w:pPr>
      <w:r w:rsidRPr="00DA4F40">
        <w:t xml:space="preserve">DAB5 zal naar verwachting de laatste </w:t>
      </w:r>
      <w:r w:rsidRPr="005A16F7">
        <w:t>aanvullende begroting van dit jaar zijn. Hiermee biedt DAB5 meer inzicht in het definitie</w:t>
      </w:r>
      <w:r w:rsidRPr="00832E85">
        <w:t>f te</w:t>
      </w:r>
      <w:r w:rsidRPr="005A16F7">
        <w:t xml:space="preserve"> verwachte</w:t>
      </w:r>
      <w:r w:rsidRPr="00DA4F40">
        <w:t xml:space="preserve"> Europese betalingsniveau in 2024, dat momenteel op 149,7 miljard euro ligt.</w:t>
      </w:r>
      <w:r>
        <w:t xml:space="preserve"> </w:t>
      </w:r>
      <w:r w:rsidRPr="003900D2">
        <w:t>De Nederlandse raming van de afdrachten is normaliter gebaseerd op het maximale jaarlijkse betalingenplafond zoals vastgelegd in het MFK, plus de inzet van de speciale instrumenten bij het MFK. Het betalingsniveau ligt hiermee nu dus aanzienlijk lager.</w:t>
      </w:r>
      <w:r>
        <w:t xml:space="preserve"> Eerder dit jaar is uw Kamer, in de eerste suppletoire begroting, geïnformeerd over een </w:t>
      </w:r>
      <w:r w:rsidRPr="00027F61">
        <w:t xml:space="preserve">neerwaartse </w:t>
      </w:r>
      <w:proofErr w:type="spellStart"/>
      <w:r w:rsidRPr="00027F61">
        <w:t>bĳstelling</w:t>
      </w:r>
      <w:proofErr w:type="spellEnd"/>
      <w:r>
        <w:t xml:space="preserve"> van de </w:t>
      </w:r>
      <w:r w:rsidRPr="00465323">
        <w:t xml:space="preserve">Nederlandse </w:t>
      </w:r>
      <w:r>
        <w:t>afdrachten</w:t>
      </w:r>
      <w:r w:rsidRPr="00465323">
        <w:t>raming</w:t>
      </w:r>
      <w:r>
        <w:t xml:space="preserve"> als gevolg van </w:t>
      </w:r>
      <w:r w:rsidRPr="00027F61">
        <w:t xml:space="preserve">verwachte </w:t>
      </w:r>
      <w:proofErr w:type="spellStart"/>
      <w:r w:rsidRPr="00027F61">
        <w:t>onderuitputting</w:t>
      </w:r>
      <w:proofErr w:type="spellEnd"/>
      <w:r w:rsidRPr="00027F61">
        <w:t xml:space="preserve"> op de cohesie</w:t>
      </w:r>
      <w:r>
        <w:t>- en landbouw</w:t>
      </w:r>
      <w:r w:rsidRPr="00027F61">
        <w:t>fondsen in 2024</w:t>
      </w:r>
      <w:r>
        <w:t xml:space="preserve">. </w:t>
      </w:r>
      <w:r w:rsidRPr="008E3336">
        <w:t>Om de Nederlandse afdracht</w:t>
      </w:r>
      <w:r>
        <w:t>en</w:t>
      </w:r>
      <w:r w:rsidRPr="008E3336">
        <w:t>ramingen verder te actualiseren, wordt</w:t>
      </w:r>
      <w:r>
        <w:t xml:space="preserve"> de raming van de afdrachten nu gebaseerd op</w:t>
      </w:r>
      <w:r w:rsidRPr="008E3336">
        <w:t xml:space="preserve"> het betaling</w:t>
      </w:r>
      <w:r>
        <w:t>en</w:t>
      </w:r>
      <w:r w:rsidRPr="008E3336">
        <w:t xml:space="preserve">niveau </w:t>
      </w:r>
      <w:r>
        <w:t>dat</w:t>
      </w:r>
      <w:r w:rsidRPr="008E3336">
        <w:t xml:space="preserve"> de Commissie </w:t>
      </w:r>
      <w:r>
        <w:t>voorstelt in</w:t>
      </w:r>
      <w:r w:rsidRPr="008E3336">
        <w:t xml:space="preserve"> DAB5. Dit vormt </w:t>
      </w:r>
      <w:r>
        <w:t xml:space="preserve">op dit moment </w:t>
      </w:r>
      <w:r w:rsidRPr="008E3336">
        <w:t xml:space="preserve">de meest realistische inschatting van de Europese uitgaven en daarmee van </w:t>
      </w:r>
      <w:r w:rsidRPr="00DA4F40">
        <w:t>de uitputting van de EU-begroting voor 2024</w:t>
      </w:r>
      <w:r>
        <w:t xml:space="preserve">. </w:t>
      </w:r>
    </w:p>
    <w:p w:rsidR="00937C73" w:rsidP="00937C73" w:rsidRDefault="00937C73" w14:paraId="082B80E9" w14:textId="77777777">
      <w:pPr>
        <w:spacing w:line="266" w:lineRule="auto"/>
      </w:pPr>
    </w:p>
    <w:p w:rsidR="00937C73" w:rsidP="00937C73" w:rsidRDefault="00937C73" w14:paraId="07FD15E2" w14:textId="77777777">
      <w:pPr>
        <w:spacing w:line="266" w:lineRule="auto"/>
      </w:pPr>
      <w:r>
        <w:t>Het betalingenniveau</w:t>
      </w:r>
      <w:r w:rsidRPr="005002C2">
        <w:t xml:space="preserve"> </w:t>
      </w:r>
      <w:r>
        <w:t xml:space="preserve">in DAB5, inclusief de maximale inzet van speciale instrumenten, ligt </w:t>
      </w:r>
      <w:proofErr w:type="gramStart"/>
      <w:r w:rsidRPr="009B1F9D">
        <w:t>circa</w:t>
      </w:r>
      <w:proofErr w:type="gramEnd"/>
      <w:r w:rsidRPr="009B1F9D">
        <w:t xml:space="preserve"> 7,2 miljard euro</w:t>
      </w:r>
      <w:r>
        <w:t xml:space="preserve"> lager dan het betalingenniveau</w:t>
      </w:r>
      <w:r w:rsidRPr="005002C2">
        <w:t xml:space="preserve"> </w:t>
      </w:r>
      <w:r>
        <w:t xml:space="preserve">waarop de raming van de Nederlandse afdracht aan de EU nu is gebaseerd. Het gevolg hiervan is dat </w:t>
      </w:r>
      <w:r w:rsidRPr="005002C2">
        <w:t xml:space="preserve">de raming van de Nederlandse </w:t>
      </w:r>
      <w:proofErr w:type="spellStart"/>
      <w:r w:rsidRPr="005002C2">
        <w:t>bni</w:t>
      </w:r>
      <w:proofErr w:type="spellEnd"/>
      <w:r w:rsidRPr="005002C2">
        <w:t>-afdracht in 2024 met 437,9 miljoen euro</w:t>
      </w:r>
      <w:r>
        <w:t xml:space="preserve"> naar beneden wordt bijgesteld. </w:t>
      </w:r>
    </w:p>
    <w:p w:rsidR="00937C73" w:rsidP="00937C73" w:rsidRDefault="00937C73" w14:paraId="133D2B2A" w14:textId="77777777">
      <w:pPr>
        <w:spacing w:line="266" w:lineRule="auto"/>
      </w:pPr>
    </w:p>
    <w:p w:rsidR="00937C73" w:rsidP="00937C73" w:rsidRDefault="00937C73" w14:paraId="2CAD963E" w14:textId="77777777">
      <w:pPr>
        <w:spacing w:line="266" w:lineRule="auto"/>
      </w:pPr>
      <w:r>
        <w:t xml:space="preserve">Bij Najaarsnota worden beide mutaties als gevolg van DAB5 verwerkt. Het netto-effect op de </w:t>
      </w:r>
      <w:r w:rsidRPr="00FC3113">
        <w:t xml:space="preserve">Nederlandse raming van de </w:t>
      </w:r>
      <w:proofErr w:type="spellStart"/>
      <w:r>
        <w:t>bni</w:t>
      </w:r>
      <w:proofErr w:type="spellEnd"/>
      <w:r>
        <w:t>-</w:t>
      </w:r>
      <w:r w:rsidRPr="00FC3113">
        <w:t>afdracht</w:t>
      </w:r>
      <w:r>
        <w:t xml:space="preserve"> is een neerwaartse bijstelling van ruim 608 miljoen euro. </w:t>
      </w:r>
    </w:p>
    <w:p w:rsidR="00937C73" w:rsidP="00937C73" w:rsidRDefault="00937C73" w14:paraId="1A6993E7" w14:textId="77777777">
      <w:pPr>
        <w:spacing w:line="266" w:lineRule="auto"/>
      </w:pPr>
    </w:p>
    <w:p w:rsidR="00937C73" w:rsidP="00937C73" w:rsidRDefault="00937C73" w14:paraId="5F5BD46A" w14:textId="77777777">
      <w:pPr>
        <w:spacing w:line="266" w:lineRule="auto"/>
      </w:pPr>
      <w:r w:rsidRPr="00567DF7">
        <w:t xml:space="preserve">Het is hierbij van belang om te melden dat een deel van de onbenutte middelen </w:t>
      </w:r>
      <w:r>
        <w:t xml:space="preserve">kan worden doorgeschoven </w:t>
      </w:r>
      <w:r w:rsidRPr="00567DF7">
        <w:t xml:space="preserve">naar latere jaren </w:t>
      </w:r>
      <w:r>
        <w:t>van</w:t>
      </w:r>
      <w:r w:rsidRPr="00567DF7">
        <w:t xml:space="preserve"> het MFK. Dit gebeurt ieder jaar in de technische aanpassing die in juli verschijnt. </w:t>
      </w:r>
      <w:r>
        <w:t>In de raming van de Nederlandse afdrachten is hiermee voor de inzet van het Enkelvoudige marge-instrument (</w:t>
      </w:r>
      <w:r>
        <w:rPr>
          <w:i/>
          <w:iCs/>
        </w:rPr>
        <w:t xml:space="preserve">Single </w:t>
      </w:r>
      <w:proofErr w:type="spellStart"/>
      <w:r>
        <w:rPr>
          <w:i/>
          <w:iCs/>
        </w:rPr>
        <w:t>Margin</w:t>
      </w:r>
      <w:proofErr w:type="spellEnd"/>
      <w:r>
        <w:rPr>
          <w:i/>
          <w:iCs/>
        </w:rPr>
        <w:t xml:space="preserve"> Instrument; </w:t>
      </w:r>
      <w:r>
        <w:t xml:space="preserve">SMI) al rekening mee gehouden. Alleen de niet gebruikte middelen uit de overige speciale instrumenten kunnen nog verder worden doorgeschoven. </w:t>
      </w:r>
    </w:p>
    <w:p w:rsidR="00937C73" w:rsidP="00937C73" w:rsidRDefault="00937C73" w14:paraId="60F0DBFE" w14:textId="77777777">
      <w:pPr>
        <w:spacing w:line="266" w:lineRule="auto"/>
      </w:pPr>
    </w:p>
    <w:p w:rsidRPr="00567DF7" w:rsidR="00937C73" w:rsidP="00937C73" w:rsidRDefault="00937C73" w14:paraId="13349849" w14:textId="77777777">
      <w:pPr>
        <w:spacing w:line="266" w:lineRule="auto"/>
        <w:rPr>
          <w:i/>
          <w:iCs/>
        </w:rPr>
      </w:pPr>
      <w:r w:rsidRPr="00567DF7">
        <w:rPr>
          <w:i/>
          <w:iCs/>
        </w:rPr>
        <w:lastRenderedPageBreak/>
        <w:t>Proces en krachtenveld</w:t>
      </w:r>
    </w:p>
    <w:p w:rsidR="00937C73" w:rsidP="00937C73" w:rsidRDefault="00937C73" w14:paraId="63C2E968" w14:textId="77777777">
      <w:pPr>
        <w:spacing w:line="266" w:lineRule="auto"/>
      </w:pPr>
      <w:r>
        <w:t>Besluitvorming over DAB5 vindt plaats met g</w:t>
      </w:r>
      <w:r w:rsidRPr="005A16F7">
        <w:t>ekwalificeerde meerderheid</w:t>
      </w:r>
      <w:r>
        <w:t xml:space="preserve"> (QMV). Naar verwachting is er brede steun in de Raad.</w:t>
      </w:r>
    </w:p>
    <w:p w:rsidR="00937C73" w:rsidP="00937C73" w:rsidRDefault="00937C73" w14:paraId="47812029" w14:textId="77777777"/>
    <w:p w:rsidR="00937C73" w:rsidP="00937C73" w:rsidRDefault="00937C73" w14:paraId="3FBB9585" w14:textId="77777777"/>
    <w:p w:rsidR="00937C73" w:rsidP="00937C73" w:rsidRDefault="00937C73" w14:paraId="1A63D3E1" w14:textId="77777777">
      <w:r>
        <w:t>Hoogachtend,</w:t>
      </w:r>
    </w:p>
    <w:p w:rsidR="00937C73" w:rsidP="00937C73" w:rsidRDefault="00937C73" w14:paraId="02C419F0" w14:textId="77777777">
      <w:pPr>
        <w:pStyle w:val="StandaardOndertekening"/>
      </w:pPr>
      <w:proofErr w:type="gramStart"/>
      <w:r>
        <w:t>de</w:t>
      </w:r>
      <w:proofErr w:type="gramEnd"/>
      <w:r>
        <w:t xml:space="preserve"> minister van Financiën,</w:t>
      </w:r>
    </w:p>
    <w:p w:rsidR="00937C73" w:rsidP="00937C73" w:rsidRDefault="00937C73" w14:paraId="3823AC55" w14:textId="77777777"/>
    <w:p w:rsidR="00F66DCE" w:rsidP="00937C73" w:rsidRDefault="00F66DCE" w14:paraId="4B970FCC" w14:textId="77777777"/>
    <w:p w:rsidR="00937C73" w:rsidP="00937C73" w:rsidRDefault="00937C73" w14:paraId="7D45EA8F" w14:textId="77777777"/>
    <w:p w:rsidR="00937C73" w:rsidP="00937C73" w:rsidRDefault="00937C73" w14:paraId="7E446DE6" w14:textId="77777777"/>
    <w:p w:rsidR="00937C73" w:rsidP="00937C73" w:rsidRDefault="00937C73" w14:paraId="22391DCC" w14:textId="77777777">
      <w:r>
        <w:t>E</w:t>
      </w:r>
      <w:r w:rsidR="00F66DCE">
        <w:t xml:space="preserve">. </w:t>
      </w:r>
      <w:r>
        <w:t>Heinen</w:t>
      </w:r>
    </w:p>
    <w:p w:rsidRPr="0021408B" w:rsidR="00937C73" w:rsidP="00937C73" w:rsidRDefault="00937C73" w14:paraId="0438DDB9" w14:textId="77777777">
      <w:pPr>
        <w:spacing w:line="240" w:lineRule="auto"/>
      </w:pPr>
      <w:r>
        <w:br w:type="page"/>
      </w:r>
    </w:p>
    <w:p w:rsidR="00937C73" w:rsidP="00937C73" w:rsidRDefault="00937C73" w14:paraId="149EC80B" w14:textId="77777777">
      <w:pPr>
        <w:rPr>
          <w:b/>
          <w:bCs/>
        </w:rPr>
      </w:pPr>
      <w:r>
        <w:rPr>
          <w:b/>
          <w:bCs/>
        </w:rPr>
        <w:lastRenderedPageBreak/>
        <w:t>Bijlage</w:t>
      </w:r>
    </w:p>
    <w:p w:rsidR="00937C73" w:rsidP="00937C73" w:rsidRDefault="00937C73" w14:paraId="2A6D0C90" w14:textId="77777777">
      <w:pPr>
        <w:rPr>
          <w:b/>
          <w:bCs/>
        </w:rPr>
      </w:pPr>
    </w:p>
    <w:tbl>
      <w:tblPr>
        <w:tblW w:w="11288" w:type="dxa"/>
        <w:tblInd w:w="-1223" w:type="dxa"/>
        <w:tblCellMar>
          <w:left w:w="70" w:type="dxa"/>
          <w:right w:w="70" w:type="dxa"/>
        </w:tblCellMar>
        <w:tblLook w:val="04A0" w:firstRow="1" w:lastRow="0" w:firstColumn="1" w:lastColumn="0" w:noHBand="0" w:noVBand="1"/>
      </w:tblPr>
      <w:tblGrid>
        <w:gridCol w:w="293"/>
        <w:gridCol w:w="4474"/>
        <w:gridCol w:w="1134"/>
        <w:gridCol w:w="1134"/>
        <w:gridCol w:w="1134"/>
        <w:gridCol w:w="992"/>
        <w:gridCol w:w="1077"/>
        <w:gridCol w:w="1050"/>
      </w:tblGrid>
      <w:tr w:rsidRPr="000C0FBA" w:rsidR="00937C73" w:rsidTr="00BC08F6" w14:paraId="567D41B2" w14:textId="77777777">
        <w:trPr>
          <w:trHeight w:val="320"/>
        </w:trPr>
        <w:tc>
          <w:tcPr>
            <w:tcW w:w="11288" w:type="dxa"/>
            <w:gridSpan w:val="8"/>
            <w:tcBorders>
              <w:top w:val="nil"/>
              <w:left w:val="nil"/>
              <w:bottom w:val="single" w:color="4472C4" w:sz="8" w:space="0"/>
              <w:right w:val="nil"/>
            </w:tcBorders>
            <w:shd w:val="clear" w:color="auto" w:fill="1F3864" w:themeFill="accent1" w:themeFillShade="80"/>
            <w:noWrap/>
            <w:vAlign w:val="center"/>
            <w:hideMark/>
          </w:tcPr>
          <w:p w:rsidRPr="000C0FBA" w:rsidR="00937C73" w:rsidP="00BC08F6" w:rsidRDefault="00937C73" w14:paraId="3487BD7D" w14:textId="77777777">
            <w:pPr>
              <w:autoSpaceDN/>
              <w:spacing w:line="240" w:lineRule="auto"/>
              <w:textAlignment w:val="auto"/>
              <w:rPr>
                <w:rFonts w:eastAsia="Times New Roman" w:cs="Calibri"/>
                <w:b/>
                <w:bCs/>
                <w:color w:val="FFFFFF"/>
                <w:sz w:val="16"/>
                <w:szCs w:val="16"/>
              </w:rPr>
            </w:pPr>
            <w:r w:rsidRPr="000C0FBA">
              <w:rPr>
                <w:rFonts w:eastAsia="Times New Roman" w:cs="Calibri"/>
                <w:b/>
                <w:bCs/>
                <w:color w:val="FFFFFF"/>
                <w:sz w:val="16"/>
                <w:szCs w:val="16"/>
              </w:rPr>
              <w:t xml:space="preserve">Tabel 2: Posities Europese jaarbegroting 2025 </w:t>
            </w:r>
            <w:r w:rsidRPr="000C0FBA">
              <w:rPr>
                <w:rFonts w:eastAsia="Times New Roman" w:cs="Calibri"/>
                <w:color w:val="FFFFFF"/>
                <w:sz w:val="16"/>
                <w:szCs w:val="16"/>
              </w:rPr>
              <w:t>(in miljoenen euro’s, lopende prijzen, vastleggingen en betalingen)</w:t>
            </w:r>
          </w:p>
        </w:tc>
      </w:tr>
      <w:tr w:rsidRPr="000C0FBA" w:rsidR="00937C73" w:rsidTr="00BC08F6" w14:paraId="559CA399" w14:textId="77777777">
        <w:trPr>
          <w:trHeight w:val="320"/>
        </w:trPr>
        <w:tc>
          <w:tcPr>
            <w:tcW w:w="293" w:type="dxa"/>
            <w:tcBorders>
              <w:top w:val="nil"/>
              <w:left w:val="nil"/>
              <w:bottom w:val="single" w:color="4472C4" w:sz="8" w:space="0"/>
              <w:right w:val="nil"/>
            </w:tcBorders>
            <w:shd w:val="clear" w:color="auto" w:fill="auto"/>
            <w:noWrap/>
            <w:hideMark/>
          </w:tcPr>
          <w:p w:rsidRPr="000C0FBA" w:rsidR="00937C73" w:rsidP="00BC08F6" w:rsidRDefault="00937C73" w14:paraId="1E4E28FA" w14:textId="77777777">
            <w:pPr>
              <w:autoSpaceDN/>
              <w:spacing w:line="240" w:lineRule="auto"/>
              <w:textAlignment w:val="auto"/>
              <w:rPr>
                <w:rFonts w:eastAsia="Times New Roman" w:cs="Calibri"/>
              </w:rPr>
            </w:pPr>
            <w:r w:rsidRPr="000C0FBA">
              <w:rPr>
                <w:rFonts w:eastAsia="Times New Roman" w:cs="Calibri"/>
              </w:rPr>
              <w:t> </w:t>
            </w:r>
          </w:p>
        </w:tc>
        <w:tc>
          <w:tcPr>
            <w:tcW w:w="4474" w:type="dxa"/>
            <w:tcBorders>
              <w:top w:val="nil"/>
              <w:left w:val="nil"/>
              <w:bottom w:val="single" w:color="4472C4" w:sz="8" w:space="0"/>
              <w:right w:val="single" w:color="4472C4" w:sz="8" w:space="0"/>
            </w:tcBorders>
            <w:shd w:val="clear" w:color="auto" w:fill="auto"/>
            <w:noWrap/>
            <w:hideMark/>
          </w:tcPr>
          <w:p w:rsidRPr="000C0FBA" w:rsidR="00937C73" w:rsidP="00BC08F6" w:rsidRDefault="00937C73" w14:paraId="3786B418" w14:textId="77777777">
            <w:pPr>
              <w:autoSpaceDN/>
              <w:spacing w:line="240" w:lineRule="auto"/>
              <w:textAlignment w:val="auto"/>
              <w:rPr>
                <w:rFonts w:eastAsia="Times New Roman" w:cs="Calibri"/>
              </w:rPr>
            </w:pPr>
            <w:r w:rsidRPr="000C0FBA">
              <w:rPr>
                <w:rFonts w:eastAsia="Times New Roman" w:cs="Calibri"/>
              </w:rPr>
              <w:t> </w:t>
            </w:r>
          </w:p>
        </w:tc>
        <w:tc>
          <w:tcPr>
            <w:tcW w:w="2268" w:type="dxa"/>
            <w:gridSpan w:val="2"/>
            <w:tcBorders>
              <w:top w:val="single" w:color="4472C4" w:sz="8" w:space="0"/>
              <w:left w:val="nil"/>
              <w:bottom w:val="single" w:color="4472C4" w:sz="8" w:space="0"/>
              <w:right w:val="nil"/>
            </w:tcBorders>
            <w:shd w:val="clear" w:color="auto" w:fill="auto"/>
            <w:noWrap/>
            <w:vAlign w:val="center"/>
            <w:hideMark/>
          </w:tcPr>
          <w:p w:rsidRPr="000C0FBA" w:rsidR="00937C73" w:rsidP="00BC08F6" w:rsidRDefault="00937C73" w14:paraId="45B7DC2D" w14:textId="77777777">
            <w:pPr>
              <w:autoSpaceDN/>
              <w:spacing w:line="240" w:lineRule="auto"/>
              <w:jc w:val="center"/>
              <w:textAlignment w:val="auto"/>
              <w:rPr>
                <w:rFonts w:eastAsia="Times New Roman" w:cs="Calibri"/>
                <w:b/>
                <w:bCs/>
                <w:sz w:val="16"/>
                <w:szCs w:val="16"/>
              </w:rPr>
            </w:pPr>
            <w:r w:rsidRPr="000C0FBA">
              <w:rPr>
                <w:rFonts w:eastAsia="Times New Roman" w:cs="Calibri"/>
                <w:b/>
                <w:bCs/>
                <w:sz w:val="16"/>
                <w:szCs w:val="16"/>
              </w:rPr>
              <w:t>Commissie</w:t>
            </w:r>
            <w:r>
              <w:rPr>
                <w:rFonts w:eastAsia="Times New Roman" w:cs="Calibri"/>
                <w:b/>
                <w:bCs/>
                <w:sz w:val="16"/>
                <w:szCs w:val="16"/>
              </w:rPr>
              <w:t xml:space="preserve"> incl. AL1</w:t>
            </w:r>
          </w:p>
        </w:tc>
        <w:tc>
          <w:tcPr>
            <w:tcW w:w="2126" w:type="dxa"/>
            <w:gridSpan w:val="2"/>
            <w:tcBorders>
              <w:top w:val="single" w:color="4472C4" w:sz="8" w:space="0"/>
              <w:left w:val="nil"/>
              <w:bottom w:val="single" w:color="4472C4" w:sz="8" w:space="0"/>
              <w:right w:val="nil"/>
            </w:tcBorders>
            <w:shd w:val="clear" w:color="auto" w:fill="auto"/>
            <w:noWrap/>
            <w:vAlign w:val="center"/>
            <w:hideMark/>
          </w:tcPr>
          <w:p w:rsidRPr="000C0FBA" w:rsidR="00937C73" w:rsidP="00BC08F6" w:rsidRDefault="00937C73" w14:paraId="398693EC" w14:textId="77777777">
            <w:pPr>
              <w:autoSpaceDN/>
              <w:spacing w:line="240" w:lineRule="auto"/>
              <w:jc w:val="center"/>
              <w:textAlignment w:val="auto"/>
              <w:rPr>
                <w:rFonts w:eastAsia="Times New Roman" w:cs="Calibri"/>
                <w:b/>
                <w:bCs/>
                <w:sz w:val="16"/>
                <w:szCs w:val="16"/>
              </w:rPr>
            </w:pPr>
            <w:r w:rsidRPr="000C0FBA">
              <w:rPr>
                <w:rFonts w:eastAsia="Times New Roman" w:cs="Calibri"/>
                <w:b/>
                <w:bCs/>
                <w:sz w:val="16"/>
                <w:szCs w:val="16"/>
              </w:rPr>
              <w:t>Ra</w:t>
            </w:r>
            <w:r>
              <w:rPr>
                <w:rFonts w:eastAsia="Times New Roman" w:cs="Calibri"/>
                <w:b/>
                <w:bCs/>
                <w:sz w:val="16"/>
                <w:szCs w:val="16"/>
              </w:rPr>
              <w:t>ad</w:t>
            </w:r>
          </w:p>
        </w:tc>
        <w:tc>
          <w:tcPr>
            <w:tcW w:w="2127" w:type="dxa"/>
            <w:gridSpan w:val="2"/>
            <w:tcBorders>
              <w:top w:val="single" w:color="4472C4" w:sz="8" w:space="0"/>
              <w:left w:val="nil"/>
              <w:bottom w:val="single" w:color="4472C4" w:sz="8" w:space="0"/>
              <w:right w:val="nil"/>
            </w:tcBorders>
            <w:shd w:val="clear" w:color="auto" w:fill="auto"/>
            <w:noWrap/>
            <w:vAlign w:val="center"/>
            <w:hideMark/>
          </w:tcPr>
          <w:p w:rsidRPr="000C0FBA" w:rsidR="00937C73" w:rsidP="00BC08F6" w:rsidRDefault="00937C73" w14:paraId="7AE59BF3" w14:textId="77777777">
            <w:pPr>
              <w:autoSpaceDN/>
              <w:spacing w:line="240" w:lineRule="auto"/>
              <w:jc w:val="center"/>
              <w:textAlignment w:val="auto"/>
              <w:rPr>
                <w:rFonts w:eastAsia="Times New Roman" w:cs="Calibri"/>
                <w:b/>
                <w:bCs/>
                <w:sz w:val="16"/>
                <w:szCs w:val="16"/>
              </w:rPr>
            </w:pPr>
            <w:r w:rsidRPr="000C0FBA">
              <w:rPr>
                <w:rFonts w:eastAsia="Times New Roman" w:cs="Calibri"/>
                <w:b/>
                <w:bCs/>
                <w:sz w:val="16"/>
                <w:szCs w:val="16"/>
              </w:rPr>
              <w:t>EP</w:t>
            </w:r>
          </w:p>
        </w:tc>
      </w:tr>
      <w:tr w:rsidRPr="000C0FBA" w:rsidR="00937C73" w:rsidTr="00BC08F6" w14:paraId="2C6C693A" w14:textId="77777777">
        <w:trPr>
          <w:trHeight w:val="320"/>
        </w:trPr>
        <w:tc>
          <w:tcPr>
            <w:tcW w:w="293" w:type="dxa"/>
            <w:tcBorders>
              <w:top w:val="nil"/>
              <w:left w:val="nil"/>
              <w:bottom w:val="single" w:color="4472C4" w:sz="8" w:space="0"/>
              <w:right w:val="nil"/>
            </w:tcBorders>
            <w:shd w:val="clear" w:color="auto" w:fill="auto"/>
            <w:noWrap/>
            <w:hideMark/>
          </w:tcPr>
          <w:p w:rsidRPr="000C0FBA" w:rsidR="00937C73" w:rsidP="00BC08F6" w:rsidRDefault="00937C73" w14:paraId="753D1B31" w14:textId="77777777">
            <w:pPr>
              <w:autoSpaceDN/>
              <w:spacing w:line="240" w:lineRule="auto"/>
              <w:textAlignment w:val="auto"/>
              <w:rPr>
                <w:rFonts w:eastAsia="Times New Roman" w:cs="Calibri"/>
              </w:rPr>
            </w:pPr>
            <w:r w:rsidRPr="000C0FBA">
              <w:rPr>
                <w:rFonts w:eastAsia="Times New Roman" w:cs="Calibri"/>
              </w:rPr>
              <w:t> </w:t>
            </w:r>
          </w:p>
        </w:tc>
        <w:tc>
          <w:tcPr>
            <w:tcW w:w="4474" w:type="dxa"/>
            <w:tcBorders>
              <w:top w:val="nil"/>
              <w:left w:val="nil"/>
              <w:bottom w:val="single" w:color="4472C4" w:sz="8" w:space="0"/>
              <w:right w:val="single" w:color="4472C4" w:sz="8" w:space="0"/>
            </w:tcBorders>
            <w:shd w:val="clear" w:color="auto" w:fill="auto"/>
            <w:noWrap/>
            <w:hideMark/>
          </w:tcPr>
          <w:p w:rsidRPr="000C0FBA" w:rsidR="00937C73" w:rsidP="00BC08F6" w:rsidRDefault="00937C73" w14:paraId="4449153F" w14:textId="77777777">
            <w:pPr>
              <w:autoSpaceDN/>
              <w:spacing w:line="240" w:lineRule="auto"/>
              <w:textAlignment w:val="auto"/>
              <w:rPr>
                <w:rFonts w:eastAsia="Times New Roman" w:cs="Calibri"/>
              </w:rPr>
            </w:pPr>
            <w:r w:rsidRPr="000C0FBA">
              <w:rPr>
                <w:rFonts w:eastAsia="Times New Roman" w:cs="Calibri"/>
              </w:rPr>
              <w:t> </w:t>
            </w:r>
          </w:p>
        </w:tc>
        <w:tc>
          <w:tcPr>
            <w:tcW w:w="1134" w:type="dxa"/>
            <w:tcBorders>
              <w:top w:val="nil"/>
              <w:left w:val="nil"/>
              <w:bottom w:val="single" w:color="4472C4" w:sz="8" w:space="0"/>
              <w:right w:val="nil"/>
            </w:tcBorders>
            <w:shd w:val="clear" w:color="auto" w:fill="auto"/>
            <w:noWrap/>
            <w:vAlign w:val="center"/>
            <w:hideMark/>
          </w:tcPr>
          <w:p w:rsidRPr="000C0FBA" w:rsidR="00937C73" w:rsidP="00BC08F6" w:rsidRDefault="00937C73" w14:paraId="42C0E1D6" w14:textId="77777777">
            <w:pPr>
              <w:autoSpaceDN/>
              <w:spacing w:line="240" w:lineRule="auto"/>
              <w:jc w:val="center"/>
              <w:textAlignment w:val="auto"/>
              <w:rPr>
                <w:rFonts w:eastAsia="Times New Roman" w:cs="Calibri"/>
                <w:sz w:val="16"/>
                <w:szCs w:val="16"/>
              </w:rPr>
            </w:pPr>
            <w:proofErr w:type="spellStart"/>
            <w:r w:rsidRPr="000C0FBA">
              <w:rPr>
                <w:rFonts w:eastAsia="Times New Roman" w:cs="Calibri"/>
                <w:sz w:val="16"/>
                <w:szCs w:val="16"/>
              </w:rPr>
              <w:t>Vastl</w:t>
            </w:r>
            <w:proofErr w:type="spellEnd"/>
            <w:r w:rsidRPr="000C0FBA">
              <w:rPr>
                <w:rFonts w:eastAsia="Times New Roman" w:cs="Calibri"/>
                <w:sz w:val="16"/>
                <w:szCs w:val="16"/>
              </w:rPr>
              <w:t>.</w:t>
            </w:r>
          </w:p>
        </w:tc>
        <w:tc>
          <w:tcPr>
            <w:tcW w:w="1134" w:type="dxa"/>
            <w:tcBorders>
              <w:top w:val="nil"/>
              <w:left w:val="nil"/>
              <w:bottom w:val="single" w:color="4472C4" w:sz="8" w:space="0"/>
              <w:right w:val="nil"/>
            </w:tcBorders>
            <w:shd w:val="clear" w:color="auto" w:fill="auto"/>
            <w:noWrap/>
            <w:vAlign w:val="center"/>
            <w:hideMark/>
          </w:tcPr>
          <w:p w:rsidRPr="000C0FBA" w:rsidR="00937C73" w:rsidP="00BC08F6" w:rsidRDefault="00937C73" w14:paraId="7CA4A14F" w14:textId="77777777">
            <w:pPr>
              <w:autoSpaceDN/>
              <w:spacing w:line="240" w:lineRule="auto"/>
              <w:jc w:val="center"/>
              <w:textAlignment w:val="auto"/>
              <w:rPr>
                <w:rFonts w:eastAsia="Times New Roman" w:cs="Calibri"/>
                <w:sz w:val="16"/>
                <w:szCs w:val="16"/>
              </w:rPr>
            </w:pPr>
            <w:r w:rsidRPr="000C0FBA">
              <w:rPr>
                <w:rFonts w:eastAsia="Times New Roman" w:cs="Calibri"/>
                <w:sz w:val="16"/>
                <w:szCs w:val="16"/>
              </w:rPr>
              <w:t>Bet.</w:t>
            </w:r>
          </w:p>
        </w:tc>
        <w:tc>
          <w:tcPr>
            <w:tcW w:w="1134" w:type="dxa"/>
            <w:tcBorders>
              <w:top w:val="nil"/>
              <w:left w:val="nil"/>
              <w:bottom w:val="single" w:color="4472C4" w:sz="8" w:space="0"/>
              <w:right w:val="nil"/>
            </w:tcBorders>
            <w:shd w:val="clear" w:color="auto" w:fill="auto"/>
            <w:noWrap/>
            <w:vAlign w:val="center"/>
            <w:hideMark/>
          </w:tcPr>
          <w:p w:rsidRPr="000C0FBA" w:rsidR="00937C73" w:rsidP="00BC08F6" w:rsidRDefault="00937C73" w14:paraId="52CD5A58" w14:textId="77777777">
            <w:pPr>
              <w:autoSpaceDN/>
              <w:spacing w:line="240" w:lineRule="auto"/>
              <w:jc w:val="center"/>
              <w:textAlignment w:val="auto"/>
              <w:rPr>
                <w:rFonts w:eastAsia="Times New Roman" w:cs="Calibri"/>
                <w:sz w:val="16"/>
                <w:szCs w:val="16"/>
              </w:rPr>
            </w:pPr>
            <w:proofErr w:type="spellStart"/>
            <w:r w:rsidRPr="000C0FBA">
              <w:rPr>
                <w:rFonts w:eastAsia="Times New Roman" w:cs="Calibri"/>
                <w:sz w:val="16"/>
                <w:szCs w:val="16"/>
              </w:rPr>
              <w:t>Vastl</w:t>
            </w:r>
            <w:proofErr w:type="spellEnd"/>
            <w:r w:rsidRPr="000C0FBA">
              <w:rPr>
                <w:rFonts w:eastAsia="Times New Roman" w:cs="Calibri"/>
                <w:sz w:val="16"/>
                <w:szCs w:val="16"/>
              </w:rPr>
              <w:t>.</w:t>
            </w:r>
          </w:p>
        </w:tc>
        <w:tc>
          <w:tcPr>
            <w:tcW w:w="992" w:type="dxa"/>
            <w:tcBorders>
              <w:top w:val="nil"/>
              <w:left w:val="nil"/>
              <w:bottom w:val="single" w:color="4472C4" w:sz="8" w:space="0"/>
              <w:right w:val="nil"/>
            </w:tcBorders>
            <w:shd w:val="clear" w:color="auto" w:fill="auto"/>
            <w:noWrap/>
            <w:vAlign w:val="center"/>
            <w:hideMark/>
          </w:tcPr>
          <w:p w:rsidRPr="000C0FBA" w:rsidR="00937C73" w:rsidP="00BC08F6" w:rsidRDefault="00937C73" w14:paraId="2B0FCB8B" w14:textId="77777777">
            <w:pPr>
              <w:autoSpaceDN/>
              <w:spacing w:line="240" w:lineRule="auto"/>
              <w:jc w:val="center"/>
              <w:textAlignment w:val="auto"/>
              <w:rPr>
                <w:rFonts w:eastAsia="Times New Roman" w:cs="Calibri"/>
                <w:sz w:val="16"/>
                <w:szCs w:val="16"/>
              </w:rPr>
            </w:pPr>
            <w:r w:rsidRPr="000C0FBA">
              <w:rPr>
                <w:rFonts w:eastAsia="Times New Roman" w:cs="Calibri"/>
                <w:sz w:val="16"/>
                <w:szCs w:val="16"/>
              </w:rPr>
              <w:t>Bet.</w:t>
            </w:r>
          </w:p>
        </w:tc>
        <w:tc>
          <w:tcPr>
            <w:tcW w:w="1077" w:type="dxa"/>
            <w:tcBorders>
              <w:top w:val="nil"/>
              <w:left w:val="nil"/>
              <w:bottom w:val="single" w:color="4472C4" w:sz="8" w:space="0"/>
              <w:right w:val="nil"/>
            </w:tcBorders>
            <w:shd w:val="clear" w:color="auto" w:fill="auto"/>
            <w:noWrap/>
            <w:vAlign w:val="center"/>
            <w:hideMark/>
          </w:tcPr>
          <w:p w:rsidRPr="000C0FBA" w:rsidR="00937C73" w:rsidP="00BC08F6" w:rsidRDefault="00937C73" w14:paraId="18006AB7" w14:textId="77777777">
            <w:pPr>
              <w:autoSpaceDN/>
              <w:spacing w:line="240" w:lineRule="auto"/>
              <w:jc w:val="center"/>
              <w:textAlignment w:val="auto"/>
              <w:rPr>
                <w:rFonts w:eastAsia="Times New Roman" w:cs="Calibri"/>
                <w:sz w:val="16"/>
                <w:szCs w:val="16"/>
              </w:rPr>
            </w:pPr>
            <w:proofErr w:type="spellStart"/>
            <w:r w:rsidRPr="000C0FBA">
              <w:rPr>
                <w:rFonts w:eastAsia="Times New Roman" w:cs="Calibri"/>
                <w:sz w:val="16"/>
                <w:szCs w:val="16"/>
              </w:rPr>
              <w:t>Vastl</w:t>
            </w:r>
            <w:proofErr w:type="spellEnd"/>
            <w:r w:rsidRPr="000C0FBA">
              <w:rPr>
                <w:rFonts w:eastAsia="Times New Roman" w:cs="Calibri"/>
                <w:sz w:val="16"/>
                <w:szCs w:val="16"/>
              </w:rPr>
              <w:t>.</w:t>
            </w:r>
          </w:p>
        </w:tc>
        <w:tc>
          <w:tcPr>
            <w:tcW w:w="1050" w:type="dxa"/>
            <w:tcBorders>
              <w:top w:val="nil"/>
              <w:left w:val="nil"/>
              <w:bottom w:val="single" w:color="4472C4" w:sz="8" w:space="0"/>
              <w:right w:val="nil"/>
            </w:tcBorders>
            <w:shd w:val="clear" w:color="auto" w:fill="auto"/>
            <w:noWrap/>
            <w:vAlign w:val="center"/>
            <w:hideMark/>
          </w:tcPr>
          <w:p w:rsidRPr="000C0FBA" w:rsidR="00937C73" w:rsidP="00BC08F6" w:rsidRDefault="00937C73" w14:paraId="630AB270" w14:textId="77777777">
            <w:pPr>
              <w:autoSpaceDN/>
              <w:spacing w:line="240" w:lineRule="auto"/>
              <w:jc w:val="center"/>
              <w:textAlignment w:val="auto"/>
              <w:rPr>
                <w:rFonts w:eastAsia="Times New Roman" w:cs="Calibri"/>
                <w:sz w:val="16"/>
                <w:szCs w:val="16"/>
              </w:rPr>
            </w:pPr>
            <w:r w:rsidRPr="000C0FBA">
              <w:rPr>
                <w:rFonts w:eastAsia="Times New Roman" w:cs="Calibri"/>
                <w:sz w:val="16"/>
                <w:szCs w:val="16"/>
              </w:rPr>
              <w:t>Bet.</w:t>
            </w:r>
          </w:p>
        </w:tc>
      </w:tr>
      <w:tr w:rsidRPr="000C0FBA" w:rsidR="00937C73" w:rsidTr="00BC08F6" w14:paraId="1056A48D" w14:textId="77777777">
        <w:trPr>
          <w:trHeight w:val="304"/>
        </w:trPr>
        <w:tc>
          <w:tcPr>
            <w:tcW w:w="293" w:type="dxa"/>
            <w:tcBorders>
              <w:top w:val="nil"/>
              <w:left w:val="nil"/>
              <w:bottom w:val="nil"/>
              <w:right w:val="nil"/>
            </w:tcBorders>
            <w:shd w:val="clear" w:color="auto" w:fill="auto"/>
            <w:noWrap/>
            <w:hideMark/>
          </w:tcPr>
          <w:p w:rsidRPr="000C0FBA" w:rsidR="00937C73" w:rsidP="00BC08F6" w:rsidRDefault="00937C73" w14:paraId="560D972F" w14:textId="77777777">
            <w:pPr>
              <w:autoSpaceDN/>
              <w:spacing w:line="240" w:lineRule="auto"/>
              <w:jc w:val="center"/>
              <w:textAlignment w:val="auto"/>
              <w:rPr>
                <w:rFonts w:eastAsia="Times New Roman" w:cs="Calibri"/>
                <w:sz w:val="16"/>
                <w:szCs w:val="16"/>
              </w:rPr>
            </w:pP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626DB9FE" w14:textId="77777777">
            <w:pPr>
              <w:autoSpaceDN/>
              <w:spacing w:line="240" w:lineRule="auto"/>
              <w:textAlignment w:val="auto"/>
              <w:rPr>
                <w:rFonts w:eastAsia="Times New Roman" w:cs="Calibri"/>
                <w:sz w:val="16"/>
                <w:szCs w:val="16"/>
              </w:rPr>
            </w:pPr>
            <w:r w:rsidRPr="000C0FBA">
              <w:rPr>
                <w:rFonts w:eastAsia="Times New Roman" w:cs="Calibri"/>
                <w:sz w:val="16"/>
                <w:szCs w:val="16"/>
              </w:rPr>
              <w:t>1 Interne markt, innovatie en digitaal</w:t>
            </w:r>
          </w:p>
        </w:tc>
        <w:tc>
          <w:tcPr>
            <w:tcW w:w="1134" w:type="dxa"/>
            <w:tcBorders>
              <w:top w:val="nil"/>
              <w:left w:val="nil"/>
              <w:bottom w:val="nil"/>
              <w:right w:val="nil"/>
            </w:tcBorders>
            <w:shd w:val="clear" w:color="auto" w:fill="auto"/>
            <w:vAlign w:val="center"/>
            <w:hideMark/>
          </w:tcPr>
          <w:p w:rsidRPr="000C0FBA" w:rsidR="00937C73" w:rsidP="00BC08F6" w:rsidRDefault="00937C73" w14:paraId="26852FE6"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21.383</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5E8B503D"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20.444</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21920B27"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20.734</w:t>
            </w:r>
          </w:p>
        </w:tc>
        <w:tc>
          <w:tcPr>
            <w:tcW w:w="992" w:type="dxa"/>
            <w:tcBorders>
              <w:top w:val="nil"/>
              <w:left w:val="nil"/>
              <w:bottom w:val="nil"/>
              <w:right w:val="nil"/>
            </w:tcBorders>
            <w:shd w:val="clear" w:color="auto" w:fill="auto"/>
            <w:noWrap/>
            <w:vAlign w:val="center"/>
            <w:hideMark/>
          </w:tcPr>
          <w:p w:rsidRPr="000C0FBA" w:rsidR="00937C73" w:rsidP="00BC08F6" w:rsidRDefault="00937C73" w14:paraId="7AC2AC95"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20.217</w:t>
            </w: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1963D308"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21.797</w:t>
            </w: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25A399F9"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20.658</w:t>
            </w:r>
          </w:p>
        </w:tc>
      </w:tr>
      <w:tr w:rsidRPr="000C0FBA" w:rsidR="00937C73" w:rsidTr="00BC08F6" w14:paraId="45CEB710" w14:textId="77777777">
        <w:trPr>
          <w:trHeight w:val="304"/>
        </w:trPr>
        <w:tc>
          <w:tcPr>
            <w:tcW w:w="293" w:type="dxa"/>
            <w:tcBorders>
              <w:top w:val="nil"/>
              <w:left w:val="nil"/>
              <w:bottom w:val="nil"/>
              <w:right w:val="nil"/>
            </w:tcBorders>
            <w:shd w:val="clear" w:color="auto" w:fill="auto"/>
            <w:noWrap/>
            <w:hideMark/>
          </w:tcPr>
          <w:p w:rsidRPr="000C0FBA" w:rsidR="00937C73" w:rsidP="00BC08F6" w:rsidRDefault="00937C73" w14:paraId="66F36673" w14:textId="77777777">
            <w:pPr>
              <w:autoSpaceDN/>
              <w:spacing w:line="240" w:lineRule="auto"/>
              <w:jc w:val="right"/>
              <w:textAlignment w:val="auto"/>
              <w:rPr>
                <w:rFonts w:eastAsia="Times New Roman" w:cs="Calibri"/>
                <w:sz w:val="16"/>
                <w:szCs w:val="16"/>
              </w:rPr>
            </w:pP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22AE3095" w14:textId="77777777">
            <w:pPr>
              <w:autoSpaceDN/>
              <w:spacing w:line="240" w:lineRule="auto"/>
              <w:textAlignment w:val="auto"/>
              <w:rPr>
                <w:rFonts w:eastAsia="Times New Roman" w:cs="Calibri"/>
                <w:sz w:val="16"/>
                <w:szCs w:val="16"/>
              </w:rPr>
            </w:pPr>
            <w:r w:rsidRPr="000C0FBA">
              <w:rPr>
                <w:rFonts w:eastAsia="Times New Roman" w:cs="Calibri"/>
                <w:sz w:val="16"/>
                <w:szCs w:val="16"/>
              </w:rPr>
              <w:t>2 Cohesie, veerkracht en waarden</w:t>
            </w:r>
          </w:p>
        </w:tc>
        <w:tc>
          <w:tcPr>
            <w:tcW w:w="1134" w:type="dxa"/>
            <w:tcBorders>
              <w:top w:val="nil"/>
              <w:left w:val="nil"/>
              <w:bottom w:val="nil"/>
              <w:right w:val="nil"/>
            </w:tcBorders>
            <w:shd w:val="clear" w:color="auto" w:fill="auto"/>
            <w:vAlign w:val="center"/>
            <w:hideMark/>
          </w:tcPr>
          <w:p w:rsidRPr="000C0FBA" w:rsidR="00937C73" w:rsidP="00BC08F6" w:rsidRDefault="00937C73" w14:paraId="0F8A7FB3"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77.944</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4F51B903"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44.434</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0D3390C5"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77.319</w:t>
            </w:r>
          </w:p>
        </w:tc>
        <w:tc>
          <w:tcPr>
            <w:tcW w:w="992" w:type="dxa"/>
            <w:tcBorders>
              <w:top w:val="nil"/>
              <w:left w:val="nil"/>
              <w:bottom w:val="nil"/>
              <w:right w:val="nil"/>
            </w:tcBorders>
            <w:shd w:val="clear" w:color="auto" w:fill="auto"/>
            <w:noWrap/>
            <w:vAlign w:val="center"/>
            <w:hideMark/>
          </w:tcPr>
          <w:p w:rsidRPr="000C0FBA" w:rsidR="00937C73" w:rsidP="00BC08F6" w:rsidRDefault="00937C73" w14:paraId="0E457F88"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41.044</w:t>
            </w: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1B3A2D18"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78.395</w:t>
            </w: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21E0BD66"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41.791</w:t>
            </w:r>
          </w:p>
        </w:tc>
      </w:tr>
      <w:tr w:rsidRPr="000C0FBA" w:rsidR="00937C73" w:rsidTr="00BC08F6" w14:paraId="4EAFA6D9" w14:textId="77777777">
        <w:trPr>
          <w:trHeight w:val="304"/>
        </w:trPr>
        <w:tc>
          <w:tcPr>
            <w:tcW w:w="293" w:type="dxa"/>
            <w:tcBorders>
              <w:top w:val="nil"/>
              <w:left w:val="nil"/>
              <w:bottom w:val="nil"/>
              <w:right w:val="nil"/>
            </w:tcBorders>
            <w:shd w:val="clear" w:color="auto" w:fill="auto"/>
            <w:noWrap/>
            <w:hideMark/>
          </w:tcPr>
          <w:p w:rsidRPr="000C0FBA" w:rsidR="00937C73" w:rsidP="00BC08F6" w:rsidRDefault="00937C73" w14:paraId="2651C5D1" w14:textId="77777777">
            <w:pPr>
              <w:autoSpaceDN/>
              <w:spacing w:line="240" w:lineRule="auto"/>
              <w:jc w:val="right"/>
              <w:textAlignment w:val="auto"/>
              <w:rPr>
                <w:rFonts w:eastAsia="Times New Roman" w:cs="Calibri"/>
                <w:sz w:val="16"/>
                <w:szCs w:val="16"/>
              </w:rPr>
            </w:pP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2A1EB712" w14:textId="77777777">
            <w:pPr>
              <w:autoSpaceDN/>
              <w:spacing w:line="240" w:lineRule="auto"/>
              <w:textAlignment w:val="auto"/>
              <w:rPr>
                <w:rFonts w:eastAsia="Times New Roman" w:cs="Calibri"/>
                <w:sz w:val="16"/>
                <w:szCs w:val="16"/>
              </w:rPr>
            </w:pPr>
            <w:r w:rsidRPr="000C0FBA">
              <w:rPr>
                <w:rFonts w:eastAsia="Times New Roman" w:cs="Calibri"/>
                <w:sz w:val="16"/>
                <w:szCs w:val="16"/>
              </w:rPr>
              <w:t>3 Landbouw en milieu</w:t>
            </w:r>
          </w:p>
        </w:tc>
        <w:tc>
          <w:tcPr>
            <w:tcW w:w="1134" w:type="dxa"/>
            <w:tcBorders>
              <w:top w:val="nil"/>
              <w:left w:val="nil"/>
              <w:bottom w:val="nil"/>
              <w:right w:val="nil"/>
            </w:tcBorders>
            <w:shd w:val="clear" w:color="auto" w:fill="auto"/>
            <w:vAlign w:val="center"/>
            <w:hideMark/>
          </w:tcPr>
          <w:p w:rsidRPr="000C0FBA" w:rsidR="00937C73" w:rsidP="00BC08F6" w:rsidRDefault="00937C73" w14:paraId="776206B3"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56.924</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06A80714"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52.292</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77243C17"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57.271</w:t>
            </w:r>
          </w:p>
        </w:tc>
        <w:tc>
          <w:tcPr>
            <w:tcW w:w="992" w:type="dxa"/>
            <w:tcBorders>
              <w:top w:val="nil"/>
              <w:left w:val="nil"/>
              <w:bottom w:val="nil"/>
              <w:right w:val="nil"/>
            </w:tcBorders>
            <w:shd w:val="clear" w:color="auto" w:fill="auto"/>
            <w:noWrap/>
            <w:vAlign w:val="center"/>
            <w:hideMark/>
          </w:tcPr>
          <w:p w:rsidRPr="000C0FBA" w:rsidR="00937C73" w:rsidP="00BC08F6" w:rsidRDefault="00937C73" w14:paraId="4422368A"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52.680</w:t>
            </w: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6F933375"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57.423</w:t>
            </w: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7D29FBD9"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52.805</w:t>
            </w:r>
          </w:p>
        </w:tc>
      </w:tr>
      <w:tr w:rsidRPr="000C0FBA" w:rsidR="00937C73" w:rsidTr="00BC08F6" w14:paraId="2234C712" w14:textId="77777777">
        <w:trPr>
          <w:trHeight w:val="304"/>
        </w:trPr>
        <w:tc>
          <w:tcPr>
            <w:tcW w:w="293" w:type="dxa"/>
            <w:tcBorders>
              <w:top w:val="nil"/>
              <w:left w:val="nil"/>
              <w:bottom w:val="nil"/>
              <w:right w:val="nil"/>
            </w:tcBorders>
            <w:shd w:val="clear" w:color="auto" w:fill="auto"/>
            <w:noWrap/>
            <w:hideMark/>
          </w:tcPr>
          <w:p w:rsidRPr="000C0FBA" w:rsidR="00937C73" w:rsidP="00BC08F6" w:rsidRDefault="00937C73" w14:paraId="43A0A5C7" w14:textId="77777777">
            <w:pPr>
              <w:autoSpaceDN/>
              <w:spacing w:line="240" w:lineRule="auto"/>
              <w:jc w:val="right"/>
              <w:textAlignment w:val="auto"/>
              <w:rPr>
                <w:rFonts w:eastAsia="Times New Roman" w:cs="Calibri"/>
                <w:sz w:val="16"/>
                <w:szCs w:val="16"/>
              </w:rPr>
            </w:pP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0504A00F" w14:textId="77777777">
            <w:pPr>
              <w:autoSpaceDN/>
              <w:spacing w:line="240" w:lineRule="auto"/>
              <w:textAlignment w:val="auto"/>
              <w:rPr>
                <w:rFonts w:eastAsia="Times New Roman" w:cs="Calibri"/>
                <w:sz w:val="16"/>
                <w:szCs w:val="16"/>
              </w:rPr>
            </w:pPr>
            <w:r w:rsidRPr="000C0FBA">
              <w:rPr>
                <w:rFonts w:eastAsia="Times New Roman" w:cs="Calibri"/>
                <w:sz w:val="16"/>
                <w:szCs w:val="16"/>
              </w:rPr>
              <w:t>4 Migratie en grensmanagement</w:t>
            </w:r>
          </w:p>
        </w:tc>
        <w:tc>
          <w:tcPr>
            <w:tcW w:w="1134" w:type="dxa"/>
            <w:tcBorders>
              <w:top w:val="nil"/>
              <w:left w:val="nil"/>
              <w:bottom w:val="nil"/>
              <w:right w:val="nil"/>
            </w:tcBorders>
            <w:shd w:val="clear" w:color="auto" w:fill="auto"/>
            <w:vAlign w:val="center"/>
            <w:hideMark/>
          </w:tcPr>
          <w:p w:rsidRPr="000C0FBA" w:rsidR="00937C73" w:rsidP="00BC08F6" w:rsidRDefault="00937C73" w14:paraId="1D7D0DFB"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4.779</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618E284E"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3.201</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25AD152D"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4.711</w:t>
            </w:r>
          </w:p>
        </w:tc>
        <w:tc>
          <w:tcPr>
            <w:tcW w:w="992" w:type="dxa"/>
            <w:tcBorders>
              <w:top w:val="nil"/>
              <w:left w:val="nil"/>
              <w:bottom w:val="nil"/>
              <w:right w:val="nil"/>
            </w:tcBorders>
            <w:shd w:val="clear" w:color="auto" w:fill="auto"/>
            <w:noWrap/>
            <w:vAlign w:val="center"/>
            <w:hideMark/>
          </w:tcPr>
          <w:p w:rsidRPr="000C0FBA" w:rsidR="00937C73" w:rsidP="00BC08F6" w:rsidRDefault="00937C73" w14:paraId="7C1214D8"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3.120</w:t>
            </w: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5CB696D5"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4.839</w:t>
            </w: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63C546AA"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3.233</w:t>
            </w:r>
          </w:p>
        </w:tc>
      </w:tr>
      <w:tr w:rsidRPr="000C0FBA" w:rsidR="00937C73" w:rsidTr="00BC08F6" w14:paraId="4244FF86" w14:textId="77777777">
        <w:trPr>
          <w:trHeight w:val="304"/>
        </w:trPr>
        <w:tc>
          <w:tcPr>
            <w:tcW w:w="293" w:type="dxa"/>
            <w:tcBorders>
              <w:top w:val="nil"/>
              <w:left w:val="nil"/>
              <w:bottom w:val="nil"/>
              <w:right w:val="nil"/>
            </w:tcBorders>
            <w:shd w:val="clear" w:color="auto" w:fill="auto"/>
            <w:noWrap/>
            <w:hideMark/>
          </w:tcPr>
          <w:p w:rsidRPr="000C0FBA" w:rsidR="00937C73" w:rsidP="00BC08F6" w:rsidRDefault="00937C73" w14:paraId="5DC5B2D0" w14:textId="77777777">
            <w:pPr>
              <w:autoSpaceDN/>
              <w:spacing w:line="240" w:lineRule="auto"/>
              <w:jc w:val="right"/>
              <w:textAlignment w:val="auto"/>
              <w:rPr>
                <w:rFonts w:eastAsia="Times New Roman" w:cs="Calibri"/>
                <w:sz w:val="16"/>
                <w:szCs w:val="16"/>
              </w:rPr>
            </w:pP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0469B506" w14:textId="77777777">
            <w:pPr>
              <w:autoSpaceDN/>
              <w:spacing w:line="240" w:lineRule="auto"/>
              <w:textAlignment w:val="auto"/>
              <w:rPr>
                <w:rFonts w:eastAsia="Times New Roman" w:cs="Calibri"/>
                <w:sz w:val="16"/>
                <w:szCs w:val="16"/>
              </w:rPr>
            </w:pPr>
            <w:r w:rsidRPr="000C0FBA">
              <w:rPr>
                <w:rFonts w:eastAsia="Times New Roman" w:cs="Calibri"/>
                <w:sz w:val="16"/>
                <w:szCs w:val="16"/>
              </w:rPr>
              <w:t>5 Veiligheid en defensie</w:t>
            </w:r>
          </w:p>
        </w:tc>
        <w:tc>
          <w:tcPr>
            <w:tcW w:w="1134" w:type="dxa"/>
            <w:tcBorders>
              <w:top w:val="nil"/>
              <w:left w:val="nil"/>
              <w:bottom w:val="nil"/>
              <w:right w:val="nil"/>
            </w:tcBorders>
            <w:shd w:val="clear" w:color="auto" w:fill="auto"/>
            <w:vAlign w:val="center"/>
            <w:hideMark/>
          </w:tcPr>
          <w:p w:rsidRPr="000C0FBA" w:rsidR="00937C73" w:rsidP="00BC08F6" w:rsidRDefault="00937C73" w14:paraId="66526A63"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2.622</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02C8558C"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2.133</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5A869FD1"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2.612</w:t>
            </w:r>
          </w:p>
        </w:tc>
        <w:tc>
          <w:tcPr>
            <w:tcW w:w="992" w:type="dxa"/>
            <w:tcBorders>
              <w:top w:val="nil"/>
              <w:left w:val="nil"/>
              <w:bottom w:val="nil"/>
              <w:right w:val="nil"/>
            </w:tcBorders>
            <w:shd w:val="clear" w:color="auto" w:fill="auto"/>
            <w:noWrap/>
            <w:vAlign w:val="center"/>
            <w:hideMark/>
          </w:tcPr>
          <w:p w:rsidRPr="000C0FBA" w:rsidR="00937C73" w:rsidP="00BC08F6" w:rsidRDefault="00937C73" w14:paraId="79AE0B76"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2.127</w:t>
            </w: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24FAAC59"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2.658</w:t>
            </w: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3FB29D30"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2.157</w:t>
            </w:r>
          </w:p>
        </w:tc>
      </w:tr>
      <w:tr w:rsidRPr="000C0FBA" w:rsidR="00937C73" w:rsidTr="00BC08F6" w14:paraId="245C23A8" w14:textId="77777777">
        <w:trPr>
          <w:trHeight w:val="304"/>
        </w:trPr>
        <w:tc>
          <w:tcPr>
            <w:tcW w:w="293" w:type="dxa"/>
            <w:tcBorders>
              <w:top w:val="nil"/>
              <w:left w:val="nil"/>
              <w:bottom w:val="nil"/>
              <w:right w:val="nil"/>
            </w:tcBorders>
            <w:shd w:val="clear" w:color="auto" w:fill="auto"/>
            <w:noWrap/>
            <w:hideMark/>
          </w:tcPr>
          <w:p w:rsidRPr="000C0FBA" w:rsidR="00937C73" w:rsidP="00BC08F6" w:rsidRDefault="00937C73" w14:paraId="6C0B7D49" w14:textId="77777777">
            <w:pPr>
              <w:autoSpaceDN/>
              <w:spacing w:line="240" w:lineRule="auto"/>
              <w:jc w:val="right"/>
              <w:textAlignment w:val="auto"/>
              <w:rPr>
                <w:rFonts w:eastAsia="Times New Roman" w:cs="Calibri"/>
                <w:sz w:val="16"/>
                <w:szCs w:val="16"/>
              </w:rPr>
            </w:pP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0FD24FE9" w14:textId="77777777">
            <w:pPr>
              <w:autoSpaceDN/>
              <w:spacing w:line="240" w:lineRule="auto"/>
              <w:textAlignment w:val="auto"/>
              <w:rPr>
                <w:rFonts w:eastAsia="Times New Roman" w:cs="Calibri"/>
                <w:sz w:val="16"/>
                <w:szCs w:val="16"/>
              </w:rPr>
            </w:pPr>
            <w:r w:rsidRPr="000C0FBA">
              <w:rPr>
                <w:rFonts w:eastAsia="Times New Roman" w:cs="Calibri"/>
                <w:sz w:val="16"/>
                <w:szCs w:val="16"/>
              </w:rPr>
              <w:t>6 Extern beleid</w:t>
            </w:r>
          </w:p>
        </w:tc>
        <w:tc>
          <w:tcPr>
            <w:tcW w:w="1134" w:type="dxa"/>
            <w:tcBorders>
              <w:top w:val="nil"/>
              <w:left w:val="nil"/>
              <w:bottom w:val="nil"/>
              <w:right w:val="nil"/>
            </w:tcBorders>
            <w:shd w:val="clear" w:color="auto" w:fill="auto"/>
            <w:vAlign w:val="center"/>
            <w:hideMark/>
          </w:tcPr>
          <w:p w:rsidRPr="000C0FBA" w:rsidR="00937C73" w:rsidP="00BC08F6" w:rsidRDefault="00937C73" w14:paraId="125050D3"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16.258</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2E396474"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14.406</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6ACF79A6"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16.280</w:t>
            </w:r>
          </w:p>
        </w:tc>
        <w:tc>
          <w:tcPr>
            <w:tcW w:w="992" w:type="dxa"/>
            <w:tcBorders>
              <w:top w:val="nil"/>
              <w:left w:val="nil"/>
              <w:bottom w:val="nil"/>
              <w:right w:val="nil"/>
            </w:tcBorders>
            <w:shd w:val="clear" w:color="auto" w:fill="auto"/>
            <w:noWrap/>
            <w:vAlign w:val="center"/>
            <w:hideMark/>
          </w:tcPr>
          <w:p w:rsidRPr="000C0FBA" w:rsidR="00937C73" w:rsidP="00BC08F6" w:rsidRDefault="00937C73" w14:paraId="347AC865"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14.427</w:t>
            </w: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6566A487"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16.514</w:t>
            </w: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2DC2C714"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14.595</w:t>
            </w:r>
          </w:p>
        </w:tc>
      </w:tr>
      <w:tr w:rsidRPr="000C0FBA" w:rsidR="00937C73" w:rsidTr="00BC08F6" w14:paraId="7A2781C4" w14:textId="77777777">
        <w:trPr>
          <w:trHeight w:val="320"/>
        </w:trPr>
        <w:tc>
          <w:tcPr>
            <w:tcW w:w="293" w:type="dxa"/>
            <w:tcBorders>
              <w:top w:val="nil"/>
              <w:left w:val="nil"/>
              <w:bottom w:val="single" w:color="4472C4" w:sz="8" w:space="0"/>
              <w:right w:val="nil"/>
            </w:tcBorders>
            <w:shd w:val="clear" w:color="auto" w:fill="auto"/>
            <w:noWrap/>
            <w:hideMark/>
          </w:tcPr>
          <w:p w:rsidRPr="000C0FBA" w:rsidR="00937C73" w:rsidP="00BC08F6" w:rsidRDefault="00937C73" w14:paraId="7DD0B241" w14:textId="77777777">
            <w:pPr>
              <w:autoSpaceDN/>
              <w:spacing w:line="240" w:lineRule="auto"/>
              <w:textAlignment w:val="auto"/>
              <w:rPr>
                <w:rFonts w:eastAsia="Times New Roman" w:cs="Calibri"/>
              </w:rPr>
            </w:pPr>
            <w:r w:rsidRPr="000C0FBA">
              <w:rPr>
                <w:rFonts w:eastAsia="Times New Roman" w:cs="Calibri"/>
              </w:rPr>
              <w:t> </w:t>
            </w:r>
          </w:p>
        </w:tc>
        <w:tc>
          <w:tcPr>
            <w:tcW w:w="4474" w:type="dxa"/>
            <w:tcBorders>
              <w:top w:val="nil"/>
              <w:left w:val="nil"/>
              <w:bottom w:val="single" w:color="4472C4" w:sz="8" w:space="0"/>
              <w:right w:val="single" w:color="4472C4" w:sz="8" w:space="0"/>
            </w:tcBorders>
            <w:shd w:val="clear" w:color="auto" w:fill="auto"/>
            <w:noWrap/>
            <w:vAlign w:val="center"/>
            <w:hideMark/>
          </w:tcPr>
          <w:p w:rsidRPr="000C0FBA" w:rsidR="00937C73" w:rsidP="00BC08F6" w:rsidRDefault="00937C73" w14:paraId="4A5359BB" w14:textId="77777777">
            <w:pPr>
              <w:autoSpaceDN/>
              <w:spacing w:line="240" w:lineRule="auto"/>
              <w:textAlignment w:val="auto"/>
              <w:rPr>
                <w:rFonts w:eastAsia="Times New Roman" w:cs="Calibri"/>
                <w:sz w:val="16"/>
                <w:szCs w:val="16"/>
              </w:rPr>
            </w:pPr>
            <w:r w:rsidRPr="000C0FBA">
              <w:rPr>
                <w:rFonts w:eastAsia="Times New Roman" w:cs="Calibri"/>
                <w:sz w:val="16"/>
                <w:szCs w:val="16"/>
              </w:rPr>
              <w:t>7 Administratieve uitgaven</w:t>
            </w:r>
          </w:p>
        </w:tc>
        <w:tc>
          <w:tcPr>
            <w:tcW w:w="1134" w:type="dxa"/>
            <w:tcBorders>
              <w:top w:val="nil"/>
              <w:left w:val="nil"/>
              <w:bottom w:val="single" w:color="4472C4" w:sz="8" w:space="0"/>
              <w:right w:val="nil"/>
            </w:tcBorders>
            <w:shd w:val="clear" w:color="auto" w:fill="auto"/>
            <w:noWrap/>
            <w:vAlign w:val="center"/>
            <w:hideMark/>
          </w:tcPr>
          <w:p w:rsidRPr="000C0FBA" w:rsidR="00937C73" w:rsidP="00BC08F6" w:rsidRDefault="00937C73" w14:paraId="7AA626FC"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12.834</w:t>
            </w:r>
          </w:p>
        </w:tc>
        <w:tc>
          <w:tcPr>
            <w:tcW w:w="1134" w:type="dxa"/>
            <w:tcBorders>
              <w:top w:val="nil"/>
              <w:left w:val="nil"/>
              <w:bottom w:val="single" w:color="4472C4" w:sz="8" w:space="0"/>
              <w:right w:val="nil"/>
            </w:tcBorders>
            <w:shd w:val="clear" w:color="auto" w:fill="auto"/>
            <w:noWrap/>
            <w:vAlign w:val="center"/>
            <w:hideMark/>
          </w:tcPr>
          <w:p w:rsidRPr="000C0FBA" w:rsidR="00937C73" w:rsidP="00BC08F6" w:rsidRDefault="00937C73" w14:paraId="53327966"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12.834</w:t>
            </w:r>
          </w:p>
        </w:tc>
        <w:tc>
          <w:tcPr>
            <w:tcW w:w="1134" w:type="dxa"/>
            <w:tcBorders>
              <w:top w:val="nil"/>
              <w:left w:val="nil"/>
              <w:bottom w:val="single" w:color="4472C4" w:sz="8" w:space="0"/>
              <w:right w:val="nil"/>
            </w:tcBorders>
            <w:shd w:val="clear" w:color="auto" w:fill="auto"/>
            <w:noWrap/>
            <w:vAlign w:val="center"/>
            <w:hideMark/>
          </w:tcPr>
          <w:p w:rsidRPr="000C0FBA" w:rsidR="00937C73" w:rsidP="00BC08F6" w:rsidRDefault="00937C73" w14:paraId="52680E9A"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12.599</w:t>
            </w:r>
          </w:p>
        </w:tc>
        <w:tc>
          <w:tcPr>
            <w:tcW w:w="992" w:type="dxa"/>
            <w:tcBorders>
              <w:top w:val="nil"/>
              <w:left w:val="nil"/>
              <w:bottom w:val="single" w:color="4472C4" w:sz="8" w:space="0"/>
              <w:right w:val="nil"/>
            </w:tcBorders>
            <w:shd w:val="clear" w:color="auto" w:fill="auto"/>
            <w:noWrap/>
            <w:vAlign w:val="center"/>
            <w:hideMark/>
          </w:tcPr>
          <w:p w:rsidRPr="000C0FBA" w:rsidR="00937C73" w:rsidP="00BC08F6" w:rsidRDefault="00937C73" w14:paraId="7D050DE5"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12.599</w:t>
            </w:r>
          </w:p>
        </w:tc>
        <w:tc>
          <w:tcPr>
            <w:tcW w:w="1077" w:type="dxa"/>
            <w:tcBorders>
              <w:top w:val="nil"/>
              <w:left w:val="nil"/>
              <w:bottom w:val="single" w:color="4472C4" w:sz="8" w:space="0"/>
              <w:right w:val="nil"/>
            </w:tcBorders>
            <w:shd w:val="clear" w:color="auto" w:fill="auto"/>
            <w:noWrap/>
            <w:vAlign w:val="center"/>
            <w:hideMark/>
          </w:tcPr>
          <w:p w:rsidRPr="000C0FBA" w:rsidR="00937C73" w:rsidP="00BC08F6" w:rsidRDefault="00937C73" w14:paraId="45F3163B"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12.657</w:t>
            </w:r>
          </w:p>
        </w:tc>
        <w:tc>
          <w:tcPr>
            <w:tcW w:w="1050" w:type="dxa"/>
            <w:tcBorders>
              <w:top w:val="nil"/>
              <w:left w:val="nil"/>
              <w:bottom w:val="single" w:color="4472C4" w:sz="8" w:space="0"/>
              <w:right w:val="nil"/>
            </w:tcBorders>
            <w:shd w:val="clear" w:color="auto" w:fill="auto"/>
            <w:noWrap/>
            <w:vAlign w:val="center"/>
            <w:hideMark/>
          </w:tcPr>
          <w:p w:rsidRPr="000C0FBA" w:rsidR="00937C73" w:rsidP="00BC08F6" w:rsidRDefault="00937C73" w14:paraId="19A8C202"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12.657</w:t>
            </w:r>
          </w:p>
        </w:tc>
      </w:tr>
      <w:tr w:rsidRPr="000C0FBA" w:rsidR="00937C73" w:rsidTr="00BC08F6" w14:paraId="2FF73902" w14:textId="77777777">
        <w:trPr>
          <w:trHeight w:val="304"/>
        </w:trPr>
        <w:tc>
          <w:tcPr>
            <w:tcW w:w="293" w:type="dxa"/>
            <w:tcBorders>
              <w:top w:val="nil"/>
              <w:left w:val="nil"/>
              <w:bottom w:val="nil"/>
              <w:right w:val="nil"/>
            </w:tcBorders>
            <w:shd w:val="clear" w:color="auto" w:fill="auto"/>
            <w:noWrap/>
            <w:vAlign w:val="center"/>
            <w:hideMark/>
          </w:tcPr>
          <w:p w:rsidRPr="000C0FBA" w:rsidR="00937C73" w:rsidP="00BC08F6" w:rsidRDefault="00937C73" w14:paraId="58AA4180"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A</w:t>
            </w: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169FAABD" w14:textId="77777777">
            <w:pPr>
              <w:autoSpaceDN/>
              <w:spacing w:line="240" w:lineRule="auto"/>
              <w:textAlignment w:val="auto"/>
              <w:rPr>
                <w:rFonts w:eastAsia="Times New Roman" w:cs="Calibri"/>
                <w:b/>
                <w:bCs/>
                <w:sz w:val="16"/>
                <w:szCs w:val="16"/>
              </w:rPr>
            </w:pPr>
            <w:r w:rsidRPr="000C0FBA">
              <w:rPr>
                <w:rFonts w:eastAsia="Times New Roman" w:cs="Calibri"/>
                <w:b/>
                <w:bCs/>
                <w:sz w:val="16"/>
                <w:szCs w:val="16"/>
              </w:rPr>
              <w:t>Totaal begrotingscategorie</w:t>
            </w:r>
            <w:r>
              <w:rPr>
                <w:rFonts w:eastAsia="Times New Roman" w:cs="Calibri"/>
                <w:b/>
                <w:bCs/>
                <w:sz w:val="16"/>
                <w:szCs w:val="16"/>
              </w:rPr>
              <w:t>ë</w:t>
            </w:r>
            <w:r w:rsidRPr="000C0FBA">
              <w:rPr>
                <w:rFonts w:eastAsia="Times New Roman" w:cs="Calibri"/>
                <w:b/>
                <w:bCs/>
                <w:sz w:val="16"/>
                <w:szCs w:val="16"/>
              </w:rPr>
              <w:t>n</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0665C2F8"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192.744</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08F56150"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149.748</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48A2FCE6"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191.527</w:t>
            </w:r>
          </w:p>
        </w:tc>
        <w:tc>
          <w:tcPr>
            <w:tcW w:w="992" w:type="dxa"/>
            <w:tcBorders>
              <w:top w:val="nil"/>
              <w:left w:val="nil"/>
              <w:bottom w:val="nil"/>
              <w:right w:val="nil"/>
            </w:tcBorders>
            <w:shd w:val="clear" w:color="auto" w:fill="auto"/>
            <w:noWrap/>
            <w:vAlign w:val="center"/>
            <w:hideMark/>
          </w:tcPr>
          <w:p w:rsidRPr="000C0FBA" w:rsidR="00937C73" w:rsidP="00BC08F6" w:rsidRDefault="00937C73" w14:paraId="2FCCDE4B"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146.215</w:t>
            </w: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6178BBCF"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194.282</w:t>
            </w: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6FC9E8DC"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147.896</w:t>
            </w:r>
          </w:p>
        </w:tc>
      </w:tr>
      <w:tr w:rsidRPr="000C0FBA" w:rsidR="00937C73" w:rsidTr="00BC08F6" w14:paraId="12BAC324" w14:textId="77777777">
        <w:trPr>
          <w:trHeight w:val="304"/>
        </w:trPr>
        <w:tc>
          <w:tcPr>
            <w:tcW w:w="293" w:type="dxa"/>
            <w:tcBorders>
              <w:top w:val="nil"/>
              <w:left w:val="nil"/>
              <w:bottom w:val="nil"/>
              <w:right w:val="nil"/>
            </w:tcBorders>
            <w:shd w:val="clear" w:color="auto" w:fill="auto"/>
            <w:noWrap/>
            <w:vAlign w:val="center"/>
            <w:hideMark/>
          </w:tcPr>
          <w:p w:rsidRPr="000C0FBA" w:rsidR="00937C73" w:rsidP="00BC08F6" w:rsidRDefault="00937C73" w14:paraId="3A52C995" w14:textId="77777777">
            <w:pPr>
              <w:autoSpaceDN/>
              <w:spacing w:line="240" w:lineRule="auto"/>
              <w:jc w:val="right"/>
              <w:textAlignment w:val="auto"/>
              <w:rPr>
                <w:rFonts w:eastAsia="Times New Roman" w:cs="Calibri"/>
                <w:b/>
                <w:bCs/>
                <w:sz w:val="16"/>
                <w:szCs w:val="16"/>
              </w:rPr>
            </w:pP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150C3A64" w14:textId="77777777">
            <w:pPr>
              <w:autoSpaceDN/>
              <w:spacing w:line="240" w:lineRule="auto"/>
              <w:textAlignment w:val="auto"/>
              <w:rPr>
                <w:rFonts w:eastAsia="Times New Roman" w:cs="Calibri"/>
                <w:b/>
                <w:bCs/>
                <w:sz w:val="16"/>
                <w:szCs w:val="16"/>
              </w:rPr>
            </w:pPr>
            <w:r w:rsidRPr="000C0FBA">
              <w:rPr>
                <w:rFonts w:eastAsia="Times New Roman" w:cs="Calibri"/>
                <w:b/>
                <w:bCs/>
                <w:sz w:val="16"/>
                <w:szCs w:val="16"/>
              </w:rPr>
              <w:t>Overig</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1128B8F7" w14:textId="77777777">
            <w:pPr>
              <w:autoSpaceDN/>
              <w:spacing w:line="240" w:lineRule="auto"/>
              <w:textAlignment w:val="auto"/>
              <w:rPr>
                <w:rFonts w:eastAsia="Times New Roman" w:cs="Calibri"/>
                <w:b/>
                <w:bCs/>
                <w:sz w:val="16"/>
                <w:szCs w:val="16"/>
              </w:rPr>
            </w:pP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624C9CC4" w14:textId="77777777">
            <w:pPr>
              <w:autoSpaceDN/>
              <w:spacing w:line="240" w:lineRule="auto"/>
              <w:jc w:val="right"/>
              <w:textAlignment w:val="auto"/>
              <w:rPr>
                <w:rFonts w:ascii="Times New Roman" w:hAnsi="Times New Roman" w:eastAsia="Times New Roman" w:cs="Times New Roman"/>
                <w:color w:val="auto"/>
                <w:sz w:val="20"/>
                <w:szCs w:val="20"/>
              </w:rPr>
            </w:pP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3026FE85" w14:textId="77777777">
            <w:pPr>
              <w:autoSpaceDN/>
              <w:spacing w:line="240" w:lineRule="auto"/>
              <w:jc w:val="right"/>
              <w:textAlignment w:val="auto"/>
              <w:rPr>
                <w:rFonts w:ascii="Times New Roman" w:hAnsi="Times New Roman" w:eastAsia="Times New Roman" w:cs="Times New Roman"/>
                <w:color w:val="auto"/>
                <w:sz w:val="20"/>
                <w:szCs w:val="20"/>
              </w:rPr>
            </w:pPr>
          </w:p>
        </w:tc>
        <w:tc>
          <w:tcPr>
            <w:tcW w:w="992" w:type="dxa"/>
            <w:tcBorders>
              <w:top w:val="nil"/>
              <w:left w:val="nil"/>
              <w:bottom w:val="nil"/>
              <w:right w:val="nil"/>
            </w:tcBorders>
            <w:shd w:val="clear" w:color="auto" w:fill="auto"/>
            <w:noWrap/>
            <w:vAlign w:val="center"/>
            <w:hideMark/>
          </w:tcPr>
          <w:p w:rsidRPr="000C0FBA" w:rsidR="00937C73" w:rsidP="00BC08F6" w:rsidRDefault="00937C73" w14:paraId="62FEFCB2" w14:textId="77777777">
            <w:pPr>
              <w:autoSpaceDN/>
              <w:spacing w:line="240" w:lineRule="auto"/>
              <w:jc w:val="right"/>
              <w:textAlignment w:val="auto"/>
              <w:rPr>
                <w:rFonts w:ascii="Times New Roman" w:hAnsi="Times New Roman" w:eastAsia="Times New Roman" w:cs="Times New Roman"/>
                <w:color w:val="auto"/>
                <w:sz w:val="20"/>
                <w:szCs w:val="20"/>
              </w:rPr>
            </w:pP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6B312455" w14:textId="77777777">
            <w:pPr>
              <w:autoSpaceDN/>
              <w:spacing w:line="240" w:lineRule="auto"/>
              <w:jc w:val="right"/>
              <w:textAlignment w:val="auto"/>
              <w:rPr>
                <w:rFonts w:ascii="Times New Roman" w:hAnsi="Times New Roman" w:eastAsia="Times New Roman" w:cs="Times New Roman"/>
                <w:color w:val="auto"/>
                <w:sz w:val="20"/>
                <w:szCs w:val="20"/>
              </w:rPr>
            </w:pP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574BD1C1" w14:textId="77777777">
            <w:pPr>
              <w:autoSpaceDN/>
              <w:spacing w:line="240" w:lineRule="auto"/>
              <w:jc w:val="right"/>
              <w:textAlignment w:val="auto"/>
              <w:rPr>
                <w:rFonts w:ascii="Times New Roman" w:hAnsi="Times New Roman" w:eastAsia="Times New Roman" w:cs="Times New Roman"/>
                <w:color w:val="auto"/>
                <w:sz w:val="20"/>
                <w:szCs w:val="20"/>
              </w:rPr>
            </w:pPr>
          </w:p>
        </w:tc>
      </w:tr>
      <w:tr w:rsidRPr="000C0FBA" w:rsidR="00937C73" w:rsidTr="00BC08F6" w14:paraId="18C26645" w14:textId="77777777">
        <w:trPr>
          <w:trHeight w:val="304"/>
        </w:trPr>
        <w:tc>
          <w:tcPr>
            <w:tcW w:w="293" w:type="dxa"/>
            <w:tcBorders>
              <w:top w:val="nil"/>
              <w:left w:val="nil"/>
              <w:bottom w:val="nil"/>
              <w:right w:val="nil"/>
            </w:tcBorders>
            <w:shd w:val="clear" w:color="auto" w:fill="auto"/>
            <w:noWrap/>
            <w:vAlign w:val="center"/>
            <w:hideMark/>
          </w:tcPr>
          <w:p w:rsidRPr="000C0FBA" w:rsidR="00937C73" w:rsidP="00BC08F6" w:rsidRDefault="00937C73" w14:paraId="21DCF061"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B</w:t>
            </w: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33FE8AD6" w14:textId="77777777">
            <w:pPr>
              <w:autoSpaceDN/>
              <w:spacing w:line="240" w:lineRule="auto"/>
              <w:textAlignment w:val="auto"/>
              <w:rPr>
                <w:rFonts w:eastAsia="Times New Roman" w:cs="Calibri"/>
                <w:sz w:val="16"/>
                <w:szCs w:val="16"/>
              </w:rPr>
            </w:pPr>
            <w:r w:rsidRPr="000C0FBA">
              <w:rPr>
                <w:rFonts w:eastAsia="Times New Roman" w:cs="Calibri"/>
                <w:sz w:val="16"/>
                <w:szCs w:val="16"/>
              </w:rPr>
              <w:t xml:space="preserve">Speciale instrumenten </w:t>
            </w:r>
            <w:proofErr w:type="spellStart"/>
            <w:r w:rsidRPr="000C0FBA">
              <w:rPr>
                <w:rFonts w:eastAsia="Times New Roman" w:cs="Calibri"/>
                <w:sz w:val="16"/>
                <w:szCs w:val="16"/>
              </w:rPr>
              <w:t>headings</w:t>
            </w:r>
            <w:proofErr w:type="spellEnd"/>
          </w:p>
        </w:tc>
        <w:tc>
          <w:tcPr>
            <w:tcW w:w="1134" w:type="dxa"/>
            <w:tcBorders>
              <w:top w:val="nil"/>
              <w:left w:val="nil"/>
              <w:bottom w:val="nil"/>
              <w:right w:val="nil"/>
            </w:tcBorders>
            <w:shd w:val="clear" w:color="auto" w:fill="auto"/>
            <w:noWrap/>
            <w:vAlign w:val="center"/>
            <w:hideMark/>
          </w:tcPr>
          <w:p w:rsidRPr="000C0FBA" w:rsidR="00937C73" w:rsidP="00BC08F6" w:rsidRDefault="00937C73" w14:paraId="4721062A"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2.962</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58F64B9A"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2.517</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7BBF44AF"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2.099</w:t>
            </w:r>
          </w:p>
        </w:tc>
        <w:tc>
          <w:tcPr>
            <w:tcW w:w="992" w:type="dxa"/>
            <w:tcBorders>
              <w:top w:val="nil"/>
              <w:left w:val="nil"/>
              <w:bottom w:val="nil"/>
              <w:right w:val="nil"/>
            </w:tcBorders>
            <w:shd w:val="clear" w:color="auto" w:fill="auto"/>
            <w:noWrap/>
            <w:vAlign w:val="center"/>
            <w:hideMark/>
          </w:tcPr>
          <w:p w:rsidRPr="000C0FBA" w:rsidR="00937C73" w:rsidP="00BC08F6" w:rsidRDefault="00937C73" w14:paraId="73BAE36F"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2.165</w:t>
            </w: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63B40EE3"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3.771</w:t>
            </w: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0DABF428"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3.503</w:t>
            </w:r>
          </w:p>
        </w:tc>
      </w:tr>
      <w:tr w:rsidRPr="000C0FBA" w:rsidR="00937C73" w:rsidTr="00BC08F6" w14:paraId="782A7166" w14:textId="77777777">
        <w:trPr>
          <w:trHeight w:val="304"/>
        </w:trPr>
        <w:tc>
          <w:tcPr>
            <w:tcW w:w="293" w:type="dxa"/>
            <w:tcBorders>
              <w:top w:val="nil"/>
              <w:left w:val="nil"/>
              <w:bottom w:val="nil"/>
              <w:right w:val="nil"/>
            </w:tcBorders>
            <w:shd w:val="clear" w:color="auto" w:fill="auto"/>
            <w:noWrap/>
            <w:vAlign w:val="center"/>
            <w:hideMark/>
          </w:tcPr>
          <w:p w:rsidRPr="000C0FBA" w:rsidR="00937C73" w:rsidP="00BC08F6" w:rsidRDefault="00937C73" w14:paraId="74DA2055"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C</w:t>
            </w: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6F1750B7" w14:textId="77777777">
            <w:pPr>
              <w:autoSpaceDN/>
              <w:spacing w:line="240" w:lineRule="auto"/>
              <w:textAlignment w:val="auto"/>
              <w:rPr>
                <w:rFonts w:eastAsia="Times New Roman" w:cs="Calibri"/>
                <w:sz w:val="16"/>
                <w:szCs w:val="16"/>
              </w:rPr>
            </w:pPr>
            <w:r w:rsidRPr="000C0FBA">
              <w:rPr>
                <w:rFonts w:eastAsia="Times New Roman" w:cs="Calibri"/>
                <w:sz w:val="16"/>
                <w:szCs w:val="16"/>
              </w:rPr>
              <w:t>Marge onder het MFK-plafond</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6C8075C9"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762</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1733A339"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28.148</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33097748"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1.116</w:t>
            </w:r>
          </w:p>
        </w:tc>
        <w:tc>
          <w:tcPr>
            <w:tcW w:w="992" w:type="dxa"/>
            <w:tcBorders>
              <w:top w:val="nil"/>
              <w:left w:val="nil"/>
              <w:bottom w:val="nil"/>
              <w:right w:val="nil"/>
            </w:tcBorders>
            <w:shd w:val="clear" w:color="auto" w:fill="auto"/>
            <w:noWrap/>
            <w:vAlign w:val="center"/>
            <w:hideMark/>
          </w:tcPr>
          <w:p w:rsidRPr="000C0FBA" w:rsidR="00937C73" w:rsidP="00BC08F6" w:rsidRDefault="00937C73" w14:paraId="0D31DA21"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31.329</w:t>
            </w: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4C89D6B7"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32.500</w:t>
            </w: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5EFF0332"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30.986</w:t>
            </w:r>
          </w:p>
        </w:tc>
      </w:tr>
      <w:tr w:rsidRPr="000C0FBA" w:rsidR="00937C73" w:rsidTr="00BC08F6" w14:paraId="5D230939" w14:textId="77777777">
        <w:trPr>
          <w:trHeight w:val="304"/>
        </w:trPr>
        <w:tc>
          <w:tcPr>
            <w:tcW w:w="293" w:type="dxa"/>
            <w:tcBorders>
              <w:top w:val="nil"/>
              <w:left w:val="nil"/>
              <w:bottom w:val="nil"/>
              <w:right w:val="nil"/>
            </w:tcBorders>
            <w:shd w:val="clear" w:color="auto" w:fill="auto"/>
            <w:noWrap/>
            <w:vAlign w:val="center"/>
            <w:hideMark/>
          </w:tcPr>
          <w:p w:rsidRPr="000C0FBA" w:rsidR="00937C73" w:rsidP="00BC08F6" w:rsidRDefault="00937C73" w14:paraId="0F4D46E6"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D</w:t>
            </w: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22A5AE50" w14:textId="77777777">
            <w:pPr>
              <w:autoSpaceDN/>
              <w:spacing w:line="240" w:lineRule="auto"/>
              <w:textAlignment w:val="auto"/>
              <w:rPr>
                <w:rFonts w:eastAsia="Times New Roman" w:cs="Calibri"/>
                <w:sz w:val="16"/>
                <w:szCs w:val="16"/>
              </w:rPr>
            </w:pPr>
            <w:r w:rsidRPr="000C0FBA">
              <w:rPr>
                <w:rFonts w:eastAsia="Times New Roman" w:cs="Calibri"/>
                <w:sz w:val="16"/>
                <w:szCs w:val="16"/>
              </w:rPr>
              <w:t>Totaal MFK-plafond (A-B+C)</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491CF4D9"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190.544</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76EA151A"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175.378</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0D387258"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190.544</w:t>
            </w:r>
          </w:p>
        </w:tc>
        <w:tc>
          <w:tcPr>
            <w:tcW w:w="992" w:type="dxa"/>
            <w:tcBorders>
              <w:top w:val="nil"/>
              <w:left w:val="nil"/>
              <w:bottom w:val="nil"/>
              <w:right w:val="nil"/>
            </w:tcBorders>
            <w:shd w:val="clear" w:color="auto" w:fill="auto"/>
            <w:noWrap/>
            <w:vAlign w:val="center"/>
            <w:hideMark/>
          </w:tcPr>
          <w:p w:rsidRPr="000C0FBA" w:rsidR="00937C73" w:rsidP="00BC08F6" w:rsidRDefault="00937C73" w14:paraId="49876306"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175.378</w:t>
            </w: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69EEBAD6"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223.012</w:t>
            </w: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0682A5E5"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175.378</w:t>
            </w:r>
          </w:p>
        </w:tc>
      </w:tr>
      <w:tr w:rsidRPr="000C0FBA" w:rsidR="00937C73" w:rsidTr="00BC08F6" w14:paraId="374B1D09" w14:textId="77777777">
        <w:trPr>
          <w:trHeight w:val="320"/>
        </w:trPr>
        <w:tc>
          <w:tcPr>
            <w:tcW w:w="293" w:type="dxa"/>
            <w:tcBorders>
              <w:top w:val="nil"/>
              <w:left w:val="nil"/>
              <w:bottom w:val="nil"/>
              <w:right w:val="nil"/>
            </w:tcBorders>
            <w:shd w:val="clear" w:color="auto" w:fill="auto"/>
            <w:noWrap/>
            <w:vAlign w:val="center"/>
            <w:hideMark/>
          </w:tcPr>
          <w:p w:rsidRPr="000C0FBA" w:rsidR="00937C73" w:rsidP="00BC08F6" w:rsidRDefault="00937C73" w14:paraId="2425B10A"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E</w:t>
            </w:r>
          </w:p>
        </w:tc>
        <w:tc>
          <w:tcPr>
            <w:tcW w:w="4474" w:type="dxa"/>
            <w:tcBorders>
              <w:top w:val="nil"/>
              <w:left w:val="nil"/>
              <w:bottom w:val="single" w:color="4472C4" w:sz="8" w:space="0"/>
              <w:right w:val="single" w:color="4472C4" w:sz="8" w:space="0"/>
            </w:tcBorders>
            <w:shd w:val="clear" w:color="auto" w:fill="auto"/>
            <w:noWrap/>
            <w:vAlign w:val="center"/>
            <w:hideMark/>
          </w:tcPr>
          <w:p w:rsidRPr="000C0FBA" w:rsidR="00937C73" w:rsidP="00BC08F6" w:rsidRDefault="00937C73" w14:paraId="5505A499" w14:textId="77777777">
            <w:pPr>
              <w:autoSpaceDN/>
              <w:spacing w:line="240" w:lineRule="auto"/>
              <w:textAlignment w:val="auto"/>
              <w:rPr>
                <w:rFonts w:eastAsia="Times New Roman" w:cs="Calibri"/>
                <w:sz w:val="16"/>
                <w:szCs w:val="16"/>
              </w:rPr>
            </w:pPr>
            <w:r w:rsidRPr="000C0FBA">
              <w:rPr>
                <w:rFonts w:eastAsia="Times New Roman" w:cs="Calibri"/>
                <w:sz w:val="16"/>
                <w:szCs w:val="16"/>
              </w:rPr>
              <w:t>Thematische speciale instrumenten</w:t>
            </w:r>
          </w:p>
        </w:tc>
        <w:tc>
          <w:tcPr>
            <w:tcW w:w="1134" w:type="dxa"/>
            <w:tcBorders>
              <w:top w:val="nil"/>
              <w:left w:val="nil"/>
              <w:bottom w:val="single" w:color="4472C4" w:sz="8" w:space="0"/>
              <w:right w:val="nil"/>
            </w:tcBorders>
            <w:shd w:val="clear" w:color="auto" w:fill="auto"/>
            <w:noWrap/>
            <w:vAlign w:val="center"/>
            <w:hideMark/>
          </w:tcPr>
          <w:p w:rsidRPr="000C0FBA" w:rsidR="00937C73" w:rsidP="00BC08F6" w:rsidRDefault="00937C73" w14:paraId="548864DC"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6.670</w:t>
            </w:r>
          </w:p>
        </w:tc>
        <w:tc>
          <w:tcPr>
            <w:tcW w:w="1134" w:type="dxa"/>
            <w:tcBorders>
              <w:top w:val="nil"/>
              <w:left w:val="nil"/>
              <w:bottom w:val="single" w:color="4472C4" w:sz="8" w:space="0"/>
              <w:right w:val="nil"/>
            </w:tcBorders>
            <w:shd w:val="clear" w:color="auto" w:fill="auto"/>
            <w:noWrap/>
            <w:vAlign w:val="center"/>
            <w:hideMark/>
          </w:tcPr>
          <w:p w:rsidRPr="000C0FBA" w:rsidR="00937C73" w:rsidP="00BC08F6" w:rsidRDefault="00937C73" w14:paraId="0F923F9D"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5.594</w:t>
            </w:r>
          </w:p>
        </w:tc>
        <w:tc>
          <w:tcPr>
            <w:tcW w:w="1134" w:type="dxa"/>
            <w:tcBorders>
              <w:top w:val="nil"/>
              <w:left w:val="nil"/>
              <w:bottom w:val="single" w:color="4472C4" w:sz="8" w:space="0"/>
              <w:right w:val="nil"/>
            </w:tcBorders>
            <w:shd w:val="clear" w:color="auto" w:fill="auto"/>
            <w:noWrap/>
            <w:vAlign w:val="center"/>
            <w:hideMark/>
          </w:tcPr>
          <w:p w:rsidRPr="000C0FBA" w:rsidR="00937C73" w:rsidP="00BC08F6" w:rsidRDefault="00937C73" w14:paraId="789F2EE4"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6.670</w:t>
            </w:r>
          </w:p>
        </w:tc>
        <w:tc>
          <w:tcPr>
            <w:tcW w:w="992" w:type="dxa"/>
            <w:tcBorders>
              <w:top w:val="nil"/>
              <w:left w:val="nil"/>
              <w:bottom w:val="single" w:color="4472C4" w:sz="8" w:space="0"/>
              <w:right w:val="nil"/>
            </w:tcBorders>
            <w:shd w:val="clear" w:color="auto" w:fill="auto"/>
            <w:noWrap/>
            <w:vAlign w:val="center"/>
            <w:hideMark/>
          </w:tcPr>
          <w:p w:rsidRPr="000C0FBA" w:rsidR="00937C73" w:rsidP="00BC08F6" w:rsidRDefault="00937C73" w14:paraId="0DD6DE43"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5.594</w:t>
            </w:r>
          </w:p>
        </w:tc>
        <w:tc>
          <w:tcPr>
            <w:tcW w:w="1077" w:type="dxa"/>
            <w:tcBorders>
              <w:top w:val="nil"/>
              <w:left w:val="nil"/>
              <w:bottom w:val="single" w:color="4472C4" w:sz="8" w:space="0"/>
              <w:right w:val="nil"/>
            </w:tcBorders>
            <w:shd w:val="clear" w:color="auto" w:fill="auto"/>
            <w:noWrap/>
            <w:vAlign w:val="center"/>
            <w:hideMark/>
          </w:tcPr>
          <w:p w:rsidRPr="000C0FBA" w:rsidR="00937C73" w:rsidP="00BC08F6" w:rsidRDefault="00937C73" w14:paraId="07196684"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6.670</w:t>
            </w:r>
          </w:p>
        </w:tc>
        <w:tc>
          <w:tcPr>
            <w:tcW w:w="1050" w:type="dxa"/>
            <w:tcBorders>
              <w:top w:val="nil"/>
              <w:left w:val="nil"/>
              <w:bottom w:val="single" w:color="4472C4" w:sz="8" w:space="0"/>
              <w:right w:val="nil"/>
            </w:tcBorders>
            <w:shd w:val="clear" w:color="auto" w:fill="auto"/>
            <w:noWrap/>
            <w:vAlign w:val="center"/>
            <w:hideMark/>
          </w:tcPr>
          <w:p w:rsidRPr="000C0FBA" w:rsidR="00937C73" w:rsidP="00BC08F6" w:rsidRDefault="00937C73" w14:paraId="747E95F0" w14:textId="77777777">
            <w:pPr>
              <w:autoSpaceDN/>
              <w:spacing w:line="240" w:lineRule="auto"/>
              <w:jc w:val="right"/>
              <w:textAlignment w:val="auto"/>
              <w:rPr>
                <w:rFonts w:eastAsia="Times New Roman" w:cs="Calibri"/>
                <w:sz w:val="16"/>
                <w:szCs w:val="16"/>
              </w:rPr>
            </w:pPr>
            <w:r w:rsidRPr="000C0FBA">
              <w:rPr>
                <w:rFonts w:eastAsia="Times New Roman" w:cs="Calibri"/>
                <w:sz w:val="16"/>
                <w:szCs w:val="16"/>
              </w:rPr>
              <w:t>5.594</w:t>
            </w:r>
          </w:p>
        </w:tc>
      </w:tr>
      <w:tr w:rsidRPr="000C0FBA" w:rsidR="00937C73" w:rsidTr="00BC08F6" w14:paraId="272908EE" w14:textId="77777777">
        <w:trPr>
          <w:trHeight w:val="304"/>
        </w:trPr>
        <w:tc>
          <w:tcPr>
            <w:tcW w:w="293" w:type="dxa"/>
            <w:tcBorders>
              <w:top w:val="nil"/>
              <w:left w:val="nil"/>
              <w:bottom w:val="nil"/>
              <w:right w:val="nil"/>
            </w:tcBorders>
            <w:shd w:val="clear" w:color="auto" w:fill="auto"/>
            <w:noWrap/>
            <w:vAlign w:val="center"/>
            <w:hideMark/>
          </w:tcPr>
          <w:p w:rsidRPr="000C0FBA" w:rsidR="00937C73" w:rsidP="00BC08F6" w:rsidRDefault="00937C73" w14:paraId="57A5BE0E"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F</w:t>
            </w:r>
          </w:p>
        </w:tc>
        <w:tc>
          <w:tcPr>
            <w:tcW w:w="4474" w:type="dxa"/>
            <w:tcBorders>
              <w:top w:val="nil"/>
              <w:left w:val="nil"/>
              <w:bottom w:val="nil"/>
              <w:right w:val="single" w:color="4472C4" w:sz="8" w:space="0"/>
            </w:tcBorders>
            <w:shd w:val="clear" w:color="auto" w:fill="auto"/>
            <w:noWrap/>
            <w:vAlign w:val="center"/>
            <w:hideMark/>
          </w:tcPr>
          <w:p w:rsidRPr="000C0FBA" w:rsidR="00937C73" w:rsidP="00BC08F6" w:rsidRDefault="00937C73" w14:paraId="0C790C7C" w14:textId="77777777">
            <w:pPr>
              <w:autoSpaceDN/>
              <w:spacing w:line="240" w:lineRule="auto"/>
              <w:textAlignment w:val="auto"/>
              <w:rPr>
                <w:rFonts w:eastAsia="Times New Roman" w:cs="Calibri"/>
                <w:b/>
                <w:bCs/>
                <w:sz w:val="16"/>
                <w:szCs w:val="16"/>
              </w:rPr>
            </w:pPr>
            <w:r w:rsidRPr="000C0FBA">
              <w:rPr>
                <w:rFonts w:eastAsia="Times New Roman" w:cs="Calibri"/>
                <w:b/>
                <w:bCs/>
                <w:sz w:val="16"/>
                <w:szCs w:val="16"/>
              </w:rPr>
              <w:t>Totaal incl. thematische instrumenten (A+E)</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1AE0AC05"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199.414</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3833ED6B"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155.341</w:t>
            </w:r>
          </w:p>
        </w:tc>
        <w:tc>
          <w:tcPr>
            <w:tcW w:w="1134" w:type="dxa"/>
            <w:tcBorders>
              <w:top w:val="nil"/>
              <w:left w:val="nil"/>
              <w:bottom w:val="nil"/>
              <w:right w:val="nil"/>
            </w:tcBorders>
            <w:shd w:val="clear" w:color="auto" w:fill="auto"/>
            <w:noWrap/>
            <w:vAlign w:val="center"/>
            <w:hideMark/>
          </w:tcPr>
          <w:p w:rsidRPr="000C0FBA" w:rsidR="00937C73" w:rsidP="00BC08F6" w:rsidRDefault="00937C73" w14:paraId="3B280527"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198.197</w:t>
            </w:r>
          </w:p>
        </w:tc>
        <w:tc>
          <w:tcPr>
            <w:tcW w:w="992" w:type="dxa"/>
            <w:tcBorders>
              <w:top w:val="nil"/>
              <w:left w:val="nil"/>
              <w:bottom w:val="nil"/>
              <w:right w:val="nil"/>
            </w:tcBorders>
            <w:shd w:val="clear" w:color="auto" w:fill="auto"/>
            <w:noWrap/>
            <w:vAlign w:val="center"/>
            <w:hideMark/>
          </w:tcPr>
          <w:p w:rsidRPr="000C0FBA" w:rsidR="00937C73" w:rsidP="00BC08F6" w:rsidRDefault="00937C73" w14:paraId="095A767F"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151.808</w:t>
            </w:r>
          </w:p>
        </w:tc>
        <w:tc>
          <w:tcPr>
            <w:tcW w:w="1077" w:type="dxa"/>
            <w:tcBorders>
              <w:top w:val="nil"/>
              <w:left w:val="nil"/>
              <w:bottom w:val="nil"/>
              <w:right w:val="nil"/>
            </w:tcBorders>
            <w:shd w:val="clear" w:color="auto" w:fill="auto"/>
            <w:noWrap/>
            <w:vAlign w:val="center"/>
            <w:hideMark/>
          </w:tcPr>
          <w:p w:rsidRPr="000C0FBA" w:rsidR="00937C73" w:rsidP="00BC08F6" w:rsidRDefault="00937C73" w14:paraId="6E80AAFE"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200.952</w:t>
            </w:r>
          </w:p>
        </w:tc>
        <w:tc>
          <w:tcPr>
            <w:tcW w:w="1050" w:type="dxa"/>
            <w:tcBorders>
              <w:top w:val="nil"/>
              <w:left w:val="nil"/>
              <w:bottom w:val="nil"/>
              <w:right w:val="nil"/>
            </w:tcBorders>
            <w:shd w:val="clear" w:color="auto" w:fill="auto"/>
            <w:noWrap/>
            <w:vAlign w:val="center"/>
            <w:hideMark/>
          </w:tcPr>
          <w:p w:rsidRPr="000C0FBA" w:rsidR="00937C73" w:rsidP="00BC08F6" w:rsidRDefault="00937C73" w14:paraId="592CCFB4" w14:textId="77777777">
            <w:pPr>
              <w:autoSpaceDN/>
              <w:spacing w:line="240" w:lineRule="auto"/>
              <w:jc w:val="right"/>
              <w:textAlignment w:val="auto"/>
              <w:rPr>
                <w:rFonts w:eastAsia="Times New Roman" w:cs="Calibri"/>
                <w:b/>
                <w:bCs/>
                <w:sz w:val="16"/>
                <w:szCs w:val="16"/>
              </w:rPr>
            </w:pPr>
            <w:r w:rsidRPr="000C0FBA">
              <w:rPr>
                <w:rFonts w:eastAsia="Times New Roman" w:cs="Calibri"/>
                <w:b/>
                <w:bCs/>
                <w:sz w:val="16"/>
                <w:szCs w:val="16"/>
              </w:rPr>
              <w:t>153.489</w:t>
            </w:r>
          </w:p>
        </w:tc>
      </w:tr>
    </w:tbl>
    <w:p w:rsidRPr="00937C73" w:rsidR="00937C73" w:rsidP="00937C73" w:rsidRDefault="00937C73" w14:paraId="6C485273" w14:textId="77777777"/>
    <w:p w:rsidR="006B413E" w:rsidP="00937C73" w:rsidRDefault="006B413E" w14:paraId="2D8FE443" w14:textId="77777777"/>
    <w:sectPr w:rsidR="006B413E">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0300" w14:textId="77777777" w:rsidR="00937C73" w:rsidRDefault="00937C73">
      <w:pPr>
        <w:spacing w:line="240" w:lineRule="auto"/>
      </w:pPr>
      <w:r>
        <w:separator/>
      </w:r>
    </w:p>
  </w:endnote>
  <w:endnote w:type="continuationSeparator" w:id="0">
    <w:p w14:paraId="24AD36CA" w14:textId="77777777" w:rsidR="00937C73" w:rsidRDefault="00937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LT Pro">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EDB7" w14:textId="77777777" w:rsidR="00937C73" w:rsidRDefault="00937C73">
      <w:pPr>
        <w:spacing w:line="240" w:lineRule="auto"/>
      </w:pPr>
      <w:r>
        <w:separator/>
      </w:r>
    </w:p>
  </w:footnote>
  <w:footnote w:type="continuationSeparator" w:id="0">
    <w:p w14:paraId="45EC38F5" w14:textId="77777777" w:rsidR="00937C73" w:rsidRDefault="00937C73">
      <w:pPr>
        <w:spacing w:line="240" w:lineRule="auto"/>
      </w:pPr>
      <w:r>
        <w:continuationSeparator/>
      </w:r>
    </w:p>
  </w:footnote>
  <w:footnote w:id="1">
    <w:p w14:paraId="212176B4" w14:textId="77777777" w:rsidR="00937C73" w:rsidRPr="00905535" w:rsidRDefault="00937C73" w:rsidP="00937C73">
      <w:pPr>
        <w:pStyle w:val="Voetnoottekst"/>
        <w:rPr>
          <w:sz w:val="14"/>
          <w:szCs w:val="14"/>
          <w:lang w:val="nl-NL"/>
        </w:rPr>
      </w:pPr>
      <w:r w:rsidRPr="00905535">
        <w:rPr>
          <w:rStyle w:val="Voetnootmarkering"/>
          <w:sz w:val="14"/>
          <w:szCs w:val="14"/>
        </w:rPr>
        <w:footnoteRef/>
      </w:r>
      <w:r w:rsidRPr="00905535">
        <w:rPr>
          <w:sz w:val="14"/>
          <w:szCs w:val="14"/>
          <w:lang w:val="nl-NL"/>
        </w:rPr>
        <w:t xml:space="preserve"> Kamerstuk II 2023-2024, 21 501-03, nr. 1</w:t>
      </w:r>
      <w:r>
        <w:rPr>
          <w:sz w:val="14"/>
          <w:szCs w:val="14"/>
          <w:lang w:val="nl-NL"/>
        </w:rPr>
        <w:t>84</w:t>
      </w:r>
    </w:p>
  </w:footnote>
  <w:footnote w:id="2">
    <w:p w14:paraId="1BD3A698" w14:textId="77777777" w:rsidR="00937C73" w:rsidRPr="007616E4" w:rsidRDefault="00937C73" w:rsidP="00937C73">
      <w:pPr>
        <w:pStyle w:val="Voetnoottekst"/>
        <w:rPr>
          <w:sz w:val="14"/>
          <w:szCs w:val="14"/>
          <w:lang w:val="nl-NL"/>
        </w:rPr>
      </w:pPr>
      <w:r w:rsidRPr="00905535">
        <w:rPr>
          <w:rStyle w:val="Voetnootmarkering"/>
          <w:sz w:val="14"/>
          <w:szCs w:val="14"/>
        </w:rPr>
        <w:footnoteRef/>
      </w:r>
      <w:r w:rsidRPr="007616E4">
        <w:rPr>
          <w:sz w:val="14"/>
          <w:szCs w:val="14"/>
          <w:lang w:val="nl-NL"/>
        </w:rPr>
        <w:t xml:space="preserve"> Kamerstuk II 2024-2024, 21 501-03, nr. 185</w:t>
      </w:r>
    </w:p>
  </w:footnote>
  <w:footnote w:id="3">
    <w:p w14:paraId="21AAC879" w14:textId="77777777" w:rsidR="00937C73" w:rsidRPr="00386565" w:rsidRDefault="00937C73" w:rsidP="00937C73">
      <w:pPr>
        <w:pStyle w:val="Voetnoottekst"/>
        <w:rPr>
          <w:sz w:val="14"/>
          <w:szCs w:val="14"/>
          <w:lang w:val="nl-NL"/>
        </w:rPr>
      </w:pPr>
      <w:r w:rsidRPr="00386565">
        <w:rPr>
          <w:rStyle w:val="Voetnootmarkering"/>
          <w:sz w:val="14"/>
          <w:szCs w:val="14"/>
        </w:rPr>
        <w:footnoteRef/>
      </w:r>
      <w:r w:rsidRPr="00386565">
        <w:rPr>
          <w:sz w:val="14"/>
          <w:szCs w:val="14"/>
          <w:lang w:val="nl-NL"/>
        </w:rPr>
        <w:t xml:space="preserve"> </w:t>
      </w:r>
      <w:hyperlink r:id="rId1" w:history="1">
        <w:r w:rsidRPr="00423216">
          <w:rPr>
            <w:rStyle w:val="Hyperlink"/>
            <w:sz w:val="14"/>
            <w:szCs w:val="14"/>
            <w:lang w:val="nl-NL"/>
          </w:rPr>
          <w:t>https://www.europarl.europa.eu/doceo/document/A-10-2024-0008_EN.html</w:t>
        </w:r>
      </w:hyperlink>
    </w:p>
  </w:footnote>
  <w:footnote w:id="4">
    <w:p w14:paraId="2FD986BA" w14:textId="77777777" w:rsidR="00937C73" w:rsidRPr="0030500E" w:rsidRDefault="00937C73" w:rsidP="00937C73">
      <w:pPr>
        <w:pStyle w:val="Voetnoottekst"/>
        <w:rPr>
          <w:sz w:val="14"/>
          <w:szCs w:val="14"/>
          <w:lang w:val="nl-NL"/>
        </w:rPr>
      </w:pPr>
      <w:r w:rsidRPr="0030500E">
        <w:rPr>
          <w:rStyle w:val="Voetnootmarkering"/>
          <w:sz w:val="14"/>
          <w:szCs w:val="14"/>
        </w:rPr>
        <w:footnoteRef/>
      </w:r>
      <w:r w:rsidRPr="0030500E">
        <w:rPr>
          <w:sz w:val="14"/>
          <w:szCs w:val="14"/>
          <w:lang w:val="nl-NL"/>
        </w:rPr>
        <w:t xml:space="preserve"> Vastleggingen zijn de wettelijke (of contractuele) verplichtingen die worden aangegaan. Betalingen zijn de kasuitgaven, volgend uit vastleggingen.</w:t>
      </w:r>
    </w:p>
  </w:footnote>
  <w:footnote w:id="5">
    <w:p w14:paraId="47124CF6" w14:textId="77777777" w:rsidR="00937C73" w:rsidRPr="0066322D" w:rsidRDefault="00937C73" w:rsidP="00937C73">
      <w:pPr>
        <w:pStyle w:val="Voetnoottekst"/>
        <w:rPr>
          <w:sz w:val="14"/>
          <w:szCs w:val="14"/>
          <w:lang w:val="nl-NL"/>
        </w:rPr>
      </w:pPr>
      <w:r w:rsidRPr="0066322D">
        <w:rPr>
          <w:rStyle w:val="Voetnootmarkering"/>
          <w:sz w:val="14"/>
          <w:szCs w:val="14"/>
        </w:rPr>
        <w:footnoteRef/>
      </w:r>
      <w:r w:rsidRPr="0066322D">
        <w:rPr>
          <w:sz w:val="14"/>
          <w:szCs w:val="14"/>
          <w:lang w:val="nl-NL"/>
        </w:rPr>
        <w:t xml:space="preserve"> </w:t>
      </w:r>
      <w:hyperlink r:id="rId2" w:history="1">
        <w:r w:rsidRPr="004B72CB">
          <w:rPr>
            <w:rStyle w:val="Hyperlink"/>
            <w:sz w:val="14"/>
            <w:szCs w:val="14"/>
            <w:lang w:val="nl-NL"/>
          </w:rPr>
          <w:t>https://eur-lex.europa.eu/EN/legal-content/summary/eu-multiannual-financial-framework-2021-2027.html</w:t>
        </w:r>
      </w:hyperlink>
      <w:r>
        <w:rPr>
          <w:sz w:val="14"/>
          <w:szCs w:val="14"/>
          <w:lang w:val="nl-NL"/>
        </w:rPr>
        <w:t xml:space="preserve"> </w:t>
      </w:r>
    </w:p>
  </w:footnote>
  <w:footnote w:id="6">
    <w:p w14:paraId="241F4678" w14:textId="77777777" w:rsidR="00937C73" w:rsidRPr="00641E3B" w:rsidRDefault="00937C73" w:rsidP="00937C73">
      <w:pPr>
        <w:pStyle w:val="Voetnoottekst"/>
        <w:rPr>
          <w:sz w:val="14"/>
          <w:szCs w:val="14"/>
          <w:lang w:val="nl-NL"/>
        </w:rPr>
      </w:pPr>
      <w:r w:rsidRPr="00C9387E">
        <w:rPr>
          <w:rStyle w:val="Voetnootmarkering"/>
          <w:sz w:val="14"/>
          <w:szCs w:val="14"/>
        </w:rPr>
        <w:footnoteRef/>
      </w:r>
      <w:r w:rsidRPr="00C9387E">
        <w:rPr>
          <w:sz w:val="14"/>
          <w:szCs w:val="14"/>
          <w:lang w:val="nl-NL"/>
        </w:rPr>
        <w:t xml:space="preserve"> </w:t>
      </w:r>
      <w:hyperlink r:id="rId3" w:anchor="_section1" w:history="1"/>
      <w:hyperlink r:id="rId4" w:history="1"/>
      <w:r w:rsidRPr="00C9387E">
        <w:rPr>
          <w:sz w:val="14"/>
          <w:szCs w:val="14"/>
          <w:lang w:val="nl-NL"/>
        </w:rPr>
        <w:t xml:space="preserve"> </w:t>
      </w:r>
      <w:hyperlink r:id="rId5" w:history="1">
        <w:r w:rsidRPr="00C9387E">
          <w:rPr>
            <w:rStyle w:val="Hyperlink"/>
            <w:sz w:val="14"/>
            <w:szCs w:val="14"/>
            <w:lang w:val="nl-NL"/>
          </w:rPr>
          <w:t>https://www.europarl.europa.eu/doceo/document/A-10-2024-0008_EN.html</w:t>
        </w:r>
      </w:hyperlink>
      <w:r>
        <w:rPr>
          <w:rStyle w:val="Hyperlink"/>
          <w:sz w:val="14"/>
          <w:szCs w:val="14"/>
          <w:lang w:val="nl-NL"/>
        </w:rPr>
        <w:t xml:space="preserve"> </w:t>
      </w:r>
    </w:p>
  </w:footnote>
  <w:footnote w:id="7">
    <w:p w14:paraId="5EDF3FE9" w14:textId="77777777" w:rsidR="00937C73" w:rsidRPr="0066322D" w:rsidRDefault="00937C73" w:rsidP="00937C73">
      <w:pPr>
        <w:pStyle w:val="Voetnoottekst"/>
        <w:rPr>
          <w:sz w:val="14"/>
          <w:szCs w:val="14"/>
          <w:lang w:val="nl-NL"/>
        </w:rPr>
      </w:pPr>
      <w:r w:rsidRPr="009E5166">
        <w:rPr>
          <w:rStyle w:val="Voetnootmarkering"/>
          <w:sz w:val="14"/>
          <w:szCs w:val="14"/>
        </w:rPr>
        <w:footnoteRef/>
      </w:r>
      <w:r w:rsidRPr="0066322D">
        <w:rPr>
          <w:sz w:val="14"/>
          <w:szCs w:val="14"/>
          <w:lang w:val="nl-NL"/>
        </w:rPr>
        <w:t xml:space="preserve"> Kamerstuk II 2024-2024, 21 501-03, nr.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3196" w14:textId="77777777" w:rsidR="006B413E" w:rsidRDefault="00937C73">
    <w:r>
      <w:rPr>
        <w:noProof/>
      </w:rPr>
      <mc:AlternateContent>
        <mc:Choice Requires="wps">
          <w:drawing>
            <wp:anchor distT="0" distB="0" distL="0" distR="0" simplePos="0" relativeHeight="251652096" behindDoc="0" locked="1" layoutInCell="1" allowOverlap="1" wp14:anchorId="2460C842" wp14:editId="2FEF59F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3CD012A" w14:textId="77777777" w:rsidR="006B413E" w:rsidRDefault="00937C73">
                          <w:pPr>
                            <w:pStyle w:val="StandaardReferentiegegevensKop"/>
                          </w:pPr>
                          <w:r>
                            <w:t>Directie Buitenlandse Financiële Betrekkingen</w:t>
                          </w:r>
                        </w:p>
                        <w:p w14:paraId="4AB28B3D" w14:textId="77777777" w:rsidR="006B413E" w:rsidRDefault="006B413E">
                          <w:pPr>
                            <w:pStyle w:val="WitregelW1"/>
                          </w:pPr>
                        </w:p>
                        <w:p w14:paraId="3E947AFA" w14:textId="77777777" w:rsidR="006B413E" w:rsidRDefault="00937C73">
                          <w:pPr>
                            <w:pStyle w:val="StandaardReferentiegegevensKop"/>
                          </w:pPr>
                          <w:r>
                            <w:t>Ons kenmerk</w:t>
                          </w:r>
                        </w:p>
                        <w:p w14:paraId="613E9E29" w14:textId="77777777" w:rsidR="00C23A7A" w:rsidRDefault="009F13E6">
                          <w:pPr>
                            <w:pStyle w:val="StandaardReferentiegegevens"/>
                          </w:pPr>
                          <w:r>
                            <w:fldChar w:fldCharType="begin"/>
                          </w:r>
                          <w:r>
                            <w:instrText xml:space="preserve"> DOCPROPERTY  "Kenmerk"  \* MERGEFORMAT </w:instrText>
                          </w:r>
                          <w:r>
                            <w:fldChar w:fldCharType="separate"/>
                          </w:r>
                          <w:r>
                            <w:t>2024-0000518965</w:t>
                          </w:r>
                          <w:r>
                            <w:fldChar w:fldCharType="end"/>
                          </w:r>
                        </w:p>
                      </w:txbxContent>
                    </wps:txbx>
                    <wps:bodyPr vert="horz" wrap="square" lIns="0" tIns="0" rIns="0" bIns="0" anchor="t" anchorCtr="0"/>
                  </wps:wsp>
                </a:graphicData>
              </a:graphic>
            </wp:anchor>
          </w:drawing>
        </mc:Choice>
        <mc:Fallback>
          <w:pict>
            <v:shapetype w14:anchorId="2460C842"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3CD012A" w14:textId="77777777" w:rsidR="006B413E" w:rsidRDefault="00937C73">
                    <w:pPr>
                      <w:pStyle w:val="StandaardReferentiegegevensKop"/>
                    </w:pPr>
                    <w:r>
                      <w:t>Directie Buitenlandse Financiële Betrekkingen</w:t>
                    </w:r>
                  </w:p>
                  <w:p w14:paraId="4AB28B3D" w14:textId="77777777" w:rsidR="006B413E" w:rsidRDefault="006B413E">
                    <w:pPr>
                      <w:pStyle w:val="WitregelW1"/>
                    </w:pPr>
                  </w:p>
                  <w:p w14:paraId="3E947AFA" w14:textId="77777777" w:rsidR="006B413E" w:rsidRDefault="00937C73">
                    <w:pPr>
                      <w:pStyle w:val="StandaardReferentiegegevensKop"/>
                    </w:pPr>
                    <w:r>
                      <w:t>Ons kenmerk</w:t>
                    </w:r>
                  </w:p>
                  <w:p w14:paraId="613E9E29" w14:textId="77777777" w:rsidR="00C23A7A" w:rsidRDefault="009F13E6">
                    <w:pPr>
                      <w:pStyle w:val="StandaardReferentiegegevens"/>
                    </w:pPr>
                    <w:r>
                      <w:fldChar w:fldCharType="begin"/>
                    </w:r>
                    <w:r>
                      <w:instrText xml:space="preserve"> DOCPROPERTY  "Kenmerk"  \* MERGEFORMAT </w:instrText>
                    </w:r>
                    <w:r>
                      <w:fldChar w:fldCharType="separate"/>
                    </w:r>
                    <w:r>
                      <w:t>2024-0000518965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C5BA909" wp14:editId="3370703F">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AF3720" w14:textId="77777777" w:rsidR="00C23A7A" w:rsidRDefault="009F13E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C5BA90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EAF3720" w14:textId="77777777" w:rsidR="00C23A7A" w:rsidRDefault="009F13E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B8F00A4" wp14:editId="3818990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BD69F88" w14:textId="77777777" w:rsidR="00C23A7A" w:rsidRDefault="009F13E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B8F00A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BD69F88" w14:textId="77777777" w:rsidR="00C23A7A" w:rsidRDefault="009F13E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31C4" w14:textId="77777777" w:rsidR="006B413E" w:rsidRDefault="00937C73">
    <w:pPr>
      <w:spacing w:after="7029" w:line="14" w:lineRule="exact"/>
    </w:pPr>
    <w:r>
      <w:rPr>
        <w:noProof/>
      </w:rPr>
      <mc:AlternateContent>
        <mc:Choice Requires="wps">
          <w:drawing>
            <wp:anchor distT="0" distB="0" distL="0" distR="0" simplePos="0" relativeHeight="251655168" behindDoc="0" locked="1" layoutInCell="1" allowOverlap="1" wp14:anchorId="22B3685A" wp14:editId="57B7111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40A317B" w14:textId="77777777" w:rsidR="006B413E" w:rsidRDefault="00937C73">
                          <w:pPr>
                            <w:spacing w:line="240" w:lineRule="auto"/>
                          </w:pPr>
                          <w:r>
                            <w:rPr>
                              <w:noProof/>
                            </w:rPr>
                            <w:drawing>
                              <wp:inline distT="0" distB="0" distL="0" distR="0" wp14:anchorId="21AF785B" wp14:editId="63A8F67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B3685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40A317B" w14:textId="77777777" w:rsidR="006B413E" w:rsidRDefault="00937C73">
                    <w:pPr>
                      <w:spacing w:line="240" w:lineRule="auto"/>
                    </w:pPr>
                    <w:r>
                      <w:rPr>
                        <w:noProof/>
                      </w:rPr>
                      <w:drawing>
                        <wp:inline distT="0" distB="0" distL="0" distR="0" wp14:anchorId="21AF785B" wp14:editId="63A8F67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518B698" wp14:editId="4021A103">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DA8CCD7" w14:textId="77777777" w:rsidR="00937C73" w:rsidRDefault="00937C73"/>
                      </w:txbxContent>
                    </wps:txbx>
                    <wps:bodyPr vert="horz" wrap="square" lIns="0" tIns="0" rIns="0" bIns="0" anchor="t" anchorCtr="0"/>
                  </wps:wsp>
                </a:graphicData>
              </a:graphic>
            </wp:anchor>
          </w:drawing>
        </mc:Choice>
        <mc:Fallback>
          <w:pict>
            <v:shape w14:anchorId="2518B69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DA8CCD7" w14:textId="77777777" w:rsidR="00937C73" w:rsidRDefault="00937C7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52AC7FB" wp14:editId="3546C47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70C70A7" w14:textId="77777777" w:rsidR="006B413E" w:rsidRDefault="00937C73">
                          <w:pPr>
                            <w:pStyle w:val="StandaardReferentiegegevensKop"/>
                          </w:pPr>
                          <w:r>
                            <w:t>Directie Buitenlandse Financiële Betrekkingen</w:t>
                          </w:r>
                        </w:p>
                        <w:p w14:paraId="634AABA1" w14:textId="77777777" w:rsidR="006B413E" w:rsidRDefault="006B413E">
                          <w:pPr>
                            <w:pStyle w:val="WitregelW1"/>
                          </w:pPr>
                        </w:p>
                        <w:p w14:paraId="42A72E15" w14:textId="77777777" w:rsidR="006B413E" w:rsidRDefault="00937C73">
                          <w:pPr>
                            <w:pStyle w:val="StandaardReferentiegegevens"/>
                          </w:pPr>
                          <w:r>
                            <w:t>Korte Voorhout 7</w:t>
                          </w:r>
                        </w:p>
                        <w:p w14:paraId="229FB95E" w14:textId="77777777" w:rsidR="006B413E" w:rsidRDefault="00937C73">
                          <w:pPr>
                            <w:pStyle w:val="StandaardReferentiegegevens"/>
                          </w:pPr>
                          <w:r>
                            <w:t>2511 CW  'S-GRAVENHAGE</w:t>
                          </w:r>
                        </w:p>
                        <w:p w14:paraId="6497078A" w14:textId="77777777" w:rsidR="006B413E" w:rsidRDefault="00937C73">
                          <w:pPr>
                            <w:pStyle w:val="StandaardReferentiegegevens"/>
                          </w:pPr>
                          <w:r>
                            <w:t>POSTBUS 20201</w:t>
                          </w:r>
                        </w:p>
                        <w:p w14:paraId="11092269" w14:textId="77777777" w:rsidR="006B413E" w:rsidRDefault="00937C73">
                          <w:pPr>
                            <w:pStyle w:val="StandaardReferentiegegevens"/>
                          </w:pPr>
                          <w:r>
                            <w:t>2500 EE  'S-GRAVENHAGE</w:t>
                          </w:r>
                        </w:p>
                        <w:p w14:paraId="2679D17D" w14:textId="77777777" w:rsidR="006B413E" w:rsidRDefault="00937C73">
                          <w:pPr>
                            <w:pStyle w:val="StandaardReferentiegegevens"/>
                          </w:pPr>
                          <w:proofErr w:type="gramStart"/>
                          <w:r>
                            <w:t>www.rijksoverheid.nl/fin</w:t>
                          </w:r>
                          <w:proofErr w:type="gramEnd"/>
                        </w:p>
                        <w:p w14:paraId="2A667CDB" w14:textId="77777777" w:rsidR="006B413E" w:rsidRDefault="006B413E">
                          <w:pPr>
                            <w:pStyle w:val="WitregelW2"/>
                          </w:pPr>
                        </w:p>
                        <w:p w14:paraId="38D0AC3C" w14:textId="77777777" w:rsidR="006B413E" w:rsidRDefault="00937C73">
                          <w:pPr>
                            <w:pStyle w:val="StandaardReferentiegegevensKop"/>
                          </w:pPr>
                          <w:r>
                            <w:t>Ons kenmerk</w:t>
                          </w:r>
                        </w:p>
                        <w:p w14:paraId="386C48FF" w14:textId="77777777" w:rsidR="00C23A7A" w:rsidRDefault="009F13E6">
                          <w:pPr>
                            <w:pStyle w:val="StandaardReferentiegegevens"/>
                          </w:pPr>
                          <w:r>
                            <w:fldChar w:fldCharType="begin"/>
                          </w:r>
                          <w:r>
                            <w:instrText xml:space="preserve"> DOCPROPERTY  "Kenmerk"  \* MERGEFORMAT </w:instrText>
                          </w:r>
                          <w:r>
                            <w:fldChar w:fldCharType="separate"/>
                          </w:r>
                          <w:r>
                            <w:t>2024-0000518965</w:t>
                          </w:r>
                          <w:r>
                            <w:fldChar w:fldCharType="end"/>
                          </w:r>
                        </w:p>
                        <w:p w14:paraId="2D393841" w14:textId="77777777" w:rsidR="006B413E" w:rsidRDefault="006B413E">
                          <w:pPr>
                            <w:pStyle w:val="WitregelW1"/>
                          </w:pPr>
                        </w:p>
                        <w:p w14:paraId="072FD262" w14:textId="77777777" w:rsidR="006B413E" w:rsidRDefault="00937C73">
                          <w:pPr>
                            <w:pStyle w:val="StandaardReferentiegegevensKop"/>
                          </w:pPr>
                          <w:r>
                            <w:t>Uw brief (kenmerk)</w:t>
                          </w:r>
                        </w:p>
                        <w:p w14:paraId="50A6B8FD" w14:textId="77777777" w:rsidR="00C23A7A" w:rsidRDefault="009F13E6">
                          <w:pPr>
                            <w:pStyle w:val="StandaardReferentiegegevens"/>
                          </w:pPr>
                          <w:r>
                            <w:fldChar w:fldCharType="begin"/>
                          </w:r>
                          <w:r>
                            <w:instrText xml:space="preserve"> DOCPROPERTY  "UwKenmerk"  \* MERGEFORMAT </w:instrText>
                          </w:r>
                          <w:r>
                            <w:fldChar w:fldCharType="end"/>
                          </w:r>
                        </w:p>
                        <w:p w14:paraId="2713B560" w14:textId="77777777" w:rsidR="006B413E" w:rsidRDefault="006B413E">
                          <w:pPr>
                            <w:pStyle w:val="WitregelW1"/>
                          </w:pPr>
                        </w:p>
                        <w:p w14:paraId="3A21FA31" w14:textId="77777777" w:rsidR="006B413E" w:rsidRDefault="00937C73">
                          <w:pPr>
                            <w:pStyle w:val="StandaardReferentiegegevensKop"/>
                          </w:pPr>
                          <w:r>
                            <w:t>Bijlagen</w:t>
                          </w:r>
                        </w:p>
                        <w:p w14:paraId="44880D3B" w14:textId="77777777" w:rsidR="006B413E" w:rsidRDefault="00937C73">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652AC7F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70C70A7" w14:textId="77777777" w:rsidR="006B413E" w:rsidRDefault="00937C73">
                    <w:pPr>
                      <w:pStyle w:val="StandaardReferentiegegevensKop"/>
                    </w:pPr>
                    <w:r>
                      <w:t>Directie Buitenlandse Financiële Betrekkingen</w:t>
                    </w:r>
                  </w:p>
                  <w:p w14:paraId="634AABA1" w14:textId="77777777" w:rsidR="006B413E" w:rsidRDefault="006B413E">
                    <w:pPr>
                      <w:pStyle w:val="WitregelW1"/>
                    </w:pPr>
                  </w:p>
                  <w:p w14:paraId="42A72E15" w14:textId="77777777" w:rsidR="006B413E" w:rsidRDefault="00937C73">
                    <w:pPr>
                      <w:pStyle w:val="StandaardReferentiegegevens"/>
                    </w:pPr>
                    <w:r>
                      <w:t>Korte Voorhout 7</w:t>
                    </w:r>
                  </w:p>
                  <w:p w14:paraId="229FB95E" w14:textId="77777777" w:rsidR="006B413E" w:rsidRDefault="00937C73">
                    <w:pPr>
                      <w:pStyle w:val="StandaardReferentiegegevens"/>
                    </w:pPr>
                    <w:r>
                      <w:t>2511 CW  'S-GRAVENHAGE</w:t>
                    </w:r>
                  </w:p>
                  <w:p w14:paraId="6497078A" w14:textId="77777777" w:rsidR="006B413E" w:rsidRDefault="00937C73">
                    <w:pPr>
                      <w:pStyle w:val="StandaardReferentiegegevens"/>
                    </w:pPr>
                    <w:r>
                      <w:t>POSTBUS 20201</w:t>
                    </w:r>
                  </w:p>
                  <w:p w14:paraId="11092269" w14:textId="77777777" w:rsidR="006B413E" w:rsidRDefault="00937C73">
                    <w:pPr>
                      <w:pStyle w:val="StandaardReferentiegegevens"/>
                    </w:pPr>
                    <w:r>
                      <w:t>2500 EE  'S-GRAVENHAGE</w:t>
                    </w:r>
                  </w:p>
                  <w:p w14:paraId="2679D17D" w14:textId="77777777" w:rsidR="006B413E" w:rsidRDefault="00937C73">
                    <w:pPr>
                      <w:pStyle w:val="StandaardReferentiegegevens"/>
                    </w:pPr>
                    <w:proofErr w:type="gramStart"/>
                    <w:r>
                      <w:t>www.rijksoverheid.nl/fin</w:t>
                    </w:r>
                    <w:proofErr w:type="gramEnd"/>
                  </w:p>
                  <w:p w14:paraId="2A667CDB" w14:textId="77777777" w:rsidR="006B413E" w:rsidRDefault="006B413E">
                    <w:pPr>
                      <w:pStyle w:val="WitregelW2"/>
                    </w:pPr>
                  </w:p>
                  <w:p w14:paraId="38D0AC3C" w14:textId="77777777" w:rsidR="006B413E" w:rsidRDefault="00937C73">
                    <w:pPr>
                      <w:pStyle w:val="StandaardReferentiegegevensKop"/>
                    </w:pPr>
                    <w:r>
                      <w:t>Ons kenmerk</w:t>
                    </w:r>
                  </w:p>
                  <w:p w14:paraId="386C48FF" w14:textId="77777777" w:rsidR="00C23A7A" w:rsidRDefault="009F13E6">
                    <w:pPr>
                      <w:pStyle w:val="StandaardReferentiegegevens"/>
                    </w:pPr>
                    <w:r>
                      <w:fldChar w:fldCharType="begin"/>
                    </w:r>
                    <w:r>
                      <w:instrText xml:space="preserve"> DOCPROPERTY  "Kenmerk"  \* MERGEFORMAT </w:instrText>
                    </w:r>
                    <w:r>
                      <w:fldChar w:fldCharType="separate"/>
                    </w:r>
                    <w:r>
                      <w:t>2024-0000518965</w:t>
                    </w:r>
                    <w:r>
                      <w:fldChar w:fldCharType="end"/>
                    </w:r>
                  </w:p>
                  <w:p w14:paraId="2D393841" w14:textId="77777777" w:rsidR="006B413E" w:rsidRDefault="006B413E">
                    <w:pPr>
                      <w:pStyle w:val="WitregelW1"/>
                    </w:pPr>
                  </w:p>
                  <w:p w14:paraId="072FD262" w14:textId="77777777" w:rsidR="006B413E" w:rsidRDefault="00937C73">
                    <w:pPr>
                      <w:pStyle w:val="StandaardReferentiegegevensKop"/>
                    </w:pPr>
                    <w:r>
                      <w:t>Uw brief (kenmerk)</w:t>
                    </w:r>
                  </w:p>
                  <w:p w14:paraId="50A6B8FD" w14:textId="77777777" w:rsidR="00C23A7A" w:rsidRDefault="009F13E6">
                    <w:pPr>
                      <w:pStyle w:val="StandaardReferentiegegevens"/>
                    </w:pPr>
                    <w:r>
                      <w:fldChar w:fldCharType="begin"/>
                    </w:r>
                    <w:r>
                      <w:instrText xml:space="preserve"> DOCPROPERTY  "UwKenmerk"  \* MERGEFORMAT </w:instrText>
                    </w:r>
                    <w:r>
                      <w:fldChar w:fldCharType="end"/>
                    </w:r>
                  </w:p>
                  <w:p w14:paraId="2713B560" w14:textId="77777777" w:rsidR="006B413E" w:rsidRDefault="006B413E">
                    <w:pPr>
                      <w:pStyle w:val="WitregelW1"/>
                    </w:pPr>
                  </w:p>
                  <w:p w14:paraId="3A21FA31" w14:textId="77777777" w:rsidR="006B413E" w:rsidRDefault="00937C73">
                    <w:pPr>
                      <w:pStyle w:val="StandaardReferentiegegevensKop"/>
                    </w:pPr>
                    <w:r>
                      <w:t>Bijlagen</w:t>
                    </w:r>
                  </w:p>
                  <w:p w14:paraId="44880D3B" w14:textId="77777777" w:rsidR="006B413E" w:rsidRDefault="00937C73">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ED0D95" wp14:editId="7F2EF7F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DE06EA6" w14:textId="77777777" w:rsidR="006B413E" w:rsidRDefault="00937C7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6ED0D9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DE06EA6" w14:textId="77777777" w:rsidR="006B413E" w:rsidRDefault="00937C7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7EC0C8F" wp14:editId="45AAA29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3C1F2D2" w14:textId="77777777" w:rsidR="00C23A7A" w:rsidRDefault="009F13E6">
                          <w:pPr>
                            <w:pStyle w:val="Rubricering"/>
                          </w:pPr>
                          <w:r>
                            <w:fldChar w:fldCharType="begin"/>
                          </w:r>
                          <w:r>
                            <w:instrText xml:space="preserve"> DOCPROPERTY  "Rubricering"  \* MERGEFORMAT </w:instrText>
                          </w:r>
                          <w:r>
                            <w:fldChar w:fldCharType="end"/>
                          </w:r>
                        </w:p>
                        <w:p w14:paraId="028D37DC" w14:textId="77777777" w:rsidR="006B413E" w:rsidRDefault="00937C7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7EC0C8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3C1F2D2" w14:textId="77777777" w:rsidR="00C23A7A" w:rsidRDefault="009F13E6">
                    <w:pPr>
                      <w:pStyle w:val="Rubricering"/>
                    </w:pPr>
                    <w:r>
                      <w:fldChar w:fldCharType="begin"/>
                    </w:r>
                    <w:r>
                      <w:instrText xml:space="preserve"> DOCPROPERTY  "Rubricering"  \* MERGEFORMAT </w:instrText>
                    </w:r>
                    <w:r>
                      <w:fldChar w:fldCharType="end"/>
                    </w:r>
                  </w:p>
                  <w:p w14:paraId="028D37DC" w14:textId="77777777" w:rsidR="006B413E" w:rsidRDefault="00937C7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E2C5020" wp14:editId="450AAA3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00E8C06" w14:textId="77777777" w:rsidR="00C23A7A" w:rsidRDefault="009F13E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E2C502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00E8C06" w14:textId="77777777" w:rsidR="00C23A7A" w:rsidRDefault="009F13E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313B4D" wp14:editId="0CBCD6B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B413E" w14:paraId="45CF6D1E" w14:textId="77777777">
                            <w:trPr>
                              <w:trHeight w:val="200"/>
                            </w:trPr>
                            <w:tc>
                              <w:tcPr>
                                <w:tcW w:w="1140" w:type="dxa"/>
                              </w:tcPr>
                              <w:p w14:paraId="3F1910C6" w14:textId="77777777" w:rsidR="006B413E" w:rsidRDefault="006B413E"/>
                            </w:tc>
                            <w:tc>
                              <w:tcPr>
                                <w:tcW w:w="5400" w:type="dxa"/>
                              </w:tcPr>
                              <w:p w14:paraId="3FA55C36" w14:textId="77777777" w:rsidR="006B413E" w:rsidRDefault="006B413E"/>
                            </w:tc>
                          </w:tr>
                          <w:tr w:rsidR="006B413E" w14:paraId="68F9F143" w14:textId="77777777">
                            <w:trPr>
                              <w:trHeight w:val="240"/>
                            </w:trPr>
                            <w:tc>
                              <w:tcPr>
                                <w:tcW w:w="1140" w:type="dxa"/>
                              </w:tcPr>
                              <w:p w14:paraId="4199E826" w14:textId="77777777" w:rsidR="006B413E" w:rsidRDefault="00937C73">
                                <w:r>
                                  <w:t>Datum</w:t>
                                </w:r>
                              </w:p>
                            </w:tc>
                            <w:tc>
                              <w:tcPr>
                                <w:tcW w:w="5400" w:type="dxa"/>
                              </w:tcPr>
                              <w:p w14:paraId="486BC1E3" w14:textId="1C3BAF7C" w:rsidR="006B413E" w:rsidRDefault="009F13E6">
                                <w:r>
                                  <w:t>11 november 2024</w:t>
                                </w:r>
                              </w:p>
                            </w:tc>
                          </w:tr>
                          <w:tr w:rsidR="006B413E" w14:paraId="3EBC18F4" w14:textId="77777777">
                            <w:trPr>
                              <w:trHeight w:val="240"/>
                            </w:trPr>
                            <w:tc>
                              <w:tcPr>
                                <w:tcW w:w="1140" w:type="dxa"/>
                              </w:tcPr>
                              <w:p w14:paraId="57A98256" w14:textId="77777777" w:rsidR="006B413E" w:rsidRDefault="00937C73">
                                <w:r>
                                  <w:t>Betreft</w:t>
                                </w:r>
                              </w:p>
                            </w:tc>
                            <w:tc>
                              <w:tcPr>
                                <w:tcW w:w="5400" w:type="dxa"/>
                              </w:tcPr>
                              <w:p w14:paraId="1CFA05C5" w14:textId="77777777" w:rsidR="00C23A7A" w:rsidRDefault="009F13E6">
                                <w:r>
                                  <w:fldChar w:fldCharType="begin"/>
                                </w:r>
                                <w:r>
                                  <w:instrText xml:space="preserve"> DOCPROPERTY  "Onderwerp"  \* MERGEFORMAT </w:instrText>
                                </w:r>
                                <w:r>
                                  <w:fldChar w:fldCharType="separate"/>
                                </w:r>
                                <w:r>
                                  <w:t>Europese jaarbegroting 2025, inzet Ecofin-</w:t>
                                </w:r>
                                <w:proofErr w:type="spellStart"/>
                                <w:r>
                                  <w:t>begrotingsraad</w:t>
                                </w:r>
                                <w:proofErr w:type="spellEnd"/>
                                <w:r>
                                  <w:t xml:space="preserve"> en de vijfde aanvullende Europese begroting 2024</w:t>
                                </w:r>
                                <w:r>
                                  <w:fldChar w:fldCharType="end"/>
                                </w:r>
                              </w:p>
                            </w:tc>
                          </w:tr>
                          <w:tr w:rsidR="006B413E" w14:paraId="53155E2A" w14:textId="77777777">
                            <w:trPr>
                              <w:trHeight w:val="200"/>
                            </w:trPr>
                            <w:tc>
                              <w:tcPr>
                                <w:tcW w:w="1140" w:type="dxa"/>
                              </w:tcPr>
                              <w:p w14:paraId="51161FEE" w14:textId="77777777" w:rsidR="006B413E" w:rsidRDefault="006B413E"/>
                            </w:tc>
                            <w:tc>
                              <w:tcPr>
                                <w:tcW w:w="4738" w:type="dxa"/>
                              </w:tcPr>
                              <w:p w14:paraId="58D3DEC0" w14:textId="77777777" w:rsidR="006B413E" w:rsidRDefault="006B413E"/>
                            </w:tc>
                          </w:tr>
                        </w:tbl>
                        <w:p w14:paraId="75CA591B" w14:textId="77777777" w:rsidR="00937C73" w:rsidRDefault="00937C73"/>
                      </w:txbxContent>
                    </wps:txbx>
                    <wps:bodyPr vert="horz" wrap="square" lIns="0" tIns="0" rIns="0" bIns="0" anchor="t" anchorCtr="0"/>
                  </wps:wsp>
                </a:graphicData>
              </a:graphic>
            </wp:anchor>
          </w:drawing>
        </mc:Choice>
        <mc:Fallback>
          <w:pict>
            <v:shape w14:anchorId="45313B4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B413E" w14:paraId="45CF6D1E" w14:textId="77777777">
                      <w:trPr>
                        <w:trHeight w:val="200"/>
                      </w:trPr>
                      <w:tc>
                        <w:tcPr>
                          <w:tcW w:w="1140" w:type="dxa"/>
                        </w:tcPr>
                        <w:p w14:paraId="3F1910C6" w14:textId="77777777" w:rsidR="006B413E" w:rsidRDefault="006B413E"/>
                      </w:tc>
                      <w:tc>
                        <w:tcPr>
                          <w:tcW w:w="5400" w:type="dxa"/>
                        </w:tcPr>
                        <w:p w14:paraId="3FA55C36" w14:textId="77777777" w:rsidR="006B413E" w:rsidRDefault="006B413E"/>
                      </w:tc>
                    </w:tr>
                    <w:tr w:rsidR="006B413E" w14:paraId="68F9F143" w14:textId="77777777">
                      <w:trPr>
                        <w:trHeight w:val="240"/>
                      </w:trPr>
                      <w:tc>
                        <w:tcPr>
                          <w:tcW w:w="1140" w:type="dxa"/>
                        </w:tcPr>
                        <w:p w14:paraId="4199E826" w14:textId="77777777" w:rsidR="006B413E" w:rsidRDefault="00937C73">
                          <w:r>
                            <w:t>Datum</w:t>
                          </w:r>
                        </w:p>
                      </w:tc>
                      <w:tc>
                        <w:tcPr>
                          <w:tcW w:w="5400" w:type="dxa"/>
                        </w:tcPr>
                        <w:p w14:paraId="486BC1E3" w14:textId="1C3BAF7C" w:rsidR="006B413E" w:rsidRDefault="009F13E6">
                          <w:r>
                            <w:t>11 november 2024</w:t>
                          </w:r>
                        </w:p>
                      </w:tc>
                    </w:tr>
                    <w:tr w:rsidR="006B413E" w14:paraId="3EBC18F4" w14:textId="77777777">
                      <w:trPr>
                        <w:trHeight w:val="240"/>
                      </w:trPr>
                      <w:tc>
                        <w:tcPr>
                          <w:tcW w:w="1140" w:type="dxa"/>
                        </w:tcPr>
                        <w:p w14:paraId="57A98256" w14:textId="77777777" w:rsidR="006B413E" w:rsidRDefault="00937C73">
                          <w:r>
                            <w:t>Betreft</w:t>
                          </w:r>
                        </w:p>
                      </w:tc>
                      <w:tc>
                        <w:tcPr>
                          <w:tcW w:w="5400" w:type="dxa"/>
                        </w:tcPr>
                        <w:p w14:paraId="1CFA05C5" w14:textId="77777777" w:rsidR="00C23A7A" w:rsidRDefault="009F13E6">
                          <w:r>
                            <w:fldChar w:fldCharType="begin"/>
                          </w:r>
                          <w:r>
                            <w:instrText xml:space="preserve"> DOCPROPERTY  "Onderwerp"  \* MERGEFORMAT </w:instrText>
                          </w:r>
                          <w:r>
                            <w:fldChar w:fldCharType="separate"/>
                          </w:r>
                          <w:r>
                            <w:t>Europese jaarbegroting 2025, inzet Ecofin-</w:t>
                          </w:r>
                          <w:proofErr w:type="spellStart"/>
                          <w:r>
                            <w:t>begrotingsraad</w:t>
                          </w:r>
                          <w:proofErr w:type="spellEnd"/>
                          <w:r>
                            <w:t xml:space="preserve"> en de vijfde aanvullende Europese begroting 2024</w:t>
                          </w:r>
                          <w:r>
                            <w:fldChar w:fldCharType="end"/>
                          </w:r>
                        </w:p>
                      </w:tc>
                    </w:tr>
                    <w:tr w:rsidR="006B413E" w14:paraId="53155E2A" w14:textId="77777777">
                      <w:trPr>
                        <w:trHeight w:val="200"/>
                      </w:trPr>
                      <w:tc>
                        <w:tcPr>
                          <w:tcW w:w="1140" w:type="dxa"/>
                        </w:tcPr>
                        <w:p w14:paraId="51161FEE" w14:textId="77777777" w:rsidR="006B413E" w:rsidRDefault="006B413E"/>
                      </w:tc>
                      <w:tc>
                        <w:tcPr>
                          <w:tcW w:w="4738" w:type="dxa"/>
                        </w:tcPr>
                        <w:p w14:paraId="58D3DEC0" w14:textId="77777777" w:rsidR="006B413E" w:rsidRDefault="006B413E"/>
                      </w:tc>
                    </w:tr>
                  </w:tbl>
                  <w:p w14:paraId="75CA591B" w14:textId="77777777" w:rsidR="00937C73" w:rsidRDefault="00937C7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385C082" wp14:editId="7D37247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D315222" w14:textId="77777777" w:rsidR="00C23A7A" w:rsidRDefault="009F13E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385C08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D315222" w14:textId="77777777" w:rsidR="00C23A7A" w:rsidRDefault="009F13E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7802435" wp14:editId="19F9D9B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C1948DF" w14:textId="77777777" w:rsidR="00937C73" w:rsidRDefault="00937C73"/>
                      </w:txbxContent>
                    </wps:txbx>
                    <wps:bodyPr vert="horz" wrap="square" lIns="0" tIns="0" rIns="0" bIns="0" anchor="t" anchorCtr="0"/>
                  </wps:wsp>
                </a:graphicData>
              </a:graphic>
            </wp:anchor>
          </w:drawing>
        </mc:Choice>
        <mc:Fallback>
          <w:pict>
            <v:shape w14:anchorId="4780243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C1948DF" w14:textId="77777777" w:rsidR="00937C73" w:rsidRDefault="00937C7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77A6"/>
    <w:multiLevelType w:val="multilevel"/>
    <w:tmpl w:val="05E3C79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7BBC2"/>
    <w:multiLevelType w:val="multilevel"/>
    <w:tmpl w:val="9AF4FD3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369637A"/>
    <w:multiLevelType w:val="multilevel"/>
    <w:tmpl w:val="87637A8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E9850"/>
    <w:multiLevelType w:val="multilevel"/>
    <w:tmpl w:val="928D58C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F12E4F"/>
    <w:multiLevelType w:val="multilevel"/>
    <w:tmpl w:val="FFC1568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05A4F10"/>
    <w:multiLevelType w:val="multilevel"/>
    <w:tmpl w:val="D470E05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894421">
    <w:abstractNumId w:val="3"/>
  </w:num>
  <w:num w:numId="2" w16cid:durableId="867794784">
    <w:abstractNumId w:val="2"/>
  </w:num>
  <w:num w:numId="3" w16cid:durableId="1042437094">
    <w:abstractNumId w:val="1"/>
  </w:num>
  <w:num w:numId="4" w16cid:durableId="481510576">
    <w:abstractNumId w:val="4"/>
  </w:num>
  <w:num w:numId="5" w16cid:durableId="83378896">
    <w:abstractNumId w:val="5"/>
  </w:num>
  <w:num w:numId="6" w16cid:durableId="207476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3E"/>
    <w:rsid w:val="000115ED"/>
    <w:rsid w:val="000D73BE"/>
    <w:rsid w:val="0020782B"/>
    <w:rsid w:val="003718F2"/>
    <w:rsid w:val="003E52F5"/>
    <w:rsid w:val="00414836"/>
    <w:rsid w:val="005444FE"/>
    <w:rsid w:val="0059259C"/>
    <w:rsid w:val="00681910"/>
    <w:rsid w:val="00693F11"/>
    <w:rsid w:val="006B413E"/>
    <w:rsid w:val="007734A7"/>
    <w:rsid w:val="007A438F"/>
    <w:rsid w:val="007D61AF"/>
    <w:rsid w:val="007E1798"/>
    <w:rsid w:val="007F3850"/>
    <w:rsid w:val="008728A3"/>
    <w:rsid w:val="00903B67"/>
    <w:rsid w:val="00937C73"/>
    <w:rsid w:val="009D06FD"/>
    <w:rsid w:val="009F13E6"/>
    <w:rsid w:val="00AF281A"/>
    <w:rsid w:val="00B42084"/>
    <w:rsid w:val="00C23A7A"/>
    <w:rsid w:val="00C511AB"/>
    <w:rsid w:val="00C7539B"/>
    <w:rsid w:val="00F66DCE"/>
    <w:rsid w:val="00FB3F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BF1D3DA"/>
  <w15:docId w15:val="{64D1BD7A-2A44-455F-A671-985594FC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37C7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37C73"/>
    <w:rPr>
      <w:rFonts w:ascii="Verdana" w:hAnsi="Verdana"/>
      <w:color w:val="000000"/>
      <w:sz w:val="18"/>
      <w:szCs w:val="18"/>
    </w:rPr>
  </w:style>
  <w:style w:type="paragraph" w:styleId="Voettekst">
    <w:name w:val="footer"/>
    <w:basedOn w:val="Standaard"/>
    <w:link w:val="VoettekstChar"/>
    <w:uiPriority w:val="99"/>
    <w:unhideWhenUsed/>
    <w:rsid w:val="00937C7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37C73"/>
    <w:rPr>
      <w:rFonts w:ascii="Verdana" w:hAnsi="Verdana"/>
      <w:color w:val="000000"/>
      <w:sz w:val="18"/>
      <w:szCs w:val="18"/>
    </w:rPr>
  </w:style>
  <w:style w:type="paragraph" w:styleId="Voetnoottekst">
    <w:name w:val="footnote text"/>
    <w:basedOn w:val="Standaard"/>
    <w:link w:val="VoetnoottekstChar"/>
    <w:uiPriority w:val="99"/>
    <w:unhideWhenUsed/>
    <w:rsid w:val="00937C73"/>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937C73"/>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937C73"/>
    <w:rPr>
      <w:vertAlign w:val="superscript"/>
    </w:rPr>
  </w:style>
  <w:style w:type="paragraph" w:styleId="Revisie">
    <w:name w:val="Revision"/>
    <w:hidden/>
    <w:uiPriority w:val="99"/>
    <w:semiHidden/>
    <w:rsid w:val="007734A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A-9-2023-0288_EN.html" TargetMode="External"/><Relationship Id="rId2" Type="http://schemas.openxmlformats.org/officeDocument/2006/relationships/hyperlink" Target="https://eur-lex.europa.eu/EN/legal-content/summary/eu-multiannual-financial-framework-2021-2027.html" TargetMode="External"/><Relationship Id="rId1" Type="http://schemas.openxmlformats.org/officeDocument/2006/relationships/hyperlink" Target="https://www.europarl.europa.eu/doceo/document/A-10-2024-0008_EN.html" TargetMode="External"/><Relationship Id="rId5" Type="http://schemas.openxmlformats.org/officeDocument/2006/relationships/hyperlink" Target="https://www.europarl.europa.eu/doceo/document/A-10-2024-0008_EN.html" TargetMode="External"/><Relationship Id="rId4" Type="http://schemas.openxmlformats.org/officeDocument/2006/relationships/hyperlink" Target="https://www.europarl.europa.eu/doceo/document/A-10-2024-0008_E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3734</ap:Words>
  <ap:Characters>20541</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Brief aan Eerste of Tweede Kamer - Europese jaarbegroting 2025, inzet Ecofin-begrotingsraad en de vijfde aanvullende Europese begroting 2024</vt:lpstr>
    </vt:vector>
  </ap:TitlesOfParts>
  <ap:LinksUpToDate>false</ap:LinksUpToDate>
  <ap:CharactersWithSpaces>24227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2024-11-11T14:50:00.0000000Z</dcterms:created>
  <dcterms:modified xsi:type="dcterms:W3CDTF">2024-11-11T14:50:00.0000000Z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Europese jaarbegroting 2025, inzet Ecofin-begrotingsraad en de vijfde aanvullende Europese begroting 2024</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4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2024-0000518965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Europese jaarbegroting 2025, inzet Ecofin-begrotingsraad en de vijfde aanvullende Europese begroting 2024</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2024-11-04T16:37:48Z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54e2914c-20bb-4229-980d-47bd1cdfb468</vt:lpwstr>
  </property>
  <property fmtid="{D5CDD505-2E9C-101B-9397-08002B2CF9AE}" pid="37" name="MSIP_Label_6800fede-0e59-47ad-af95-4e63bbdb932d_ContentBits">
    <vt:lpwstr>0</vt:lpwstr>
  </property>
</Properties>
</file>