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1423" w:rsidR="004C0691" w:rsidP="00F11423" w:rsidRDefault="004C0691" w14:paraId="525F5FEB" w14:textId="77777777">
      <w:pPr>
        <w:spacing w:after="0" w:line="276" w:lineRule="auto"/>
        <w:rPr>
          <w:rFonts w:ascii="Verdana" w:hAnsi="Verdana"/>
          <w:b/>
          <w:bCs/>
          <w:sz w:val="18"/>
          <w:szCs w:val="18"/>
        </w:rPr>
      </w:pPr>
      <w:r w:rsidRPr="00F11423">
        <w:rPr>
          <w:rFonts w:ascii="Verdana" w:hAnsi="Verdana"/>
          <w:b/>
          <w:bCs/>
          <w:sz w:val="18"/>
          <w:szCs w:val="18"/>
        </w:rPr>
        <w:t>BIJLAGE 1</w:t>
      </w:r>
    </w:p>
    <w:p w:rsidRPr="00F11423" w:rsidR="004C0691" w:rsidP="00F11423" w:rsidRDefault="004C0691" w14:paraId="2FEF94D0" w14:textId="77777777">
      <w:pPr>
        <w:spacing w:after="0" w:line="276" w:lineRule="auto"/>
        <w:rPr>
          <w:rFonts w:ascii="Verdana" w:hAnsi="Verdana"/>
          <w:b/>
          <w:bCs/>
          <w:sz w:val="18"/>
          <w:szCs w:val="18"/>
        </w:rPr>
      </w:pPr>
      <w:r w:rsidRPr="00F11423">
        <w:rPr>
          <w:rFonts w:ascii="Verdana" w:hAnsi="Verdana"/>
          <w:b/>
          <w:bCs/>
          <w:sz w:val="18"/>
          <w:szCs w:val="18"/>
        </w:rPr>
        <w:t>Overzicht appreciatie amendementen pakket Belastingplan 2024</w:t>
      </w:r>
    </w:p>
    <w:p w:rsidRPr="00F11423" w:rsidR="00EC0D04" w:rsidP="00F11423" w:rsidRDefault="00F11423" w14:paraId="71990427" w14:textId="75903573">
      <w:pPr>
        <w:spacing w:after="0" w:line="276" w:lineRule="auto"/>
        <w:rPr>
          <w:rFonts w:ascii="Verdana" w:hAnsi="Verdana"/>
          <w:b/>
          <w:bCs/>
          <w:sz w:val="18"/>
          <w:szCs w:val="18"/>
        </w:rPr>
      </w:pPr>
      <w:r w:rsidRPr="00F11423">
        <w:rPr>
          <w:rFonts w:ascii="Verdana" w:hAnsi="Verdana"/>
          <w:b/>
          <w:bCs/>
          <w:sz w:val="18"/>
          <w:szCs w:val="18"/>
        </w:rPr>
        <w:t xml:space="preserve">Wetsvoorstel </w:t>
      </w:r>
      <w:r w:rsidRPr="00F11423" w:rsidR="004C0691">
        <w:rPr>
          <w:rFonts w:ascii="Verdana" w:hAnsi="Verdana"/>
          <w:b/>
          <w:bCs/>
          <w:sz w:val="18"/>
          <w:szCs w:val="18"/>
        </w:rPr>
        <w:t>Belastingplan 2024</w:t>
      </w:r>
    </w:p>
    <w:tbl>
      <w:tblPr>
        <w:tblW w:w="9934" w:type="dxa"/>
        <w:tblCellMar>
          <w:left w:w="0" w:type="dxa"/>
          <w:right w:w="0" w:type="dxa"/>
        </w:tblCellMar>
        <w:tblLook w:val="04A0" w:firstRow="1" w:lastRow="0" w:firstColumn="1" w:lastColumn="0" w:noHBand="0" w:noVBand="1"/>
      </w:tblPr>
      <w:tblGrid>
        <w:gridCol w:w="4243"/>
        <w:gridCol w:w="5691"/>
      </w:tblGrid>
      <w:tr w:rsidRPr="00F11423" w:rsidR="00EC0D04" w:rsidTr="006D0C4A" w14:paraId="731D035B" w14:textId="77777777">
        <w:tc>
          <w:tcPr>
            <w:tcW w:w="4243"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EC0D04" w:rsidP="00F11423" w:rsidRDefault="00EC0D04" w14:paraId="23E7717B" w14:textId="77777777">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36602 013</w:t>
            </w:r>
          </w:p>
        </w:tc>
        <w:tc>
          <w:tcPr>
            <w:tcW w:w="5691"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EC0D04" w:rsidP="00F11423" w:rsidRDefault="00EC0D04" w14:paraId="00F932C3"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proofErr w:type="spellStart"/>
            <w:r w:rsidRPr="00F11423">
              <w:rPr>
                <w:rFonts w:ascii="Verdana" w:hAnsi="Verdana"/>
                <w:b/>
                <w:bCs/>
                <w:color w:val="000000"/>
                <w:sz w:val="18"/>
                <w:szCs w:val="18"/>
              </w:rPr>
              <w:t>BTW-verhoging</w:t>
            </w:r>
            <w:proofErr w:type="spellEnd"/>
            <w:r w:rsidRPr="00F11423">
              <w:rPr>
                <w:rFonts w:ascii="Verdana" w:hAnsi="Verdana"/>
                <w:b/>
                <w:bCs/>
                <w:color w:val="000000"/>
                <w:sz w:val="18"/>
                <w:szCs w:val="18"/>
              </w:rPr>
              <w:t xml:space="preserve"> boeken en cultuur terugdraaien</w:t>
            </w:r>
          </w:p>
        </w:tc>
      </w:tr>
      <w:tr w:rsidRPr="00F11423" w:rsidR="00EC0D04" w:rsidTr="006D0C4A" w14:paraId="3F433BD6" w14:textId="77777777">
        <w:tc>
          <w:tcPr>
            <w:tcW w:w="424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3B16B3D2" w14:textId="3258358A">
            <w:pPr>
              <w:spacing w:after="0" w:line="276" w:lineRule="auto"/>
              <w:rPr>
                <w:rFonts w:ascii="Verdana" w:hAnsi="Verdana"/>
                <w:b/>
                <w:bCs/>
                <w:sz w:val="18"/>
                <w:szCs w:val="18"/>
              </w:rPr>
            </w:pPr>
            <w:r w:rsidRPr="00F11423">
              <w:rPr>
                <w:rFonts w:ascii="Verdana" w:hAnsi="Verdana"/>
                <w:b/>
                <w:bCs/>
                <w:sz w:val="18"/>
                <w:szCs w:val="18"/>
              </w:rPr>
              <w:t xml:space="preserve">Indieners: </w:t>
            </w:r>
            <w:proofErr w:type="spellStart"/>
            <w:r w:rsidRPr="00393EC1">
              <w:rPr>
                <w:rFonts w:ascii="Verdana" w:hAnsi="Verdana"/>
                <w:sz w:val="18"/>
                <w:szCs w:val="18"/>
              </w:rPr>
              <w:t>Jetten</w:t>
            </w:r>
            <w:proofErr w:type="spellEnd"/>
            <w:r w:rsidRPr="00393EC1" w:rsidR="00393EC1">
              <w:rPr>
                <w:rFonts w:ascii="Verdana" w:hAnsi="Verdana"/>
                <w:sz w:val="18"/>
                <w:szCs w:val="18"/>
              </w:rPr>
              <w:t xml:space="preserve"> (D66) en</w:t>
            </w:r>
            <w:r w:rsidRPr="00393EC1">
              <w:rPr>
                <w:rFonts w:ascii="Verdana" w:hAnsi="Verdana"/>
                <w:sz w:val="18"/>
                <w:szCs w:val="18"/>
              </w:rPr>
              <w:t xml:space="preserve"> Dijk</w:t>
            </w:r>
            <w:r w:rsidRPr="00F11423">
              <w:rPr>
                <w:rFonts w:ascii="Verdana" w:hAnsi="Verdana"/>
                <w:sz w:val="18"/>
                <w:szCs w:val="18"/>
              </w:rPr>
              <w:t xml:space="preserve"> (SP)</w:t>
            </w:r>
          </w:p>
        </w:tc>
        <w:tc>
          <w:tcPr>
            <w:tcW w:w="5691"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70FD44BF"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393EC1">
              <w:rPr>
                <w:rFonts w:ascii="Verdana" w:hAnsi="Verdana"/>
                <w:sz w:val="18"/>
                <w:szCs w:val="18"/>
              </w:rPr>
              <w:t>Ontraden</w:t>
            </w:r>
          </w:p>
        </w:tc>
      </w:tr>
      <w:tr w:rsidRPr="00F11423" w:rsidR="00EC0D04" w:rsidTr="006D0C4A" w14:paraId="79E549D5" w14:textId="77777777">
        <w:tc>
          <w:tcPr>
            <w:tcW w:w="993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115B62AD" w14:textId="41E69D9F">
            <w:pPr>
              <w:spacing w:after="0" w:line="276" w:lineRule="auto"/>
              <w:rPr>
                <w:rFonts w:ascii="Verdana" w:hAnsi="Verdana"/>
                <w:b/>
                <w:bCs/>
                <w:sz w:val="18"/>
                <w:szCs w:val="18"/>
              </w:rPr>
            </w:pPr>
            <w:r w:rsidRPr="00F11423">
              <w:rPr>
                <w:rFonts w:ascii="Verdana" w:hAnsi="Verdana"/>
                <w:b/>
                <w:bCs/>
                <w:sz w:val="18"/>
                <w:szCs w:val="18"/>
              </w:rPr>
              <w:t xml:space="preserve">Gevolgen: </w:t>
            </w:r>
            <w:r w:rsidRPr="002F7ADB" w:rsidR="002F7ADB">
              <w:rPr>
                <w:rFonts w:ascii="Verdana" w:hAnsi="Verdana"/>
                <w:sz w:val="18"/>
                <w:szCs w:val="18"/>
              </w:rPr>
              <w:t>Voor onder andere (elektronische) (school)boeken, kranten, tijdschriften, musea, muziek- en toneeluitvoeringen blijft het 9%-tarief gelden. De conceptdekking voor dit amendement via meer belasten van vervuilers is niet in een concrete wetswijziging omgezet en daarmee niet adequaat.</w:t>
            </w:r>
          </w:p>
        </w:tc>
      </w:tr>
      <w:tr w:rsidRPr="00F11423" w:rsidR="00EC0D04" w:rsidTr="006D0C4A" w14:paraId="6E58F123" w14:textId="77777777">
        <w:tc>
          <w:tcPr>
            <w:tcW w:w="993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EC0D04" w:rsidP="00F11423" w:rsidRDefault="00EC0D04" w14:paraId="6C4E590D"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p>
          <w:tbl>
            <w:tblPr>
              <w:tblStyle w:val="Rastertabel4-Accent51"/>
              <w:tblW w:w="9453" w:type="dxa"/>
              <w:tblLook w:val="04A0" w:firstRow="1" w:lastRow="0" w:firstColumn="1" w:lastColumn="0" w:noHBand="0" w:noVBand="1"/>
            </w:tblPr>
            <w:tblGrid>
              <w:gridCol w:w="3937"/>
              <w:gridCol w:w="674"/>
              <w:gridCol w:w="764"/>
              <w:gridCol w:w="764"/>
              <w:gridCol w:w="674"/>
              <w:gridCol w:w="674"/>
              <w:gridCol w:w="669"/>
              <w:gridCol w:w="1330"/>
            </w:tblGrid>
            <w:tr w:rsidRPr="00F11423" w:rsidR="00EC0D04" w:rsidTr="00EC0D04" w14:paraId="3932D175" w14:textId="7777777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937" w:type="dxa"/>
                  <w:shd w:val="clear" w:color="auto" w:fill="BDD6EE" w:themeFill="accent5" w:themeFillTint="66"/>
                  <w:noWrap/>
                  <w:hideMark/>
                </w:tcPr>
                <w:p w:rsidRPr="00F11423" w:rsidR="00EC0D04" w:rsidP="00F11423" w:rsidRDefault="00EC0D04" w14:paraId="35A554D5" w14:textId="77777777">
                  <w:pPr>
                    <w:spacing w:line="276" w:lineRule="auto"/>
                    <w:rPr>
                      <w:rFonts w:ascii="Verdana" w:hAnsi="Verdana"/>
                      <w:color w:val="000000"/>
                      <w:sz w:val="18"/>
                      <w:szCs w:val="18"/>
                    </w:rPr>
                  </w:pPr>
                </w:p>
              </w:tc>
              <w:tc>
                <w:tcPr>
                  <w:tcW w:w="663" w:type="dxa"/>
                  <w:shd w:val="clear" w:color="auto" w:fill="BDD6EE" w:themeFill="accent5" w:themeFillTint="66"/>
                  <w:noWrap/>
                  <w:hideMark/>
                </w:tcPr>
                <w:p w:rsidRPr="0017102A" w:rsidR="00EC0D04" w:rsidP="00F11423" w:rsidRDefault="00EC0D04" w14:paraId="22B43E0E"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i/>
                      <w:iCs/>
                      <w:color w:val="000000"/>
                      <w:sz w:val="18"/>
                      <w:szCs w:val="18"/>
                    </w:rPr>
                  </w:pPr>
                  <w:r w:rsidRPr="0017102A">
                    <w:rPr>
                      <w:rFonts w:ascii="Verdana" w:hAnsi="Verdana"/>
                      <w:b w:val="0"/>
                      <w:bCs w:val="0"/>
                      <w:i/>
                      <w:iCs/>
                      <w:color w:val="000000"/>
                      <w:sz w:val="18"/>
                      <w:szCs w:val="18"/>
                    </w:rPr>
                    <w:t>2025</w:t>
                  </w:r>
                </w:p>
              </w:tc>
              <w:tc>
                <w:tcPr>
                  <w:tcW w:w="764" w:type="dxa"/>
                  <w:shd w:val="clear" w:color="auto" w:fill="BDD6EE" w:themeFill="accent5" w:themeFillTint="66"/>
                  <w:noWrap/>
                  <w:hideMark/>
                </w:tcPr>
                <w:p w:rsidRPr="0017102A" w:rsidR="00EC0D04" w:rsidP="00F11423" w:rsidRDefault="00EC0D04" w14:paraId="77BD6E48"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i/>
                      <w:iCs/>
                      <w:color w:val="000000"/>
                      <w:sz w:val="18"/>
                      <w:szCs w:val="18"/>
                    </w:rPr>
                  </w:pPr>
                  <w:r w:rsidRPr="0017102A">
                    <w:rPr>
                      <w:rFonts w:ascii="Verdana" w:hAnsi="Verdana"/>
                      <w:b w:val="0"/>
                      <w:bCs w:val="0"/>
                      <w:i/>
                      <w:iCs/>
                      <w:color w:val="000000"/>
                      <w:sz w:val="18"/>
                      <w:szCs w:val="18"/>
                    </w:rPr>
                    <w:t>2026</w:t>
                  </w:r>
                </w:p>
              </w:tc>
              <w:tc>
                <w:tcPr>
                  <w:tcW w:w="764" w:type="dxa"/>
                  <w:shd w:val="clear" w:color="auto" w:fill="BDD6EE" w:themeFill="accent5" w:themeFillTint="66"/>
                  <w:noWrap/>
                  <w:hideMark/>
                </w:tcPr>
                <w:p w:rsidRPr="0017102A" w:rsidR="00EC0D04" w:rsidP="00F11423" w:rsidRDefault="00EC0D04" w14:paraId="393CC022"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i/>
                      <w:iCs/>
                      <w:color w:val="000000"/>
                      <w:sz w:val="18"/>
                      <w:szCs w:val="18"/>
                    </w:rPr>
                  </w:pPr>
                  <w:r w:rsidRPr="0017102A">
                    <w:rPr>
                      <w:rFonts w:ascii="Verdana" w:hAnsi="Verdana"/>
                      <w:b w:val="0"/>
                      <w:bCs w:val="0"/>
                      <w:i/>
                      <w:iCs/>
                      <w:color w:val="000000"/>
                      <w:sz w:val="18"/>
                      <w:szCs w:val="18"/>
                    </w:rPr>
                    <w:t>2027</w:t>
                  </w:r>
                </w:p>
              </w:tc>
              <w:tc>
                <w:tcPr>
                  <w:tcW w:w="663" w:type="dxa"/>
                  <w:shd w:val="clear" w:color="auto" w:fill="BDD6EE" w:themeFill="accent5" w:themeFillTint="66"/>
                  <w:noWrap/>
                  <w:hideMark/>
                </w:tcPr>
                <w:p w:rsidRPr="0017102A" w:rsidR="00EC0D04" w:rsidP="00F11423" w:rsidRDefault="00EC0D04" w14:paraId="6AA3BB7B"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i/>
                      <w:iCs/>
                      <w:color w:val="000000"/>
                      <w:sz w:val="18"/>
                      <w:szCs w:val="18"/>
                    </w:rPr>
                  </w:pPr>
                  <w:r w:rsidRPr="0017102A">
                    <w:rPr>
                      <w:rFonts w:ascii="Verdana" w:hAnsi="Verdana"/>
                      <w:b w:val="0"/>
                      <w:bCs w:val="0"/>
                      <w:i/>
                      <w:iCs/>
                      <w:color w:val="000000"/>
                      <w:sz w:val="18"/>
                      <w:szCs w:val="18"/>
                    </w:rPr>
                    <w:t>2028</w:t>
                  </w:r>
                </w:p>
              </w:tc>
              <w:tc>
                <w:tcPr>
                  <w:tcW w:w="663" w:type="dxa"/>
                  <w:shd w:val="clear" w:color="auto" w:fill="BDD6EE" w:themeFill="accent5" w:themeFillTint="66"/>
                  <w:noWrap/>
                  <w:hideMark/>
                </w:tcPr>
                <w:p w:rsidRPr="0017102A" w:rsidR="00EC0D04" w:rsidP="00F11423" w:rsidRDefault="00EC0D04" w14:paraId="265C4370"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i/>
                      <w:iCs/>
                      <w:color w:val="000000"/>
                      <w:sz w:val="18"/>
                      <w:szCs w:val="18"/>
                    </w:rPr>
                  </w:pPr>
                  <w:r w:rsidRPr="0017102A">
                    <w:rPr>
                      <w:rFonts w:ascii="Verdana" w:hAnsi="Verdana"/>
                      <w:b w:val="0"/>
                      <w:bCs w:val="0"/>
                      <w:i/>
                      <w:iCs/>
                      <w:color w:val="000000"/>
                      <w:sz w:val="18"/>
                      <w:szCs w:val="18"/>
                    </w:rPr>
                    <w:t>2029</w:t>
                  </w:r>
                </w:p>
              </w:tc>
              <w:tc>
                <w:tcPr>
                  <w:tcW w:w="669" w:type="dxa"/>
                  <w:shd w:val="clear" w:color="auto" w:fill="BDD6EE" w:themeFill="accent5" w:themeFillTint="66"/>
                  <w:noWrap/>
                  <w:hideMark/>
                </w:tcPr>
                <w:p w:rsidRPr="0017102A" w:rsidR="00EC0D04" w:rsidP="00F11423" w:rsidRDefault="00EC0D04" w14:paraId="3C93ECCA"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8"/>
                      <w:szCs w:val="18"/>
                    </w:rPr>
                  </w:pPr>
                  <w:proofErr w:type="spellStart"/>
                  <w:proofErr w:type="gramStart"/>
                  <w:r w:rsidRPr="0017102A">
                    <w:rPr>
                      <w:rFonts w:ascii="Verdana" w:hAnsi="Verdana"/>
                      <w:b w:val="0"/>
                      <w:bCs w:val="0"/>
                      <w:color w:val="000000"/>
                      <w:sz w:val="18"/>
                      <w:szCs w:val="18"/>
                    </w:rPr>
                    <w:t>struc</w:t>
                  </w:r>
                  <w:proofErr w:type="spellEnd"/>
                  <w:proofErr w:type="gramEnd"/>
                </w:p>
              </w:tc>
              <w:tc>
                <w:tcPr>
                  <w:tcW w:w="1330" w:type="dxa"/>
                  <w:shd w:val="clear" w:color="auto" w:fill="BDD6EE" w:themeFill="accent5" w:themeFillTint="66"/>
                  <w:noWrap/>
                  <w:hideMark/>
                </w:tcPr>
                <w:p w:rsidRPr="0017102A" w:rsidR="00EC0D04" w:rsidP="00F11423" w:rsidRDefault="00EC0D04" w14:paraId="11EFD7B4"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8"/>
                      <w:szCs w:val="18"/>
                    </w:rPr>
                  </w:pPr>
                  <w:proofErr w:type="spellStart"/>
                  <w:proofErr w:type="gramStart"/>
                  <w:r w:rsidRPr="0017102A">
                    <w:rPr>
                      <w:rFonts w:ascii="Verdana" w:hAnsi="Verdana"/>
                      <w:b w:val="0"/>
                      <w:bCs w:val="0"/>
                      <w:color w:val="000000"/>
                      <w:sz w:val="18"/>
                      <w:szCs w:val="18"/>
                    </w:rPr>
                    <w:t>struc</w:t>
                  </w:r>
                  <w:proofErr w:type="spellEnd"/>
                  <w:proofErr w:type="gramEnd"/>
                  <w:r w:rsidRPr="0017102A">
                    <w:rPr>
                      <w:rFonts w:ascii="Verdana" w:hAnsi="Verdana"/>
                      <w:b w:val="0"/>
                      <w:bCs w:val="0"/>
                      <w:color w:val="000000"/>
                      <w:sz w:val="18"/>
                      <w:szCs w:val="18"/>
                    </w:rPr>
                    <w:t xml:space="preserve"> in</w:t>
                  </w:r>
                </w:p>
              </w:tc>
            </w:tr>
            <w:tr w:rsidRPr="00F11423" w:rsidR="00EC0D04" w:rsidTr="00EC0D04" w14:paraId="73278CDC" w14:textId="7777777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937" w:type="dxa"/>
                  <w:shd w:val="clear" w:color="auto" w:fill="FFFFFF" w:themeFill="background1"/>
                  <w:noWrap/>
                  <w:hideMark/>
                </w:tcPr>
                <w:p w:rsidRPr="00F11423" w:rsidR="00EC0D04" w:rsidP="00F11423" w:rsidRDefault="00EC0D04" w14:paraId="6D9A50C4" w14:textId="77777777">
                  <w:pPr>
                    <w:spacing w:line="276" w:lineRule="auto"/>
                    <w:rPr>
                      <w:rFonts w:ascii="Verdana" w:hAnsi="Verdana"/>
                      <w:color w:val="000000"/>
                      <w:sz w:val="18"/>
                      <w:szCs w:val="18"/>
                    </w:rPr>
                  </w:pPr>
                  <w:r w:rsidRPr="00F11423">
                    <w:rPr>
                      <w:rFonts w:ascii="Verdana" w:hAnsi="Verdana"/>
                      <w:color w:val="000000"/>
                      <w:sz w:val="18"/>
                      <w:szCs w:val="18"/>
                    </w:rPr>
                    <w:t>Terugdraaien btw-verhoging op culturele goederen en diensten (</w:t>
                  </w:r>
                  <w:proofErr w:type="spellStart"/>
                  <w:r w:rsidRPr="00F11423">
                    <w:rPr>
                      <w:rFonts w:ascii="Verdana" w:hAnsi="Verdana"/>
                      <w:color w:val="000000"/>
                      <w:sz w:val="18"/>
                      <w:szCs w:val="18"/>
                    </w:rPr>
                    <w:t>muv</w:t>
                  </w:r>
                  <w:proofErr w:type="spellEnd"/>
                  <w:r w:rsidRPr="00F11423">
                    <w:rPr>
                      <w:rFonts w:ascii="Verdana" w:hAnsi="Verdana"/>
                      <w:color w:val="000000"/>
                      <w:sz w:val="18"/>
                      <w:szCs w:val="18"/>
                    </w:rPr>
                    <w:t xml:space="preserve"> sport en kunstvoorwerpen)</w:t>
                  </w:r>
                </w:p>
              </w:tc>
              <w:tc>
                <w:tcPr>
                  <w:tcW w:w="663" w:type="dxa"/>
                  <w:shd w:val="clear" w:color="auto" w:fill="FFFFFF" w:themeFill="background1"/>
                  <w:noWrap/>
                  <w:hideMark/>
                </w:tcPr>
                <w:p w:rsidRPr="00F11423" w:rsidR="00EC0D04" w:rsidP="00F11423" w:rsidRDefault="00EC0D04" w14:paraId="5419522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c>
                <w:tcPr>
                  <w:tcW w:w="764" w:type="dxa"/>
                  <w:shd w:val="clear" w:color="auto" w:fill="FFFFFF" w:themeFill="background1"/>
                  <w:noWrap/>
                  <w:hideMark/>
                </w:tcPr>
                <w:p w:rsidRPr="00F11423" w:rsidR="00EC0D04" w:rsidP="00F11423" w:rsidRDefault="00EC0D04" w14:paraId="6A72ACF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sz w:val="18"/>
                      <w:szCs w:val="18"/>
                    </w:rPr>
                    <w:t>-957</w:t>
                  </w:r>
                </w:p>
              </w:tc>
              <w:tc>
                <w:tcPr>
                  <w:tcW w:w="764" w:type="dxa"/>
                  <w:shd w:val="clear" w:color="auto" w:fill="FFFFFF" w:themeFill="background1"/>
                  <w:noWrap/>
                  <w:hideMark/>
                </w:tcPr>
                <w:p w:rsidRPr="00F11423" w:rsidR="00EC0D04" w:rsidP="00F11423" w:rsidRDefault="00EC0D04" w14:paraId="4C625C0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sz w:val="18"/>
                      <w:szCs w:val="18"/>
                    </w:rPr>
                    <w:t>-957</w:t>
                  </w:r>
                </w:p>
              </w:tc>
              <w:tc>
                <w:tcPr>
                  <w:tcW w:w="663" w:type="dxa"/>
                  <w:shd w:val="clear" w:color="auto" w:fill="FFFFFF" w:themeFill="background1"/>
                  <w:noWrap/>
                  <w:hideMark/>
                </w:tcPr>
                <w:p w:rsidRPr="00F11423" w:rsidR="00EC0D04" w:rsidP="00F11423" w:rsidRDefault="00EC0D04" w14:paraId="7471E37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sz w:val="18"/>
                      <w:szCs w:val="18"/>
                    </w:rPr>
                    <w:t>-957</w:t>
                  </w:r>
                </w:p>
              </w:tc>
              <w:tc>
                <w:tcPr>
                  <w:tcW w:w="663" w:type="dxa"/>
                  <w:shd w:val="clear" w:color="auto" w:fill="FFFFFF" w:themeFill="background1"/>
                  <w:noWrap/>
                  <w:hideMark/>
                </w:tcPr>
                <w:p w:rsidRPr="00F11423" w:rsidR="00EC0D04" w:rsidP="00F11423" w:rsidRDefault="00EC0D04" w14:paraId="502F50E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sz w:val="18"/>
                      <w:szCs w:val="18"/>
                    </w:rPr>
                    <w:t>-957</w:t>
                  </w:r>
                </w:p>
              </w:tc>
              <w:tc>
                <w:tcPr>
                  <w:tcW w:w="669" w:type="dxa"/>
                  <w:shd w:val="clear" w:color="auto" w:fill="FFFFFF" w:themeFill="background1"/>
                  <w:noWrap/>
                  <w:hideMark/>
                </w:tcPr>
                <w:p w:rsidRPr="00F11423" w:rsidR="00EC0D04" w:rsidP="00F11423" w:rsidRDefault="00EC0D04" w14:paraId="423F624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sz w:val="18"/>
                      <w:szCs w:val="18"/>
                    </w:rPr>
                    <w:t>-957</w:t>
                  </w:r>
                </w:p>
              </w:tc>
              <w:tc>
                <w:tcPr>
                  <w:tcW w:w="1330" w:type="dxa"/>
                  <w:shd w:val="clear" w:color="auto" w:fill="FFFFFF" w:themeFill="background1"/>
                  <w:noWrap/>
                  <w:hideMark/>
                </w:tcPr>
                <w:p w:rsidRPr="00F11423" w:rsidR="00EC0D04" w:rsidP="00F11423" w:rsidRDefault="00EC0D04" w14:paraId="14AAAFD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color w:val="000000"/>
                      <w:sz w:val="18"/>
                      <w:szCs w:val="18"/>
                    </w:rPr>
                    <w:t>2026</w:t>
                  </w:r>
                </w:p>
              </w:tc>
            </w:tr>
          </w:tbl>
          <w:p w:rsidRPr="00F11423" w:rsidR="00EC0D04" w:rsidP="00F11423" w:rsidRDefault="00EC0D04" w14:paraId="14BB3E7D" w14:textId="77777777">
            <w:pPr>
              <w:spacing w:after="0" w:line="276" w:lineRule="auto"/>
              <w:rPr>
                <w:rFonts w:ascii="Verdana" w:hAnsi="Verdana"/>
                <w:b/>
                <w:bCs/>
                <w:sz w:val="18"/>
                <w:szCs w:val="18"/>
              </w:rPr>
            </w:pPr>
          </w:p>
        </w:tc>
      </w:tr>
      <w:tr w:rsidRPr="00F11423" w:rsidR="00EC0D04" w:rsidTr="006D0C4A" w14:paraId="4114BB92" w14:textId="77777777">
        <w:tc>
          <w:tcPr>
            <w:tcW w:w="993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6527C09A" w14:textId="2A334319">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F11423">
              <w:rPr>
                <w:rFonts w:ascii="Verdana" w:hAnsi="Verdana"/>
                <w:sz w:val="18"/>
                <w:szCs w:val="18"/>
              </w:rPr>
              <w:t xml:space="preserve">BTW uitvoerbaar per </w:t>
            </w:r>
            <w:r w:rsidR="00DC5B82">
              <w:rPr>
                <w:rFonts w:ascii="Verdana" w:hAnsi="Verdana"/>
                <w:sz w:val="18"/>
                <w:szCs w:val="18"/>
              </w:rPr>
              <w:t xml:space="preserve">1 januari </w:t>
            </w:r>
            <w:r w:rsidRPr="00F11423">
              <w:rPr>
                <w:rFonts w:ascii="Verdana" w:hAnsi="Verdana"/>
                <w:sz w:val="18"/>
                <w:szCs w:val="18"/>
              </w:rPr>
              <w:t>2026</w:t>
            </w:r>
            <w:r w:rsidR="00DC5B82">
              <w:rPr>
                <w:rFonts w:ascii="Verdana" w:hAnsi="Verdana"/>
                <w:sz w:val="18"/>
                <w:szCs w:val="18"/>
              </w:rPr>
              <w:t>. De dekking is vanwege ontbreken concrete wetswijziging niet op uitvoerbaarheid beoordeeld.</w:t>
            </w:r>
          </w:p>
        </w:tc>
      </w:tr>
    </w:tbl>
    <w:p w:rsidRPr="00F11423" w:rsidR="00EC0D04" w:rsidP="00F11423" w:rsidRDefault="00EC0D04" w14:paraId="536CB1E5" w14:textId="77777777">
      <w:pPr>
        <w:spacing w:after="0" w:line="276" w:lineRule="auto"/>
        <w:rPr>
          <w:rFonts w:ascii="Verdana" w:hAnsi="Verdana"/>
          <w:sz w:val="18"/>
          <w:szCs w:val="18"/>
        </w:rPr>
      </w:pPr>
    </w:p>
    <w:tbl>
      <w:tblPr>
        <w:tblW w:w="9913" w:type="dxa"/>
        <w:tblCellMar>
          <w:left w:w="0" w:type="dxa"/>
          <w:right w:w="0" w:type="dxa"/>
        </w:tblCellMar>
        <w:tblLook w:val="04A0" w:firstRow="1" w:lastRow="0" w:firstColumn="1" w:lastColumn="0" w:noHBand="0" w:noVBand="1"/>
      </w:tblPr>
      <w:tblGrid>
        <w:gridCol w:w="3941"/>
        <w:gridCol w:w="5972"/>
      </w:tblGrid>
      <w:tr w:rsidRPr="00F11423" w:rsidR="00EC0D04" w:rsidTr="001837D7" w14:paraId="5DCDF0B6" w14:textId="77777777">
        <w:tc>
          <w:tcPr>
            <w:tcW w:w="3941"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EC0D04" w:rsidP="00F11423" w:rsidRDefault="00EC0D04" w14:paraId="4D405DC7" w14:textId="77777777">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36602 014</w:t>
            </w:r>
          </w:p>
        </w:tc>
        <w:tc>
          <w:tcPr>
            <w:tcW w:w="597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EC0D04" w:rsidP="00F11423" w:rsidRDefault="00EC0D04" w14:paraId="395A71D6"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proofErr w:type="spellStart"/>
            <w:r w:rsidRPr="00F11423">
              <w:rPr>
                <w:rFonts w:ascii="Verdana" w:hAnsi="Verdana"/>
                <w:b/>
                <w:bCs/>
                <w:color w:val="000000"/>
                <w:sz w:val="18"/>
                <w:szCs w:val="18"/>
              </w:rPr>
              <w:t>BTW-verhoging</w:t>
            </w:r>
            <w:proofErr w:type="spellEnd"/>
            <w:r w:rsidRPr="00F11423">
              <w:rPr>
                <w:rFonts w:ascii="Verdana" w:hAnsi="Verdana"/>
                <w:b/>
                <w:bCs/>
                <w:color w:val="000000"/>
                <w:sz w:val="18"/>
                <w:szCs w:val="18"/>
              </w:rPr>
              <w:t xml:space="preserve"> sport terugdraaien </w:t>
            </w:r>
          </w:p>
        </w:tc>
      </w:tr>
      <w:tr w:rsidRPr="00F11423" w:rsidR="00EC0D04" w:rsidTr="001837D7" w14:paraId="19E99939" w14:textId="77777777">
        <w:tc>
          <w:tcPr>
            <w:tcW w:w="39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40986B61" w14:textId="6C7FCAE1">
            <w:pPr>
              <w:spacing w:after="0" w:line="276" w:lineRule="auto"/>
              <w:rPr>
                <w:rFonts w:ascii="Verdana" w:hAnsi="Verdana"/>
                <w:b/>
                <w:bCs/>
                <w:sz w:val="18"/>
                <w:szCs w:val="18"/>
              </w:rPr>
            </w:pPr>
            <w:r w:rsidRPr="00F11423">
              <w:rPr>
                <w:rFonts w:ascii="Verdana" w:hAnsi="Verdana"/>
                <w:b/>
                <w:bCs/>
                <w:sz w:val="18"/>
                <w:szCs w:val="18"/>
              </w:rPr>
              <w:t>Indieners</w:t>
            </w:r>
            <w:r w:rsidRPr="00393EC1">
              <w:rPr>
                <w:rFonts w:ascii="Verdana" w:hAnsi="Verdana"/>
                <w:sz w:val="18"/>
                <w:szCs w:val="18"/>
              </w:rPr>
              <w:t xml:space="preserve">: </w:t>
            </w:r>
            <w:proofErr w:type="spellStart"/>
            <w:r w:rsidRPr="00393EC1" w:rsidR="006D0C4A">
              <w:rPr>
                <w:rFonts w:ascii="Verdana" w:hAnsi="Verdana"/>
                <w:sz w:val="18"/>
                <w:szCs w:val="18"/>
              </w:rPr>
              <w:t>Jetten</w:t>
            </w:r>
            <w:proofErr w:type="spellEnd"/>
            <w:r w:rsidR="00393EC1">
              <w:rPr>
                <w:rFonts w:ascii="Verdana" w:hAnsi="Verdana"/>
                <w:sz w:val="18"/>
                <w:szCs w:val="18"/>
              </w:rPr>
              <w:t xml:space="preserve"> (D66) en</w:t>
            </w:r>
            <w:r w:rsidRPr="00393EC1" w:rsidR="006D0C4A">
              <w:rPr>
                <w:rFonts w:ascii="Verdana" w:hAnsi="Verdana"/>
                <w:sz w:val="18"/>
                <w:szCs w:val="18"/>
              </w:rPr>
              <w:t xml:space="preserve"> </w:t>
            </w:r>
            <w:r w:rsidRPr="00393EC1">
              <w:rPr>
                <w:rFonts w:ascii="Verdana" w:hAnsi="Verdana"/>
                <w:sz w:val="18"/>
                <w:szCs w:val="18"/>
              </w:rPr>
              <w:t>Bontenbal</w:t>
            </w:r>
            <w:r w:rsidRPr="00F11423">
              <w:rPr>
                <w:rFonts w:ascii="Verdana" w:hAnsi="Verdana"/>
                <w:sz w:val="18"/>
                <w:szCs w:val="18"/>
              </w:rPr>
              <w:t xml:space="preserve"> (CDA</w:t>
            </w:r>
            <w:r w:rsidR="00137294">
              <w:rPr>
                <w:rFonts w:ascii="Verdana" w:hAnsi="Verdana"/>
                <w:sz w:val="18"/>
                <w:szCs w:val="18"/>
              </w:rPr>
              <w:t>)</w:t>
            </w:r>
          </w:p>
        </w:tc>
        <w:tc>
          <w:tcPr>
            <w:tcW w:w="597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325C4C58"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393EC1">
              <w:rPr>
                <w:rFonts w:ascii="Verdana" w:hAnsi="Verdana"/>
                <w:sz w:val="18"/>
                <w:szCs w:val="18"/>
              </w:rPr>
              <w:t>Ontraden</w:t>
            </w:r>
          </w:p>
        </w:tc>
      </w:tr>
      <w:tr w:rsidRPr="00F11423" w:rsidR="00EC0D04" w:rsidTr="001837D7" w14:paraId="0FED11C6" w14:textId="77777777">
        <w:tc>
          <w:tcPr>
            <w:tcW w:w="991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31A7DD99" w14:textId="1768D427">
            <w:pPr>
              <w:spacing w:after="0" w:line="276" w:lineRule="auto"/>
              <w:rPr>
                <w:rFonts w:ascii="Verdana" w:hAnsi="Verdana"/>
                <w:b/>
                <w:bCs/>
                <w:sz w:val="18"/>
                <w:szCs w:val="18"/>
              </w:rPr>
            </w:pPr>
            <w:r w:rsidRPr="00F11423">
              <w:rPr>
                <w:rFonts w:ascii="Verdana" w:hAnsi="Verdana"/>
                <w:b/>
                <w:bCs/>
                <w:sz w:val="18"/>
                <w:szCs w:val="18"/>
              </w:rPr>
              <w:t xml:space="preserve">Gevolgen: </w:t>
            </w:r>
            <w:r w:rsidRPr="002F7ADB" w:rsidR="002F7ADB">
              <w:rPr>
                <w:rFonts w:ascii="Verdana" w:hAnsi="Verdana"/>
                <w:sz w:val="18"/>
                <w:szCs w:val="18"/>
              </w:rPr>
              <w:t xml:space="preserve">Voor sportinstellingen met een winstoogmerk en de </w:t>
            </w:r>
            <w:proofErr w:type="spellStart"/>
            <w:r w:rsidRPr="002F7ADB" w:rsidR="002F7ADB">
              <w:rPr>
                <w:rFonts w:ascii="Verdana" w:hAnsi="Verdana"/>
                <w:sz w:val="18"/>
                <w:szCs w:val="18"/>
              </w:rPr>
              <w:t>toegangverlening</w:t>
            </w:r>
            <w:proofErr w:type="spellEnd"/>
            <w:r w:rsidRPr="002F7ADB" w:rsidR="002F7ADB">
              <w:rPr>
                <w:rFonts w:ascii="Verdana" w:hAnsi="Verdana"/>
                <w:sz w:val="18"/>
                <w:szCs w:val="18"/>
              </w:rPr>
              <w:t xml:space="preserve"> tot sportwedstrijden blijft het 9%-tarief gelden. De conceptdekking is niet concreet. Invoering van verbruiksbelasting op e-sigaretten is niet mogelijk per 2026. Verhoging van tabaksaccijns leidt niet tot voldoende dekking.</w:t>
            </w:r>
            <w:r w:rsidR="002F7ADB">
              <w:rPr>
                <w:rFonts w:ascii="Verdana" w:hAnsi="Verdana"/>
                <w:b/>
                <w:bCs/>
                <w:sz w:val="18"/>
                <w:szCs w:val="18"/>
              </w:rPr>
              <w:t xml:space="preserve">  </w:t>
            </w:r>
          </w:p>
        </w:tc>
      </w:tr>
      <w:tr w:rsidRPr="00F11423" w:rsidR="00EC0D04" w:rsidTr="001837D7" w14:paraId="778BEE7D" w14:textId="77777777">
        <w:tc>
          <w:tcPr>
            <w:tcW w:w="991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EC0D04" w:rsidP="00F11423" w:rsidRDefault="00EC0D04" w14:paraId="67211B4D"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p>
          <w:tbl>
            <w:tblPr>
              <w:tblStyle w:val="Rastertabel4-Accent51"/>
              <w:tblW w:w="9453" w:type="dxa"/>
              <w:tblLook w:val="04A0" w:firstRow="1" w:lastRow="0" w:firstColumn="1" w:lastColumn="0" w:noHBand="0" w:noVBand="1"/>
            </w:tblPr>
            <w:tblGrid>
              <w:gridCol w:w="3937"/>
              <w:gridCol w:w="674"/>
              <w:gridCol w:w="764"/>
              <w:gridCol w:w="764"/>
              <w:gridCol w:w="674"/>
              <w:gridCol w:w="674"/>
              <w:gridCol w:w="669"/>
              <w:gridCol w:w="1330"/>
            </w:tblGrid>
            <w:tr w:rsidRPr="00F11423" w:rsidR="00EC0D04" w:rsidTr="00EC0D04" w14:paraId="49D07DA3" w14:textId="7777777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937" w:type="dxa"/>
                  <w:shd w:val="clear" w:color="auto" w:fill="BDD6EE" w:themeFill="accent5" w:themeFillTint="66"/>
                  <w:noWrap/>
                  <w:hideMark/>
                </w:tcPr>
                <w:p w:rsidRPr="00F11423" w:rsidR="00EC0D04" w:rsidP="00F11423" w:rsidRDefault="00EC0D04" w14:paraId="5D86D808" w14:textId="77777777">
                  <w:pPr>
                    <w:spacing w:line="276" w:lineRule="auto"/>
                    <w:rPr>
                      <w:rFonts w:ascii="Verdana" w:hAnsi="Verdana"/>
                      <w:color w:val="000000"/>
                      <w:sz w:val="18"/>
                      <w:szCs w:val="18"/>
                    </w:rPr>
                  </w:pPr>
                </w:p>
              </w:tc>
              <w:tc>
                <w:tcPr>
                  <w:tcW w:w="663" w:type="dxa"/>
                  <w:shd w:val="clear" w:color="auto" w:fill="BDD6EE" w:themeFill="accent5" w:themeFillTint="66"/>
                  <w:noWrap/>
                  <w:hideMark/>
                </w:tcPr>
                <w:p w:rsidRPr="0017102A" w:rsidR="00EC0D04" w:rsidP="00F11423" w:rsidRDefault="00EC0D04" w14:paraId="191A89EB"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i/>
                      <w:iCs/>
                      <w:color w:val="000000"/>
                      <w:sz w:val="18"/>
                      <w:szCs w:val="18"/>
                    </w:rPr>
                  </w:pPr>
                  <w:r w:rsidRPr="0017102A">
                    <w:rPr>
                      <w:rFonts w:ascii="Verdana" w:hAnsi="Verdana"/>
                      <w:b w:val="0"/>
                      <w:bCs w:val="0"/>
                      <w:i/>
                      <w:iCs/>
                      <w:color w:val="000000"/>
                      <w:sz w:val="18"/>
                      <w:szCs w:val="18"/>
                    </w:rPr>
                    <w:t>2025</w:t>
                  </w:r>
                </w:p>
              </w:tc>
              <w:tc>
                <w:tcPr>
                  <w:tcW w:w="764" w:type="dxa"/>
                  <w:shd w:val="clear" w:color="auto" w:fill="BDD6EE" w:themeFill="accent5" w:themeFillTint="66"/>
                  <w:noWrap/>
                  <w:hideMark/>
                </w:tcPr>
                <w:p w:rsidRPr="0017102A" w:rsidR="00EC0D04" w:rsidP="00F11423" w:rsidRDefault="00EC0D04" w14:paraId="2A29BC23"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i/>
                      <w:iCs/>
                      <w:color w:val="000000"/>
                      <w:sz w:val="18"/>
                      <w:szCs w:val="18"/>
                    </w:rPr>
                  </w:pPr>
                  <w:r w:rsidRPr="0017102A">
                    <w:rPr>
                      <w:rFonts w:ascii="Verdana" w:hAnsi="Verdana"/>
                      <w:b w:val="0"/>
                      <w:bCs w:val="0"/>
                      <w:i/>
                      <w:iCs/>
                      <w:color w:val="000000"/>
                      <w:sz w:val="18"/>
                      <w:szCs w:val="18"/>
                    </w:rPr>
                    <w:t>2026</w:t>
                  </w:r>
                </w:p>
              </w:tc>
              <w:tc>
                <w:tcPr>
                  <w:tcW w:w="764" w:type="dxa"/>
                  <w:shd w:val="clear" w:color="auto" w:fill="BDD6EE" w:themeFill="accent5" w:themeFillTint="66"/>
                  <w:noWrap/>
                  <w:hideMark/>
                </w:tcPr>
                <w:p w:rsidRPr="0017102A" w:rsidR="00EC0D04" w:rsidP="00F11423" w:rsidRDefault="00EC0D04" w14:paraId="1E23544C"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i/>
                      <w:iCs/>
                      <w:color w:val="000000"/>
                      <w:sz w:val="18"/>
                      <w:szCs w:val="18"/>
                    </w:rPr>
                  </w:pPr>
                  <w:r w:rsidRPr="0017102A">
                    <w:rPr>
                      <w:rFonts w:ascii="Verdana" w:hAnsi="Verdana"/>
                      <w:b w:val="0"/>
                      <w:bCs w:val="0"/>
                      <w:i/>
                      <w:iCs/>
                      <w:color w:val="000000"/>
                      <w:sz w:val="18"/>
                      <w:szCs w:val="18"/>
                    </w:rPr>
                    <w:t>2027</w:t>
                  </w:r>
                </w:p>
              </w:tc>
              <w:tc>
                <w:tcPr>
                  <w:tcW w:w="663" w:type="dxa"/>
                  <w:shd w:val="clear" w:color="auto" w:fill="BDD6EE" w:themeFill="accent5" w:themeFillTint="66"/>
                  <w:noWrap/>
                  <w:hideMark/>
                </w:tcPr>
                <w:p w:rsidRPr="0017102A" w:rsidR="00EC0D04" w:rsidP="00F11423" w:rsidRDefault="00EC0D04" w14:paraId="4C65A952"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i/>
                      <w:iCs/>
                      <w:color w:val="000000"/>
                      <w:sz w:val="18"/>
                      <w:szCs w:val="18"/>
                    </w:rPr>
                  </w:pPr>
                  <w:r w:rsidRPr="0017102A">
                    <w:rPr>
                      <w:rFonts w:ascii="Verdana" w:hAnsi="Verdana"/>
                      <w:b w:val="0"/>
                      <w:bCs w:val="0"/>
                      <w:i/>
                      <w:iCs/>
                      <w:color w:val="000000"/>
                      <w:sz w:val="18"/>
                      <w:szCs w:val="18"/>
                    </w:rPr>
                    <w:t>2028</w:t>
                  </w:r>
                </w:p>
              </w:tc>
              <w:tc>
                <w:tcPr>
                  <w:tcW w:w="663" w:type="dxa"/>
                  <w:shd w:val="clear" w:color="auto" w:fill="BDD6EE" w:themeFill="accent5" w:themeFillTint="66"/>
                  <w:noWrap/>
                  <w:hideMark/>
                </w:tcPr>
                <w:p w:rsidRPr="0017102A" w:rsidR="00EC0D04" w:rsidP="00F11423" w:rsidRDefault="00EC0D04" w14:paraId="731D9417"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i/>
                      <w:iCs/>
                      <w:color w:val="000000"/>
                      <w:sz w:val="18"/>
                      <w:szCs w:val="18"/>
                    </w:rPr>
                  </w:pPr>
                  <w:r w:rsidRPr="0017102A">
                    <w:rPr>
                      <w:rFonts w:ascii="Verdana" w:hAnsi="Verdana"/>
                      <w:b w:val="0"/>
                      <w:bCs w:val="0"/>
                      <w:i/>
                      <w:iCs/>
                      <w:color w:val="000000"/>
                      <w:sz w:val="18"/>
                      <w:szCs w:val="18"/>
                    </w:rPr>
                    <w:t>2029</w:t>
                  </w:r>
                </w:p>
              </w:tc>
              <w:tc>
                <w:tcPr>
                  <w:tcW w:w="669" w:type="dxa"/>
                  <w:shd w:val="clear" w:color="auto" w:fill="BDD6EE" w:themeFill="accent5" w:themeFillTint="66"/>
                  <w:noWrap/>
                  <w:hideMark/>
                </w:tcPr>
                <w:p w:rsidRPr="0017102A" w:rsidR="00EC0D04" w:rsidP="00F11423" w:rsidRDefault="00EC0D04" w14:paraId="50C7265F"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8"/>
                      <w:szCs w:val="18"/>
                    </w:rPr>
                  </w:pPr>
                  <w:proofErr w:type="spellStart"/>
                  <w:proofErr w:type="gramStart"/>
                  <w:r w:rsidRPr="0017102A">
                    <w:rPr>
                      <w:rFonts w:ascii="Verdana" w:hAnsi="Verdana"/>
                      <w:b w:val="0"/>
                      <w:bCs w:val="0"/>
                      <w:color w:val="000000"/>
                      <w:sz w:val="18"/>
                      <w:szCs w:val="18"/>
                    </w:rPr>
                    <w:t>struc</w:t>
                  </w:r>
                  <w:proofErr w:type="spellEnd"/>
                  <w:proofErr w:type="gramEnd"/>
                </w:p>
              </w:tc>
              <w:tc>
                <w:tcPr>
                  <w:tcW w:w="1330" w:type="dxa"/>
                  <w:shd w:val="clear" w:color="auto" w:fill="BDD6EE" w:themeFill="accent5" w:themeFillTint="66"/>
                  <w:noWrap/>
                  <w:hideMark/>
                </w:tcPr>
                <w:p w:rsidRPr="0017102A" w:rsidR="00EC0D04" w:rsidP="00F11423" w:rsidRDefault="00EC0D04" w14:paraId="0317F9A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8"/>
                      <w:szCs w:val="18"/>
                    </w:rPr>
                  </w:pPr>
                  <w:proofErr w:type="spellStart"/>
                  <w:proofErr w:type="gramStart"/>
                  <w:r w:rsidRPr="0017102A">
                    <w:rPr>
                      <w:rFonts w:ascii="Verdana" w:hAnsi="Verdana"/>
                      <w:b w:val="0"/>
                      <w:bCs w:val="0"/>
                      <w:color w:val="000000"/>
                      <w:sz w:val="18"/>
                      <w:szCs w:val="18"/>
                    </w:rPr>
                    <w:t>struc</w:t>
                  </w:r>
                  <w:proofErr w:type="spellEnd"/>
                  <w:proofErr w:type="gramEnd"/>
                  <w:r w:rsidRPr="0017102A">
                    <w:rPr>
                      <w:rFonts w:ascii="Verdana" w:hAnsi="Verdana"/>
                      <w:b w:val="0"/>
                      <w:bCs w:val="0"/>
                      <w:color w:val="000000"/>
                      <w:sz w:val="18"/>
                      <w:szCs w:val="18"/>
                    </w:rPr>
                    <w:t xml:space="preserve"> in</w:t>
                  </w:r>
                </w:p>
              </w:tc>
            </w:tr>
            <w:tr w:rsidRPr="00F11423" w:rsidR="00EC0D04" w:rsidTr="00EC0D04" w14:paraId="3B647EE3" w14:textId="7777777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937" w:type="dxa"/>
                  <w:shd w:val="clear" w:color="auto" w:fill="FFFFFF" w:themeFill="background1"/>
                  <w:noWrap/>
                  <w:hideMark/>
                </w:tcPr>
                <w:p w:rsidRPr="00F11423" w:rsidR="00EC0D04" w:rsidP="00F11423" w:rsidRDefault="00EC0D04" w14:paraId="5E70C27D" w14:textId="77777777">
                  <w:pPr>
                    <w:spacing w:line="276" w:lineRule="auto"/>
                    <w:rPr>
                      <w:rFonts w:ascii="Verdana" w:hAnsi="Verdana"/>
                      <w:color w:val="000000"/>
                      <w:sz w:val="18"/>
                      <w:szCs w:val="18"/>
                    </w:rPr>
                  </w:pPr>
                  <w:r w:rsidRPr="00F11423">
                    <w:rPr>
                      <w:rFonts w:ascii="Verdana" w:hAnsi="Verdana"/>
                      <w:color w:val="000000"/>
                      <w:sz w:val="18"/>
                      <w:szCs w:val="18"/>
                    </w:rPr>
                    <w:t>Terugdraaien btw-verhoging op sport</w:t>
                  </w:r>
                </w:p>
              </w:tc>
              <w:tc>
                <w:tcPr>
                  <w:tcW w:w="663" w:type="dxa"/>
                  <w:shd w:val="clear" w:color="auto" w:fill="FFFFFF" w:themeFill="background1"/>
                  <w:noWrap/>
                  <w:hideMark/>
                </w:tcPr>
                <w:p w:rsidRPr="00F11423" w:rsidR="00EC0D04" w:rsidP="00F11423" w:rsidRDefault="00EC0D04" w14:paraId="26E211F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c>
                <w:tcPr>
                  <w:tcW w:w="764" w:type="dxa"/>
                  <w:shd w:val="clear" w:color="auto" w:fill="FFFFFF" w:themeFill="background1"/>
                  <w:noWrap/>
                  <w:hideMark/>
                </w:tcPr>
                <w:p w:rsidRPr="00F11423" w:rsidR="00EC0D04" w:rsidP="00F11423" w:rsidRDefault="00EC0D04" w14:paraId="49D7574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color w:val="000000"/>
                      <w:sz w:val="18"/>
                      <w:szCs w:val="18"/>
                    </w:rPr>
                    <w:t>-227</w:t>
                  </w:r>
                </w:p>
              </w:tc>
              <w:tc>
                <w:tcPr>
                  <w:tcW w:w="764" w:type="dxa"/>
                  <w:shd w:val="clear" w:color="auto" w:fill="FFFFFF" w:themeFill="background1"/>
                  <w:noWrap/>
                  <w:hideMark/>
                </w:tcPr>
                <w:p w:rsidRPr="00F11423" w:rsidR="00EC0D04" w:rsidP="00F11423" w:rsidRDefault="00EC0D04" w14:paraId="653BAA3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color w:val="000000"/>
                      <w:sz w:val="18"/>
                      <w:szCs w:val="18"/>
                    </w:rPr>
                    <w:t>-227</w:t>
                  </w:r>
                </w:p>
              </w:tc>
              <w:tc>
                <w:tcPr>
                  <w:tcW w:w="663" w:type="dxa"/>
                  <w:shd w:val="clear" w:color="auto" w:fill="FFFFFF" w:themeFill="background1"/>
                  <w:noWrap/>
                  <w:hideMark/>
                </w:tcPr>
                <w:p w:rsidRPr="00F11423" w:rsidR="00EC0D04" w:rsidP="00F11423" w:rsidRDefault="00EC0D04" w14:paraId="3CFCCF2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color w:val="000000"/>
                      <w:sz w:val="18"/>
                      <w:szCs w:val="18"/>
                    </w:rPr>
                    <w:t>-227</w:t>
                  </w:r>
                </w:p>
              </w:tc>
              <w:tc>
                <w:tcPr>
                  <w:tcW w:w="663" w:type="dxa"/>
                  <w:shd w:val="clear" w:color="auto" w:fill="FFFFFF" w:themeFill="background1"/>
                  <w:noWrap/>
                  <w:hideMark/>
                </w:tcPr>
                <w:p w:rsidRPr="00F11423" w:rsidR="00EC0D04" w:rsidP="00F11423" w:rsidRDefault="00EC0D04" w14:paraId="49A3CB3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color w:val="000000"/>
                      <w:sz w:val="18"/>
                      <w:szCs w:val="18"/>
                    </w:rPr>
                    <w:t>-227</w:t>
                  </w:r>
                </w:p>
              </w:tc>
              <w:tc>
                <w:tcPr>
                  <w:tcW w:w="669" w:type="dxa"/>
                  <w:shd w:val="clear" w:color="auto" w:fill="FFFFFF" w:themeFill="background1"/>
                  <w:noWrap/>
                  <w:hideMark/>
                </w:tcPr>
                <w:p w:rsidRPr="00F11423" w:rsidR="00EC0D04" w:rsidP="00F11423" w:rsidRDefault="00EC0D04" w14:paraId="2BB87BE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color w:val="000000"/>
                      <w:sz w:val="18"/>
                      <w:szCs w:val="18"/>
                    </w:rPr>
                    <w:t>-227</w:t>
                  </w:r>
                </w:p>
              </w:tc>
              <w:tc>
                <w:tcPr>
                  <w:tcW w:w="1330" w:type="dxa"/>
                  <w:shd w:val="clear" w:color="auto" w:fill="FFFFFF" w:themeFill="background1"/>
                  <w:noWrap/>
                  <w:hideMark/>
                </w:tcPr>
                <w:p w:rsidRPr="00F11423" w:rsidR="00EC0D04" w:rsidP="00F11423" w:rsidRDefault="00EC0D04" w14:paraId="5F758B0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F11423">
                    <w:rPr>
                      <w:rFonts w:ascii="Verdana" w:hAnsi="Verdana"/>
                      <w:color w:val="000000"/>
                      <w:sz w:val="18"/>
                      <w:szCs w:val="18"/>
                    </w:rPr>
                    <w:t>2026</w:t>
                  </w:r>
                </w:p>
              </w:tc>
            </w:tr>
          </w:tbl>
          <w:p w:rsidRPr="00F11423" w:rsidR="00EC0D04" w:rsidP="00F11423" w:rsidRDefault="00EC0D04" w14:paraId="0EB958AF" w14:textId="77777777">
            <w:pPr>
              <w:spacing w:after="0" w:line="276" w:lineRule="auto"/>
              <w:rPr>
                <w:rFonts w:ascii="Verdana" w:hAnsi="Verdana"/>
                <w:b/>
                <w:bCs/>
                <w:sz w:val="18"/>
                <w:szCs w:val="18"/>
              </w:rPr>
            </w:pPr>
          </w:p>
        </w:tc>
      </w:tr>
      <w:tr w:rsidRPr="00F11423" w:rsidR="00EC0D04" w:rsidTr="001837D7" w14:paraId="1DD820AF" w14:textId="77777777">
        <w:tc>
          <w:tcPr>
            <w:tcW w:w="991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EC0D04" w:rsidP="00F11423" w:rsidRDefault="00EC0D04" w14:paraId="3E09ED0F" w14:textId="785FC33E">
            <w:pPr>
              <w:spacing w:after="0" w:line="276" w:lineRule="auto"/>
              <w:rPr>
                <w:rFonts w:ascii="Verdana" w:hAnsi="Verdana"/>
                <w:sz w:val="18"/>
                <w:szCs w:val="18"/>
              </w:rPr>
            </w:pPr>
            <w:r w:rsidRPr="00F11423">
              <w:rPr>
                <w:rFonts w:ascii="Verdana" w:hAnsi="Verdana"/>
                <w:b/>
                <w:bCs/>
                <w:sz w:val="18"/>
                <w:szCs w:val="18"/>
              </w:rPr>
              <w:t xml:space="preserve">Uitvoeringsgevolgen: </w:t>
            </w:r>
            <w:r w:rsidRPr="00F11423">
              <w:rPr>
                <w:rFonts w:ascii="Verdana" w:hAnsi="Verdana"/>
                <w:sz w:val="18"/>
                <w:szCs w:val="18"/>
              </w:rPr>
              <w:t xml:space="preserve">btw uitvoerbaar per </w:t>
            </w:r>
            <w:r w:rsidR="00DC5B82">
              <w:rPr>
                <w:rFonts w:ascii="Verdana" w:hAnsi="Verdana"/>
                <w:sz w:val="18"/>
                <w:szCs w:val="18"/>
              </w:rPr>
              <w:t xml:space="preserve">1 januari </w:t>
            </w:r>
            <w:r w:rsidRPr="00F11423">
              <w:rPr>
                <w:rFonts w:ascii="Verdana" w:hAnsi="Verdana"/>
                <w:sz w:val="18"/>
                <w:szCs w:val="18"/>
              </w:rPr>
              <w:t xml:space="preserve">2026. </w:t>
            </w:r>
            <w:r w:rsidR="00DC5B82">
              <w:rPr>
                <w:rFonts w:ascii="Verdana" w:hAnsi="Verdana"/>
                <w:sz w:val="18"/>
                <w:szCs w:val="18"/>
              </w:rPr>
              <w:t>De dekking is vanwege ontbreken concrete wetswijziging niet op uitvoerbaarheid beoordeeld.</w:t>
            </w:r>
            <w:r w:rsidRPr="00F11423">
              <w:rPr>
                <w:rFonts w:ascii="Verdana" w:hAnsi="Verdana"/>
                <w:sz w:val="18"/>
                <w:szCs w:val="18"/>
              </w:rPr>
              <w:t xml:space="preserve">   </w:t>
            </w:r>
          </w:p>
        </w:tc>
      </w:tr>
    </w:tbl>
    <w:p w:rsidRPr="00F11423" w:rsidR="00EC0D04" w:rsidP="00F11423" w:rsidRDefault="00EC0D04" w14:paraId="5E16988E" w14:textId="77777777">
      <w:pPr>
        <w:spacing w:after="0" w:line="276" w:lineRule="auto"/>
        <w:rPr>
          <w:rFonts w:ascii="Verdana" w:hAnsi="Verdana"/>
          <w:b/>
          <w:bCs/>
          <w:sz w:val="18"/>
          <w:szCs w:val="18"/>
        </w:rPr>
      </w:pPr>
    </w:p>
    <w:tbl>
      <w:tblPr>
        <w:tblW w:w="9913" w:type="dxa"/>
        <w:tblCellMar>
          <w:left w:w="0" w:type="dxa"/>
          <w:right w:w="0" w:type="dxa"/>
        </w:tblCellMar>
        <w:tblLook w:val="04A0" w:firstRow="1" w:lastRow="0" w:firstColumn="1" w:lastColumn="0" w:noHBand="0" w:noVBand="1"/>
      </w:tblPr>
      <w:tblGrid>
        <w:gridCol w:w="4385"/>
        <w:gridCol w:w="5528"/>
      </w:tblGrid>
      <w:tr w:rsidRPr="00F11423" w:rsidR="004F7C0D" w:rsidTr="006D0C4A" w14:paraId="294F27D6" w14:textId="77777777">
        <w:trPr>
          <w:trHeight w:val="516"/>
        </w:trPr>
        <w:tc>
          <w:tcPr>
            <w:tcW w:w="4385"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4F7C0D" w:rsidP="00F11423" w:rsidRDefault="004F7C0D" w14:paraId="35116C79" w14:textId="2B456C88">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16</w:t>
            </w:r>
          </w:p>
        </w:tc>
        <w:tc>
          <w:tcPr>
            <w:tcW w:w="5528"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4F7C0D" w:rsidP="00F11423" w:rsidRDefault="004F7C0D" w14:paraId="787B328C"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Verhogen tweede schijf VPB naar 26,72%</w:t>
            </w:r>
          </w:p>
        </w:tc>
      </w:tr>
      <w:tr w:rsidRPr="00F11423" w:rsidR="004F7C0D" w:rsidTr="006D0C4A" w14:paraId="3FE50C6A" w14:textId="77777777">
        <w:trPr>
          <w:trHeight w:val="516"/>
        </w:trPr>
        <w:tc>
          <w:tcPr>
            <w:tcW w:w="438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5CB803B3"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 xml:space="preserve">Van Nispen (SP), Dijk (SP) en </w:t>
            </w:r>
            <w:proofErr w:type="spellStart"/>
            <w:r w:rsidRPr="00F11423">
              <w:rPr>
                <w:rFonts w:ascii="Verdana" w:hAnsi="Verdana"/>
                <w:sz w:val="18"/>
                <w:szCs w:val="18"/>
              </w:rPr>
              <w:t>Chandor</w:t>
            </w:r>
            <w:proofErr w:type="spellEnd"/>
            <w:r w:rsidRPr="00F11423">
              <w:rPr>
                <w:rFonts w:ascii="Verdana" w:hAnsi="Verdana"/>
                <w:sz w:val="18"/>
                <w:szCs w:val="18"/>
              </w:rPr>
              <w:t xml:space="preserve"> (GL-PvdA)</w:t>
            </w:r>
          </w:p>
        </w:tc>
        <w:tc>
          <w:tcPr>
            <w:tcW w:w="5528"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1A72C465"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4F7C0D" w:rsidTr="006D0C4A" w14:paraId="1B222607" w14:textId="77777777">
        <w:trPr>
          <w:trHeight w:val="3056"/>
        </w:trPr>
        <w:tc>
          <w:tcPr>
            <w:tcW w:w="991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511A216A" w14:textId="77777777">
            <w:pPr>
              <w:pStyle w:val="Geenafstand"/>
              <w:spacing w:line="276" w:lineRule="auto"/>
              <w:rPr>
                <w:szCs w:val="18"/>
              </w:rPr>
            </w:pPr>
            <w:r w:rsidRPr="00F11423">
              <w:rPr>
                <w:b/>
                <w:bCs/>
                <w:szCs w:val="18"/>
              </w:rPr>
              <w:t xml:space="preserve">Gevolgen: </w:t>
            </w:r>
            <w:r w:rsidRPr="00F11423">
              <w:rPr>
                <w:szCs w:val="18"/>
              </w:rPr>
              <w:t xml:space="preserve">Dit amendement heeft een negatief effect op het Nederlandse vestigings- en investeringsklimaat. Een verhoging van het algemene tarief in de vennootschapsbelasting past niet bij het streven naar een stabiel en voorspelbaar fiscaal beleid. De Nederlandse concurrentiepositie verslechtert door een verhoging van het algemene </w:t>
            </w:r>
            <w:proofErr w:type="spellStart"/>
            <w:r w:rsidRPr="00F11423">
              <w:rPr>
                <w:szCs w:val="18"/>
              </w:rPr>
              <w:t>Vpb</w:t>
            </w:r>
            <w:proofErr w:type="spellEnd"/>
            <w:r w:rsidRPr="00F11423">
              <w:rPr>
                <w:szCs w:val="18"/>
              </w:rPr>
              <w:t xml:space="preserve">-tarief, aangezien daarmee wordt afgeweken van het gemiddelde Europese statutaire tarief. Daarnaast zou een verhoging het zogenoemde globale evenwicht verstoren tussen ondernemers voor de inkomstenbelasting en directeuren-grootaandeelhouders die met hun besloten vennootschap voor een deel van het belastbare bedrag onder het algemene </w:t>
            </w:r>
            <w:proofErr w:type="spellStart"/>
            <w:r w:rsidRPr="00F11423">
              <w:rPr>
                <w:szCs w:val="18"/>
              </w:rPr>
              <w:t>Vpb</w:t>
            </w:r>
            <w:proofErr w:type="spellEnd"/>
            <w:r w:rsidRPr="00F11423">
              <w:rPr>
                <w:szCs w:val="18"/>
              </w:rPr>
              <w:t xml:space="preserve">-tarief vallen. Ten slotte leidt een verhoging van het algemene </w:t>
            </w:r>
            <w:proofErr w:type="spellStart"/>
            <w:r w:rsidRPr="00F11423">
              <w:rPr>
                <w:szCs w:val="18"/>
              </w:rPr>
              <w:t>Vpb</w:t>
            </w:r>
            <w:proofErr w:type="spellEnd"/>
            <w:r w:rsidRPr="00F11423">
              <w:rPr>
                <w:szCs w:val="18"/>
              </w:rPr>
              <w:t xml:space="preserve">-tarief tot een groter verschil met het opstaptarief van 19%. Als gevolg hiervan worden belastingplichtigen geprikkeld om zichzelf op te knippen of fiscale eenheden te verbreken om te profiteren van het tariefverschil. </w:t>
            </w:r>
          </w:p>
          <w:p w:rsidRPr="00F11423" w:rsidR="004F7C0D" w:rsidP="00F11423" w:rsidRDefault="004F7C0D" w14:paraId="7280B05A" w14:textId="77777777">
            <w:pPr>
              <w:pStyle w:val="Geenafstand"/>
              <w:spacing w:line="276" w:lineRule="auto"/>
              <w:rPr>
                <w:szCs w:val="18"/>
              </w:rPr>
            </w:pPr>
          </w:p>
          <w:p w:rsidRPr="00F11423" w:rsidR="004F7C0D" w:rsidP="00F11423" w:rsidRDefault="004F7C0D" w14:paraId="4DFA6C86" w14:textId="77777777">
            <w:pPr>
              <w:pStyle w:val="Geenafstand"/>
              <w:spacing w:line="276" w:lineRule="auto"/>
              <w:rPr>
                <w:b/>
                <w:bCs/>
                <w:szCs w:val="18"/>
              </w:rPr>
            </w:pPr>
          </w:p>
        </w:tc>
      </w:tr>
      <w:tr w:rsidRPr="00F11423" w:rsidR="004F7C0D" w:rsidTr="006D0C4A" w14:paraId="52F61E16" w14:textId="77777777">
        <w:trPr>
          <w:trHeight w:val="1140"/>
        </w:trPr>
        <w:tc>
          <w:tcPr>
            <w:tcW w:w="991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4F7C0D" w:rsidP="00F11423" w:rsidRDefault="004F7C0D" w14:paraId="081989C0"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Dit amendement levert per jaar € 1 miljard structureel op vanaf 2025.</w:t>
            </w:r>
          </w:p>
          <w:tbl>
            <w:tblPr>
              <w:tblW w:w="6850" w:type="dxa"/>
              <w:tblCellMar>
                <w:left w:w="0" w:type="dxa"/>
                <w:right w:w="0" w:type="dxa"/>
              </w:tblCellMar>
              <w:tblLook w:val="04A0" w:firstRow="1" w:lastRow="0" w:firstColumn="1" w:lastColumn="0" w:noHBand="0" w:noVBand="1"/>
            </w:tblPr>
            <w:tblGrid>
              <w:gridCol w:w="2476"/>
              <w:gridCol w:w="729"/>
              <w:gridCol w:w="729"/>
              <w:gridCol w:w="728"/>
              <w:gridCol w:w="729"/>
              <w:gridCol w:w="1459"/>
            </w:tblGrid>
            <w:tr w:rsidRPr="00F11423" w:rsidR="004F7C0D" w:rsidTr="006D0C4A" w14:paraId="23FF2318" w14:textId="77777777">
              <w:trPr>
                <w:trHeight w:val="304"/>
              </w:trPr>
              <w:tc>
                <w:tcPr>
                  <w:tcW w:w="2476"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10CC2C09" w14:textId="77777777">
                  <w:pPr>
                    <w:spacing w:after="0" w:line="276" w:lineRule="auto"/>
                    <w:rPr>
                      <w:rFonts w:ascii="Verdana" w:hAnsi="Verdana"/>
                      <w:sz w:val="18"/>
                      <w:szCs w:val="18"/>
                    </w:rPr>
                  </w:pPr>
                  <w:r w:rsidRPr="00F11423">
                    <w:rPr>
                      <w:rFonts w:ascii="Verdana" w:hAnsi="Verdana"/>
                      <w:color w:val="000000"/>
                      <w:sz w:val="18"/>
                      <w:szCs w:val="18"/>
                    </w:rPr>
                    <w:t>Omvang in mln. €</w:t>
                  </w:r>
                </w:p>
              </w:tc>
              <w:tc>
                <w:tcPr>
                  <w:tcW w:w="72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03C20E25" w14:textId="77777777">
                  <w:pPr>
                    <w:spacing w:after="0" w:line="276" w:lineRule="auto"/>
                    <w:rPr>
                      <w:rFonts w:ascii="Verdana" w:hAnsi="Verdana"/>
                      <w:i/>
                      <w:iCs/>
                      <w:sz w:val="18"/>
                      <w:szCs w:val="18"/>
                    </w:rPr>
                  </w:pPr>
                  <w:r w:rsidRPr="00F11423">
                    <w:rPr>
                      <w:rFonts w:ascii="Verdana" w:hAnsi="Verdana"/>
                      <w:i/>
                      <w:iCs/>
                      <w:color w:val="000000"/>
                      <w:sz w:val="18"/>
                      <w:szCs w:val="18"/>
                    </w:rPr>
                    <w:t>2025</w:t>
                  </w:r>
                </w:p>
              </w:tc>
              <w:tc>
                <w:tcPr>
                  <w:tcW w:w="72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46A54FBF" w14:textId="77777777">
                  <w:pPr>
                    <w:spacing w:after="0" w:line="276" w:lineRule="auto"/>
                    <w:rPr>
                      <w:rFonts w:ascii="Verdana" w:hAnsi="Verdana"/>
                      <w:i/>
                      <w:iCs/>
                      <w:sz w:val="18"/>
                      <w:szCs w:val="18"/>
                    </w:rPr>
                  </w:pPr>
                  <w:r w:rsidRPr="00F11423">
                    <w:rPr>
                      <w:rFonts w:ascii="Verdana" w:hAnsi="Verdana"/>
                      <w:i/>
                      <w:iCs/>
                      <w:color w:val="000000"/>
                      <w:sz w:val="18"/>
                      <w:szCs w:val="18"/>
                    </w:rPr>
                    <w:t>206</w:t>
                  </w:r>
                </w:p>
              </w:tc>
              <w:tc>
                <w:tcPr>
                  <w:tcW w:w="72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4EF135F7" w14:textId="77777777">
                  <w:pPr>
                    <w:spacing w:after="0" w:line="276" w:lineRule="auto"/>
                    <w:rPr>
                      <w:rFonts w:ascii="Verdana" w:hAnsi="Verdana"/>
                      <w:i/>
                      <w:iCs/>
                      <w:sz w:val="18"/>
                      <w:szCs w:val="18"/>
                    </w:rPr>
                  </w:pPr>
                  <w:r w:rsidRPr="00F11423">
                    <w:rPr>
                      <w:rFonts w:ascii="Verdana" w:hAnsi="Verdana"/>
                      <w:i/>
                      <w:iCs/>
                      <w:color w:val="000000"/>
                      <w:sz w:val="18"/>
                      <w:szCs w:val="18"/>
                    </w:rPr>
                    <w:t>2027</w:t>
                  </w:r>
                </w:p>
              </w:tc>
              <w:tc>
                <w:tcPr>
                  <w:tcW w:w="72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16B02DEF" w14:textId="77777777">
                  <w:pPr>
                    <w:spacing w:after="0" w:line="276" w:lineRule="auto"/>
                    <w:rPr>
                      <w:rFonts w:ascii="Verdana" w:hAnsi="Verdana"/>
                      <w:i/>
                      <w:iCs/>
                      <w:sz w:val="18"/>
                      <w:szCs w:val="18"/>
                    </w:rPr>
                  </w:pPr>
                  <w:r w:rsidRPr="00F11423">
                    <w:rPr>
                      <w:rFonts w:ascii="Verdana" w:hAnsi="Verdana"/>
                      <w:i/>
                      <w:iCs/>
                      <w:color w:val="000000"/>
                      <w:sz w:val="18"/>
                      <w:szCs w:val="18"/>
                    </w:rPr>
                    <w:t>2028</w:t>
                  </w:r>
                </w:p>
              </w:tc>
              <w:tc>
                <w:tcPr>
                  <w:tcW w:w="145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7FDEDE32" w14:textId="77777777">
                  <w:pPr>
                    <w:spacing w:after="0" w:line="276" w:lineRule="auto"/>
                    <w:rPr>
                      <w:rFonts w:ascii="Verdana" w:hAnsi="Verdana"/>
                      <w:sz w:val="18"/>
                      <w:szCs w:val="18"/>
                    </w:rPr>
                  </w:pPr>
                  <w:r w:rsidRPr="00F11423">
                    <w:rPr>
                      <w:rFonts w:ascii="Verdana" w:hAnsi="Verdana"/>
                      <w:color w:val="000000"/>
                      <w:sz w:val="18"/>
                      <w:szCs w:val="18"/>
                    </w:rPr>
                    <w:t xml:space="preserve">Structureel </w:t>
                  </w:r>
                </w:p>
              </w:tc>
            </w:tr>
            <w:tr w:rsidRPr="00F11423" w:rsidR="004F7C0D" w:rsidTr="006D0C4A" w14:paraId="41362FBC" w14:textId="77777777">
              <w:trPr>
                <w:trHeight w:val="304"/>
              </w:trPr>
              <w:tc>
                <w:tcPr>
                  <w:tcW w:w="2476"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0DF21E2C" w14:textId="77777777">
                  <w:pPr>
                    <w:spacing w:after="0" w:line="276" w:lineRule="auto"/>
                    <w:rPr>
                      <w:rFonts w:ascii="Verdana" w:hAnsi="Verdana"/>
                      <w:sz w:val="18"/>
                      <w:szCs w:val="18"/>
                    </w:rPr>
                  </w:pPr>
                  <w:proofErr w:type="gramStart"/>
                  <w:r w:rsidRPr="00F11423">
                    <w:rPr>
                      <w:rFonts w:ascii="Verdana" w:hAnsi="Verdana"/>
                      <w:sz w:val="18"/>
                      <w:szCs w:val="18"/>
                    </w:rPr>
                    <w:t>VPB tweede</w:t>
                  </w:r>
                  <w:proofErr w:type="gramEnd"/>
                  <w:r w:rsidRPr="00F11423">
                    <w:rPr>
                      <w:rFonts w:ascii="Verdana" w:hAnsi="Verdana"/>
                      <w:sz w:val="18"/>
                      <w:szCs w:val="18"/>
                    </w:rPr>
                    <w:t xml:space="preserve"> schijf naar 26,72%</w:t>
                  </w:r>
                </w:p>
              </w:tc>
              <w:tc>
                <w:tcPr>
                  <w:tcW w:w="72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1C7C3848" w14:textId="77777777">
                  <w:pPr>
                    <w:spacing w:after="0" w:line="276" w:lineRule="auto"/>
                    <w:rPr>
                      <w:rFonts w:ascii="Verdana" w:hAnsi="Verdana"/>
                      <w:sz w:val="18"/>
                      <w:szCs w:val="18"/>
                    </w:rPr>
                  </w:pPr>
                  <w:r w:rsidRPr="00F11423">
                    <w:rPr>
                      <w:rFonts w:ascii="Verdana" w:hAnsi="Verdana"/>
                      <w:sz w:val="18"/>
                      <w:szCs w:val="18"/>
                    </w:rPr>
                    <w:t>1000</w:t>
                  </w:r>
                </w:p>
              </w:tc>
              <w:tc>
                <w:tcPr>
                  <w:tcW w:w="72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6487E1C5" w14:textId="77777777">
                  <w:pPr>
                    <w:spacing w:after="0" w:line="276" w:lineRule="auto"/>
                    <w:rPr>
                      <w:rFonts w:ascii="Verdana" w:hAnsi="Verdana"/>
                      <w:sz w:val="18"/>
                      <w:szCs w:val="18"/>
                    </w:rPr>
                  </w:pPr>
                  <w:r w:rsidRPr="00F11423">
                    <w:rPr>
                      <w:rFonts w:ascii="Verdana" w:hAnsi="Verdana"/>
                      <w:sz w:val="18"/>
                      <w:szCs w:val="18"/>
                    </w:rPr>
                    <w:t>1000</w:t>
                  </w:r>
                </w:p>
              </w:tc>
              <w:tc>
                <w:tcPr>
                  <w:tcW w:w="7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4BED2492" w14:textId="77777777">
                  <w:pPr>
                    <w:spacing w:after="0" w:line="276" w:lineRule="auto"/>
                    <w:rPr>
                      <w:rFonts w:ascii="Verdana" w:hAnsi="Verdana"/>
                      <w:sz w:val="18"/>
                      <w:szCs w:val="18"/>
                    </w:rPr>
                  </w:pPr>
                  <w:r w:rsidRPr="00F11423">
                    <w:rPr>
                      <w:rFonts w:ascii="Verdana" w:hAnsi="Verdana"/>
                      <w:sz w:val="18"/>
                      <w:szCs w:val="18"/>
                    </w:rPr>
                    <w:t>1000</w:t>
                  </w:r>
                </w:p>
              </w:tc>
              <w:tc>
                <w:tcPr>
                  <w:tcW w:w="72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63A0E55B" w14:textId="77777777">
                  <w:pPr>
                    <w:spacing w:after="0" w:line="276" w:lineRule="auto"/>
                    <w:rPr>
                      <w:rFonts w:ascii="Verdana" w:hAnsi="Verdana"/>
                      <w:sz w:val="18"/>
                      <w:szCs w:val="18"/>
                    </w:rPr>
                  </w:pPr>
                  <w:r w:rsidRPr="00F11423">
                    <w:rPr>
                      <w:rFonts w:ascii="Verdana" w:hAnsi="Verdana"/>
                      <w:sz w:val="18"/>
                      <w:szCs w:val="18"/>
                    </w:rPr>
                    <w:t>1000</w:t>
                  </w:r>
                </w:p>
              </w:tc>
              <w:tc>
                <w:tcPr>
                  <w:tcW w:w="145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2E8BB89D" w14:textId="77777777">
                  <w:pPr>
                    <w:spacing w:after="0" w:line="276" w:lineRule="auto"/>
                    <w:rPr>
                      <w:rFonts w:ascii="Verdana" w:hAnsi="Verdana"/>
                      <w:sz w:val="18"/>
                      <w:szCs w:val="18"/>
                    </w:rPr>
                  </w:pPr>
                  <w:r w:rsidRPr="00F11423">
                    <w:rPr>
                      <w:rFonts w:ascii="Verdana" w:hAnsi="Verdana"/>
                      <w:sz w:val="18"/>
                      <w:szCs w:val="18"/>
                    </w:rPr>
                    <w:t>1000</w:t>
                  </w:r>
                </w:p>
              </w:tc>
            </w:tr>
          </w:tbl>
          <w:p w:rsidRPr="00F11423" w:rsidR="004F7C0D" w:rsidP="00F11423" w:rsidRDefault="004F7C0D" w14:paraId="56D20AD3" w14:textId="77777777">
            <w:pPr>
              <w:spacing w:after="0" w:line="276" w:lineRule="auto"/>
              <w:rPr>
                <w:rFonts w:ascii="Verdana" w:hAnsi="Verdana"/>
                <w:b/>
                <w:bCs/>
                <w:sz w:val="18"/>
                <w:szCs w:val="18"/>
              </w:rPr>
            </w:pPr>
          </w:p>
        </w:tc>
      </w:tr>
      <w:tr w:rsidRPr="00F11423" w:rsidR="004F7C0D" w:rsidTr="006D0C4A" w14:paraId="11D43A8F" w14:textId="77777777">
        <w:trPr>
          <w:trHeight w:val="258"/>
        </w:trPr>
        <w:tc>
          <w:tcPr>
            <w:tcW w:w="991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46ED1F3D" w14:textId="77777777">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F11423">
              <w:rPr>
                <w:rFonts w:ascii="Verdana" w:hAnsi="Verdana"/>
                <w:sz w:val="18"/>
                <w:szCs w:val="18"/>
              </w:rPr>
              <w:t>Uitvoerbaar per 1 januari 2025, mits uiterlijk 1 december 2024 bekend.</w:t>
            </w:r>
          </w:p>
        </w:tc>
      </w:tr>
    </w:tbl>
    <w:p w:rsidRPr="00F11423" w:rsidR="00C86796" w:rsidP="00F11423" w:rsidRDefault="00C86796" w14:paraId="735CD907" w14:textId="77777777">
      <w:pPr>
        <w:spacing w:after="0" w:line="276" w:lineRule="auto"/>
        <w:rPr>
          <w:rFonts w:ascii="Verdana" w:hAnsi="Verdana"/>
          <w:b/>
          <w:bCs/>
          <w:sz w:val="18"/>
          <w:szCs w:val="18"/>
        </w:rPr>
      </w:pPr>
    </w:p>
    <w:p w:rsidRPr="00F11423" w:rsidR="00EE1FA4" w:rsidP="00F11423" w:rsidRDefault="00EE1FA4" w14:paraId="4931C8BC" w14:textId="77777777">
      <w:pPr>
        <w:spacing w:after="0" w:line="276" w:lineRule="auto"/>
        <w:rPr>
          <w:rFonts w:ascii="Verdana" w:hAnsi="Verdana"/>
          <w:b/>
          <w:bCs/>
          <w:sz w:val="18"/>
          <w:szCs w:val="18"/>
        </w:rPr>
      </w:pPr>
    </w:p>
    <w:p w:rsidRPr="00F11423" w:rsidR="00BA26F9" w:rsidP="00F11423" w:rsidRDefault="00BA26F9" w14:paraId="3C1C5B55"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227927" w:rsidTr="00F11423" w14:paraId="74A6C353"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227927" w:rsidP="00F11423" w:rsidRDefault="00227927" w14:paraId="0364CE26" w14:textId="3E76DDBE">
            <w:pPr>
              <w:spacing w:after="0" w:line="276" w:lineRule="auto"/>
              <w:rPr>
                <w:rFonts w:ascii="Verdana" w:hAnsi="Verdana"/>
                <w:sz w:val="18"/>
                <w:szCs w:val="18"/>
              </w:rPr>
            </w:pPr>
            <w:r w:rsidRPr="00F11423">
              <w:rPr>
                <w:rFonts w:ascii="Verdana" w:hAnsi="Verdana"/>
                <w:b/>
                <w:bCs/>
                <w:sz w:val="18"/>
                <w:szCs w:val="18"/>
              </w:rPr>
              <w:t xml:space="preserve">Kamernummer: </w:t>
            </w:r>
            <w:r w:rsidRPr="00F11423">
              <w:rPr>
                <w:rFonts w:ascii="Verdana" w:hAnsi="Verdana"/>
                <w:sz w:val="18"/>
                <w:szCs w:val="18"/>
              </w:rPr>
              <w:t>36602 022</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227927" w:rsidP="00F11423" w:rsidRDefault="00227927" w14:paraId="4D453FA0" w14:textId="77777777">
            <w:pPr>
              <w:spacing w:after="0" w:line="276" w:lineRule="auto"/>
              <w:rPr>
                <w:rFonts w:ascii="Verdana" w:hAnsi="Verdana"/>
                <w:sz w:val="18"/>
                <w:szCs w:val="18"/>
              </w:rPr>
            </w:pPr>
            <w:r w:rsidRPr="00F11423">
              <w:rPr>
                <w:rFonts w:ascii="Verdana" w:hAnsi="Verdana"/>
                <w:b/>
                <w:bCs/>
                <w:sz w:val="18"/>
                <w:szCs w:val="18"/>
              </w:rPr>
              <w:t xml:space="preserve">Inhoud amendement: </w:t>
            </w:r>
            <w:r w:rsidRPr="00F11423">
              <w:rPr>
                <w:rFonts w:ascii="Verdana" w:hAnsi="Verdana"/>
                <w:sz w:val="18"/>
                <w:szCs w:val="18"/>
              </w:rPr>
              <w:t>De KSB wordt in 2025 verhoogd van 34,2% tot 37,8%. De tussenstap van de tariefverhoging wordt hiermee ongedaan gemaakt. De opbrengst van dit amendement wordt aangewend voor verkeersveiligheid.</w:t>
            </w:r>
          </w:p>
        </w:tc>
      </w:tr>
      <w:tr w:rsidRPr="00F11423" w:rsidR="00227927" w:rsidTr="00F11423" w14:paraId="5E2757C0"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227927" w:rsidP="00F11423" w:rsidRDefault="00227927" w14:paraId="3CA03E10" w14:textId="5E4C0119">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 xml:space="preserve">Stoffer </w:t>
            </w:r>
            <w:r w:rsidR="00393EC1">
              <w:rPr>
                <w:rFonts w:ascii="Verdana" w:hAnsi="Verdana"/>
                <w:sz w:val="18"/>
                <w:szCs w:val="18"/>
              </w:rPr>
              <w:t xml:space="preserve">(SGP) </w:t>
            </w:r>
            <w:r w:rsidRPr="00F11423">
              <w:rPr>
                <w:rFonts w:ascii="Verdana" w:hAnsi="Verdana"/>
                <w:sz w:val="18"/>
                <w:szCs w:val="18"/>
              </w:rPr>
              <w:t xml:space="preserve">en </w:t>
            </w:r>
            <w:proofErr w:type="spellStart"/>
            <w:r w:rsidRPr="00F11423">
              <w:rPr>
                <w:rFonts w:ascii="Verdana" w:hAnsi="Verdana"/>
                <w:sz w:val="18"/>
                <w:szCs w:val="18"/>
              </w:rPr>
              <w:t>Grinwis</w:t>
            </w:r>
            <w:proofErr w:type="spellEnd"/>
            <w:r w:rsidRPr="00F11423">
              <w:rPr>
                <w:rFonts w:ascii="Verdana" w:hAnsi="Verdana"/>
                <w:sz w:val="18"/>
                <w:szCs w:val="18"/>
              </w:rPr>
              <w:t xml:space="preserve"> (CU)</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227927" w:rsidP="00F11423" w:rsidRDefault="00227927" w14:paraId="6A79CFD7"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227927" w:rsidTr="00F11423" w14:paraId="04CE0EF6"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227927" w:rsidP="00F11423" w:rsidRDefault="00227927" w14:paraId="265E4921"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p>
          <w:p w:rsidRPr="00F11423" w:rsidR="00227927" w:rsidP="00F11423" w:rsidRDefault="00227927" w14:paraId="0A282B71" w14:textId="77777777">
            <w:pPr>
              <w:numPr>
                <w:ilvl w:val="0"/>
                <w:numId w:val="5"/>
              </w:numPr>
              <w:spacing w:after="0" w:line="276" w:lineRule="auto"/>
              <w:rPr>
                <w:rFonts w:ascii="Verdana" w:hAnsi="Verdana"/>
                <w:sz w:val="18"/>
                <w:szCs w:val="18"/>
              </w:rPr>
            </w:pPr>
            <w:r w:rsidRPr="00F11423">
              <w:rPr>
                <w:rFonts w:ascii="Verdana" w:hAnsi="Verdana"/>
                <w:sz w:val="18"/>
                <w:szCs w:val="18"/>
              </w:rPr>
              <w:t>Dit voorstel is in strijd met de begrotingsregels, dit gaat in tegen de scheiding tussen inkomsten en uitgaven. Dit is daarmee geen deugdelijke dekking.</w:t>
            </w:r>
          </w:p>
          <w:p w:rsidRPr="00F11423" w:rsidR="00227927" w:rsidP="00F11423" w:rsidRDefault="00227927" w14:paraId="42174739" w14:textId="77777777">
            <w:pPr>
              <w:numPr>
                <w:ilvl w:val="0"/>
                <w:numId w:val="5"/>
              </w:numPr>
              <w:spacing w:after="0" w:line="276" w:lineRule="auto"/>
              <w:rPr>
                <w:rFonts w:ascii="Verdana" w:hAnsi="Verdana"/>
                <w:sz w:val="18"/>
                <w:szCs w:val="18"/>
              </w:rPr>
            </w:pPr>
            <w:r w:rsidRPr="00F11423">
              <w:rPr>
                <w:rFonts w:ascii="Verdana" w:hAnsi="Verdana"/>
                <w:sz w:val="18"/>
                <w:szCs w:val="18"/>
              </w:rPr>
              <w:t xml:space="preserve">De tussenstap is ingevoerd om de kansspelaanbieders tijd te geven om de bedrijfsvoering aan te passen aan de tariefverhoging naar 37,8%. Het doorbelasten van de KSB naar spelers is namelijk niet altijd mogelijk. Ook spelen er tal van (markt)ontwikkelingen en is er sprake van (nieuwe) regulering. Het voorstel in het amendement is daarmee een aanzienlijke verzwaring voor de kansspelsector. </w:t>
            </w:r>
          </w:p>
          <w:p w:rsidRPr="00F11423" w:rsidR="00227927" w:rsidP="00F11423" w:rsidRDefault="00227927" w14:paraId="1CBFCAA6" w14:textId="63A60BB0">
            <w:pPr>
              <w:pStyle w:val="Lijstalinea"/>
              <w:numPr>
                <w:ilvl w:val="0"/>
                <w:numId w:val="5"/>
              </w:numPr>
              <w:spacing w:line="276" w:lineRule="auto"/>
              <w:rPr>
                <w:rFonts w:ascii="Verdana" w:hAnsi="Verdana"/>
                <w:b/>
                <w:bCs/>
                <w:sz w:val="18"/>
                <w:szCs w:val="18"/>
              </w:rPr>
            </w:pPr>
            <w:r w:rsidRPr="00F11423">
              <w:rPr>
                <w:rFonts w:ascii="Verdana" w:hAnsi="Verdana"/>
                <w:sz w:val="18"/>
                <w:szCs w:val="18"/>
              </w:rPr>
              <w:t xml:space="preserve">Een abrupte verhoging zonder tussenstap vormt </w:t>
            </w:r>
            <w:r w:rsidR="003249FC">
              <w:rPr>
                <w:rFonts w:ascii="Verdana" w:hAnsi="Verdana"/>
                <w:sz w:val="18"/>
                <w:szCs w:val="18"/>
              </w:rPr>
              <w:t xml:space="preserve">mogelijk </w:t>
            </w:r>
            <w:r w:rsidRPr="00F11423">
              <w:rPr>
                <w:rFonts w:ascii="Verdana" w:hAnsi="Verdana"/>
                <w:sz w:val="18"/>
                <w:szCs w:val="18"/>
              </w:rPr>
              <w:t xml:space="preserve">een risico voor de realisatie van de kansspeldoelen (consumentenbescherming, verslavingspreventie en het tegengaan van criminaliteit en fraude). Een abrupte verhoging beperkt aanpassingsruimte voor vergunde aanbieders, </w:t>
            </w:r>
            <w:r w:rsidR="00AC155B">
              <w:rPr>
                <w:rFonts w:ascii="Verdana" w:hAnsi="Verdana"/>
                <w:sz w:val="18"/>
                <w:szCs w:val="18"/>
              </w:rPr>
              <w:t>dit zou eventueel</w:t>
            </w:r>
            <w:r w:rsidRPr="00F11423">
              <w:rPr>
                <w:rFonts w:ascii="Verdana" w:hAnsi="Verdana"/>
                <w:sz w:val="18"/>
                <w:szCs w:val="18"/>
              </w:rPr>
              <w:t xml:space="preserve"> een risico op verschuiving van spelers naar de illegale markt met zich mee</w:t>
            </w:r>
            <w:r w:rsidR="00AC155B">
              <w:rPr>
                <w:rFonts w:ascii="Verdana" w:hAnsi="Verdana"/>
                <w:sz w:val="18"/>
                <w:szCs w:val="18"/>
              </w:rPr>
              <w:t xml:space="preserve"> kunnen </w:t>
            </w:r>
            <w:r w:rsidRPr="00F11423">
              <w:rPr>
                <w:rFonts w:ascii="Verdana" w:hAnsi="Verdana"/>
                <w:sz w:val="18"/>
                <w:szCs w:val="18"/>
              </w:rPr>
              <w:t>breng</w:t>
            </w:r>
            <w:r w:rsidR="00AC155B">
              <w:rPr>
                <w:rFonts w:ascii="Verdana" w:hAnsi="Verdana"/>
                <w:sz w:val="18"/>
                <w:szCs w:val="18"/>
              </w:rPr>
              <w:t>en</w:t>
            </w:r>
            <w:r w:rsidRPr="00F11423">
              <w:rPr>
                <w:rFonts w:ascii="Verdana" w:hAnsi="Verdana"/>
                <w:sz w:val="18"/>
                <w:szCs w:val="18"/>
              </w:rPr>
              <w:t>.</w:t>
            </w:r>
          </w:p>
        </w:tc>
      </w:tr>
      <w:tr w:rsidRPr="00F11423" w:rsidR="00227927" w:rsidTr="00F11423" w14:paraId="49BCB229"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227927" w:rsidP="00F11423" w:rsidRDefault="00227927" w14:paraId="70209FDF"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 xml:space="preserve">De opbrengst van </w:t>
            </w:r>
            <w:proofErr w:type="gramStart"/>
            <w:r w:rsidRPr="00F11423">
              <w:rPr>
                <w:rFonts w:ascii="Verdana" w:hAnsi="Verdana"/>
                <w:sz w:val="18"/>
                <w:szCs w:val="18"/>
              </w:rPr>
              <w:t>de amendement</w:t>
            </w:r>
            <w:proofErr w:type="gramEnd"/>
            <w:r w:rsidRPr="00F11423">
              <w:rPr>
                <w:rFonts w:ascii="Verdana" w:hAnsi="Verdana"/>
                <w:sz w:val="18"/>
                <w:szCs w:val="18"/>
              </w:rPr>
              <w:t xml:space="preserve"> is € 100 mln.</w:t>
            </w:r>
          </w:p>
          <w:tbl>
            <w:tblPr>
              <w:tblW w:w="6658" w:type="dxa"/>
              <w:tblCellMar>
                <w:left w:w="0" w:type="dxa"/>
                <w:right w:w="0" w:type="dxa"/>
              </w:tblCellMar>
              <w:tblLook w:val="04A0" w:firstRow="1" w:lastRow="0" w:firstColumn="1" w:lastColumn="0" w:noHBand="0" w:noVBand="1"/>
            </w:tblPr>
            <w:tblGrid>
              <w:gridCol w:w="2405"/>
              <w:gridCol w:w="709"/>
              <w:gridCol w:w="709"/>
              <w:gridCol w:w="708"/>
              <w:gridCol w:w="709"/>
              <w:gridCol w:w="1418"/>
            </w:tblGrid>
            <w:tr w:rsidRPr="00F11423" w:rsidR="00227927" w:rsidTr="00F36A62" w14:paraId="4D13876D"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27927" w:rsidP="00F11423" w:rsidRDefault="00227927" w14:paraId="1E388CB7" w14:textId="77777777">
                  <w:pPr>
                    <w:spacing w:after="0" w:line="276" w:lineRule="auto"/>
                    <w:rPr>
                      <w:rFonts w:ascii="Verdana" w:hAnsi="Verdana"/>
                      <w:sz w:val="18"/>
                      <w:szCs w:val="18"/>
                    </w:rPr>
                  </w:pPr>
                  <w:r w:rsidRPr="00F11423">
                    <w:rPr>
                      <w:rFonts w:ascii="Verdana" w:hAnsi="Verdana"/>
                      <w:sz w:val="18"/>
                      <w:szCs w:val="18"/>
                    </w:rPr>
                    <w:t>Omvang in mln. €</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27927" w:rsidP="00F11423" w:rsidRDefault="00227927" w14:paraId="7A7AFAD4" w14:textId="77777777">
                  <w:pPr>
                    <w:spacing w:after="0" w:line="276" w:lineRule="auto"/>
                    <w:rPr>
                      <w:rFonts w:ascii="Verdana" w:hAnsi="Verdana"/>
                      <w:i/>
                      <w:iCs/>
                      <w:sz w:val="18"/>
                      <w:szCs w:val="18"/>
                    </w:rPr>
                  </w:pPr>
                  <w:r w:rsidRPr="00F11423">
                    <w:rPr>
                      <w:rFonts w:ascii="Verdana" w:hAnsi="Verdana"/>
                      <w:i/>
                      <w:iCs/>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27927" w:rsidP="00F11423" w:rsidRDefault="00227927" w14:paraId="5AF5999D" w14:textId="77777777">
                  <w:pPr>
                    <w:spacing w:after="0" w:line="276" w:lineRule="auto"/>
                    <w:rPr>
                      <w:rFonts w:ascii="Verdana" w:hAnsi="Verdana"/>
                      <w:i/>
                      <w:iCs/>
                      <w:sz w:val="18"/>
                      <w:szCs w:val="18"/>
                    </w:rPr>
                  </w:pPr>
                  <w:r w:rsidRPr="00F11423">
                    <w:rPr>
                      <w:rFonts w:ascii="Verdana" w:hAnsi="Verdana"/>
                      <w:i/>
                      <w:iCs/>
                      <w:sz w:val="18"/>
                      <w:szCs w:val="18"/>
                    </w:rPr>
                    <w:t>206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27927" w:rsidP="00F11423" w:rsidRDefault="00227927" w14:paraId="1B130CF4" w14:textId="77777777">
                  <w:pPr>
                    <w:spacing w:after="0" w:line="276" w:lineRule="auto"/>
                    <w:rPr>
                      <w:rFonts w:ascii="Verdana" w:hAnsi="Verdana"/>
                      <w:i/>
                      <w:iCs/>
                      <w:sz w:val="18"/>
                      <w:szCs w:val="18"/>
                    </w:rPr>
                  </w:pPr>
                  <w:r w:rsidRPr="00F11423">
                    <w:rPr>
                      <w:rFonts w:ascii="Verdana" w:hAnsi="Verdana"/>
                      <w:i/>
                      <w:iCs/>
                      <w:sz w:val="18"/>
                      <w:szCs w:val="18"/>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27927" w:rsidP="00F11423" w:rsidRDefault="00227927" w14:paraId="44E4BC37" w14:textId="77777777">
                  <w:pPr>
                    <w:spacing w:after="0" w:line="276" w:lineRule="auto"/>
                    <w:rPr>
                      <w:rFonts w:ascii="Verdana" w:hAnsi="Verdana"/>
                      <w:i/>
                      <w:iCs/>
                      <w:sz w:val="18"/>
                      <w:szCs w:val="18"/>
                    </w:rPr>
                  </w:pPr>
                  <w:r w:rsidRPr="00F11423">
                    <w:rPr>
                      <w:rFonts w:ascii="Verdana" w:hAnsi="Verdana"/>
                      <w:i/>
                      <w:iCs/>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27927" w:rsidP="00F11423" w:rsidRDefault="00227927" w14:paraId="16156013" w14:textId="77777777">
                  <w:pPr>
                    <w:spacing w:after="0" w:line="276" w:lineRule="auto"/>
                    <w:rPr>
                      <w:rFonts w:ascii="Verdana" w:hAnsi="Verdana"/>
                      <w:sz w:val="18"/>
                      <w:szCs w:val="18"/>
                    </w:rPr>
                  </w:pPr>
                  <w:r w:rsidRPr="00F11423">
                    <w:rPr>
                      <w:rFonts w:ascii="Verdana" w:hAnsi="Verdana"/>
                      <w:sz w:val="18"/>
                      <w:szCs w:val="18"/>
                    </w:rPr>
                    <w:t xml:space="preserve">Structureel </w:t>
                  </w:r>
                </w:p>
              </w:tc>
            </w:tr>
            <w:tr w:rsidRPr="00F11423" w:rsidR="00227927" w:rsidTr="00F36A62" w14:paraId="3CC96908"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227927" w:rsidP="00F11423" w:rsidRDefault="00227927" w14:paraId="013F483A" w14:textId="77777777">
                  <w:pPr>
                    <w:spacing w:after="0" w:line="276" w:lineRule="auto"/>
                    <w:rPr>
                      <w:rFonts w:ascii="Verdana" w:hAnsi="Verdana"/>
                      <w:sz w:val="18"/>
                      <w:szCs w:val="18"/>
                    </w:rPr>
                  </w:pPr>
                  <w:r w:rsidRPr="00F11423">
                    <w:rPr>
                      <w:rFonts w:ascii="Verdana" w:hAnsi="Verdana"/>
                      <w:sz w:val="18"/>
                      <w:szCs w:val="18"/>
                    </w:rPr>
                    <w:t>Verhoging tarief KSB van 34,2% naar 37,8% in 2025</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227927" w:rsidP="00F11423" w:rsidRDefault="00227927" w14:paraId="73C2948F" w14:textId="77777777">
                  <w:pPr>
                    <w:spacing w:after="0" w:line="276" w:lineRule="auto"/>
                    <w:rPr>
                      <w:rFonts w:ascii="Verdana" w:hAnsi="Verdana"/>
                      <w:sz w:val="18"/>
                      <w:szCs w:val="18"/>
                    </w:rPr>
                  </w:pPr>
                  <w:r w:rsidRPr="00F11423">
                    <w:rPr>
                      <w:rFonts w:ascii="Verdana" w:hAnsi="Verdana"/>
                      <w:sz w:val="18"/>
                      <w:szCs w:val="18"/>
                    </w:rPr>
                    <w:t>100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227927" w:rsidP="00F11423" w:rsidRDefault="00227927" w14:paraId="0ACA3AB3" w14:textId="77777777">
                  <w:pPr>
                    <w:spacing w:after="0" w:line="276" w:lineRule="auto"/>
                    <w:rPr>
                      <w:rFonts w:ascii="Verdana" w:hAnsi="Verdana"/>
                      <w:sz w:val="18"/>
                      <w:szCs w:val="18"/>
                    </w:rPr>
                  </w:pPr>
                  <w:r w:rsidRPr="00F11423">
                    <w:rPr>
                      <w:rFonts w:ascii="Verdana" w:hAnsi="Verdana"/>
                      <w:sz w:val="18"/>
                      <w:szCs w:val="18"/>
                    </w:rPr>
                    <w:t>0</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227927" w:rsidP="00F11423" w:rsidRDefault="00227927" w14:paraId="0B3A90B7" w14:textId="77777777">
                  <w:pPr>
                    <w:spacing w:after="0" w:line="276" w:lineRule="auto"/>
                    <w:rPr>
                      <w:rFonts w:ascii="Verdana" w:hAnsi="Verdana"/>
                      <w:sz w:val="18"/>
                      <w:szCs w:val="18"/>
                    </w:rPr>
                  </w:pPr>
                  <w:r w:rsidRPr="00F11423">
                    <w:rPr>
                      <w:rFonts w:ascii="Verdana" w:hAnsi="Verdana"/>
                      <w:sz w:val="18"/>
                      <w:szCs w:val="18"/>
                    </w:rPr>
                    <w:t>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227927" w:rsidP="00F11423" w:rsidRDefault="00227927" w14:paraId="60CE6BFC" w14:textId="77777777">
                  <w:pPr>
                    <w:spacing w:after="0" w:line="276" w:lineRule="auto"/>
                    <w:rPr>
                      <w:rFonts w:ascii="Verdana" w:hAnsi="Verdana"/>
                      <w:sz w:val="18"/>
                      <w:szCs w:val="18"/>
                    </w:rPr>
                  </w:pPr>
                  <w:r w:rsidRPr="00F11423">
                    <w:rPr>
                      <w:rFonts w:ascii="Verdana" w:hAnsi="Verdana"/>
                      <w:sz w:val="18"/>
                      <w:szCs w:val="18"/>
                    </w:rPr>
                    <w:t>0</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227927" w:rsidP="00F11423" w:rsidRDefault="00227927" w14:paraId="6A118287" w14:textId="77777777">
                  <w:pPr>
                    <w:spacing w:after="0" w:line="276" w:lineRule="auto"/>
                    <w:rPr>
                      <w:rFonts w:ascii="Verdana" w:hAnsi="Verdana"/>
                      <w:sz w:val="18"/>
                      <w:szCs w:val="18"/>
                    </w:rPr>
                  </w:pPr>
                  <w:r w:rsidRPr="00F11423">
                    <w:rPr>
                      <w:rFonts w:ascii="Verdana" w:hAnsi="Verdana"/>
                      <w:sz w:val="18"/>
                      <w:szCs w:val="18"/>
                    </w:rPr>
                    <w:t>0</w:t>
                  </w:r>
                </w:p>
              </w:tc>
            </w:tr>
          </w:tbl>
          <w:p w:rsidRPr="00F11423" w:rsidR="00227927" w:rsidP="00F11423" w:rsidRDefault="00227927" w14:paraId="15CF38A4" w14:textId="77777777">
            <w:pPr>
              <w:spacing w:after="0" w:line="276" w:lineRule="auto"/>
              <w:rPr>
                <w:rFonts w:ascii="Verdana" w:hAnsi="Verdana"/>
                <w:b/>
                <w:bCs/>
                <w:sz w:val="18"/>
                <w:szCs w:val="18"/>
              </w:rPr>
            </w:pPr>
          </w:p>
        </w:tc>
      </w:tr>
      <w:tr w:rsidRPr="00F11423" w:rsidR="00227927" w:rsidTr="00F11423" w14:paraId="45F03EFC"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227927" w:rsidP="00F11423" w:rsidRDefault="00227927" w14:paraId="670BACC7" w14:textId="4AE32DA8">
            <w:pPr>
              <w:spacing w:after="0" w:line="276" w:lineRule="auto"/>
              <w:rPr>
                <w:rFonts w:ascii="Verdana" w:hAnsi="Verdana"/>
                <w:sz w:val="18"/>
                <w:szCs w:val="18"/>
              </w:rPr>
            </w:pPr>
            <w:r w:rsidRPr="00F11423">
              <w:rPr>
                <w:rFonts w:ascii="Verdana" w:hAnsi="Verdana"/>
                <w:b/>
                <w:bCs/>
                <w:sz w:val="18"/>
                <w:szCs w:val="18"/>
              </w:rPr>
              <w:t xml:space="preserve">Uitvoeringsgevolgen: </w:t>
            </w:r>
            <w:r w:rsidRPr="00F11423">
              <w:rPr>
                <w:rFonts w:ascii="Verdana" w:hAnsi="Verdana"/>
                <w:sz w:val="18"/>
                <w:szCs w:val="18"/>
              </w:rPr>
              <w:t>Uitvoerbaar per 1</w:t>
            </w:r>
            <w:r w:rsidR="00DC5B82">
              <w:rPr>
                <w:rFonts w:ascii="Verdana" w:hAnsi="Verdana"/>
                <w:sz w:val="18"/>
                <w:szCs w:val="18"/>
              </w:rPr>
              <w:t xml:space="preserve"> januari 2025, </w:t>
            </w:r>
            <w:proofErr w:type="gramStart"/>
            <w:r w:rsidR="00DC5B82">
              <w:rPr>
                <w:rFonts w:ascii="Verdana" w:hAnsi="Verdana"/>
                <w:sz w:val="18"/>
                <w:szCs w:val="18"/>
              </w:rPr>
              <w:t>indien</w:t>
            </w:r>
            <w:proofErr w:type="gramEnd"/>
            <w:r w:rsidR="00DC5B82">
              <w:rPr>
                <w:rFonts w:ascii="Verdana" w:hAnsi="Verdana"/>
                <w:sz w:val="18"/>
                <w:szCs w:val="18"/>
              </w:rPr>
              <w:t xml:space="preserve"> uiterlijk 1 december 2024 bekend.</w:t>
            </w:r>
          </w:p>
        </w:tc>
      </w:tr>
    </w:tbl>
    <w:p w:rsidRPr="00F11423" w:rsidR="00227927" w:rsidP="00F11423" w:rsidRDefault="00227927" w14:paraId="00B19D54"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BA26F9" w:rsidTr="00F11423" w14:paraId="70AFB70B"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BA26F9" w:rsidP="00F11423" w:rsidRDefault="00BA26F9" w14:paraId="4FFE36AA" w14:textId="04347265">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25</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BA26F9" w:rsidP="00F11423" w:rsidRDefault="00BA26F9" w14:paraId="6683FDE2"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Afschaffen heffingsplafond in de belasting op leidingwater</w:t>
            </w:r>
          </w:p>
        </w:tc>
      </w:tr>
      <w:tr w:rsidRPr="00F11423" w:rsidR="00BA26F9" w:rsidTr="00F11423" w14:paraId="7EEDF3FE"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200E0913" w14:textId="77777777">
            <w:pPr>
              <w:spacing w:after="0" w:line="276" w:lineRule="auto"/>
              <w:rPr>
                <w:rFonts w:ascii="Verdana" w:hAnsi="Verdana"/>
                <w:sz w:val="18"/>
                <w:szCs w:val="18"/>
              </w:rPr>
            </w:pPr>
            <w:r w:rsidRPr="00F11423">
              <w:rPr>
                <w:rFonts w:ascii="Verdana" w:hAnsi="Verdana"/>
                <w:b/>
                <w:bCs/>
                <w:sz w:val="18"/>
                <w:szCs w:val="18"/>
              </w:rPr>
              <w:t xml:space="preserve">Indiener: </w:t>
            </w:r>
            <w:r w:rsidRPr="00F11423">
              <w:rPr>
                <w:rFonts w:ascii="Verdana" w:hAnsi="Verdana"/>
                <w:sz w:val="18"/>
                <w:szCs w:val="18"/>
              </w:rPr>
              <w:t>Dobbe en Dijk (SP)</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557EDCEB"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BA26F9" w:rsidTr="00F11423" w14:paraId="301659CC"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09B64233" w14:textId="77777777">
            <w:pPr>
              <w:spacing w:after="0" w:line="276" w:lineRule="auto"/>
              <w:rPr>
                <w:rFonts w:ascii="Verdana" w:hAnsi="Verdana"/>
                <w:sz w:val="18"/>
                <w:szCs w:val="18"/>
              </w:rPr>
            </w:pPr>
            <w:r w:rsidRPr="00F11423">
              <w:rPr>
                <w:rFonts w:ascii="Verdana" w:hAnsi="Verdana"/>
                <w:b/>
                <w:bCs/>
                <w:sz w:val="18"/>
                <w:szCs w:val="18"/>
              </w:rPr>
              <w:t xml:space="preserve">Gevolgen: </w:t>
            </w:r>
            <w:r w:rsidRPr="00F11423">
              <w:rPr>
                <w:rFonts w:ascii="Verdana" w:hAnsi="Verdana"/>
                <w:sz w:val="18"/>
                <w:szCs w:val="18"/>
              </w:rPr>
              <w:t>De ministeries van IenW en Financiën gaan samen onderzoeken wat de mogelijkheden zijn van het verhogen dan wel afschaffen van het heffingsplafond. Hierbij moet in ieder geval worden gekeken naar staatssteunaspecten en effecten op de uitvoering van leveringen aan bepaalde distributienetten die op dit moment onbelast zijn. Dit zal meegenomen worden in de voorjaarsbesluitvorming van 2025.</w:t>
            </w:r>
          </w:p>
        </w:tc>
      </w:tr>
      <w:tr w:rsidRPr="00F11423" w:rsidR="00BA26F9" w:rsidTr="00F11423" w14:paraId="538501F4"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BA26F9" w:rsidP="00F11423" w:rsidRDefault="00BA26F9" w14:paraId="647FB495"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p>
          <w:tbl>
            <w:tblPr>
              <w:tblW w:w="6658" w:type="dxa"/>
              <w:tblCellMar>
                <w:left w:w="0" w:type="dxa"/>
                <w:right w:w="0" w:type="dxa"/>
              </w:tblCellMar>
              <w:tblLook w:val="04A0" w:firstRow="1" w:lastRow="0" w:firstColumn="1" w:lastColumn="0" w:noHBand="0" w:noVBand="1"/>
            </w:tblPr>
            <w:tblGrid>
              <w:gridCol w:w="2405"/>
              <w:gridCol w:w="709"/>
              <w:gridCol w:w="709"/>
              <w:gridCol w:w="708"/>
              <w:gridCol w:w="709"/>
              <w:gridCol w:w="1418"/>
            </w:tblGrid>
            <w:tr w:rsidRPr="00F11423" w:rsidR="00BA26F9" w:rsidTr="00F36A62" w14:paraId="3ACB089B"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308132B5" w14:textId="77777777">
                  <w:pPr>
                    <w:spacing w:after="0" w:line="276" w:lineRule="auto"/>
                    <w:rPr>
                      <w:rFonts w:ascii="Verdana" w:hAnsi="Verdana"/>
                      <w:sz w:val="18"/>
                      <w:szCs w:val="18"/>
                    </w:rPr>
                  </w:pPr>
                  <w:r w:rsidRPr="00F11423">
                    <w:rPr>
                      <w:rFonts w:ascii="Verdana" w:hAnsi="Verdana"/>
                      <w:color w:val="000000"/>
                      <w:sz w:val="18"/>
                      <w:szCs w:val="18"/>
                    </w:rPr>
                    <w:t>Omvang in mln. €</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678326E3" w14:textId="77777777">
                  <w:pPr>
                    <w:spacing w:after="0" w:line="276" w:lineRule="auto"/>
                    <w:rPr>
                      <w:rFonts w:ascii="Verdana" w:hAnsi="Verdana"/>
                      <w:i/>
                      <w:iCs/>
                      <w:sz w:val="18"/>
                      <w:szCs w:val="18"/>
                    </w:rPr>
                  </w:pPr>
                  <w:r w:rsidRPr="00F11423">
                    <w:rPr>
                      <w:rFonts w:ascii="Verdana" w:hAnsi="Verdana"/>
                      <w:i/>
                      <w:iCs/>
                      <w:color w:val="000000"/>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2D77CA34" w14:textId="77777777">
                  <w:pPr>
                    <w:spacing w:after="0" w:line="276" w:lineRule="auto"/>
                    <w:rPr>
                      <w:rFonts w:ascii="Verdana" w:hAnsi="Verdana"/>
                      <w:i/>
                      <w:iCs/>
                      <w:sz w:val="18"/>
                      <w:szCs w:val="18"/>
                    </w:rPr>
                  </w:pPr>
                  <w:r w:rsidRPr="00F11423">
                    <w:rPr>
                      <w:rFonts w:ascii="Verdana" w:hAnsi="Verdana"/>
                      <w:i/>
                      <w:iCs/>
                      <w:color w:val="000000"/>
                      <w:sz w:val="18"/>
                      <w:szCs w:val="18"/>
                    </w:rPr>
                    <w:t>2026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6794EA68" w14:textId="77777777">
                  <w:pPr>
                    <w:spacing w:after="0" w:line="276" w:lineRule="auto"/>
                    <w:rPr>
                      <w:rFonts w:ascii="Verdana" w:hAnsi="Verdana"/>
                      <w:i/>
                      <w:iCs/>
                      <w:sz w:val="18"/>
                      <w:szCs w:val="18"/>
                    </w:rPr>
                  </w:pPr>
                  <w:r w:rsidRPr="00F11423">
                    <w:rPr>
                      <w:rFonts w:ascii="Verdana" w:hAnsi="Verdana"/>
                      <w:i/>
                      <w:iCs/>
                      <w:color w:val="000000"/>
                      <w:sz w:val="18"/>
                      <w:szCs w:val="18"/>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56F1767D" w14:textId="77777777">
                  <w:pPr>
                    <w:spacing w:after="0" w:line="276" w:lineRule="auto"/>
                    <w:rPr>
                      <w:rFonts w:ascii="Verdana" w:hAnsi="Verdana"/>
                      <w:i/>
                      <w:iCs/>
                      <w:sz w:val="18"/>
                      <w:szCs w:val="18"/>
                    </w:rPr>
                  </w:pPr>
                  <w:r w:rsidRPr="00F11423">
                    <w:rPr>
                      <w:rFonts w:ascii="Verdana" w:hAnsi="Verdana"/>
                      <w:i/>
                      <w:iCs/>
                      <w:color w:val="000000"/>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085B8A08" w14:textId="77777777">
                  <w:pPr>
                    <w:spacing w:after="0" w:line="276" w:lineRule="auto"/>
                    <w:rPr>
                      <w:rFonts w:ascii="Verdana" w:hAnsi="Verdana"/>
                      <w:sz w:val="18"/>
                      <w:szCs w:val="18"/>
                    </w:rPr>
                  </w:pPr>
                  <w:r w:rsidRPr="00F11423">
                    <w:rPr>
                      <w:rFonts w:ascii="Verdana" w:hAnsi="Verdana"/>
                      <w:color w:val="000000"/>
                      <w:sz w:val="18"/>
                      <w:szCs w:val="18"/>
                    </w:rPr>
                    <w:t xml:space="preserve">Structureel </w:t>
                  </w:r>
                </w:p>
              </w:tc>
            </w:tr>
            <w:tr w:rsidRPr="00F11423" w:rsidR="00BA26F9" w:rsidTr="00F36A62" w14:paraId="185D2238"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1A1608E3" w14:textId="77777777">
                  <w:pPr>
                    <w:spacing w:after="0" w:line="276" w:lineRule="auto"/>
                    <w:rPr>
                      <w:rFonts w:ascii="Verdana" w:hAnsi="Verdana"/>
                      <w:sz w:val="18"/>
                      <w:szCs w:val="18"/>
                    </w:rPr>
                  </w:pPr>
                  <w:r w:rsidRPr="00F11423">
                    <w:rPr>
                      <w:rFonts w:ascii="Verdana" w:hAnsi="Verdana"/>
                      <w:sz w:val="18"/>
                      <w:szCs w:val="18"/>
                    </w:rPr>
                    <w:t>Afschaffen heffingsplafond in belasting op leidingwater</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5A5FB97D" w14:textId="77777777">
                  <w:pPr>
                    <w:spacing w:after="0" w:line="276" w:lineRule="auto"/>
                    <w:rPr>
                      <w:rFonts w:ascii="Verdana" w:hAnsi="Verdana"/>
                      <w:sz w:val="18"/>
                      <w:szCs w:val="18"/>
                    </w:rPr>
                  </w:pPr>
                  <w:r w:rsidRPr="00F11423">
                    <w:rPr>
                      <w:rFonts w:ascii="Verdana" w:hAnsi="Verdana"/>
                      <w:sz w:val="18"/>
                      <w:szCs w:val="18"/>
                    </w:rPr>
                    <w:t>89</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255BE620" w14:textId="77777777">
                  <w:pPr>
                    <w:spacing w:after="0" w:line="276" w:lineRule="auto"/>
                    <w:rPr>
                      <w:rFonts w:ascii="Verdana" w:hAnsi="Verdana"/>
                      <w:sz w:val="18"/>
                      <w:szCs w:val="18"/>
                    </w:rPr>
                  </w:pPr>
                  <w:r w:rsidRPr="00F11423">
                    <w:rPr>
                      <w:rFonts w:ascii="Verdana" w:hAnsi="Verdana"/>
                      <w:sz w:val="18"/>
                      <w:szCs w:val="18"/>
                    </w:rPr>
                    <w:t>89</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51981AD0" w14:textId="77777777">
                  <w:pPr>
                    <w:spacing w:after="0" w:line="276" w:lineRule="auto"/>
                    <w:rPr>
                      <w:rFonts w:ascii="Verdana" w:hAnsi="Verdana"/>
                      <w:sz w:val="18"/>
                      <w:szCs w:val="18"/>
                    </w:rPr>
                  </w:pPr>
                  <w:r w:rsidRPr="00F11423">
                    <w:rPr>
                      <w:rFonts w:ascii="Verdana" w:hAnsi="Verdana"/>
                      <w:sz w:val="18"/>
                      <w:szCs w:val="18"/>
                    </w:rPr>
                    <w:t>89</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53497873" w14:textId="77777777">
                  <w:pPr>
                    <w:spacing w:after="0" w:line="276" w:lineRule="auto"/>
                    <w:rPr>
                      <w:rFonts w:ascii="Verdana" w:hAnsi="Verdana"/>
                      <w:sz w:val="18"/>
                      <w:szCs w:val="18"/>
                    </w:rPr>
                  </w:pPr>
                  <w:r w:rsidRPr="00F11423">
                    <w:rPr>
                      <w:rFonts w:ascii="Verdana" w:hAnsi="Verdana"/>
                      <w:sz w:val="18"/>
                      <w:szCs w:val="18"/>
                    </w:rPr>
                    <w:t>89</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449EBA47" w14:textId="77777777">
                  <w:pPr>
                    <w:spacing w:after="0" w:line="276" w:lineRule="auto"/>
                    <w:rPr>
                      <w:rFonts w:ascii="Verdana" w:hAnsi="Verdana"/>
                      <w:sz w:val="18"/>
                      <w:szCs w:val="18"/>
                    </w:rPr>
                  </w:pPr>
                  <w:r w:rsidRPr="00F11423">
                    <w:rPr>
                      <w:rFonts w:ascii="Verdana" w:hAnsi="Verdana"/>
                      <w:sz w:val="18"/>
                      <w:szCs w:val="18"/>
                    </w:rPr>
                    <w:t>89</w:t>
                  </w:r>
                </w:p>
              </w:tc>
            </w:tr>
          </w:tbl>
          <w:p w:rsidRPr="00F11423" w:rsidR="00BA26F9" w:rsidP="00F11423" w:rsidRDefault="00BA26F9" w14:paraId="47F66B73" w14:textId="77777777">
            <w:pPr>
              <w:spacing w:after="0" w:line="276" w:lineRule="auto"/>
              <w:rPr>
                <w:rFonts w:ascii="Verdana" w:hAnsi="Verdana"/>
                <w:b/>
                <w:bCs/>
                <w:sz w:val="18"/>
                <w:szCs w:val="18"/>
              </w:rPr>
            </w:pPr>
          </w:p>
        </w:tc>
      </w:tr>
      <w:tr w:rsidRPr="00F11423" w:rsidR="00BA26F9" w:rsidTr="00F11423" w14:paraId="56A8E377"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30A8CC0D" w14:textId="2911905F">
            <w:pPr>
              <w:spacing w:after="0" w:line="276" w:lineRule="auto"/>
              <w:rPr>
                <w:rFonts w:ascii="Verdana" w:hAnsi="Verdana"/>
                <w:sz w:val="18"/>
                <w:szCs w:val="18"/>
              </w:rPr>
            </w:pPr>
            <w:r w:rsidRPr="00F11423">
              <w:rPr>
                <w:rFonts w:ascii="Verdana" w:hAnsi="Verdana"/>
                <w:b/>
                <w:bCs/>
                <w:sz w:val="18"/>
                <w:szCs w:val="18"/>
              </w:rPr>
              <w:t xml:space="preserve">Uitvoeringsgevolgen: </w:t>
            </w:r>
            <w:r w:rsidRPr="00F11423">
              <w:rPr>
                <w:rFonts w:ascii="Verdana" w:hAnsi="Verdana"/>
                <w:sz w:val="18"/>
                <w:szCs w:val="18"/>
              </w:rPr>
              <w:t>Uitvoerbaar per 1 januari 2025</w:t>
            </w:r>
          </w:p>
        </w:tc>
      </w:tr>
    </w:tbl>
    <w:p w:rsidRPr="00F11423" w:rsidR="009A37E0" w:rsidP="00F11423" w:rsidRDefault="009A37E0" w14:paraId="3B3E88C0"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F67E75" w:rsidTr="00F11423" w14:paraId="623DB276"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F67E75" w:rsidP="00F11423" w:rsidRDefault="00F67E75" w14:paraId="2CF802CF" w14:textId="75BE07E6">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30</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F67E75" w:rsidP="00F11423" w:rsidRDefault="00F67E75" w14:paraId="419091FF"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Afschaffen heffingsplafond in de belasting op leidingwater</w:t>
            </w:r>
          </w:p>
        </w:tc>
      </w:tr>
      <w:tr w:rsidRPr="00F11423" w:rsidR="00F67E75" w:rsidTr="00F11423" w14:paraId="7C253153"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73F43600"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Teunissen (PvdD)</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7AC895BB"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F67E75" w:rsidTr="00F11423" w14:paraId="346D3F6E"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39E229E0" w14:textId="77777777">
            <w:pPr>
              <w:spacing w:after="0" w:line="276" w:lineRule="auto"/>
              <w:rPr>
                <w:rFonts w:ascii="Verdana" w:hAnsi="Verdana"/>
                <w:sz w:val="18"/>
                <w:szCs w:val="18"/>
              </w:rPr>
            </w:pPr>
            <w:r w:rsidRPr="00F11423">
              <w:rPr>
                <w:rFonts w:ascii="Verdana" w:hAnsi="Verdana"/>
                <w:b/>
                <w:bCs/>
                <w:sz w:val="18"/>
                <w:szCs w:val="18"/>
              </w:rPr>
              <w:t xml:space="preserve">Gevolgen: </w:t>
            </w:r>
            <w:r w:rsidRPr="00F11423">
              <w:rPr>
                <w:rFonts w:ascii="Verdana" w:hAnsi="Verdana"/>
                <w:sz w:val="18"/>
                <w:szCs w:val="18"/>
              </w:rPr>
              <w:t>De ministeries van IenW en Financiën gaan samen onderzoeken wat de mogelijkheden zijn van het verhogen dan wel afschaffen van het heffingsplafond. Hierbij moet in ieder geval worden gekeken naar staatssteunaspecten en effecten op de uitvoering van leveringen aan bepaalde distributienetten die op dit moment onbelast zijn. Dit zal meegenomen worden in de voorjaarsbesluitvorming van 2025.</w:t>
            </w:r>
          </w:p>
        </w:tc>
      </w:tr>
      <w:tr w:rsidRPr="00F11423" w:rsidR="00F67E75" w:rsidTr="00F11423" w14:paraId="1F916FA7"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F67E75" w:rsidP="00F11423" w:rsidRDefault="00F67E75" w14:paraId="224D7B8D" w14:textId="707162D6">
            <w:pPr>
              <w:spacing w:after="0" w:line="276" w:lineRule="auto"/>
              <w:rPr>
                <w:rFonts w:ascii="Verdana" w:hAnsi="Verdana"/>
                <w:sz w:val="18"/>
                <w:szCs w:val="18"/>
              </w:rPr>
            </w:pPr>
            <w:r w:rsidRPr="00F11423">
              <w:rPr>
                <w:rFonts w:ascii="Verdana" w:hAnsi="Verdana"/>
                <w:b/>
                <w:bCs/>
                <w:sz w:val="18"/>
                <w:szCs w:val="18"/>
              </w:rPr>
              <w:t xml:space="preserve">Budgettaire aspecten: </w:t>
            </w:r>
          </w:p>
          <w:tbl>
            <w:tblPr>
              <w:tblW w:w="6658" w:type="dxa"/>
              <w:tblCellMar>
                <w:left w:w="0" w:type="dxa"/>
                <w:right w:w="0" w:type="dxa"/>
              </w:tblCellMar>
              <w:tblLook w:val="04A0" w:firstRow="1" w:lastRow="0" w:firstColumn="1" w:lastColumn="0" w:noHBand="0" w:noVBand="1"/>
            </w:tblPr>
            <w:tblGrid>
              <w:gridCol w:w="2405"/>
              <w:gridCol w:w="709"/>
              <w:gridCol w:w="709"/>
              <w:gridCol w:w="708"/>
              <w:gridCol w:w="709"/>
              <w:gridCol w:w="1418"/>
            </w:tblGrid>
            <w:tr w:rsidRPr="00F11423" w:rsidR="00F67E75" w:rsidTr="00F36A62" w14:paraId="29693D0B"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11899742" w14:textId="77777777">
                  <w:pPr>
                    <w:spacing w:after="0" w:line="276" w:lineRule="auto"/>
                    <w:rPr>
                      <w:rFonts w:ascii="Verdana" w:hAnsi="Verdana"/>
                      <w:sz w:val="18"/>
                      <w:szCs w:val="18"/>
                    </w:rPr>
                  </w:pPr>
                  <w:r w:rsidRPr="00F11423">
                    <w:rPr>
                      <w:rFonts w:ascii="Verdana" w:hAnsi="Verdana"/>
                      <w:color w:val="000000"/>
                      <w:sz w:val="18"/>
                      <w:szCs w:val="18"/>
                    </w:rPr>
                    <w:lastRenderedPageBreak/>
                    <w:t>Omvang in mln. €</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667C79F1" w14:textId="77777777">
                  <w:pPr>
                    <w:spacing w:after="0" w:line="276" w:lineRule="auto"/>
                    <w:rPr>
                      <w:rFonts w:ascii="Verdana" w:hAnsi="Verdana"/>
                      <w:i/>
                      <w:iCs/>
                      <w:sz w:val="18"/>
                      <w:szCs w:val="18"/>
                    </w:rPr>
                  </w:pPr>
                  <w:r w:rsidRPr="00F11423">
                    <w:rPr>
                      <w:rFonts w:ascii="Verdana" w:hAnsi="Verdana"/>
                      <w:i/>
                      <w:iCs/>
                      <w:color w:val="000000"/>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505F10E1" w14:textId="77777777">
                  <w:pPr>
                    <w:spacing w:after="0" w:line="276" w:lineRule="auto"/>
                    <w:rPr>
                      <w:rFonts w:ascii="Verdana" w:hAnsi="Verdana"/>
                      <w:i/>
                      <w:iCs/>
                      <w:sz w:val="18"/>
                      <w:szCs w:val="18"/>
                    </w:rPr>
                  </w:pPr>
                  <w:r w:rsidRPr="00F11423">
                    <w:rPr>
                      <w:rFonts w:ascii="Verdana" w:hAnsi="Verdana"/>
                      <w:i/>
                      <w:iCs/>
                      <w:color w:val="000000"/>
                      <w:sz w:val="18"/>
                      <w:szCs w:val="18"/>
                    </w:rPr>
                    <w:t>2026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6A176B04" w14:textId="77777777">
                  <w:pPr>
                    <w:spacing w:after="0" w:line="276" w:lineRule="auto"/>
                    <w:rPr>
                      <w:rFonts w:ascii="Verdana" w:hAnsi="Verdana"/>
                      <w:i/>
                      <w:iCs/>
                      <w:sz w:val="18"/>
                      <w:szCs w:val="18"/>
                    </w:rPr>
                  </w:pPr>
                  <w:r w:rsidRPr="00F11423">
                    <w:rPr>
                      <w:rFonts w:ascii="Verdana" w:hAnsi="Verdana"/>
                      <w:i/>
                      <w:iCs/>
                      <w:color w:val="000000"/>
                      <w:sz w:val="18"/>
                      <w:szCs w:val="18"/>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1F716C25" w14:textId="77777777">
                  <w:pPr>
                    <w:spacing w:after="0" w:line="276" w:lineRule="auto"/>
                    <w:rPr>
                      <w:rFonts w:ascii="Verdana" w:hAnsi="Verdana"/>
                      <w:i/>
                      <w:iCs/>
                      <w:sz w:val="18"/>
                      <w:szCs w:val="18"/>
                    </w:rPr>
                  </w:pPr>
                  <w:r w:rsidRPr="00F11423">
                    <w:rPr>
                      <w:rFonts w:ascii="Verdana" w:hAnsi="Verdana"/>
                      <w:i/>
                      <w:iCs/>
                      <w:color w:val="000000"/>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5D4E8C4D" w14:textId="77777777">
                  <w:pPr>
                    <w:spacing w:after="0" w:line="276" w:lineRule="auto"/>
                    <w:rPr>
                      <w:rFonts w:ascii="Verdana" w:hAnsi="Verdana"/>
                      <w:sz w:val="18"/>
                      <w:szCs w:val="18"/>
                    </w:rPr>
                  </w:pPr>
                  <w:r w:rsidRPr="00F11423">
                    <w:rPr>
                      <w:rFonts w:ascii="Verdana" w:hAnsi="Verdana"/>
                      <w:color w:val="000000"/>
                      <w:sz w:val="18"/>
                      <w:szCs w:val="18"/>
                    </w:rPr>
                    <w:t xml:space="preserve">Structureel </w:t>
                  </w:r>
                </w:p>
              </w:tc>
            </w:tr>
            <w:tr w:rsidRPr="00F11423" w:rsidR="00F67E75" w:rsidTr="00F36A62" w14:paraId="18FF9B51"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45578505" w14:textId="77777777">
                  <w:pPr>
                    <w:spacing w:after="0" w:line="276" w:lineRule="auto"/>
                    <w:rPr>
                      <w:rFonts w:ascii="Verdana" w:hAnsi="Verdana"/>
                      <w:sz w:val="18"/>
                      <w:szCs w:val="18"/>
                    </w:rPr>
                  </w:pPr>
                  <w:r w:rsidRPr="00F11423">
                    <w:rPr>
                      <w:rFonts w:ascii="Verdana" w:hAnsi="Verdana"/>
                      <w:sz w:val="18"/>
                      <w:szCs w:val="18"/>
                    </w:rPr>
                    <w:t>Afschaffen heffingsplafond in belasting op leidingwater</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4996E93B" w14:textId="77777777">
                  <w:pPr>
                    <w:spacing w:after="0" w:line="276" w:lineRule="auto"/>
                    <w:rPr>
                      <w:rFonts w:ascii="Verdana" w:hAnsi="Verdana"/>
                      <w:sz w:val="18"/>
                      <w:szCs w:val="18"/>
                    </w:rPr>
                  </w:pPr>
                  <w:r w:rsidRPr="00F11423">
                    <w:rPr>
                      <w:rFonts w:ascii="Verdana" w:hAnsi="Verdana"/>
                      <w:sz w:val="18"/>
                      <w:szCs w:val="18"/>
                    </w:rPr>
                    <w:t>89</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3D7E6329" w14:textId="77777777">
                  <w:pPr>
                    <w:spacing w:after="0" w:line="276" w:lineRule="auto"/>
                    <w:rPr>
                      <w:rFonts w:ascii="Verdana" w:hAnsi="Verdana"/>
                      <w:sz w:val="18"/>
                      <w:szCs w:val="18"/>
                    </w:rPr>
                  </w:pPr>
                  <w:r w:rsidRPr="00F11423">
                    <w:rPr>
                      <w:rFonts w:ascii="Verdana" w:hAnsi="Verdana"/>
                      <w:sz w:val="18"/>
                      <w:szCs w:val="18"/>
                    </w:rPr>
                    <w:t>89</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34AEF6DC" w14:textId="77777777">
                  <w:pPr>
                    <w:spacing w:after="0" w:line="276" w:lineRule="auto"/>
                    <w:rPr>
                      <w:rFonts w:ascii="Verdana" w:hAnsi="Verdana"/>
                      <w:sz w:val="18"/>
                      <w:szCs w:val="18"/>
                    </w:rPr>
                  </w:pPr>
                  <w:r w:rsidRPr="00F11423">
                    <w:rPr>
                      <w:rFonts w:ascii="Verdana" w:hAnsi="Verdana"/>
                      <w:sz w:val="18"/>
                      <w:szCs w:val="18"/>
                    </w:rPr>
                    <w:t>89</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37411D08" w14:textId="77777777">
                  <w:pPr>
                    <w:spacing w:after="0" w:line="276" w:lineRule="auto"/>
                    <w:rPr>
                      <w:rFonts w:ascii="Verdana" w:hAnsi="Verdana"/>
                      <w:sz w:val="18"/>
                      <w:szCs w:val="18"/>
                    </w:rPr>
                  </w:pPr>
                  <w:r w:rsidRPr="00F11423">
                    <w:rPr>
                      <w:rFonts w:ascii="Verdana" w:hAnsi="Verdana"/>
                      <w:sz w:val="18"/>
                      <w:szCs w:val="18"/>
                    </w:rPr>
                    <w:t>89</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58037DD8" w14:textId="77777777">
                  <w:pPr>
                    <w:spacing w:after="0" w:line="276" w:lineRule="auto"/>
                    <w:rPr>
                      <w:rFonts w:ascii="Verdana" w:hAnsi="Verdana"/>
                      <w:sz w:val="18"/>
                      <w:szCs w:val="18"/>
                    </w:rPr>
                  </w:pPr>
                  <w:r w:rsidRPr="00F11423">
                    <w:rPr>
                      <w:rFonts w:ascii="Verdana" w:hAnsi="Verdana"/>
                      <w:sz w:val="18"/>
                      <w:szCs w:val="18"/>
                    </w:rPr>
                    <w:t>89</w:t>
                  </w:r>
                </w:p>
              </w:tc>
            </w:tr>
          </w:tbl>
          <w:p w:rsidRPr="00F11423" w:rsidR="00F67E75" w:rsidP="00F11423" w:rsidRDefault="00F67E75" w14:paraId="20F62FB8" w14:textId="77777777">
            <w:pPr>
              <w:spacing w:after="0" w:line="276" w:lineRule="auto"/>
              <w:rPr>
                <w:rFonts w:ascii="Verdana" w:hAnsi="Verdana"/>
                <w:b/>
                <w:bCs/>
                <w:sz w:val="18"/>
                <w:szCs w:val="18"/>
              </w:rPr>
            </w:pPr>
          </w:p>
        </w:tc>
      </w:tr>
      <w:tr w:rsidRPr="00F11423" w:rsidR="00F67E75" w:rsidTr="00F11423" w14:paraId="0A0A7BAE"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297509EC" w14:textId="21DC44A3">
            <w:pPr>
              <w:spacing w:after="0" w:line="276" w:lineRule="auto"/>
              <w:rPr>
                <w:rFonts w:ascii="Verdana" w:hAnsi="Verdana"/>
                <w:sz w:val="18"/>
                <w:szCs w:val="18"/>
              </w:rPr>
            </w:pPr>
            <w:r w:rsidRPr="00F11423">
              <w:rPr>
                <w:rFonts w:ascii="Verdana" w:hAnsi="Verdana"/>
                <w:b/>
                <w:bCs/>
                <w:sz w:val="18"/>
                <w:szCs w:val="18"/>
              </w:rPr>
              <w:lastRenderedPageBreak/>
              <w:t xml:space="preserve">Uitvoeringsgevolgen: </w:t>
            </w:r>
            <w:r w:rsidRPr="00F11423">
              <w:rPr>
                <w:rFonts w:ascii="Verdana" w:hAnsi="Verdana"/>
                <w:sz w:val="18"/>
                <w:szCs w:val="18"/>
              </w:rPr>
              <w:t>Uitvoerbaar per 1 januari 2025</w:t>
            </w:r>
          </w:p>
        </w:tc>
      </w:tr>
    </w:tbl>
    <w:p w:rsidRPr="00F11423" w:rsidR="00BA26F9" w:rsidP="00F11423" w:rsidRDefault="00BA26F9" w14:paraId="3EE738ED"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4F7C0D" w:rsidTr="00F11423" w14:paraId="5E48CFC3"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4F7C0D" w:rsidP="00F11423" w:rsidRDefault="004F7C0D" w14:paraId="36AA8F2D" w14:textId="4D7AA94F">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32</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4F7C0D" w:rsidP="00F11423" w:rsidRDefault="004F7C0D" w14:paraId="484370BD"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Apart tarief voor vliegtuigen met minder dan 19 stoelen in de vliegbelasting</w:t>
            </w:r>
          </w:p>
        </w:tc>
      </w:tr>
      <w:tr w:rsidRPr="00F11423" w:rsidR="004F7C0D" w:rsidTr="00F11423" w14:paraId="26B047A2"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2A574229"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Teunissen (PvdD)</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7091DBF5"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4F7C0D" w:rsidTr="00F11423" w14:paraId="73DB6926"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53B8CE9E"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r w:rsidRPr="00F11423">
              <w:rPr>
                <w:rFonts w:ascii="Verdana" w:hAnsi="Verdana"/>
                <w:sz w:val="18"/>
                <w:szCs w:val="18"/>
              </w:rPr>
              <w:t>De maatregel maakt de uitvoering van de vliegbelasting complexer terwijl de milieu-impact beperkt is. Het aantal passagiers dat vliegt met vliegtuigen met minder dan 19 stoelen is relatief gezien klein.</w:t>
            </w:r>
          </w:p>
        </w:tc>
      </w:tr>
      <w:tr w:rsidRPr="00F11423" w:rsidR="004F7C0D" w:rsidTr="00F11423" w14:paraId="3BFD65E7"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4F7C0D" w:rsidP="00F11423" w:rsidRDefault="004F7C0D" w14:paraId="435DCA45"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Door gebrek aan beschikbare gegevens kunnen de budgettaire effecten van de maatregel niet worden geraamd.</w:t>
            </w:r>
          </w:p>
          <w:p w:rsidRPr="00F11423" w:rsidR="004F7C0D" w:rsidP="00F11423" w:rsidRDefault="004F7C0D" w14:paraId="00258F77" w14:textId="77777777">
            <w:pPr>
              <w:spacing w:after="0" w:line="276" w:lineRule="auto"/>
              <w:rPr>
                <w:rFonts w:ascii="Verdana" w:hAnsi="Verdana"/>
                <w:b/>
                <w:bCs/>
                <w:sz w:val="18"/>
                <w:szCs w:val="18"/>
              </w:rPr>
            </w:pPr>
          </w:p>
        </w:tc>
      </w:tr>
      <w:tr w:rsidRPr="00F11423" w:rsidR="004F7C0D" w:rsidTr="00F11423" w14:paraId="0F2FFF32"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033B2611" w14:textId="39357401">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F11423">
              <w:rPr>
                <w:rFonts w:ascii="Verdana" w:hAnsi="Verdana"/>
                <w:sz w:val="18"/>
                <w:szCs w:val="18"/>
              </w:rPr>
              <w:t xml:space="preserve">Niet uitvoerbaar per </w:t>
            </w:r>
            <w:r w:rsidR="00DC5B82">
              <w:rPr>
                <w:rFonts w:ascii="Verdana" w:hAnsi="Verdana"/>
                <w:sz w:val="18"/>
                <w:szCs w:val="18"/>
              </w:rPr>
              <w:t xml:space="preserve">1 juli </w:t>
            </w:r>
            <w:r w:rsidRPr="00F11423">
              <w:rPr>
                <w:rFonts w:ascii="Verdana" w:hAnsi="Verdana"/>
                <w:sz w:val="18"/>
                <w:szCs w:val="18"/>
              </w:rPr>
              <w:t>2025</w:t>
            </w:r>
            <w:r w:rsidR="00DC5B82">
              <w:rPr>
                <w:rFonts w:ascii="Verdana" w:hAnsi="Verdana"/>
                <w:sz w:val="18"/>
                <w:szCs w:val="18"/>
              </w:rPr>
              <w:t>, omdat de ICT-systemen van zowel de Belastingdienst als mogelijk ook van de luchthavenexploitanten niet tijden kunnen worden aangepast.</w:t>
            </w:r>
          </w:p>
        </w:tc>
      </w:tr>
    </w:tbl>
    <w:p w:rsidRPr="00F11423" w:rsidR="004F7C0D" w:rsidP="00F11423" w:rsidRDefault="004F7C0D" w14:paraId="6F1E34AE"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4C0691" w:rsidTr="001114D3" w14:paraId="0EF6E50D"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4C0691" w:rsidP="00F11423" w:rsidRDefault="004C0691" w14:paraId="4CEE001B" w14:textId="497FD8FE">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35</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4C0691" w:rsidP="00F11423" w:rsidRDefault="004C0691" w14:paraId="6186E472"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Afschaffen landbouwvrijstelling per 1 januari 2025 zonder overgangsrecht</w:t>
            </w:r>
          </w:p>
        </w:tc>
      </w:tr>
      <w:tr w:rsidRPr="00F11423" w:rsidR="004C0691" w:rsidTr="001114D3" w14:paraId="338E1F52"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30BDCBF6"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Teunissen (PvdD)</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7C466498"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4C0691" w:rsidTr="001114D3" w14:paraId="328B32DB"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6E544941"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r w:rsidRPr="00F11423">
              <w:rPr>
                <w:rFonts w:ascii="Verdana" w:hAnsi="Verdana"/>
                <w:sz w:val="18"/>
                <w:szCs w:val="18"/>
              </w:rPr>
              <w:t>Het betreft afschaffing van de landbouwvrijstelling in de winstsfeer zonder overgangsrecht. Op grond van de landbouwvrijstelling zijn waardeveranderingen van landbouwgrond onder voorwaarden vrijgesteld. Bij een afschaffing van de landbouwvrijstelling zonder overgangsrecht worden niet alleen toekomstige waardeveranderingen (na afschaffing), maar ook waardeveranderingen van vóór het moment van afschaffing in de heffing betrokken als grond in de toekomst wordt overgedragen. In de recente evaluatie van de landbouwvrijstelling wordt het gebruik van een overgangsregime bij afschaffing van de landbouwvrijstelling als beleidsmatig verstandig gezien (SEO, 2024).</w:t>
            </w:r>
          </w:p>
        </w:tc>
      </w:tr>
      <w:tr w:rsidRPr="00F11423" w:rsidR="004C0691" w:rsidTr="001114D3" w14:paraId="06391490"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4C0691" w:rsidP="00F11423" w:rsidRDefault="004C0691" w14:paraId="212AD94C" w14:textId="77777777">
            <w:pPr>
              <w:spacing w:after="0" w:line="276" w:lineRule="auto"/>
              <w:rPr>
                <w:rFonts w:ascii="Verdana" w:hAnsi="Verdana"/>
                <w:sz w:val="18"/>
                <w:szCs w:val="18"/>
              </w:rPr>
            </w:pPr>
            <w:r w:rsidRPr="00F11423">
              <w:rPr>
                <w:rFonts w:ascii="Verdana" w:hAnsi="Verdana"/>
                <w:b/>
                <w:bCs/>
                <w:sz w:val="18"/>
                <w:szCs w:val="18"/>
              </w:rPr>
              <w:t>Budgettaire aspecten:</w:t>
            </w:r>
          </w:p>
          <w:tbl>
            <w:tblPr>
              <w:tblW w:w="6658" w:type="dxa"/>
              <w:tblCellMar>
                <w:left w:w="0" w:type="dxa"/>
                <w:right w:w="0" w:type="dxa"/>
              </w:tblCellMar>
              <w:tblLook w:val="04A0" w:firstRow="1" w:lastRow="0" w:firstColumn="1" w:lastColumn="0" w:noHBand="0" w:noVBand="1"/>
            </w:tblPr>
            <w:tblGrid>
              <w:gridCol w:w="2405"/>
              <w:gridCol w:w="709"/>
              <w:gridCol w:w="709"/>
              <w:gridCol w:w="708"/>
              <w:gridCol w:w="709"/>
              <w:gridCol w:w="1418"/>
            </w:tblGrid>
            <w:tr w:rsidRPr="00F11423" w:rsidR="004C0691" w:rsidTr="00317468" w14:paraId="127D48C7"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C0691" w:rsidP="00F11423" w:rsidRDefault="004C0691" w14:paraId="03DEF501" w14:textId="77777777">
                  <w:pPr>
                    <w:spacing w:after="0" w:line="276" w:lineRule="auto"/>
                    <w:rPr>
                      <w:rFonts w:ascii="Verdana" w:hAnsi="Verdana"/>
                      <w:sz w:val="18"/>
                      <w:szCs w:val="18"/>
                    </w:rPr>
                  </w:pPr>
                  <w:r w:rsidRPr="00F11423">
                    <w:rPr>
                      <w:rFonts w:ascii="Verdana" w:hAnsi="Verdana"/>
                      <w:color w:val="000000"/>
                      <w:sz w:val="18"/>
                      <w:szCs w:val="18"/>
                    </w:rPr>
                    <w:t>Omvang in mln. €</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17102A" w:rsidR="004C0691" w:rsidP="00F11423" w:rsidRDefault="004C0691" w14:paraId="1B69EA47" w14:textId="77777777">
                  <w:pPr>
                    <w:spacing w:after="0" w:line="276" w:lineRule="auto"/>
                    <w:rPr>
                      <w:rFonts w:ascii="Verdana" w:hAnsi="Verdana"/>
                      <w:i/>
                      <w:iCs/>
                      <w:sz w:val="18"/>
                      <w:szCs w:val="18"/>
                    </w:rPr>
                  </w:pPr>
                  <w:r w:rsidRPr="0017102A">
                    <w:rPr>
                      <w:rFonts w:ascii="Verdana" w:hAnsi="Verdana"/>
                      <w:i/>
                      <w:iCs/>
                      <w:color w:val="000000"/>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17102A" w:rsidR="004C0691" w:rsidP="00F11423" w:rsidRDefault="004C0691" w14:paraId="494D6123" w14:textId="77777777">
                  <w:pPr>
                    <w:spacing w:after="0" w:line="276" w:lineRule="auto"/>
                    <w:rPr>
                      <w:rFonts w:ascii="Verdana" w:hAnsi="Verdana"/>
                      <w:i/>
                      <w:iCs/>
                      <w:sz w:val="18"/>
                      <w:szCs w:val="18"/>
                    </w:rPr>
                  </w:pPr>
                  <w:r w:rsidRPr="0017102A">
                    <w:rPr>
                      <w:rFonts w:ascii="Verdana" w:hAnsi="Verdana"/>
                      <w:i/>
                      <w:iCs/>
                      <w:color w:val="000000"/>
                      <w:sz w:val="18"/>
                      <w:szCs w:val="18"/>
                    </w:rPr>
                    <w:t>206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17102A" w:rsidR="004C0691" w:rsidP="00F11423" w:rsidRDefault="004C0691" w14:paraId="38945029" w14:textId="77777777">
                  <w:pPr>
                    <w:spacing w:after="0" w:line="276" w:lineRule="auto"/>
                    <w:rPr>
                      <w:rFonts w:ascii="Verdana" w:hAnsi="Verdana"/>
                      <w:i/>
                      <w:iCs/>
                      <w:sz w:val="18"/>
                      <w:szCs w:val="18"/>
                    </w:rPr>
                  </w:pPr>
                  <w:r w:rsidRPr="0017102A">
                    <w:rPr>
                      <w:rFonts w:ascii="Verdana" w:hAnsi="Verdana"/>
                      <w:i/>
                      <w:iCs/>
                      <w:color w:val="000000"/>
                      <w:sz w:val="18"/>
                      <w:szCs w:val="18"/>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17102A" w:rsidR="004C0691" w:rsidP="00F11423" w:rsidRDefault="004C0691" w14:paraId="2CD40392" w14:textId="77777777">
                  <w:pPr>
                    <w:spacing w:after="0" w:line="276" w:lineRule="auto"/>
                    <w:rPr>
                      <w:rFonts w:ascii="Verdana" w:hAnsi="Verdana"/>
                      <w:i/>
                      <w:iCs/>
                      <w:sz w:val="18"/>
                      <w:szCs w:val="18"/>
                    </w:rPr>
                  </w:pPr>
                  <w:r w:rsidRPr="0017102A">
                    <w:rPr>
                      <w:rFonts w:ascii="Verdana" w:hAnsi="Verdana"/>
                      <w:i/>
                      <w:iCs/>
                      <w:color w:val="000000"/>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C0691" w:rsidP="00F11423" w:rsidRDefault="004C0691" w14:paraId="5C99C73D" w14:textId="77777777">
                  <w:pPr>
                    <w:spacing w:after="0" w:line="276" w:lineRule="auto"/>
                    <w:rPr>
                      <w:rFonts w:ascii="Verdana" w:hAnsi="Verdana"/>
                      <w:sz w:val="18"/>
                      <w:szCs w:val="18"/>
                    </w:rPr>
                  </w:pPr>
                  <w:r w:rsidRPr="00F11423">
                    <w:rPr>
                      <w:rFonts w:ascii="Verdana" w:hAnsi="Verdana"/>
                      <w:color w:val="000000"/>
                      <w:sz w:val="18"/>
                      <w:szCs w:val="18"/>
                    </w:rPr>
                    <w:t xml:space="preserve">Structureel (2064) </w:t>
                  </w:r>
                </w:p>
              </w:tc>
            </w:tr>
            <w:tr w:rsidRPr="00F11423" w:rsidR="004C0691" w:rsidTr="00317468" w14:paraId="33D0D260"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4C0691" w:rsidP="00F11423" w:rsidRDefault="004C0691" w14:paraId="6B5DB70F" w14:textId="77777777">
                  <w:pPr>
                    <w:spacing w:after="0" w:line="276" w:lineRule="auto"/>
                    <w:rPr>
                      <w:rFonts w:ascii="Verdana" w:hAnsi="Verdana"/>
                      <w:sz w:val="18"/>
                      <w:szCs w:val="18"/>
                    </w:rPr>
                  </w:pPr>
                  <w:r w:rsidRPr="00F11423">
                    <w:rPr>
                      <w:rFonts w:ascii="Verdana" w:hAnsi="Verdana"/>
                      <w:color w:val="000000"/>
                      <w:sz w:val="18"/>
                      <w:szCs w:val="18"/>
                    </w:rPr>
                    <w:t>Afschaffen landbouwvrijstelling</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C0691" w:rsidP="00F11423" w:rsidRDefault="004C0691" w14:paraId="0544A035" w14:textId="77777777">
                  <w:pPr>
                    <w:spacing w:after="0" w:line="276" w:lineRule="auto"/>
                    <w:rPr>
                      <w:rFonts w:ascii="Verdana" w:hAnsi="Verdana"/>
                      <w:sz w:val="18"/>
                      <w:szCs w:val="18"/>
                    </w:rPr>
                  </w:pPr>
                  <w:r w:rsidRPr="00F11423">
                    <w:rPr>
                      <w:rFonts w:ascii="Verdana" w:hAnsi="Verdana"/>
                      <w:sz w:val="18"/>
                      <w:szCs w:val="18"/>
                    </w:rPr>
                    <w:t>115</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C0691" w:rsidP="00F11423" w:rsidRDefault="004C0691" w14:paraId="34C2B825" w14:textId="77777777">
                  <w:pPr>
                    <w:spacing w:after="0" w:line="276" w:lineRule="auto"/>
                    <w:rPr>
                      <w:rFonts w:ascii="Verdana" w:hAnsi="Verdana"/>
                      <w:sz w:val="18"/>
                      <w:szCs w:val="18"/>
                    </w:rPr>
                  </w:pPr>
                  <w:r w:rsidRPr="00F11423">
                    <w:rPr>
                      <w:rFonts w:ascii="Verdana" w:hAnsi="Verdana"/>
                      <w:sz w:val="18"/>
                      <w:szCs w:val="18"/>
                    </w:rPr>
                    <w:t>124</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C0691" w:rsidP="00F11423" w:rsidRDefault="004C0691" w14:paraId="2D1F2155" w14:textId="77777777">
                  <w:pPr>
                    <w:spacing w:after="0" w:line="276" w:lineRule="auto"/>
                    <w:rPr>
                      <w:rFonts w:ascii="Verdana" w:hAnsi="Verdana"/>
                      <w:sz w:val="18"/>
                      <w:szCs w:val="18"/>
                    </w:rPr>
                  </w:pPr>
                  <w:r w:rsidRPr="00F11423">
                    <w:rPr>
                      <w:rFonts w:ascii="Verdana" w:hAnsi="Verdana"/>
                      <w:sz w:val="18"/>
                      <w:szCs w:val="18"/>
                    </w:rPr>
                    <w:t>132</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C0691" w:rsidP="00F11423" w:rsidRDefault="004C0691" w14:paraId="1E4E9512" w14:textId="77777777">
                  <w:pPr>
                    <w:spacing w:after="0" w:line="276" w:lineRule="auto"/>
                    <w:rPr>
                      <w:rFonts w:ascii="Verdana" w:hAnsi="Verdana"/>
                      <w:sz w:val="18"/>
                      <w:szCs w:val="18"/>
                    </w:rPr>
                  </w:pPr>
                  <w:r w:rsidRPr="00F11423">
                    <w:rPr>
                      <w:rFonts w:ascii="Verdana" w:hAnsi="Verdana"/>
                      <w:sz w:val="18"/>
                      <w:szCs w:val="18"/>
                    </w:rPr>
                    <w:t>139</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C0691" w:rsidP="00F11423" w:rsidRDefault="004C0691" w14:paraId="47B98930" w14:textId="77777777">
                  <w:pPr>
                    <w:spacing w:after="0" w:line="276" w:lineRule="auto"/>
                    <w:rPr>
                      <w:rFonts w:ascii="Verdana" w:hAnsi="Verdana"/>
                      <w:sz w:val="18"/>
                      <w:szCs w:val="18"/>
                    </w:rPr>
                  </w:pPr>
                  <w:r w:rsidRPr="00F11423">
                    <w:rPr>
                      <w:rFonts w:ascii="Verdana" w:hAnsi="Verdana"/>
                      <w:sz w:val="18"/>
                      <w:szCs w:val="18"/>
                    </w:rPr>
                    <w:t>239</w:t>
                  </w:r>
                </w:p>
              </w:tc>
            </w:tr>
          </w:tbl>
          <w:p w:rsidRPr="00F11423" w:rsidR="004C0691" w:rsidP="00F11423" w:rsidRDefault="004C0691" w14:paraId="6D2381D7" w14:textId="77777777">
            <w:pPr>
              <w:spacing w:after="0" w:line="276" w:lineRule="auto"/>
              <w:rPr>
                <w:rFonts w:ascii="Verdana" w:hAnsi="Verdana"/>
                <w:b/>
                <w:bCs/>
                <w:sz w:val="18"/>
                <w:szCs w:val="18"/>
              </w:rPr>
            </w:pPr>
          </w:p>
        </w:tc>
      </w:tr>
      <w:tr w:rsidRPr="00F11423" w:rsidR="004C0691" w:rsidTr="001114D3" w14:paraId="7F9557DD"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56D68ABD" w14:textId="396C9B95">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ED64E9" w:rsidR="00ED64E9">
              <w:rPr>
                <w:rFonts w:ascii="Verdana" w:hAnsi="Verdana"/>
                <w:sz w:val="18"/>
                <w:szCs w:val="18"/>
              </w:rPr>
              <w:t xml:space="preserve">Niet uitvoerbaar per 1 januari 2025, omdat dit een structuurwijziging betreft. </w:t>
            </w:r>
          </w:p>
        </w:tc>
      </w:tr>
    </w:tbl>
    <w:p w:rsidRPr="00F11423" w:rsidR="004C0691" w:rsidP="00F11423" w:rsidRDefault="004C0691" w14:paraId="6B58E8F5"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4F7C0D" w:rsidTr="001114D3" w14:paraId="7AD56BDA"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4F7C0D" w:rsidP="00F11423" w:rsidRDefault="004F7C0D" w14:paraId="31A19A15" w14:textId="1641F858">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37</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4F7C0D" w:rsidP="00F11423" w:rsidRDefault="004F7C0D" w14:paraId="1FA0E748"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verminderen korting brandstofaccijns</w:t>
            </w:r>
          </w:p>
        </w:tc>
      </w:tr>
      <w:tr w:rsidRPr="00F11423" w:rsidR="004F7C0D" w:rsidTr="001114D3" w14:paraId="59712F5A"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68977AF6"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Sneller (D66)</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16551772"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4F7C0D" w:rsidTr="001114D3" w14:paraId="3A5A5829"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66327FB6"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r w:rsidRPr="00F11423">
              <w:rPr>
                <w:rFonts w:ascii="Verdana" w:hAnsi="Verdana"/>
                <w:sz w:val="18"/>
                <w:szCs w:val="18"/>
              </w:rPr>
              <w:t xml:space="preserve">De accijnskortingen voor brandstof worden in 2025 niet volledig toegepast waardoor de accijnstarieven in 2025 iets </w:t>
            </w:r>
            <w:proofErr w:type="gramStart"/>
            <w:r w:rsidRPr="00F11423">
              <w:rPr>
                <w:rFonts w:ascii="Verdana" w:hAnsi="Verdana"/>
                <w:sz w:val="18"/>
                <w:szCs w:val="18"/>
              </w:rPr>
              <w:t>omhoog gaan</w:t>
            </w:r>
            <w:proofErr w:type="gramEnd"/>
            <w:r w:rsidRPr="00F11423">
              <w:rPr>
                <w:rFonts w:ascii="Verdana" w:hAnsi="Verdana"/>
                <w:sz w:val="18"/>
                <w:szCs w:val="18"/>
              </w:rPr>
              <w:t>.</w:t>
            </w:r>
            <w:r w:rsidRPr="00F11423">
              <w:rPr>
                <w:rFonts w:ascii="Verdana" w:hAnsi="Verdana"/>
                <w:b/>
                <w:bCs/>
                <w:sz w:val="18"/>
                <w:szCs w:val="18"/>
              </w:rPr>
              <w:t xml:space="preserve"> </w:t>
            </w:r>
          </w:p>
        </w:tc>
      </w:tr>
      <w:tr w:rsidRPr="00F11423" w:rsidR="004F7C0D" w:rsidTr="001114D3" w14:paraId="1D399B6B"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4F7C0D" w:rsidP="00F11423" w:rsidRDefault="004F7C0D" w14:paraId="36F4FE14"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Voorstel leidt tot een incidentele opbrengst van 150 miljoen euro ten opzichte van de voorgenomen maatregel.</w:t>
            </w:r>
          </w:p>
          <w:p w:rsidRPr="00F11423" w:rsidR="004F7C0D" w:rsidP="00F11423" w:rsidRDefault="004F7C0D" w14:paraId="6FC40F4B" w14:textId="77777777">
            <w:pPr>
              <w:spacing w:after="0" w:line="276" w:lineRule="auto"/>
              <w:rPr>
                <w:rFonts w:ascii="Verdana" w:hAnsi="Verdana"/>
                <w:sz w:val="18"/>
                <w:szCs w:val="18"/>
              </w:rPr>
            </w:pPr>
          </w:p>
          <w:tbl>
            <w:tblPr>
              <w:tblW w:w="6658" w:type="dxa"/>
              <w:tblCellMar>
                <w:left w:w="0" w:type="dxa"/>
                <w:right w:w="0" w:type="dxa"/>
              </w:tblCellMar>
              <w:tblLook w:val="04A0" w:firstRow="1" w:lastRow="0" w:firstColumn="1" w:lastColumn="0" w:noHBand="0" w:noVBand="1"/>
            </w:tblPr>
            <w:tblGrid>
              <w:gridCol w:w="2405"/>
              <w:gridCol w:w="709"/>
              <w:gridCol w:w="709"/>
              <w:gridCol w:w="708"/>
              <w:gridCol w:w="709"/>
              <w:gridCol w:w="1418"/>
            </w:tblGrid>
            <w:tr w:rsidRPr="00F11423" w:rsidR="004F7C0D" w:rsidTr="00F36A62" w14:paraId="43E135A5"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4F8B9BC4" w14:textId="77777777">
                  <w:pPr>
                    <w:spacing w:after="0" w:line="276" w:lineRule="auto"/>
                    <w:rPr>
                      <w:rFonts w:ascii="Verdana" w:hAnsi="Verdana"/>
                      <w:sz w:val="18"/>
                      <w:szCs w:val="18"/>
                    </w:rPr>
                  </w:pPr>
                  <w:r w:rsidRPr="00F11423">
                    <w:rPr>
                      <w:rFonts w:ascii="Verdana" w:hAnsi="Verdana"/>
                      <w:color w:val="000000"/>
                      <w:sz w:val="18"/>
                      <w:szCs w:val="18"/>
                    </w:rPr>
                    <w:t>Omvang in mln. € (prijspeil 2024)</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39E3A138" w14:textId="77777777">
                  <w:pPr>
                    <w:spacing w:after="0" w:line="276" w:lineRule="auto"/>
                    <w:rPr>
                      <w:rFonts w:ascii="Verdana" w:hAnsi="Verdana"/>
                      <w:i/>
                      <w:iCs/>
                      <w:sz w:val="18"/>
                      <w:szCs w:val="18"/>
                    </w:rPr>
                  </w:pPr>
                  <w:r w:rsidRPr="00F11423">
                    <w:rPr>
                      <w:rFonts w:ascii="Verdana" w:hAnsi="Verdana"/>
                      <w:i/>
                      <w:iCs/>
                      <w:color w:val="000000"/>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6CACB436" w14:textId="77777777">
                  <w:pPr>
                    <w:spacing w:after="0" w:line="276" w:lineRule="auto"/>
                    <w:rPr>
                      <w:rFonts w:ascii="Verdana" w:hAnsi="Verdana"/>
                      <w:i/>
                      <w:iCs/>
                      <w:sz w:val="18"/>
                      <w:szCs w:val="18"/>
                    </w:rPr>
                  </w:pPr>
                  <w:r w:rsidRPr="00F11423">
                    <w:rPr>
                      <w:rFonts w:ascii="Verdana" w:hAnsi="Verdana"/>
                      <w:i/>
                      <w:iCs/>
                      <w:color w:val="000000"/>
                      <w:sz w:val="18"/>
                      <w:szCs w:val="18"/>
                    </w:rPr>
                    <w:t>2026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388A77C6" w14:textId="77777777">
                  <w:pPr>
                    <w:spacing w:after="0" w:line="276" w:lineRule="auto"/>
                    <w:rPr>
                      <w:rFonts w:ascii="Verdana" w:hAnsi="Verdana"/>
                      <w:i/>
                      <w:iCs/>
                      <w:sz w:val="18"/>
                      <w:szCs w:val="18"/>
                    </w:rPr>
                  </w:pPr>
                  <w:r w:rsidRPr="00F11423">
                    <w:rPr>
                      <w:rFonts w:ascii="Verdana" w:hAnsi="Verdana"/>
                      <w:i/>
                      <w:iCs/>
                      <w:color w:val="000000"/>
                      <w:sz w:val="18"/>
                      <w:szCs w:val="18"/>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3321C005" w14:textId="77777777">
                  <w:pPr>
                    <w:spacing w:after="0" w:line="276" w:lineRule="auto"/>
                    <w:rPr>
                      <w:rFonts w:ascii="Verdana" w:hAnsi="Verdana"/>
                      <w:i/>
                      <w:iCs/>
                      <w:sz w:val="18"/>
                      <w:szCs w:val="18"/>
                    </w:rPr>
                  </w:pPr>
                  <w:r w:rsidRPr="00F11423">
                    <w:rPr>
                      <w:rFonts w:ascii="Verdana" w:hAnsi="Verdana"/>
                      <w:i/>
                      <w:iCs/>
                      <w:color w:val="000000"/>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F7C0D" w:rsidP="00F11423" w:rsidRDefault="004F7C0D" w14:paraId="30D05888" w14:textId="77777777">
                  <w:pPr>
                    <w:spacing w:after="0" w:line="276" w:lineRule="auto"/>
                    <w:rPr>
                      <w:rFonts w:ascii="Verdana" w:hAnsi="Verdana"/>
                      <w:sz w:val="18"/>
                      <w:szCs w:val="18"/>
                    </w:rPr>
                  </w:pPr>
                  <w:r w:rsidRPr="00F11423">
                    <w:rPr>
                      <w:rFonts w:ascii="Verdana" w:hAnsi="Verdana"/>
                      <w:color w:val="000000"/>
                      <w:sz w:val="18"/>
                      <w:szCs w:val="18"/>
                    </w:rPr>
                    <w:t xml:space="preserve">Structureel </w:t>
                  </w:r>
                </w:p>
              </w:tc>
            </w:tr>
            <w:tr w:rsidRPr="00F11423" w:rsidR="004F7C0D" w:rsidTr="00F36A62" w14:paraId="02AF7031"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31D3C56C" w14:textId="77777777">
                  <w:pPr>
                    <w:spacing w:after="0" w:line="276" w:lineRule="auto"/>
                    <w:rPr>
                      <w:rFonts w:ascii="Verdana" w:hAnsi="Verdana"/>
                      <w:sz w:val="18"/>
                      <w:szCs w:val="18"/>
                    </w:rPr>
                  </w:pPr>
                  <w:r w:rsidRPr="00F11423">
                    <w:rPr>
                      <w:rFonts w:ascii="Verdana" w:hAnsi="Verdana"/>
                      <w:sz w:val="18"/>
                      <w:szCs w:val="18"/>
                    </w:rPr>
                    <w:t>Verhogen brandstofaccijns 2025</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244988D8" w14:textId="77777777">
                  <w:pPr>
                    <w:spacing w:after="0" w:line="276" w:lineRule="auto"/>
                    <w:rPr>
                      <w:rFonts w:ascii="Verdana" w:hAnsi="Verdana"/>
                      <w:sz w:val="18"/>
                      <w:szCs w:val="18"/>
                    </w:rPr>
                  </w:pPr>
                  <w:r w:rsidRPr="00F11423">
                    <w:rPr>
                      <w:rFonts w:ascii="Verdana" w:hAnsi="Verdana"/>
                      <w:sz w:val="18"/>
                      <w:szCs w:val="18"/>
                    </w:rPr>
                    <w:t>150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34137A52" w14:textId="77777777">
                  <w:pPr>
                    <w:spacing w:after="0" w:line="276" w:lineRule="auto"/>
                    <w:rPr>
                      <w:rFonts w:ascii="Verdana" w:hAnsi="Verdana"/>
                      <w:sz w:val="18"/>
                      <w:szCs w:val="18"/>
                    </w:rPr>
                  </w:pPr>
                  <w:r w:rsidRPr="00F11423">
                    <w:rPr>
                      <w:rFonts w:ascii="Verdana" w:hAnsi="Verdana"/>
                      <w:sz w:val="18"/>
                      <w:szCs w:val="18"/>
                    </w:rPr>
                    <w:t>0</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6A4869F0" w14:textId="77777777">
                  <w:pPr>
                    <w:spacing w:after="0" w:line="276" w:lineRule="auto"/>
                    <w:rPr>
                      <w:rFonts w:ascii="Verdana" w:hAnsi="Verdana"/>
                      <w:sz w:val="18"/>
                      <w:szCs w:val="18"/>
                    </w:rPr>
                  </w:pPr>
                  <w:r w:rsidRPr="00F11423">
                    <w:rPr>
                      <w:rFonts w:ascii="Verdana" w:hAnsi="Verdana"/>
                      <w:sz w:val="18"/>
                      <w:szCs w:val="18"/>
                    </w:rPr>
                    <w:t>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77150755" w14:textId="77777777">
                  <w:pPr>
                    <w:spacing w:after="0" w:line="276" w:lineRule="auto"/>
                    <w:rPr>
                      <w:rFonts w:ascii="Verdana" w:hAnsi="Verdana"/>
                      <w:sz w:val="18"/>
                      <w:szCs w:val="18"/>
                    </w:rPr>
                  </w:pPr>
                  <w:r w:rsidRPr="00F11423">
                    <w:rPr>
                      <w:rFonts w:ascii="Verdana" w:hAnsi="Verdana"/>
                      <w:sz w:val="18"/>
                      <w:szCs w:val="18"/>
                    </w:rPr>
                    <w:t>0</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4F7C0D" w:rsidP="00F11423" w:rsidRDefault="004F7C0D" w14:paraId="7CC73E56" w14:textId="77777777">
                  <w:pPr>
                    <w:spacing w:after="0" w:line="276" w:lineRule="auto"/>
                    <w:rPr>
                      <w:rFonts w:ascii="Verdana" w:hAnsi="Verdana"/>
                      <w:sz w:val="18"/>
                      <w:szCs w:val="18"/>
                    </w:rPr>
                  </w:pPr>
                  <w:r w:rsidRPr="00F11423">
                    <w:rPr>
                      <w:rFonts w:ascii="Verdana" w:hAnsi="Verdana"/>
                      <w:sz w:val="18"/>
                      <w:szCs w:val="18"/>
                    </w:rPr>
                    <w:t>0</w:t>
                  </w:r>
                </w:p>
              </w:tc>
            </w:tr>
          </w:tbl>
          <w:p w:rsidRPr="00F11423" w:rsidR="004F7C0D" w:rsidP="00F11423" w:rsidRDefault="004F7C0D" w14:paraId="1F6FC086" w14:textId="77777777">
            <w:pPr>
              <w:spacing w:after="0" w:line="276" w:lineRule="auto"/>
              <w:rPr>
                <w:rFonts w:ascii="Verdana" w:hAnsi="Verdana"/>
                <w:b/>
                <w:bCs/>
                <w:sz w:val="18"/>
                <w:szCs w:val="18"/>
              </w:rPr>
            </w:pPr>
          </w:p>
        </w:tc>
      </w:tr>
      <w:tr w:rsidRPr="00F11423" w:rsidR="004F7C0D" w:rsidTr="001114D3" w14:paraId="5780C27A"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F7C0D" w:rsidP="00F11423" w:rsidRDefault="004F7C0D" w14:paraId="460C0DF8" w14:textId="1D96A046">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F11423">
              <w:rPr>
                <w:rFonts w:ascii="Verdana" w:hAnsi="Verdana"/>
                <w:sz w:val="18"/>
                <w:szCs w:val="18"/>
              </w:rPr>
              <w:t>Uitvoerbaar per 1 januari 2025</w:t>
            </w:r>
            <w:r w:rsidR="00DC5B82">
              <w:rPr>
                <w:rFonts w:ascii="Verdana" w:hAnsi="Verdana"/>
                <w:sz w:val="18"/>
                <w:szCs w:val="18"/>
              </w:rPr>
              <w:t xml:space="preserve">, </w:t>
            </w:r>
            <w:proofErr w:type="gramStart"/>
            <w:r w:rsidR="00DC5B82">
              <w:rPr>
                <w:rFonts w:ascii="Verdana" w:hAnsi="Verdana"/>
                <w:sz w:val="18"/>
                <w:szCs w:val="18"/>
              </w:rPr>
              <w:t>indien</w:t>
            </w:r>
            <w:proofErr w:type="gramEnd"/>
            <w:r w:rsidR="00DC5B82">
              <w:rPr>
                <w:rFonts w:ascii="Verdana" w:hAnsi="Verdana"/>
                <w:sz w:val="18"/>
                <w:szCs w:val="18"/>
              </w:rPr>
              <w:t xml:space="preserve"> uiterlijk 15 december bekend.</w:t>
            </w:r>
          </w:p>
        </w:tc>
      </w:tr>
    </w:tbl>
    <w:p w:rsidR="001C0E41" w:rsidP="00F11423" w:rsidRDefault="001C0E41" w14:paraId="4EB7AFC0" w14:textId="77777777">
      <w:pPr>
        <w:spacing w:after="0" w:line="276" w:lineRule="auto"/>
        <w:rPr>
          <w:rFonts w:ascii="Verdana" w:hAnsi="Verdana"/>
          <w:sz w:val="18"/>
          <w:szCs w:val="18"/>
        </w:rPr>
      </w:pPr>
    </w:p>
    <w:p w:rsidRPr="00F11423" w:rsidR="00A4538A" w:rsidP="00F11423" w:rsidRDefault="00A4538A" w14:paraId="7E522D0C" w14:textId="77777777">
      <w:pPr>
        <w:spacing w:after="0" w:line="276" w:lineRule="auto"/>
        <w:rPr>
          <w:rFonts w:ascii="Verdana" w:hAnsi="Verdana"/>
          <w:sz w:val="18"/>
          <w:szCs w:val="18"/>
        </w:rPr>
      </w:pPr>
    </w:p>
    <w:p w:rsidRPr="00F11423" w:rsidR="002224C4" w:rsidP="00F11423" w:rsidRDefault="002224C4" w14:paraId="5390C110" w14:textId="77777777">
      <w:pPr>
        <w:spacing w:after="0" w:line="276" w:lineRule="auto"/>
        <w:rPr>
          <w:rFonts w:ascii="Verdana" w:hAnsi="Verdana"/>
          <w:sz w:val="18"/>
          <w:szCs w:val="18"/>
        </w:rPr>
      </w:pPr>
    </w:p>
    <w:tbl>
      <w:tblPr>
        <w:tblW w:w="9647" w:type="dxa"/>
        <w:tblInd w:w="-18" w:type="dxa"/>
        <w:tblCellMar>
          <w:left w:w="0" w:type="dxa"/>
          <w:right w:w="0" w:type="dxa"/>
        </w:tblCellMar>
        <w:tblLook w:val="04A0" w:firstRow="1" w:lastRow="0" w:firstColumn="1" w:lastColumn="0" w:noHBand="0" w:noVBand="1"/>
      </w:tblPr>
      <w:tblGrid>
        <w:gridCol w:w="2985"/>
        <w:gridCol w:w="6662"/>
      </w:tblGrid>
      <w:tr w:rsidRPr="00F11423" w:rsidR="009A37E0" w:rsidTr="006125C6" w14:paraId="6BDF5C3A" w14:textId="77777777">
        <w:trPr>
          <w:trHeight w:val="474"/>
        </w:trPr>
        <w:tc>
          <w:tcPr>
            <w:tcW w:w="2985"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9A37E0" w:rsidP="00F11423" w:rsidRDefault="009A37E0" w14:paraId="47DE1EF8" w14:textId="48B471B3">
            <w:pPr>
              <w:spacing w:after="0" w:line="276" w:lineRule="auto"/>
              <w:rPr>
                <w:rFonts w:ascii="Verdana" w:hAnsi="Verdana"/>
                <w:sz w:val="18"/>
                <w:szCs w:val="18"/>
              </w:rPr>
            </w:pPr>
            <w:r w:rsidRPr="00F11423">
              <w:rPr>
                <w:rFonts w:ascii="Verdana" w:hAnsi="Verdana"/>
                <w:b/>
                <w:bCs/>
                <w:color w:val="000000"/>
                <w:sz w:val="18"/>
                <w:szCs w:val="18"/>
              </w:rPr>
              <w:lastRenderedPageBreak/>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47</w:t>
            </w:r>
          </w:p>
        </w:tc>
        <w:tc>
          <w:tcPr>
            <w:tcW w:w="666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9A37E0" w:rsidP="00F11423" w:rsidRDefault="009A37E0" w14:paraId="2F56EB82" w14:textId="7AA91D5E">
            <w:pPr>
              <w:spacing w:after="0" w:line="276" w:lineRule="auto"/>
              <w:rPr>
                <w:rFonts w:ascii="Verdana" w:hAnsi="Verdana" w:cs="Arial"/>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Afschaffing van de doorstootbepaling in de lucratief belangregeling.</w:t>
            </w:r>
          </w:p>
          <w:p w:rsidRPr="00F11423" w:rsidR="009A37E0" w:rsidP="00F11423" w:rsidRDefault="009A37E0" w14:paraId="3495A4C8" w14:textId="77777777">
            <w:pPr>
              <w:spacing w:after="0" w:line="276" w:lineRule="auto"/>
              <w:rPr>
                <w:rFonts w:ascii="Verdana" w:hAnsi="Verdana"/>
                <w:sz w:val="18"/>
                <w:szCs w:val="18"/>
              </w:rPr>
            </w:pPr>
          </w:p>
        </w:tc>
      </w:tr>
      <w:tr w:rsidRPr="00F11423" w:rsidR="009A37E0" w:rsidTr="006125C6" w14:paraId="24766840" w14:textId="77777777">
        <w:trPr>
          <w:trHeight w:val="560"/>
        </w:trPr>
        <w:tc>
          <w:tcPr>
            <w:tcW w:w="298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72E21986"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Dijk (SP)</w:t>
            </w:r>
          </w:p>
        </w:tc>
        <w:tc>
          <w:tcPr>
            <w:tcW w:w="666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66FA1EA4"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9A37E0" w:rsidTr="001114D3" w14:paraId="259418D7" w14:textId="77777777">
        <w:trPr>
          <w:trHeight w:val="1121"/>
        </w:trPr>
        <w:tc>
          <w:tcPr>
            <w:tcW w:w="964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6D8A1D96"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p>
          <w:p w:rsidRPr="00F11423" w:rsidR="009A37E0" w:rsidP="00F11423" w:rsidRDefault="009A37E0" w14:paraId="57B88D22" w14:textId="44D88FEA">
            <w:pPr>
              <w:spacing w:after="0" w:line="276" w:lineRule="auto"/>
              <w:rPr>
                <w:rFonts w:ascii="Verdana" w:hAnsi="Verdana"/>
                <w:sz w:val="18"/>
                <w:szCs w:val="18"/>
              </w:rPr>
            </w:pPr>
            <w:r w:rsidRPr="00F11423">
              <w:rPr>
                <w:rFonts w:ascii="Verdana" w:hAnsi="Verdana"/>
                <w:sz w:val="18"/>
                <w:szCs w:val="18"/>
              </w:rPr>
              <w:t xml:space="preserve">Het amendement regelt dat de huidige mogelijkheid vervalt om de voordelen uit lucratief belang in box 2 te belasten door de doorstootbepaling af te schaffen. Hiermee wordt beoogd de voordelen uit lucratieve belangen die via een eigen vennootschap worden gehouden altijd in box 1 te belasten. </w:t>
            </w:r>
          </w:p>
          <w:p w:rsidRPr="00F11423" w:rsidR="009A37E0" w:rsidP="00F11423" w:rsidRDefault="009A37E0" w14:paraId="5E0B3681" w14:textId="77777777">
            <w:pPr>
              <w:spacing w:after="0" w:line="276" w:lineRule="auto"/>
              <w:rPr>
                <w:rFonts w:ascii="Verdana" w:hAnsi="Verdana"/>
                <w:sz w:val="18"/>
                <w:szCs w:val="18"/>
              </w:rPr>
            </w:pPr>
            <w:r w:rsidRPr="00F11423">
              <w:rPr>
                <w:rFonts w:ascii="Verdana" w:hAnsi="Verdana"/>
                <w:sz w:val="18"/>
                <w:szCs w:val="18"/>
              </w:rPr>
              <w:t xml:space="preserve">Het is de vraag of het afschaffen van de doorstootbepaling ertoe leidt dat voordelen uit lucratief belang altijd worden belast in box 1. Naar verwachting zal de afschaffing van doorstootbepaling tot meer discussies leiden of sprake is van een lucratief belang dat belast is in box 1 of in box 3 </w:t>
            </w:r>
            <w:proofErr w:type="gramStart"/>
            <w:r w:rsidRPr="00F11423">
              <w:rPr>
                <w:rFonts w:ascii="Verdana" w:hAnsi="Verdana"/>
                <w:sz w:val="18"/>
                <w:szCs w:val="18"/>
              </w:rPr>
              <w:t>alsmede</w:t>
            </w:r>
            <w:proofErr w:type="gramEnd"/>
            <w:r w:rsidRPr="00F11423">
              <w:rPr>
                <w:rFonts w:ascii="Verdana" w:hAnsi="Verdana"/>
                <w:sz w:val="18"/>
                <w:szCs w:val="18"/>
              </w:rPr>
              <w:t xml:space="preserve"> over de waarde daarvan. Als de doorstootbepaling wordt afgeschaft, bestaat vooralsnog ook onzekerheid over het effectueren van dit heffingsrecht onder belastingverdragen. Het afschaffen van de doorstootbepaling is daarnaast </w:t>
            </w:r>
            <w:proofErr w:type="spellStart"/>
            <w:r w:rsidRPr="00F11423">
              <w:rPr>
                <w:rFonts w:ascii="Verdana" w:hAnsi="Verdana"/>
                <w:sz w:val="18"/>
                <w:szCs w:val="18"/>
              </w:rPr>
              <w:t>complexiteitsverhogend</w:t>
            </w:r>
            <w:proofErr w:type="spellEnd"/>
            <w:r w:rsidRPr="00F11423">
              <w:rPr>
                <w:rFonts w:ascii="Verdana" w:hAnsi="Verdana"/>
                <w:sz w:val="18"/>
                <w:szCs w:val="18"/>
              </w:rPr>
              <w:t xml:space="preserve"> voor de uitvoering en zorgt voor druk op het reguliere toezicht achteraf. Naar aanleiding van motie Idsinga loopt momenteel een ambtelijk onderzoek naar de </w:t>
            </w:r>
            <w:proofErr w:type="spellStart"/>
            <w:r w:rsidRPr="00F11423">
              <w:rPr>
                <w:rFonts w:ascii="Verdana" w:hAnsi="Verdana"/>
                <w:sz w:val="18"/>
                <w:szCs w:val="18"/>
              </w:rPr>
              <w:t>lucratiefbelangregeling</w:t>
            </w:r>
            <w:proofErr w:type="spellEnd"/>
            <w:r w:rsidRPr="00F11423">
              <w:rPr>
                <w:rFonts w:ascii="Verdana" w:hAnsi="Verdana"/>
                <w:sz w:val="18"/>
                <w:szCs w:val="18"/>
              </w:rPr>
              <w:t>.  Het voornemen is om de Kamer vóór het kerstreces te informeren over de resultaten van dit onderzoek. Het kabinet vindt het niet wenselijk om vooruitlopend op de uitkomsten van dat onderzoek al maatregelen te treffen.</w:t>
            </w:r>
          </w:p>
          <w:p w:rsidRPr="00F11423" w:rsidR="009A37E0" w:rsidP="00F11423" w:rsidRDefault="009A37E0" w14:paraId="6F36D4F1" w14:textId="77777777">
            <w:pPr>
              <w:spacing w:after="0" w:line="276" w:lineRule="auto"/>
              <w:rPr>
                <w:rFonts w:ascii="Verdana" w:hAnsi="Verdana"/>
                <w:b/>
                <w:bCs/>
                <w:sz w:val="18"/>
                <w:szCs w:val="18"/>
              </w:rPr>
            </w:pPr>
          </w:p>
        </w:tc>
      </w:tr>
      <w:tr w:rsidRPr="00F11423" w:rsidR="009A37E0" w:rsidTr="001114D3" w14:paraId="596E322F" w14:textId="77777777">
        <w:trPr>
          <w:trHeight w:val="2106"/>
        </w:trPr>
        <w:tc>
          <w:tcPr>
            <w:tcW w:w="964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9A37E0" w:rsidP="00F11423" w:rsidRDefault="009A37E0" w14:paraId="3D89AA2D"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De opbrengst van de maatregel is onzeker en wordt vooralsnog ingeschat op nihil.</w:t>
            </w:r>
          </w:p>
          <w:tbl>
            <w:tblPr>
              <w:tblW w:w="6671" w:type="dxa"/>
              <w:tblCellMar>
                <w:left w:w="0" w:type="dxa"/>
                <w:right w:w="0" w:type="dxa"/>
              </w:tblCellMar>
              <w:tblLook w:val="04A0" w:firstRow="1" w:lastRow="0" w:firstColumn="1" w:lastColumn="0" w:noHBand="0" w:noVBand="1"/>
            </w:tblPr>
            <w:tblGrid>
              <w:gridCol w:w="1892"/>
              <w:gridCol w:w="916"/>
              <w:gridCol w:w="916"/>
              <w:gridCol w:w="916"/>
              <w:gridCol w:w="916"/>
              <w:gridCol w:w="1220"/>
            </w:tblGrid>
            <w:tr w:rsidRPr="00F11423" w:rsidR="009A37E0" w:rsidTr="00F36A62" w14:paraId="549904DC" w14:textId="77777777">
              <w:trPr>
                <w:trHeight w:val="279"/>
              </w:trPr>
              <w:tc>
                <w:tcPr>
                  <w:tcW w:w="1892"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6552516B" w14:textId="77777777">
                  <w:pPr>
                    <w:spacing w:after="0" w:line="276" w:lineRule="auto"/>
                    <w:rPr>
                      <w:rFonts w:ascii="Verdana" w:hAnsi="Verdana"/>
                      <w:sz w:val="18"/>
                      <w:szCs w:val="18"/>
                    </w:rPr>
                  </w:pPr>
                  <w:r w:rsidRPr="00F11423">
                    <w:rPr>
                      <w:rFonts w:ascii="Verdana" w:hAnsi="Verdana"/>
                      <w:color w:val="000000"/>
                      <w:sz w:val="18"/>
                      <w:szCs w:val="18"/>
                    </w:rPr>
                    <w:t>Omvang in mln. €</w:t>
                  </w:r>
                </w:p>
              </w:tc>
              <w:tc>
                <w:tcPr>
                  <w:tcW w:w="916"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220A643E" w14:textId="77777777">
                  <w:pPr>
                    <w:spacing w:after="0" w:line="276" w:lineRule="auto"/>
                    <w:rPr>
                      <w:rFonts w:ascii="Verdana" w:hAnsi="Verdana"/>
                      <w:i/>
                      <w:iCs/>
                      <w:sz w:val="18"/>
                      <w:szCs w:val="18"/>
                    </w:rPr>
                  </w:pPr>
                  <w:r w:rsidRPr="00F11423">
                    <w:rPr>
                      <w:rFonts w:ascii="Verdana" w:hAnsi="Verdana"/>
                      <w:i/>
                      <w:iCs/>
                      <w:color w:val="000000"/>
                      <w:sz w:val="18"/>
                      <w:szCs w:val="18"/>
                    </w:rPr>
                    <w:t>2025</w:t>
                  </w:r>
                </w:p>
              </w:tc>
              <w:tc>
                <w:tcPr>
                  <w:tcW w:w="916"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03B4675C" w14:textId="77777777">
                  <w:pPr>
                    <w:spacing w:after="0" w:line="276" w:lineRule="auto"/>
                    <w:rPr>
                      <w:rFonts w:ascii="Verdana" w:hAnsi="Verdana"/>
                      <w:i/>
                      <w:iCs/>
                      <w:sz w:val="18"/>
                      <w:szCs w:val="18"/>
                    </w:rPr>
                  </w:pPr>
                  <w:r w:rsidRPr="00F11423">
                    <w:rPr>
                      <w:rFonts w:ascii="Verdana" w:hAnsi="Verdana"/>
                      <w:i/>
                      <w:iCs/>
                      <w:color w:val="000000"/>
                      <w:sz w:val="18"/>
                      <w:szCs w:val="18"/>
                    </w:rPr>
                    <w:t>2026</w:t>
                  </w:r>
                </w:p>
              </w:tc>
              <w:tc>
                <w:tcPr>
                  <w:tcW w:w="916"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3AEDD6D1" w14:textId="77777777">
                  <w:pPr>
                    <w:spacing w:after="0" w:line="276" w:lineRule="auto"/>
                    <w:rPr>
                      <w:rFonts w:ascii="Verdana" w:hAnsi="Verdana"/>
                      <w:i/>
                      <w:iCs/>
                      <w:sz w:val="18"/>
                      <w:szCs w:val="18"/>
                    </w:rPr>
                  </w:pPr>
                  <w:r w:rsidRPr="00F11423">
                    <w:rPr>
                      <w:rFonts w:ascii="Verdana" w:hAnsi="Verdana"/>
                      <w:i/>
                      <w:iCs/>
                      <w:color w:val="000000"/>
                      <w:sz w:val="18"/>
                      <w:szCs w:val="18"/>
                    </w:rPr>
                    <w:t>2027</w:t>
                  </w:r>
                </w:p>
              </w:tc>
              <w:tc>
                <w:tcPr>
                  <w:tcW w:w="916"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5156D1B6" w14:textId="77777777">
                  <w:pPr>
                    <w:spacing w:after="0" w:line="276" w:lineRule="auto"/>
                    <w:rPr>
                      <w:rFonts w:ascii="Verdana" w:hAnsi="Verdana"/>
                      <w:i/>
                      <w:iCs/>
                      <w:sz w:val="18"/>
                      <w:szCs w:val="18"/>
                    </w:rPr>
                  </w:pPr>
                  <w:r w:rsidRPr="00F11423">
                    <w:rPr>
                      <w:rFonts w:ascii="Verdana" w:hAnsi="Verdana"/>
                      <w:i/>
                      <w:iCs/>
                      <w:color w:val="000000"/>
                      <w:sz w:val="18"/>
                      <w:szCs w:val="18"/>
                    </w:rPr>
                    <w:t>2028</w:t>
                  </w:r>
                </w:p>
              </w:tc>
              <w:tc>
                <w:tcPr>
                  <w:tcW w:w="1115"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0AB81F64" w14:textId="77777777">
                  <w:pPr>
                    <w:spacing w:after="0" w:line="276" w:lineRule="auto"/>
                    <w:rPr>
                      <w:rFonts w:ascii="Verdana" w:hAnsi="Verdana"/>
                      <w:sz w:val="18"/>
                      <w:szCs w:val="18"/>
                    </w:rPr>
                  </w:pPr>
                  <w:r w:rsidRPr="00F11423">
                    <w:rPr>
                      <w:rFonts w:ascii="Verdana" w:hAnsi="Verdana"/>
                      <w:color w:val="000000"/>
                      <w:sz w:val="18"/>
                      <w:szCs w:val="18"/>
                    </w:rPr>
                    <w:t xml:space="preserve">Structureel </w:t>
                  </w:r>
                </w:p>
              </w:tc>
            </w:tr>
            <w:tr w:rsidRPr="00F11423" w:rsidR="009A37E0" w:rsidTr="00F36A62" w14:paraId="0C2B74ED" w14:textId="77777777">
              <w:trPr>
                <w:trHeight w:val="279"/>
              </w:trPr>
              <w:tc>
                <w:tcPr>
                  <w:tcW w:w="1892" w:type="dxa"/>
                  <w:tcBorders>
                    <w:top w:val="nil"/>
                    <w:left w:val="single" w:color="auto" w:sz="8" w:space="0"/>
                    <w:bottom w:val="nil"/>
                    <w:right w:val="single" w:color="auto" w:sz="8" w:space="0"/>
                  </w:tcBorders>
                  <w:noWrap/>
                  <w:tcMar>
                    <w:top w:w="0" w:type="dxa"/>
                    <w:left w:w="108" w:type="dxa"/>
                    <w:bottom w:w="0" w:type="dxa"/>
                    <w:right w:w="108" w:type="dxa"/>
                  </w:tcMar>
                </w:tcPr>
                <w:p w:rsidRPr="00F11423" w:rsidR="009A37E0" w:rsidP="00F11423" w:rsidRDefault="009A37E0" w14:paraId="0D5C5B58" w14:textId="77777777">
                  <w:pPr>
                    <w:spacing w:after="0" w:line="276" w:lineRule="auto"/>
                    <w:rPr>
                      <w:rFonts w:ascii="Verdana" w:hAnsi="Verdana"/>
                      <w:sz w:val="18"/>
                      <w:szCs w:val="18"/>
                    </w:rPr>
                  </w:pPr>
                  <w:r w:rsidRPr="00F11423">
                    <w:rPr>
                      <w:rFonts w:ascii="Verdana" w:hAnsi="Verdana"/>
                      <w:sz w:val="18"/>
                      <w:szCs w:val="18"/>
                    </w:rPr>
                    <w:t>Afschaffing doorstootbepaling</w:t>
                  </w:r>
                </w:p>
              </w:tc>
              <w:tc>
                <w:tcPr>
                  <w:tcW w:w="916" w:type="dxa"/>
                  <w:tcBorders>
                    <w:top w:val="nil"/>
                    <w:left w:val="nil"/>
                    <w:bottom w:val="nil"/>
                    <w:right w:val="single" w:color="auto" w:sz="8" w:space="0"/>
                  </w:tcBorders>
                  <w:noWrap/>
                  <w:tcMar>
                    <w:top w:w="0" w:type="dxa"/>
                    <w:left w:w="108" w:type="dxa"/>
                    <w:bottom w:w="0" w:type="dxa"/>
                    <w:right w:w="108" w:type="dxa"/>
                  </w:tcMar>
                </w:tcPr>
                <w:p w:rsidRPr="00F11423" w:rsidR="009A37E0" w:rsidP="00F11423" w:rsidRDefault="009A37E0" w14:paraId="2B28F644" w14:textId="77777777">
                  <w:pPr>
                    <w:spacing w:after="0" w:line="276" w:lineRule="auto"/>
                    <w:rPr>
                      <w:rFonts w:ascii="Verdana" w:hAnsi="Verdana"/>
                      <w:sz w:val="18"/>
                      <w:szCs w:val="18"/>
                    </w:rPr>
                  </w:pPr>
                  <w:r w:rsidRPr="00F11423">
                    <w:rPr>
                      <w:rFonts w:ascii="Verdana" w:hAnsi="Verdana"/>
                      <w:sz w:val="18"/>
                      <w:szCs w:val="18"/>
                    </w:rPr>
                    <w:t>0</w:t>
                  </w:r>
                </w:p>
              </w:tc>
              <w:tc>
                <w:tcPr>
                  <w:tcW w:w="916" w:type="dxa"/>
                  <w:tcBorders>
                    <w:top w:val="nil"/>
                    <w:left w:val="nil"/>
                    <w:bottom w:val="nil"/>
                    <w:right w:val="single" w:color="auto" w:sz="8" w:space="0"/>
                  </w:tcBorders>
                  <w:noWrap/>
                  <w:tcMar>
                    <w:top w:w="0" w:type="dxa"/>
                    <w:left w:w="108" w:type="dxa"/>
                    <w:bottom w:w="0" w:type="dxa"/>
                    <w:right w:w="108" w:type="dxa"/>
                  </w:tcMar>
                </w:tcPr>
                <w:p w:rsidRPr="00F11423" w:rsidR="009A37E0" w:rsidP="00F11423" w:rsidRDefault="009A37E0" w14:paraId="5D7C6A7D" w14:textId="77777777">
                  <w:pPr>
                    <w:spacing w:after="0" w:line="276" w:lineRule="auto"/>
                    <w:rPr>
                      <w:rFonts w:ascii="Verdana" w:hAnsi="Verdana"/>
                      <w:sz w:val="18"/>
                      <w:szCs w:val="18"/>
                    </w:rPr>
                  </w:pPr>
                  <w:r w:rsidRPr="00F11423">
                    <w:rPr>
                      <w:rFonts w:ascii="Verdana" w:hAnsi="Verdana"/>
                      <w:sz w:val="18"/>
                      <w:szCs w:val="18"/>
                    </w:rPr>
                    <w:t>0</w:t>
                  </w:r>
                </w:p>
              </w:tc>
              <w:tc>
                <w:tcPr>
                  <w:tcW w:w="916" w:type="dxa"/>
                  <w:tcBorders>
                    <w:top w:val="nil"/>
                    <w:left w:val="nil"/>
                    <w:bottom w:val="nil"/>
                    <w:right w:val="single" w:color="auto" w:sz="8" w:space="0"/>
                  </w:tcBorders>
                  <w:noWrap/>
                  <w:tcMar>
                    <w:top w:w="0" w:type="dxa"/>
                    <w:left w:w="108" w:type="dxa"/>
                    <w:bottom w:w="0" w:type="dxa"/>
                    <w:right w:w="108" w:type="dxa"/>
                  </w:tcMar>
                </w:tcPr>
                <w:p w:rsidRPr="00F11423" w:rsidR="009A37E0" w:rsidP="00F11423" w:rsidRDefault="009A37E0" w14:paraId="090E2ACF" w14:textId="77777777">
                  <w:pPr>
                    <w:spacing w:after="0" w:line="276" w:lineRule="auto"/>
                    <w:rPr>
                      <w:rFonts w:ascii="Verdana" w:hAnsi="Verdana"/>
                      <w:sz w:val="18"/>
                      <w:szCs w:val="18"/>
                    </w:rPr>
                  </w:pPr>
                  <w:r w:rsidRPr="00F11423">
                    <w:rPr>
                      <w:rFonts w:ascii="Verdana" w:hAnsi="Verdana"/>
                      <w:sz w:val="18"/>
                      <w:szCs w:val="18"/>
                    </w:rPr>
                    <w:t>0</w:t>
                  </w:r>
                </w:p>
              </w:tc>
              <w:tc>
                <w:tcPr>
                  <w:tcW w:w="916" w:type="dxa"/>
                  <w:tcBorders>
                    <w:top w:val="nil"/>
                    <w:left w:val="nil"/>
                    <w:bottom w:val="nil"/>
                    <w:right w:val="single" w:color="auto" w:sz="8" w:space="0"/>
                  </w:tcBorders>
                  <w:noWrap/>
                  <w:tcMar>
                    <w:top w:w="0" w:type="dxa"/>
                    <w:left w:w="108" w:type="dxa"/>
                    <w:bottom w:w="0" w:type="dxa"/>
                    <w:right w:w="108" w:type="dxa"/>
                  </w:tcMar>
                </w:tcPr>
                <w:p w:rsidRPr="00F11423" w:rsidR="009A37E0" w:rsidP="00F11423" w:rsidRDefault="009A37E0" w14:paraId="7F8D022A" w14:textId="77777777">
                  <w:pPr>
                    <w:spacing w:after="0" w:line="276" w:lineRule="auto"/>
                    <w:rPr>
                      <w:rFonts w:ascii="Verdana" w:hAnsi="Verdana"/>
                      <w:sz w:val="18"/>
                      <w:szCs w:val="18"/>
                    </w:rPr>
                  </w:pPr>
                  <w:r w:rsidRPr="00F11423">
                    <w:rPr>
                      <w:rFonts w:ascii="Verdana" w:hAnsi="Verdana"/>
                      <w:sz w:val="18"/>
                      <w:szCs w:val="18"/>
                    </w:rPr>
                    <w:t>0</w:t>
                  </w:r>
                </w:p>
              </w:tc>
              <w:tc>
                <w:tcPr>
                  <w:tcW w:w="1115" w:type="dxa"/>
                  <w:tcBorders>
                    <w:top w:val="nil"/>
                    <w:left w:val="nil"/>
                    <w:bottom w:val="nil"/>
                    <w:right w:val="single" w:color="auto" w:sz="8" w:space="0"/>
                  </w:tcBorders>
                  <w:noWrap/>
                  <w:tcMar>
                    <w:top w:w="0" w:type="dxa"/>
                    <w:left w:w="108" w:type="dxa"/>
                    <w:bottom w:w="0" w:type="dxa"/>
                    <w:right w:w="108" w:type="dxa"/>
                  </w:tcMar>
                </w:tcPr>
                <w:p w:rsidRPr="00F11423" w:rsidR="009A37E0" w:rsidP="00F11423" w:rsidRDefault="009A37E0" w14:paraId="5F990396" w14:textId="77777777">
                  <w:pPr>
                    <w:spacing w:after="0" w:line="276" w:lineRule="auto"/>
                    <w:rPr>
                      <w:rFonts w:ascii="Verdana" w:hAnsi="Verdana"/>
                      <w:sz w:val="18"/>
                      <w:szCs w:val="18"/>
                    </w:rPr>
                  </w:pPr>
                  <w:r w:rsidRPr="00F11423">
                    <w:rPr>
                      <w:rFonts w:ascii="Verdana" w:hAnsi="Verdana"/>
                      <w:sz w:val="18"/>
                      <w:szCs w:val="18"/>
                    </w:rPr>
                    <w:t>0</w:t>
                  </w:r>
                </w:p>
              </w:tc>
            </w:tr>
            <w:tr w:rsidRPr="00F11423" w:rsidR="009A37E0" w:rsidTr="00F36A62" w14:paraId="159683E8" w14:textId="77777777">
              <w:trPr>
                <w:trHeight w:val="279"/>
              </w:trPr>
              <w:tc>
                <w:tcPr>
                  <w:tcW w:w="1892"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F11423" w:rsidR="009A37E0" w:rsidP="00F11423" w:rsidRDefault="009A37E0" w14:paraId="7A315CFE" w14:textId="77777777">
                  <w:pPr>
                    <w:spacing w:after="0" w:line="276" w:lineRule="auto"/>
                    <w:rPr>
                      <w:rStyle w:val="cf01"/>
                      <w:rFonts w:ascii="Verdana" w:hAnsi="Verdana" w:cs="Times New Roman"/>
                    </w:rPr>
                  </w:pPr>
                </w:p>
              </w:tc>
              <w:tc>
                <w:tcPr>
                  <w:tcW w:w="916"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9A37E0" w:rsidP="00F11423" w:rsidRDefault="009A37E0" w14:paraId="52C9859E" w14:textId="77777777">
                  <w:pPr>
                    <w:spacing w:after="0" w:line="276" w:lineRule="auto"/>
                    <w:rPr>
                      <w:rFonts w:ascii="Verdana" w:hAnsi="Verdana"/>
                      <w:sz w:val="18"/>
                      <w:szCs w:val="18"/>
                    </w:rPr>
                  </w:pPr>
                </w:p>
              </w:tc>
              <w:tc>
                <w:tcPr>
                  <w:tcW w:w="916"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9A37E0" w:rsidP="00F11423" w:rsidRDefault="009A37E0" w14:paraId="1817D64B" w14:textId="77777777">
                  <w:pPr>
                    <w:spacing w:after="0" w:line="276" w:lineRule="auto"/>
                    <w:rPr>
                      <w:rFonts w:ascii="Verdana" w:hAnsi="Verdana"/>
                      <w:sz w:val="18"/>
                      <w:szCs w:val="18"/>
                    </w:rPr>
                  </w:pPr>
                </w:p>
              </w:tc>
              <w:tc>
                <w:tcPr>
                  <w:tcW w:w="916"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9A37E0" w:rsidP="00F11423" w:rsidRDefault="009A37E0" w14:paraId="6584B131" w14:textId="77777777">
                  <w:pPr>
                    <w:spacing w:after="0" w:line="276" w:lineRule="auto"/>
                    <w:rPr>
                      <w:rFonts w:ascii="Verdana" w:hAnsi="Verdana"/>
                      <w:sz w:val="18"/>
                      <w:szCs w:val="18"/>
                    </w:rPr>
                  </w:pPr>
                </w:p>
              </w:tc>
              <w:tc>
                <w:tcPr>
                  <w:tcW w:w="916"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9A37E0" w:rsidP="00F11423" w:rsidRDefault="009A37E0" w14:paraId="2E8E9C9D" w14:textId="77777777">
                  <w:pPr>
                    <w:spacing w:after="0" w:line="276" w:lineRule="auto"/>
                    <w:rPr>
                      <w:rFonts w:ascii="Verdana" w:hAnsi="Verdana"/>
                      <w:sz w:val="18"/>
                      <w:szCs w:val="18"/>
                    </w:rPr>
                  </w:pPr>
                </w:p>
              </w:tc>
              <w:tc>
                <w:tcPr>
                  <w:tcW w:w="1115"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9A37E0" w:rsidP="00F11423" w:rsidRDefault="009A37E0" w14:paraId="301AF785" w14:textId="77777777">
                  <w:pPr>
                    <w:spacing w:after="0" w:line="276" w:lineRule="auto"/>
                    <w:rPr>
                      <w:rFonts w:ascii="Verdana" w:hAnsi="Verdana"/>
                      <w:sz w:val="18"/>
                      <w:szCs w:val="18"/>
                    </w:rPr>
                  </w:pPr>
                </w:p>
              </w:tc>
            </w:tr>
          </w:tbl>
          <w:p w:rsidRPr="00F11423" w:rsidR="009A37E0" w:rsidP="00F11423" w:rsidRDefault="009A37E0" w14:paraId="4A4F25E9" w14:textId="77777777">
            <w:pPr>
              <w:spacing w:after="0" w:line="276" w:lineRule="auto"/>
              <w:rPr>
                <w:rFonts w:ascii="Verdana" w:hAnsi="Verdana"/>
                <w:b/>
                <w:bCs/>
                <w:sz w:val="18"/>
                <w:szCs w:val="18"/>
              </w:rPr>
            </w:pPr>
          </w:p>
        </w:tc>
      </w:tr>
      <w:tr w:rsidRPr="00F11423" w:rsidR="009A37E0" w:rsidTr="001114D3" w14:paraId="683261C3" w14:textId="77777777">
        <w:trPr>
          <w:trHeight w:val="251"/>
        </w:trPr>
        <w:tc>
          <w:tcPr>
            <w:tcW w:w="964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73882D68" w14:textId="77777777">
            <w:pPr>
              <w:spacing w:after="0" w:line="276" w:lineRule="auto"/>
              <w:rPr>
                <w:rFonts w:ascii="Verdana" w:hAnsi="Verdana"/>
                <w:sz w:val="18"/>
                <w:szCs w:val="18"/>
              </w:rPr>
            </w:pPr>
            <w:r w:rsidRPr="00F11423">
              <w:rPr>
                <w:rFonts w:ascii="Verdana" w:hAnsi="Verdana"/>
                <w:b/>
                <w:bCs/>
                <w:sz w:val="18"/>
                <w:szCs w:val="18"/>
              </w:rPr>
              <w:t xml:space="preserve">Uitvoeringsgevolgen: </w:t>
            </w:r>
            <w:r w:rsidRPr="00F11423">
              <w:rPr>
                <w:rFonts w:ascii="Verdana" w:hAnsi="Verdana"/>
                <w:sz w:val="18"/>
                <w:szCs w:val="18"/>
              </w:rPr>
              <w:t xml:space="preserve">Deze maatregel is uitvoerbaar per 1 januari 2025, </w:t>
            </w:r>
            <w:proofErr w:type="gramStart"/>
            <w:r w:rsidRPr="00F11423">
              <w:rPr>
                <w:rFonts w:ascii="Verdana" w:hAnsi="Verdana"/>
                <w:sz w:val="18"/>
                <w:szCs w:val="18"/>
              </w:rPr>
              <w:t>indien</w:t>
            </w:r>
            <w:proofErr w:type="gramEnd"/>
            <w:r w:rsidRPr="00F11423">
              <w:rPr>
                <w:rFonts w:ascii="Verdana" w:hAnsi="Verdana"/>
                <w:sz w:val="18"/>
                <w:szCs w:val="18"/>
              </w:rPr>
              <w:t xml:space="preserve"> de volgende gevolgen worden geaccepteerd:</w:t>
            </w:r>
          </w:p>
          <w:p w:rsidRPr="00F11423" w:rsidR="009A37E0" w:rsidP="00F11423" w:rsidRDefault="009A37E0" w14:paraId="4A42E40B" w14:textId="77777777">
            <w:pPr>
              <w:pStyle w:val="Lijstalinea"/>
              <w:numPr>
                <w:ilvl w:val="0"/>
                <w:numId w:val="4"/>
              </w:numPr>
              <w:suppressAutoHyphens/>
              <w:spacing w:line="276" w:lineRule="auto"/>
              <w:rPr>
                <w:rFonts w:ascii="Verdana" w:hAnsi="Verdana"/>
                <w:sz w:val="18"/>
                <w:szCs w:val="18"/>
              </w:rPr>
            </w:pPr>
            <w:r w:rsidRPr="00F11423">
              <w:rPr>
                <w:rFonts w:ascii="Verdana" w:hAnsi="Verdana"/>
                <w:sz w:val="18"/>
                <w:szCs w:val="18"/>
              </w:rPr>
              <w:t>Het amendement heeft voor de uitvoering door de Belastingdienst grote gevolgen voor de inkomstenbelasting en internationaal belastingrecht. Belangrijk daarbij is dat de markt vele structuren heeft gebouwd op basis van de huidige wet. Als deze regeling wegvalt heeft dat vergaande gevolgen.</w:t>
            </w:r>
          </w:p>
          <w:p w:rsidRPr="00F11423" w:rsidR="009A37E0" w:rsidP="00F11423" w:rsidRDefault="009A37E0" w14:paraId="03335E2E" w14:textId="77777777">
            <w:pPr>
              <w:pStyle w:val="Lijstalinea"/>
              <w:numPr>
                <w:ilvl w:val="0"/>
                <w:numId w:val="4"/>
              </w:numPr>
              <w:suppressAutoHyphens/>
              <w:spacing w:line="276" w:lineRule="auto"/>
              <w:rPr>
                <w:rFonts w:ascii="Verdana" w:hAnsi="Verdana"/>
                <w:sz w:val="18"/>
                <w:szCs w:val="18"/>
              </w:rPr>
            </w:pPr>
            <w:r w:rsidRPr="00F11423">
              <w:rPr>
                <w:rFonts w:ascii="Verdana" w:hAnsi="Verdana"/>
                <w:sz w:val="18"/>
                <w:szCs w:val="18"/>
              </w:rPr>
              <w:t>Voor de uitvoering is een relevant aspect bij een afschaffing van de doorstootbepaling dat de prikkel voor een belastingplichtige om contact te zoeken met de Belastingdienst en zekerheid vooraf te krijgen beperkt lijkt. Dat verslechtert de informatiepositie van de Belastingdienst en leidt tot meer druk bij het reguliere toezicht achteraf. Daar is op dit moment zeer beperkt uitvoeringscapaciteit voor, zodat er geprioriteerd zal moeten worden.</w:t>
            </w:r>
          </w:p>
          <w:p w:rsidRPr="00F11423" w:rsidR="009A37E0" w:rsidP="00F11423" w:rsidRDefault="009A37E0" w14:paraId="6AA572CF" w14:textId="7D53AE98">
            <w:pPr>
              <w:pStyle w:val="Lijstalinea"/>
              <w:numPr>
                <w:ilvl w:val="0"/>
                <w:numId w:val="4"/>
              </w:numPr>
              <w:suppressAutoHyphens/>
              <w:spacing w:line="276" w:lineRule="auto"/>
              <w:rPr>
                <w:rFonts w:ascii="Verdana" w:hAnsi="Verdana"/>
                <w:sz w:val="18"/>
                <w:szCs w:val="18"/>
              </w:rPr>
            </w:pPr>
            <w:r w:rsidRPr="00F11423">
              <w:rPr>
                <w:rFonts w:ascii="Verdana" w:hAnsi="Verdana"/>
                <w:sz w:val="18"/>
                <w:szCs w:val="18"/>
              </w:rPr>
              <w:t xml:space="preserve">De discussie of wel of geen sprake is van een lucratief belang zal naar verwachting substantieel verscherpen </w:t>
            </w:r>
            <w:proofErr w:type="gramStart"/>
            <w:r w:rsidRPr="00F11423">
              <w:rPr>
                <w:rFonts w:ascii="Verdana" w:hAnsi="Verdana"/>
                <w:sz w:val="18"/>
                <w:szCs w:val="18"/>
              </w:rPr>
              <w:t>alsmede</w:t>
            </w:r>
            <w:proofErr w:type="gramEnd"/>
            <w:r w:rsidRPr="00F11423">
              <w:rPr>
                <w:rFonts w:ascii="Verdana" w:hAnsi="Verdana"/>
                <w:sz w:val="18"/>
                <w:szCs w:val="18"/>
              </w:rPr>
              <w:t xml:space="preserve"> discussies over de waarde van het lucratieve belang.</w:t>
            </w:r>
          </w:p>
        </w:tc>
      </w:tr>
    </w:tbl>
    <w:p w:rsidRPr="00F11423" w:rsidR="009A37E0" w:rsidP="00F11423" w:rsidRDefault="009A37E0" w14:paraId="18C6DC3E"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BA26F9" w:rsidTr="008D533C" w14:paraId="14B12E03"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BA26F9" w:rsidP="00F11423" w:rsidRDefault="00BA26F9" w14:paraId="0E9B6DFF" w14:textId="385838D6">
            <w:pPr>
              <w:spacing w:after="0" w:line="276" w:lineRule="auto"/>
              <w:rPr>
                <w:rFonts w:ascii="Verdana" w:hAnsi="Verdana" w:eastAsia="Calibri" w:cs="Calibri"/>
                <w:sz w:val="18"/>
                <w:szCs w:val="18"/>
              </w:rPr>
            </w:pPr>
            <w:r w:rsidRPr="00F11423">
              <w:rPr>
                <w:rFonts w:ascii="Verdana" w:hAnsi="Verdana" w:eastAsia="Calibri" w:cs="Calibri"/>
                <w:b/>
                <w:bCs/>
                <w:color w:val="000000"/>
                <w:sz w:val="18"/>
                <w:szCs w:val="18"/>
              </w:rPr>
              <w:t xml:space="preserve">Kamernummer: </w:t>
            </w:r>
            <w:r w:rsidRPr="00F11423">
              <w:rPr>
                <w:rFonts w:ascii="Verdana" w:hAnsi="Verdana" w:eastAsia="Calibri" w:cs="Calibri"/>
                <w:color w:val="000000"/>
                <w:sz w:val="18"/>
                <w:szCs w:val="18"/>
              </w:rPr>
              <w:t xml:space="preserve">36602 </w:t>
            </w:r>
            <w:r w:rsidRPr="00F11423" w:rsidR="002F2453">
              <w:rPr>
                <w:rFonts w:ascii="Verdana" w:hAnsi="Verdana" w:eastAsia="Calibri" w:cs="Calibri"/>
                <w:color w:val="000000"/>
                <w:sz w:val="18"/>
                <w:szCs w:val="18"/>
              </w:rPr>
              <w:t>0</w:t>
            </w:r>
            <w:r w:rsidRPr="00F11423">
              <w:rPr>
                <w:rFonts w:ascii="Verdana" w:hAnsi="Verdana" w:eastAsia="Calibri" w:cs="Calibri"/>
                <w:color w:val="000000"/>
                <w:sz w:val="18"/>
                <w:szCs w:val="18"/>
              </w:rPr>
              <w:t>49</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BA26F9" w:rsidP="00F11423" w:rsidRDefault="00BA26F9" w14:paraId="7BD77BB1" w14:textId="77777777">
            <w:pPr>
              <w:spacing w:after="0" w:line="276" w:lineRule="auto"/>
              <w:rPr>
                <w:rFonts w:ascii="Verdana" w:hAnsi="Verdana" w:eastAsia="Calibri" w:cs="Calibri"/>
                <w:sz w:val="18"/>
                <w:szCs w:val="18"/>
              </w:rPr>
            </w:pPr>
            <w:r w:rsidRPr="00F11423">
              <w:rPr>
                <w:rFonts w:ascii="Verdana" w:hAnsi="Verdana" w:eastAsia="Calibri" w:cs="Calibri"/>
                <w:b/>
                <w:bCs/>
                <w:color w:val="000000"/>
                <w:sz w:val="18"/>
                <w:szCs w:val="18"/>
              </w:rPr>
              <w:t xml:space="preserve">Inhoud amendement: </w:t>
            </w:r>
            <w:r w:rsidRPr="00F11423">
              <w:rPr>
                <w:rFonts w:ascii="Verdana" w:hAnsi="Verdana" w:eastAsia="Calibri" w:cs="Calibri"/>
                <w:color w:val="000000"/>
                <w:sz w:val="18"/>
                <w:szCs w:val="18"/>
              </w:rPr>
              <w:t>Stijging algemene heffingskorting door het niet indexeren van de arbeidskorting</w:t>
            </w:r>
          </w:p>
        </w:tc>
      </w:tr>
      <w:tr w:rsidRPr="00F11423" w:rsidR="00BA26F9" w:rsidTr="008D533C" w14:paraId="793A24E1"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24E1D187" w14:textId="13CF49CF">
            <w:pPr>
              <w:spacing w:after="0" w:line="276" w:lineRule="auto"/>
              <w:rPr>
                <w:rFonts w:ascii="Verdana" w:hAnsi="Verdana" w:eastAsia="Calibri" w:cs="Calibri"/>
                <w:sz w:val="18"/>
                <w:szCs w:val="18"/>
              </w:rPr>
            </w:pPr>
            <w:r w:rsidRPr="00F11423">
              <w:rPr>
                <w:rFonts w:ascii="Verdana" w:hAnsi="Verdana" w:eastAsia="Calibri" w:cs="Calibri"/>
                <w:b/>
                <w:bCs/>
                <w:sz w:val="18"/>
                <w:szCs w:val="18"/>
              </w:rPr>
              <w:t xml:space="preserve">Indiener: </w:t>
            </w:r>
            <w:proofErr w:type="spellStart"/>
            <w:r w:rsidRPr="00F11423">
              <w:rPr>
                <w:rFonts w:ascii="Verdana" w:hAnsi="Verdana" w:eastAsia="Calibri" w:cs="Calibri"/>
                <w:sz w:val="18"/>
                <w:szCs w:val="18"/>
              </w:rPr>
              <w:t>Grinwis</w:t>
            </w:r>
            <w:proofErr w:type="spellEnd"/>
            <w:r w:rsidRPr="00F11423">
              <w:rPr>
                <w:rFonts w:ascii="Verdana" w:hAnsi="Verdana" w:eastAsia="Calibri" w:cs="Calibri"/>
                <w:sz w:val="18"/>
                <w:szCs w:val="18"/>
              </w:rPr>
              <w:t xml:space="preserve"> </w:t>
            </w:r>
            <w:r w:rsidR="00393EC1">
              <w:rPr>
                <w:rFonts w:ascii="Verdana" w:hAnsi="Verdana" w:eastAsia="Calibri" w:cs="Calibri"/>
                <w:sz w:val="18"/>
                <w:szCs w:val="18"/>
              </w:rPr>
              <w:t xml:space="preserve">(ChristenUnie) </w:t>
            </w:r>
            <w:r w:rsidRPr="00F11423">
              <w:rPr>
                <w:rFonts w:ascii="Verdana" w:hAnsi="Verdana" w:eastAsia="Calibri" w:cs="Calibri"/>
                <w:sz w:val="18"/>
                <w:szCs w:val="18"/>
              </w:rPr>
              <w:t>en Van Dijk (CDA)</w:t>
            </w:r>
          </w:p>
          <w:p w:rsidRPr="00F11423" w:rsidR="00C86796" w:rsidP="00F11423" w:rsidRDefault="00C86796" w14:paraId="6C3EF48A" w14:textId="77777777">
            <w:pPr>
              <w:spacing w:after="0" w:line="276" w:lineRule="auto"/>
              <w:rPr>
                <w:rFonts w:ascii="Verdana" w:hAnsi="Verdana" w:eastAsia="Calibri" w:cs="Calibri"/>
                <w:b/>
                <w:bCs/>
                <w:sz w:val="18"/>
                <w:szCs w:val="18"/>
              </w:rPr>
            </w:pP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46384EF7" w14:textId="77777777">
            <w:pPr>
              <w:spacing w:after="0" w:line="276" w:lineRule="auto"/>
              <w:rPr>
                <w:rFonts w:ascii="Verdana" w:hAnsi="Verdana" w:eastAsia="Calibri" w:cs="Calibri"/>
                <w:sz w:val="18"/>
                <w:szCs w:val="18"/>
              </w:rPr>
            </w:pPr>
            <w:r w:rsidRPr="00F11423">
              <w:rPr>
                <w:rFonts w:ascii="Verdana" w:hAnsi="Verdana" w:eastAsia="Calibri" w:cs="Calibri"/>
                <w:b/>
                <w:bCs/>
                <w:sz w:val="18"/>
                <w:szCs w:val="18"/>
              </w:rPr>
              <w:t xml:space="preserve">Appreciatie: </w:t>
            </w:r>
            <w:r w:rsidRPr="00F11423">
              <w:rPr>
                <w:rFonts w:ascii="Verdana" w:hAnsi="Verdana" w:eastAsia="Calibri" w:cs="Calibri"/>
                <w:sz w:val="18"/>
                <w:szCs w:val="18"/>
              </w:rPr>
              <w:t>Ontraden</w:t>
            </w:r>
          </w:p>
        </w:tc>
      </w:tr>
      <w:tr w:rsidRPr="00F11423" w:rsidR="00BA26F9" w:rsidTr="008D533C" w14:paraId="629EC216"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56BE22F3" w14:textId="77777777">
            <w:pPr>
              <w:spacing w:after="0" w:line="276" w:lineRule="auto"/>
              <w:rPr>
                <w:rFonts w:ascii="Verdana" w:hAnsi="Verdana"/>
                <w:sz w:val="18"/>
                <w:szCs w:val="18"/>
              </w:rPr>
            </w:pPr>
            <w:r w:rsidRPr="00F11423">
              <w:rPr>
                <w:rFonts w:ascii="Verdana" w:hAnsi="Verdana" w:eastAsia="Calibri" w:cs="Calibri"/>
                <w:b/>
                <w:bCs/>
                <w:sz w:val="18"/>
                <w:szCs w:val="18"/>
              </w:rPr>
              <w:t xml:space="preserve">Gevolgen: </w:t>
            </w:r>
            <w:r w:rsidRPr="00F11423">
              <w:rPr>
                <w:rFonts w:ascii="Verdana" w:hAnsi="Verdana" w:eastAsia="Calibri" w:cs="Calibri"/>
                <w:sz w:val="18"/>
                <w:szCs w:val="18"/>
              </w:rPr>
              <w:t>Door het per 1 januari 2025 niet indexeren van de arbeidskorting, wordt de algemene heffingskorting in 2025 niet met € </w:t>
            </w:r>
            <w:r w:rsidRPr="00F11423">
              <w:rPr>
                <w:rFonts w:ascii="Verdana" w:hAnsi="Verdana"/>
                <w:sz w:val="18"/>
                <w:szCs w:val="18"/>
              </w:rPr>
              <w:t xml:space="preserve">335 verlaagd, maar met </w:t>
            </w:r>
            <w:r w:rsidRPr="00F11423">
              <w:rPr>
                <w:rFonts w:ascii="Verdana" w:hAnsi="Verdana" w:cstheme="minorHAnsi"/>
                <w:sz w:val="18"/>
                <w:szCs w:val="18"/>
              </w:rPr>
              <w:t>€</w:t>
            </w:r>
            <w:r w:rsidRPr="00F11423">
              <w:rPr>
                <w:rFonts w:ascii="Verdana" w:hAnsi="Verdana"/>
                <w:sz w:val="18"/>
                <w:szCs w:val="18"/>
              </w:rPr>
              <w:t> 281. Door het verlagen van de arbeidskorting gaat werken minder lonen.</w:t>
            </w:r>
          </w:p>
          <w:p w:rsidRPr="00F11423" w:rsidR="00C86796" w:rsidP="00F11423" w:rsidRDefault="00C86796" w14:paraId="46A5D30F" w14:textId="77777777">
            <w:pPr>
              <w:spacing w:after="0" w:line="276" w:lineRule="auto"/>
              <w:rPr>
                <w:rFonts w:ascii="Verdana" w:hAnsi="Verdana"/>
                <w:sz w:val="18"/>
                <w:szCs w:val="18"/>
              </w:rPr>
            </w:pPr>
          </w:p>
        </w:tc>
      </w:tr>
      <w:tr w:rsidRPr="00F11423" w:rsidR="00BA26F9" w:rsidTr="008D533C" w14:paraId="0DA651FD"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17102A" w:rsidR="00C86796" w:rsidP="00F11423" w:rsidRDefault="00BA26F9" w14:paraId="3840165A" w14:textId="7616B151">
            <w:pPr>
              <w:spacing w:after="0" w:line="276" w:lineRule="auto"/>
              <w:rPr>
                <w:rFonts w:ascii="Verdana" w:hAnsi="Verdana" w:eastAsia="Calibri" w:cs="Calibri"/>
                <w:sz w:val="18"/>
                <w:szCs w:val="18"/>
              </w:rPr>
            </w:pPr>
            <w:r w:rsidRPr="00F11423">
              <w:rPr>
                <w:rFonts w:ascii="Verdana" w:hAnsi="Verdana" w:eastAsia="Calibri" w:cs="Calibri"/>
                <w:b/>
                <w:bCs/>
                <w:sz w:val="18"/>
                <w:szCs w:val="18"/>
              </w:rPr>
              <w:t xml:space="preserve">Budgettaire aspecten: </w:t>
            </w:r>
            <w:r w:rsidRPr="00F11423">
              <w:rPr>
                <w:rFonts w:ascii="Verdana" w:hAnsi="Verdana" w:eastAsia="Calibri" w:cs="Calibri"/>
                <w:sz w:val="18"/>
                <w:szCs w:val="18"/>
              </w:rPr>
              <w:t>Het betreft een budgettair neutrale aanpassing.</w:t>
            </w:r>
          </w:p>
        </w:tc>
      </w:tr>
      <w:tr w:rsidRPr="00F11423" w:rsidR="00BA26F9" w:rsidTr="008D533C" w14:paraId="73B30128"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40A421D7" w14:textId="1F7877F9">
            <w:pPr>
              <w:spacing w:after="0" w:line="276" w:lineRule="auto"/>
              <w:rPr>
                <w:rFonts w:ascii="Verdana" w:hAnsi="Verdana" w:eastAsia="Calibri" w:cs="Calibri"/>
                <w:b/>
                <w:bCs/>
                <w:sz w:val="18"/>
                <w:szCs w:val="18"/>
              </w:rPr>
            </w:pPr>
            <w:r w:rsidRPr="00F11423">
              <w:rPr>
                <w:rFonts w:ascii="Verdana" w:hAnsi="Verdana" w:eastAsia="Calibri" w:cs="Calibri"/>
                <w:b/>
                <w:bCs/>
                <w:sz w:val="18"/>
                <w:szCs w:val="18"/>
              </w:rPr>
              <w:t xml:space="preserve">Uitvoeringsgevolgen: </w:t>
            </w:r>
            <w:r w:rsidRPr="00F11423">
              <w:rPr>
                <w:rFonts w:ascii="Verdana" w:hAnsi="Verdana" w:eastAsia="Calibri" w:cs="Calibri"/>
                <w:sz w:val="18"/>
                <w:szCs w:val="18"/>
              </w:rPr>
              <w:t xml:space="preserve">Uitvoerbaar per 1 januari 2025, </w:t>
            </w:r>
            <w:proofErr w:type="gramStart"/>
            <w:r w:rsidR="00BD72E3">
              <w:rPr>
                <w:rFonts w:ascii="Verdana" w:hAnsi="Verdana" w:eastAsia="Calibri" w:cs="Calibri"/>
                <w:sz w:val="18"/>
                <w:szCs w:val="18"/>
              </w:rPr>
              <w:t>indien</w:t>
            </w:r>
            <w:proofErr w:type="gramEnd"/>
            <w:r w:rsidRPr="00F11423">
              <w:rPr>
                <w:rFonts w:ascii="Verdana" w:hAnsi="Verdana" w:eastAsia="Calibri" w:cs="Calibri"/>
                <w:sz w:val="18"/>
                <w:szCs w:val="18"/>
              </w:rPr>
              <w:t xml:space="preserve"> uiterlijk 15 november om 12.00 uur bekend.</w:t>
            </w:r>
          </w:p>
        </w:tc>
      </w:tr>
    </w:tbl>
    <w:p w:rsidRPr="00F11423" w:rsidR="009A37E0" w:rsidP="00F11423" w:rsidRDefault="009A37E0" w14:paraId="64AD1895"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9A37E0" w:rsidTr="008D533C" w14:paraId="2DA1669D"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9A37E0" w:rsidP="00F11423" w:rsidRDefault="009A37E0" w14:paraId="5F94EB70" w14:textId="4C67774A">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50</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9A37E0" w:rsidP="00F11423" w:rsidRDefault="009A37E0" w14:paraId="6F190352"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Schrappen van de uitzondering voor transferpassagiers in de vliegbelasting</w:t>
            </w:r>
          </w:p>
        </w:tc>
      </w:tr>
      <w:tr w:rsidRPr="00F11423" w:rsidR="009A37E0" w:rsidTr="008D533C" w14:paraId="7B5CE38C"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23EA5866" w14:textId="77777777">
            <w:pPr>
              <w:spacing w:after="0" w:line="276" w:lineRule="auto"/>
              <w:rPr>
                <w:rFonts w:ascii="Verdana" w:hAnsi="Verdana"/>
                <w:b/>
                <w:bCs/>
                <w:sz w:val="18"/>
                <w:szCs w:val="18"/>
              </w:rPr>
            </w:pPr>
            <w:r w:rsidRPr="00F11423">
              <w:rPr>
                <w:rFonts w:ascii="Verdana" w:hAnsi="Verdana"/>
                <w:b/>
                <w:bCs/>
                <w:sz w:val="18"/>
                <w:szCs w:val="18"/>
              </w:rPr>
              <w:lastRenderedPageBreak/>
              <w:t xml:space="preserve">Indiener: </w:t>
            </w:r>
            <w:r w:rsidRPr="00F11423">
              <w:rPr>
                <w:rFonts w:ascii="Verdana" w:hAnsi="Verdana"/>
                <w:sz w:val="18"/>
                <w:szCs w:val="18"/>
              </w:rPr>
              <w:t>Teunissen (PvdD)</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704DFFD8"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9A37E0" w:rsidTr="008D533C" w14:paraId="4CDB70D2"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35926939"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r w:rsidRPr="00F11423">
              <w:rPr>
                <w:rFonts w:ascii="Verdana" w:hAnsi="Verdana"/>
                <w:sz w:val="18"/>
                <w:szCs w:val="18"/>
              </w:rPr>
              <w:t>Uit onderzoek uit 2023 komt naar voren dat het belasten van transferpassagiers mogelijk een netto afname van emissies teweeg kan brengen, maar een negatieve impact heeft op de hub functie en netwerkkwaliteit van Schiphol. Het onderzoek laat ook zien dat het aantal transferpassagiers in NL fors zal dalen en dat deze passagiers zich grotendeels naar andere luchthavens zullen verplaatsen.</w:t>
            </w:r>
          </w:p>
        </w:tc>
      </w:tr>
      <w:tr w:rsidRPr="00F11423" w:rsidR="009A37E0" w:rsidTr="008D533C" w14:paraId="0B86CC73"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9A37E0" w:rsidP="00F11423" w:rsidRDefault="009A37E0" w14:paraId="1983FC36"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In het geval de maatregel per 1 januari 2026 wordt ingevoerd levert de maatregel structureel € 276 miljoen op.</w:t>
            </w:r>
          </w:p>
          <w:p w:rsidRPr="00F11423" w:rsidR="009A37E0" w:rsidP="00F11423" w:rsidRDefault="009A37E0" w14:paraId="776F67E0" w14:textId="77777777">
            <w:pPr>
              <w:spacing w:after="0" w:line="276" w:lineRule="auto"/>
              <w:rPr>
                <w:rFonts w:ascii="Verdana" w:hAnsi="Verdana"/>
                <w:sz w:val="18"/>
                <w:szCs w:val="18"/>
              </w:rPr>
            </w:pPr>
          </w:p>
          <w:tbl>
            <w:tblPr>
              <w:tblW w:w="6658" w:type="dxa"/>
              <w:tblCellMar>
                <w:left w:w="0" w:type="dxa"/>
                <w:right w:w="0" w:type="dxa"/>
              </w:tblCellMar>
              <w:tblLook w:val="04A0" w:firstRow="1" w:lastRow="0" w:firstColumn="1" w:lastColumn="0" w:noHBand="0" w:noVBand="1"/>
            </w:tblPr>
            <w:tblGrid>
              <w:gridCol w:w="2405"/>
              <w:gridCol w:w="709"/>
              <w:gridCol w:w="709"/>
              <w:gridCol w:w="708"/>
              <w:gridCol w:w="709"/>
              <w:gridCol w:w="1418"/>
            </w:tblGrid>
            <w:tr w:rsidRPr="00F11423" w:rsidR="009A37E0" w:rsidTr="00F36A62" w14:paraId="76A3ADD1"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07F0E86D" w14:textId="77777777">
                  <w:pPr>
                    <w:spacing w:after="0" w:line="276" w:lineRule="auto"/>
                    <w:rPr>
                      <w:rFonts w:ascii="Verdana" w:hAnsi="Verdana"/>
                      <w:color w:val="000000"/>
                      <w:sz w:val="18"/>
                      <w:szCs w:val="18"/>
                    </w:rPr>
                  </w:pPr>
                  <w:r w:rsidRPr="00F11423">
                    <w:rPr>
                      <w:rFonts w:ascii="Verdana" w:hAnsi="Verdana"/>
                      <w:color w:val="000000"/>
                      <w:sz w:val="18"/>
                      <w:szCs w:val="18"/>
                    </w:rPr>
                    <w:t>Omvang in mln. €</w:t>
                  </w:r>
                </w:p>
                <w:p w:rsidRPr="00F11423" w:rsidR="009A37E0" w:rsidP="00F11423" w:rsidRDefault="009A37E0" w14:paraId="40114E60" w14:textId="77777777">
                  <w:pPr>
                    <w:spacing w:after="0" w:line="276" w:lineRule="auto"/>
                    <w:rPr>
                      <w:rFonts w:ascii="Verdana" w:hAnsi="Verdana"/>
                      <w:sz w:val="18"/>
                      <w:szCs w:val="18"/>
                    </w:rPr>
                  </w:pPr>
                  <w:r w:rsidRPr="00F11423">
                    <w:rPr>
                      <w:rFonts w:ascii="Verdana" w:hAnsi="Verdana"/>
                      <w:color w:val="000000"/>
                      <w:sz w:val="18"/>
                      <w:szCs w:val="18"/>
                    </w:rPr>
                    <w:t>(</w:t>
                  </w:r>
                  <w:proofErr w:type="gramStart"/>
                  <w:r w:rsidRPr="00F11423">
                    <w:rPr>
                      <w:rFonts w:ascii="Verdana" w:hAnsi="Verdana"/>
                      <w:color w:val="000000"/>
                      <w:sz w:val="18"/>
                      <w:szCs w:val="18"/>
                    </w:rPr>
                    <w:t>prijspeil</w:t>
                  </w:r>
                  <w:proofErr w:type="gramEnd"/>
                  <w:r w:rsidRPr="00F11423">
                    <w:rPr>
                      <w:rFonts w:ascii="Verdana" w:hAnsi="Verdana"/>
                      <w:color w:val="000000"/>
                      <w:sz w:val="18"/>
                      <w:szCs w:val="18"/>
                    </w:rPr>
                    <w:t xml:space="preserve"> 2024)</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72F89C3A" w14:textId="77777777">
                  <w:pPr>
                    <w:spacing w:after="0" w:line="276" w:lineRule="auto"/>
                    <w:rPr>
                      <w:rFonts w:ascii="Verdana" w:hAnsi="Verdana"/>
                      <w:i/>
                      <w:iCs/>
                      <w:sz w:val="18"/>
                      <w:szCs w:val="18"/>
                    </w:rPr>
                  </w:pPr>
                  <w:r w:rsidRPr="00F11423">
                    <w:rPr>
                      <w:rFonts w:ascii="Verdana" w:hAnsi="Verdana"/>
                      <w:i/>
                      <w:iCs/>
                      <w:color w:val="000000"/>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468E57BA" w14:textId="77777777">
                  <w:pPr>
                    <w:spacing w:after="0" w:line="276" w:lineRule="auto"/>
                    <w:rPr>
                      <w:rFonts w:ascii="Verdana" w:hAnsi="Verdana"/>
                      <w:i/>
                      <w:iCs/>
                      <w:sz w:val="18"/>
                      <w:szCs w:val="18"/>
                    </w:rPr>
                  </w:pPr>
                  <w:r w:rsidRPr="00F11423">
                    <w:rPr>
                      <w:rFonts w:ascii="Verdana" w:hAnsi="Verdana"/>
                      <w:i/>
                      <w:iCs/>
                      <w:color w:val="000000"/>
                      <w:sz w:val="18"/>
                      <w:szCs w:val="18"/>
                    </w:rPr>
                    <w:t>2026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5DC861BF" w14:textId="77777777">
                  <w:pPr>
                    <w:spacing w:after="0" w:line="276" w:lineRule="auto"/>
                    <w:rPr>
                      <w:rFonts w:ascii="Verdana" w:hAnsi="Verdana"/>
                      <w:i/>
                      <w:iCs/>
                      <w:sz w:val="18"/>
                      <w:szCs w:val="18"/>
                    </w:rPr>
                  </w:pPr>
                  <w:r w:rsidRPr="00F11423">
                    <w:rPr>
                      <w:rFonts w:ascii="Verdana" w:hAnsi="Verdana"/>
                      <w:i/>
                      <w:iCs/>
                      <w:color w:val="000000"/>
                      <w:sz w:val="18"/>
                      <w:szCs w:val="18"/>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6B5ABACB" w14:textId="77777777">
                  <w:pPr>
                    <w:spacing w:after="0" w:line="276" w:lineRule="auto"/>
                    <w:rPr>
                      <w:rFonts w:ascii="Verdana" w:hAnsi="Verdana"/>
                      <w:i/>
                      <w:iCs/>
                      <w:sz w:val="18"/>
                      <w:szCs w:val="18"/>
                    </w:rPr>
                  </w:pPr>
                  <w:r w:rsidRPr="00F11423">
                    <w:rPr>
                      <w:rFonts w:ascii="Verdana" w:hAnsi="Verdana"/>
                      <w:i/>
                      <w:iCs/>
                      <w:color w:val="000000"/>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9A37E0" w:rsidP="00F11423" w:rsidRDefault="009A37E0" w14:paraId="12BCF8DB" w14:textId="77777777">
                  <w:pPr>
                    <w:spacing w:after="0" w:line="276" w:lineRule="auto"/>
                    <w:rPr>
                      <w:rFonts w:ascii="Verdana" w:hAnsi="Verdana"/>
                      <w:sz w:val="18"/>
                      <w:szCs w:val="18"/>
                    </w:rPr>
                  </w:pPr>
                  <w:r w:rsidRPr="00F11423">
                    <w:rPr>
                      <w:rFonts w:ascii="Verdana" w:hAnsi="Verdana"/>
                      <w:color w:val="000000"/>
                      <w:sz w:val="18"/>
                      <w:szCs w:val="18"/>
                    </w:rPr>
                    <w:t xml:space="preserve">Structureel </w:t>
                  </w:r>
                </w:p>
              </w:tc>
            </w:tr>
            <w:tr w:rsidRPr="00F11423" w:rsidR="009A37E0" w:rsidTr="00F36A62" w14:paraId="4011D1AA"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9A37E0" w:rsidP="00F11423" w:rsidRDefault="009A37E0" w14:paraId="005016FA" w14:textId="77777777">
                  <w:pPr>
                    <w:spacing w:after="0" w:line="276" w:lineRule="auto"/>
                    <w:rPr>
                      <w:rFonts w:ascii="Verdana" w:hAnsi="Verdana"/>
                      <w:sz w:val="18"/>
                      <w:szCs w:val="18"/>
                    </w:rPr>
                  </w:pPr>
                  <w:r w:rsidRPr="00F11423">
                    <w:rPr>
                      <w:rFonts w:ascii="Verdana" w:hAnsi="Verdana"/>
                      <w:sz w:val="18"/>
                      <w:szCs w:val="18"/>
                    </w:rPr>
                    <w:t>Belasten transferpassagiers</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9A37E0" w:rsidP="00F11423" w:rsidRDefault="009A37E0" w14:paraId="1B8E259A" w14:textId="77777777">
                  <w:pPr>
                    <w:spacing w:after="0" w:line="276" w:lineRule="auto"/>
                    <w:rPr>
                      <w:rFonts w:ascii="Verdana" w:hAnsi="Verdana"/>
                      <w:sz w:val="18"/>
                      <w:szCs w:val="18"/>
                    </w:rPr>
                  </w:pPr>
                  <w:r w:rsidRPr="00F11423">
                    <w:rPr>
                      <w:rFonts w:ascii="Verdana" w:hAnsi="Verdana"/>
                      <w:sz w:val="18"/>
                      <w:szCs w:val="18"/>
                    </w:rPr>
                    <w:t>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9A37E0" w:rsidP="00F11423" w:rsidRDefault="009A37E0" w14:paraId="374541F0" w14:textId="77777777">
                  <w:pPr>
                    <w:spacing w:after="0" w:line="276" w:lineRule="auto"/>
                    <w:rPr>
                      <w:rFonts w:ascii="Verdana" w:hAnsi="Verdana"/>
                      <w:sz w:val="18"/>
                      <w:szCs w:val="18"/>
                    </w:rPr>
                  </w:pPr>
                  <w:r w:rsidRPr="00F11423">
                    <w:rPr>
                      <w:rFonts w:ascii="Verdana" w:hAnsi="Verdana"/>
                      <w:sz w:val="18"/>
                      <w:szCs w:val="18"/>
                    </w:rPr>
                    <w:t>0</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9A37E0" w:rsidP="00F11423" w:rsidRDefault="009A37E0" w14:paraId="76FF76DD" w14:textId="77777777">
                  <w:pPr>
                    <w:spacing w:after="0" w:line="276" w:lineRule="auto"/>
                    <w:rPr>
                      <w:rFonts w:ascii="Verdana" w:hAnsi="Verdana"/>
                      <w:sz w:val="18"/>
                      <w:szCs w:val="18"/>
                    </w:rPr>
                  </w:pPr>
                  <w:r w:rsidRPr="00F11423">
                    <w:rPr>
                      <w:rFonts w:ascii="Verdana" w:hAnsi="Verdana"/>
                      <w:sz w:val="18"/>
                      <w:szCs w:val="18"/>
                    </w:rPr>
                    <w:t>276</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9A37E0" w:rsidP="00F11423" w:rsidRDefault="009A37E0" w14:paraId="418004F4" w14:textId="77777777">
                  <w:pPr>
                    <w:spacing w:after="0" w:line="276" w:lineRule="auto"/>
                    <w:rPr>
                      <w:rFonts w:ascii="Verdana" w:hAnsi="Verdana"/>
                      <w:sz w:val="18"/>
                      <w:szCs w:val="18"/>
                    </w:rPr>
                  </w:pPr>
                  <w:r w:rsidRPr="00F11423">
                    <w:rPr>
                      <w:rFonts w:ascii="Verdana" w:hAnsi="Verdana"/>
                      <w:sz w:val="18"/>
                      <w:szCs w:val="18"/>
                    </w:rPr>
                    <w:t>276</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9A37E0" w:rsidP="00F11423" w:rsidRDefault="009A37E0" w14:paraId="674AEA77" w14:textId="77777777">
                  <w:pPr>
                    <w:spacing w:after="0" w:line="276" w:lineRule="auto"/>
                    <w:rPr>
                      <w:rFonts w:ascii="Verdana" w:hAnsi="Verdana"/>
                      <w:sz w:val="18"/>
                      <w:szCs w:val="18"/>
                    </w:rPr>
                  </w:pPr>
                  <w:r w:rsidRPr="00F11423">
                    <w:rPr>
                      <w:rFonts w:ascii="Verdana" w:hAnsi="Verdana"/>
                      <w:sz w:val="18"/>
                      <w:szCs w:val="18"/>
                    </w:rPr>
                    <w:t>276</w:t>
                  </w:r>
                </w:p>
              </w:tc>
            </w:tr>
          </w:tbl>
          <w:p w:rsidRPr="00F11423" w:rsidR="009A37E0" w:rsidP="00F11423" w:rsidRDefault="009A37E0" w14:paraId="06A538F5" w14:textId="77777777">
            <w:pPr>
              <w:spacing w:after="0" w:line="276" w:lineRule="auto"/>
              <w:rPr>
                <w:rFonts w:ascii="Verdana" w:hAnsi="Verdana"/>
                <w:b/>
                <w:bCs/>
                <w:sz w:val="18"/>
                <w:szCs w:val="18"/>
              </w:rPr>
            </w:pPr>
          </w:p>
        </w:tc>
      </w:tr>
      <w:tr w:rsidRPr="00F11423" w:rsidR="009A37E0" w:rsidTr="008D533C" w14:paraId="2B9211E8"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4D5E0928" w14:textId="6180D1D9">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ED64E9" w:rsidR="00ED64E9">
              <w:rPr>
                <w:rFonts w:ascii="Verdana" w:hAnsi="Verdana"/>
                <w:sz w:val="18"/>
                <w:szCs w:val="18"/>
              </w:rPr>
              <w:t>Niet uitvoerbaar per 1-7-2025, omdat de luchthavens naar verwachting meer voorbereidingstijd nodig hebben.</w:t>
            </w:r>
          </w:p>
        </w:tc>
      </w:tr>
    </w:tbl>
    <w:p w:rsidRPr="00F11423" w:rsidR="004F7C0D" w:rsidP="00F11423" w:rsidRDefault="004F7C0D" w14:paraId="51B4A8A6"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00111B00" w:rsidTr="00111B00" w14:paraId="53E40E62"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00111B00" w:rsidRDefault="00111B00" w14:paraId="2EFA06B4" w14:textId="77777777">
            <w:pPr>
              <w:spacing w:after="0" w:line="276" w:lineRule="auto"/>
              <w:rPr>
                <w:rFonts w:ascii="Verdana" w:hAnsi="Verdana"/>
                <w:sz w:val="18"/>
                <w:szCs w:val="18"/>
                <w14:ligatures w14:val="standardContextual"/>
              </w:rPr>
            </w:pPr>
            <w:r>
              <w:rPr>
                <w:rFonts w:ascii="Verdana" w:hAnsi="Verdana"/>
                <w:b/>
                <w:bCs/>
                <w:color w:val="000000"/>
                <w:sz w:val="18"/>
                <w:szCs w:val="18"/>
                <w14:ligatures w14:val="standardContextual"/>
              </w:rPr>
              <w:t xml:space="preserve">Kamernummer: </w:t>
            </w:r>
            <w:bookmarkStart w:name="_Hlk182225410" w:id="0"/>
            <w:r>
              <w:rPr>
                <w:rFonts w:ascii="Verdana" w:hAnsi="Verdana"/>
                <w:color w:val="000000"/>
                <w:sz w:val="18"/>
                <w:szCs w:val="18"/>
                <w14:ligatures w14:val="standardContextual"/>
              </w:rPr>
              <w:t>36602 051</w:t>
            </w:r>
            <w:bookmarkEnd w:id="0"/>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00111B00" w:rsidRDefault="00111B00" w14:paraId="48DFFC6F" w14:textId="77777777">
            <w:pPr>
              <w:spacing w:after="0" w:line="276" w:lineRule="auto"/>
              <w:rPr>
                <w:rFonts w:ascii="Verdana" w:hAnsi="Verdana"/>
                <w:sz w:val="18"/>
                <w:szCs w:val="18"/>
                <w14:ligatures w14:val="standardContextual"/>
              </w:rPr>
            </w:pPr>
            <w:r>
              <w:rPr>
                <w:rFonts w:ascii="Verdana" w:hAnsi="Verdana"/>
                <w:b/>
                <w:bCs/>
                <w:color w:val="000000"/>
                <w:sz w:val="18"/>
                <w:szCs w:val="18"/>
                <w14:ligatures w14:val="standardContextual"/>
              </w:rPr>
              <w:t xml:space="preserve">Inhoud amendement: </w:t>
            </w:r>
            <w:bookmarkStart w:name="_Hlk182225394" w:id="1"/>
            <w:r>
              <w:rPr>
                <w:rFonts w:ascii="Verdana" w:hAnsi="Verdana"/>
                <w:color w:val="000000"/>
                <w:sz w:val="18"/>
                <w:szCs w:val="18"/>
                <w14:ligatures w14:val="standardContextual"/>
              </w:rPr>
              <w:t>Tarief vliegbelasting differentiëren naar afstand en reisklasse</w:t>
            </w:r>
            <w:bookmarkEnd w:id="1"/>
          </w:p>
        </w:tc>
      </w:tr>
      <w:tr w:rsidR="00111B00" w:rsidTr="00111B00" w14:paraId="645E3540"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11B00" w:rsidRDefault="00111B00" w14:paraId="6F089A31" w14:textId="77777777">
            <w:pPr>
              <w:spacing w:after="0" w:line="276" w:lineRule="auto"/>
              <w:rPr>
                <w:rFonts w:ascii="Verdana" w:hAnsi="Verdana"/>
                <w:b/>
                <w:bCs/>
                <w:sz w:val="18"/>
                <w:szCs w:val="18"/>
                <w14:ligatures w14:val="standardContextual"/>
              </w:rPr>
            </w:pPr>
            <w:r>
              <w:rPr>
                <w:rFonts w:ascii="Verdana" w:hAnsi="Verdana"/>
                <w:b/>
                <w:bCs/>
                <w:sz w:val="18"/>
                <w:szCs w:val="18"/>
                <w14:ligatures w14:val="standardContextual"/>
              </w:rPr>
              <w:t xml:space="preserve">Indiener: </w:t>
            </w:r>
            <w:r>
              <w:rPr>
                <w:rFonts w:ascii="Verdana" w:hAnsi="Verdana"/>
                <w:sz w:val="18"/>
                <w:szCs w:val="18"/>
                <w14:ligatures w14:val="standardContextual"/>
              </w:rPr>
              <w:t>Teunissen (PvdD)</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00111B00" w:rsidRDefault="00111B00" w14:paraId="38104CC7" w14:textId="77777777">
            <w:pPr>
              <w:spacing w:after="0" w:line="276" w:lineRule="auto"/>
              <w:rPr>
                <w:rFonts w:ascii="Verdana" w:hAnsi="Verdana"/>
                <w:sz w:val="18"/>
                <w:szCs w:val="18"/>
                <w14:ligatures w14:val="standardContextual"/>
              </w:rPr>
            </w:pPr>
            <w:r>
              <w:rPr>
                <w:rFonts w:ascii="Verdana" w:hAnsi="Verdana"/>
                <w:b/>
                <w:bCs/>
                <w:sz w:val="18"/>
                <w:szCs w:val="18"/>
                <w14:ligatures w14:val="standardContextual"/>
              </w:rPr>
              <w:t xml:space="preserve">Appreciatie: </w:t>
            </w:r>
            <w:r>
              <w:rPr>
                <w:rFonts w:ascii="Verdana" w:hAnsi="Verdana"/>
                <w:sz w:val="18"/>
                <w:szCs w:val="18"/>
                <w14:ligatures w14:val="standardContextual"/>
              </w:rPr>
              <w:t>Ontraden</w:t>
            </w:r>
          </w:p>
        </w:tc>
      </w:tr>
      <w:tr w:rsidR="00111B00" w:rsidTr="00111B00" w14:paraId="2D2A0D20"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11B00" w:rsidRDefault="00111B00" w14:paraId="0D2DB29E" w14:textId="77777777">
            <w:pPr>
              <w:spacing w:after="0" w:line="276" w:lineRule="auto"/>
              <w:rPr>
                <w:rFonts w:ascii="Verdana" w:hAnsi="Verdana"/>
                <w:b/>
                <w:bCs/>
                <w:sz w:val="18"/>
                <w:szCs w:val="18"/>
                <w14:ligatures w14:val="standardContextual"/>
              </w:rPr>
            </w:pPr>
            <w:bookmarkStart w:name="_Hlk182225367" w:id="2"/>
            <w:r>
              <w:rPr>
                <w:rFonts w:ascii="Verdana" w:hAnsi="Verdana"/>
                <w:b/>
                <w:bCs/>
                <w:sz w:val="18"/>
                <w:szCs w:val="18"/>
                <w14:ligatures w14:val="standardContextual"/>
              </w:rPr>
              <w:t xml:space="preserve">Gevolgen: </w:t>
            </w:r>
            <w:r>
              <w:rPr>
                <w:rFonts w:ascii="Verdana" w:hAnsi="Verdana"/>
                <w:sz w:val="18"/>
                <w:szCs w:val="18"/>
                <w14:ligatures w14:val="standardContextual"/>
              </w:rPr>
              <w:t xml:space="preserve">De maatregel maakt de uitvoering van de vliegbelasting complexer terwijl </w:t>
            </w:r>
            <w:proofErr w:type="gramStart"/>
            <w:r>
              <w:rPr>
                <w:rFonts w:ascii="Verdana" w:hAnsi="Verdana"/>
                <w:sz w:val="18"/>
                <w:szCs w:val="18"/>
                <w14:ligatures w14:val="standardContextual"/>
              </w:rPr>
              <w:t>de milieu</w:t>
            </w:r>
            <w:proofErr w:type="gramEnd"/>
            <w:r>
              <w:rPr>
                <w:rFonts w:ascii="Verdana" w:hAnsi="Verdana"/>
                <w:sz w:val="18"/>
                <w:szCs w:val="18"/>
                <w14:ligatures w14:val="standardContextual"/>
              </w:rPr>
              <w:noBreakHyphen/>
              <w:t xml:space="preserve">impact beperkt is. Het aantal passagiers in hogere </w:t>
            </w:r>
            <w:proofErr w:type="spellStart"/>
            <w:r>
              <w:rPr>
                <w:rFonts w:ascii="Verdana" w:hAnsi="Verdana"/>
                <w:sz w:val="18"/>
                <w:szCs w:val="18"/>
                <w14:ligatures w14:val="standardContextual"/>
              </w:rPr>
              <w:t>klasses</w:t>
            </w:r>
            <w:proofErr w:type="spellEnd"/>
            <w:r>
              <w:rPr>
                <w:rFonts w:ascii="Verdana" w:hAnsi="Verdana"/>
                <w:sz w:val="18"/>
                <w:szCs w:val="18"/>
                <w14:ligatures w14:val="standardContextual"/>
              </w:rPr>
              <w:t xml:space="preserve"> is namelijk relatief gezien klein.</w:t>
            </w:r>
          </w:p>
        </w:tc>
      </w:tr>
      <w:tr w:rsidR="00111B00" w:rsidTr="00111B00" w14:paraId="5B10A60A"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00111B00" w:rsidRDefault="00111B00" w14:paraId="4146412B" w14:textId="77777777">
            <w:pPr>
              <w:spacing w:after="0" w:line="276" w:lineRule="auto"/>
              <w:rPr>
                <w:rFonts w:ascii="Verdana" w:hAnsi="Verdana"/>
                <w:sz w:val="18"/>
                <w:szCs w:val="18"/>
                <w14:ligatures w14:val="standardContextual"/>
              </w:rPr>
            </w:pPr>
            <w:r>
              <w:rPr>
                <w:rFonts w:ascii="Verdana" w:hAnsi="Verdana"/>
                <w:b/>
                <w:bCs/>
                <w:sz w:val="18"/>
                <w:szCs w:val="18"/>
                <w14:ligatures w14:val="standardContextual"/>
              </w:rPr>
              <w:t xml:space="preserve">Budgettaire aspecten </w:t>
            </w:r>
            <w:r>
              <w:rPr>
                <w:rFonts w:ascii="Verdana" w:hAnsi="Verdana"/>
                <w:sz w:val="18"/>
                <w:szCs w:val="18"/>
                <w14:ligatures w14:val="standardContextual"/>
              </w:rPr>
              <w:t>Uitgangspunt is dat de maatregel pas op z’n vroegst per 2028 kan worden ingevoerd. Bij invoering in 2028 levert de maatregel € 1029 miljoen euro op. Dit bedrag loopt af tot structureel € 961 miljoen.</w:t>
            </w:r>
          </w:p>
          <w:p w:rsidR="00111B00" w:rsidRDefault="00111B00" w14:paraId="3F3EDF78" w14:textId="77777777">
            <w:pPr>
              <w:spacing w:after="0" w:line="276" w:lineRule="auto"/>
              <w:rPr>
                <w:rFonts w:ascii="Verdana" w:hAnsi="Verdana"/>
                <w:sz w:val="18"/>
                <w:szCs w:val="18"/>
                <w14:ligatures w14:val="standardContextual"/>
              </w:rPr>
            </w:pPr>
          </w:p>
          <w:tbl>
            <w:tblPr>
              <w:tblW w:w="6658" w:type="dxa"/>
              <w:tblCellMar>
                <w:left w:w="0" w:type="dxa"/>
                <w:right w:w="0" w:type="dxa"/>
              </w:tblCellMar>
              <w:tblLook w:val="04A0" w:firstRow="1" w:lastRow="0" w:firstColumn="1" w:lastColumn="0" w:noHBand="0" w:noVBand="1"/>
            </w:tblPr>
            <w:tblGrid>
              <w:gridCol w:w="2405"/>
              <w:gridCol w:w="709"/>
              <w:gridCol w:w="709"/>
              <w:gridCol w:w="708"/>
              <w:gridCol w:w="709"/>
              <w:gridCol w:w="1418"/>
            </w:tblGrid>
            <w:tr w:rsidR="00111B00" w14:paraId="657C9A50"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00111B00" w:rsidRDefault="00111B00" w14:paraId="6A0FD80E" w14:textId="77777777">
                  <w:pPr>
                    <w:spacing w:after="0" w:line="276" w:lineRule="auto"/>
                    <w:rPr>
                      <w:rFonts w:ascii="Verdana" w:hAnsi="Verdana"/>
                      <w:sz w:val="18"/>
                      <w:szCs w:val="18"/>
                      <w14:ligatures w14:val="standardContextual"/>
                    </w:rPr>
                  </w:pPr>
                  <w:r>
                    <w:rPr>
                      <w:rFonts w:ascii="Verdana" w:hAnsi="Verdana"/>
                      <w:color w:val="000000"/>
                      <w:sz w:val="18"/>
                      <w:szCs w:val="18"/>
                      <w14:ligatures w14:val="standardContextual"/>
                    </w:rPr>
                    <w:t>Omvang in mln. € (prijspeil 2024)</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00111B00" w:rsidRDefault="00111B00" w14:paraId="7CE08CA4" w14:textId="77777777">
                  <w:pPr>
                    <w:spacing w:after="0" w:line="276" w:lineRule="auto"/>
                    <w:rPr>
                      <w:rFonts w:ascii="Verdana" w:hAnsi="Verdana"/>
                      <w:i/>
                      <w:iCs/>
                      <w:sz w:val="18"/>
                      <w:szCs w:val="18"/>
                      <w14:ligatures w14:val="standardContextual"/>
                    </w:rPr>
                  </w:pPr>
                  <w:r>
                    <w:rPr>
                      <w:rFonts w:ascii="Verdana" w:hAnsi="Verdana"/>
                      <w:i/>
                      <w:iCs/>
                      <w:color w:val="000000"/>
                      <w:sz w:val="18"/>
                      <w:szCs w:val="18"/>
                      <w14:ligatures w14:val="standardContextual"/>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00111B00" w:rsidRDefault="00111B00" w14:paraId="4D805D93" w14:textId="77777777">
                  <w:pPr>
                    <w:spacing w:after="0" w:line="276" w:lineRule="auto"/>
                    <w:rPr>
                      <w:rFonts w:ascii="Verdana" w:hAnsi="Verdana"/>
                      <w:i/>
                      <w:iCs/>
                      <w:sz w:val="18"/>
                      <w:szCs w:val="18"/>
                      <w14:ligatures w14:val="standardContextual"/>
                    </w:rPr>
                  </w:pPr>
                  <w:r>
                    <w:rPr>
                      <w:rFonts w:ascii="Verdana" w:hAnsi="Verdana"/>
                      <w:i/>
                      <w:iCs/>
                      <w:color w:val="000000"/>
                      <w:sz w:val="18"/>
                      <w:szCs w:val="18"/>
                      <w14:ligatures w14:val="standardContextual"/>
                    </w:rPr>
                    <w:t>2026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00111B00" w:rsidRDefault="00111B00" w14:paraId="50929CC1" w14:textId="77777777">
                  <w:pPr>
                    <w:spacing w:after="0" w:line="276" w:lineRule="auto"/>
                    <w:rPr>
                      <w:rFonts w:ascii="Verdana" w:hAnsi="Verdana"/>
                      <w:i/>
                      <w:iCs/>
                      <w:sz w:val="18"/>
                      <w:szCs w:val="18"/>
                      <w14:ligatures w14:val="standardContextual"/>
                    </w:rPr>
                  </w:pPr>
                  <w:r>
                    <w:rPr>
                      <w:rFonts w:ascii="Verdana" w:hAnsi="Verdana"/>
                      <w:i/>
                      <w:iCs/>
                      <w:color w:val="000000"/>
                      <w:sz w:val="18"/>
                      <w:szCs w:val="18"/>
                      <w14:ligatures w14:val="standardContextual"/>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00111B00" w:rsidRDefault="00111B00" w14:paraId="2394757A" w14:textId="77777777">
                  <w:pPr>
                    <w:spacing w:after="0" w:line="276" w:lineRule="auto"/>
                    <w:rPr>
                      <w:rFonts w:ascii="Verdana" w:hAnsi="Verdana"/>
                      <w:i/>
                      <w:iCs/>
                      <w:sz w:val="18"/>
                      <w:szCs w:val="18"/>
                      <w14:ligatures w14:val="standardContextual"/>
                    </w:rPr>
                  </w:pPr>
                  <w:r>
                    <w:rPr>
                      <w:rFonts w:ascii="Verdana" w:hAnsi="Verdana"/>
                      <w:i/>
                      <w:iCs/>
                      <w:color w:val="000000"/>
                      <w:sz w:val="18"/>
                      <w:szCs w:val="18"/>
                      <w14:ligatures w14:val="standardContextual"/>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00111B00" w:rsidRDefault="00111B00" w14:paraId="116B893D" w14:textId="77777777">
                  <w:pPr>
                    <w:spacing w:after="0" w:line="276" w:lineRule="auto"/>
                    <w:rPr>
                      <w:rFonts w:ascii="Verdana" w:hAnsi="Verdana"/>
                      <w:sz w:val="18"/>
                      <w:szCs w:val="18"/>
                      <w14:ligatures w14:val="standardContextual"/>
                    </w:rPr>
                  </w:pPr>
                  <w:r>
                    <w:rPr>
                      <w:rFonts w:ascii="Verdana" w:hAnsi="Verdana"/>
                      <w:color w:val="000000"/>
                      <w:sz w:val="18"/>
                      <w:szCs w:val="18"/>
                      <w14:ligatures w14:val="standardContextual"/>
                    </w:rPr>
                    <w:t xml:space="preserve">Structureel </w:t>
                  </w:r>
                </w:p>
              </w:tc>
            </w:tr>
            <w:tr w:rsidR="00111B00" w14:paraId="045DF1C6"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111B00" w:rsidRDefault="00111B00" w14:paraId="7838CEE5" w14:textId="77777777">
                  <w:pPr>
                    <w:spacing w:after="0" w:line="276" w:lineRule="auto"/>
                    <w:rPr>
                      <w:rFonts w:ascii="Verdana" w:hAnsi="Verdana"/>
                      <w:sz w:val="18"/>
                      <w:szCs w:val="18"/>
                      <w14:ligatures w14:val="standardContextual"/>
                    </w:rPr>
                  </w:pPr>
                  <w:r>
                    <w:rPr>
                      <w:rFonts w:ascii="Verdana" w:hAnsi="Verdana"/>
                      <w:sz w:val="18"/>
                      <w:szCs w:val="18"/>
                      <w14:ligatures w14:val="standardContextual"/>
                    </w:rPr>
                    <w:t>Differentiatie naar afstand en reisklasse</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00111B00" w:rsidRDefault="00111B00" w14:paraId="36660D3F" w14:textId="77777777">
                  <w:pPr>
                    <w:spacing w:after="0" w:line="276" w:lineRule="auto"/>
                    <w:rPr>
                      <w:rFonts w:ascii="Verdana" w:hAnsi="Verdana"/>
                      <w:sz w:val="18"/>
                      <w:szCs w:val="18"/>
                      <w14:ligatures w14:val="standardContextual"/>
                    </w:rPr>
                  </w:pPr>
                  <w:r>
                    <w:rPr>
                      <w:rFonts w:ascii="Verdana" w:hAnsi="Verdana"/>
                      <w:sz w:val="18"/>
                      <w:szCs w:val="18"/>
                      <w14:ligatures w14:val="standardContextual"/>
                    </w:rPr>
                    <w:t>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00111B00" w:rsidRDefault="00111B00" w14:paraId="0416ECA7" w14:textId="77777777">
                  <w:pPr>
                    <w:spacing w:after="0" w:line="276" w:lineRule="auto"/>
                    <w:rPr>
                      <w:rFonts w:ascii="Verdana" w:hAnsi="Verdana"/>
                      <w:sz w:val="18"/>
                      <w:szCs w:val="18"/>
                      <w14:ligatures w14:val="standardContextual"/>
                    </w:rPr>
                  </w:pPr>
                  <w:r>
                    <w:rPr>
                      <w:rFonts w:ascii="Verdana" w:hAnsi="Verdana"/>
                      <w:sz w:val="18"/>
                      <w:szCs w:val="18"/>
                      <w14:ligatures w14:val="standardContextual"/>
                    </w:rPr>
                    <w:t>0</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00111B00" w:rsidRDefault="00111B00" w14:paraId="7E817012" w14:textId="77777777">
                  <w:pPr>
                    <w:spacing w:after="0" w:line="276" w:lineRule="auto"/>
                    <w:rPr>
                      <w:rFonts w:ascii="Verdana" w:hAnsi="Verdana"/>
                      <w:sz w:val="18"/>
                      <w:szCs w:val="18"/>
                      <w14:ligatures w14:val="standardContextual"/>
                    </w:rPr>
                  </w:pPr>
                  <w:r>
                    <w:rPr>
                      <w:rFonts w:ascii="Verdana" w:hAnsi="Verdana"/>
                      <w:sz w:val="18"/>
                      <w:szCs w:val="18"/>
                      <w14:ligatures w14:val="standardContextual"/>
                    </w:rPr>
                    <w:t>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00111B00" w:rsidRDefault="00111B00" w14:paraId="46B56597" w14:textId="77777777">
                  <w:pPr>
                    <w:spacing w:after="0" w:line="276" w:lineRule="auto"/>
                    <w:rPr>
                      <w:rFonts w:ascii="Verdana" w:hAnsi="Verdana"/>
                      <w:sz w:val="18"/>
                      <w:szCs w:val="18"/>
                      <w14:ligatures w14:val="standardContextual"/>
                    </w:rPr>
                  </w:pPr>
                  <w:r>
                    <w:rPr>
                      <w:rFonts w:ascii="Verdana" w:hAnsi="Verdana"/>
                      <w:sz w:val="18"/>
                      <w:szCs w:val="18"/>
                      <w14:ligatures w14:val="standardContextual"/>
                    </w:rPr>
                    <w:t>1029</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00111B00" w:rsidRDefault="00111B00" w14:paraId="38071FDB" w14:textId="77777777">
                  <w:pPr>
                    <w:spacing w:after="0" w:line="276" w:lineRule="auto"/>
                    <w:rPr>
                      <w:rFonts w:ascii="Verdana" w:hAnsi="Verdana"/>
                      <w:sz w:val="18"/>
                      <w:szCs w:val="18"/>
                      <w14:ligatures w14:val="standardContextual"/>
                    </w:rPr>
                  </w:pPr>
                  <w:r>
                    <w:rPr>
                      <w:rFonts w:ascii="Verdana" w:hAnsi="Verdana"/>
                      <w:sz w:val="18"/>
                      <w:szCs w:val="18"/>
                      <w14:ligatures w14:val="standardContextual"/>
                    </w:rPr>
                    <w:t>961</w:t>
                  </w:r>
                </w:p>
              </w:tc>
            </w:tr>
          </w:tbl>
          <w:p w:rsidR="00111B00" w:rsidRDefault="00111B00" w14:paraId="2310EAE9" w14:textId="77777777">
            <w:pPr>
              <w:spacing w:after="0" w:line="276" w:lineRule="auto"/>
              <w:rPr>
                <w:rFonts w:ascii="Verdana" w:hAnsi="Verdana" w:cs="Calibri"/>
                <w:b/>
                <w:bCs/>
                <w:sz w:val="18"/>
                <w:szCs w:val="18"/>
                <w14:ligatures w14:val="standardContextual"/>
              </w:rPr>
            </w:pPr>
          </w:p>
        </w:tc>
        <w:bookmarkEnd w:id="2"/>
      </w:tr>
      <w:tr w:rsidR="00111B00" w:rsidTr="00111B00" w14:paraId="35F4D594"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11B00" w:rsidRDefault="00111B00" w14:paraId="28BEACB8" w14:textId="77777777">
            <w:pPr>
              <w:spacing w:after="0" w:line="276" w:lineRule="auto"/>
              <w:rPr>
                <w:rFonts w:ascii="Verdana" w:hAnsi="Verdana"/>
                <w:b/>
                <w:bCs/>
                <w:sz w:val="18"/>
                <w:szCs w:val="18"/>
                <w14:ligatures w14:val="standardContextual"/>
              </w:rPr>
            </w:pPr>
            <w:r>
              <w:rPr>
                <w:rFonts w:ascii="Verdana" w:hAnsi="Verdana"/>
                <w:b/>
                <w:bCs/>
                <w:sz w:val="18"/>
                <w:szCs w:val="18"/>
                <w14:ligatures w14:val="standardContextual"/>
              </w:rPr>
              <w:t xml:space="preserve">Uitvoeringsgevolgen: </w:t>
            </w:r>
            <w:r>
              <w:rPr>
                <w:rFonts w:ascii="Verdana" w:hAnsi="Verdana"/>
                <w:sz w:val="18"/>
                <w:szCs w:val="18"/>
                <w14:ligatures w14:val="standardContextual"/>
              </w:rPr>
              <w:t>Niet uitvoerbaar per 1-7-2025.</w:t>
            </w:r>
          </w:p>
        </w:tc>
      </w:tr>
    </w:tbl>
    <w:p w:rsidRPr="00F11423" w:rsidR="00111B00" w:rsidP="00F11423" w:rsidRDefault="00111B00" w14:paraId="44A9EE7D"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EC0D04" w:rsidTr="008D533C" w14:paraId="0F8299F5"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EC0D04" w:rsidP="00F11423" w:rsidRDefault="00EC0D04" w14:paraId="4B75CF5B" w14:textId="77777777">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36602 052</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EC0D04" w:rsidP="00F11423" w:rsidRDefault="00EC0D04" w14:paraId="01A0C3C2"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17102A">
              <w:rPr>
                <w:rFonts w:ascii="Verdana" w:hAnsi="Verdana"/>
                <w:color w:val="000000"/>
                <w:sz w:val="18"/>
                <w:szCs w:val="18"/>
              </w:rPr>
              <w:t>D</w:t>
            </w:r>
            <w:r w:rsidRPr="00F11423">
              <w:rPr>
                <w:rFonts w:ascii="Verdana" w:hAnsi="Verdana"/>
                <w:color w:val="000000"/>
                <w:sz w:val="18"/>
                <w:szCs w:val="18"/>
              </w:rPr>
              <w:t>e voorgenomen btw-verhoging op (elektronische) boeken, kranten en tijdschriften terugdraaien en dit financieren door o.a. kamperen, bioscopen en dagrecreatie vanaf 2026 onder het 21%-btw-tarief te laten vallen, het vervallen van de compensatie voor de btw-verhoging op schoolboeken alsook door introductie van een verbruiksbelasting op e-sigaretten (</w:t>
            </w:r>
            <w:proofErr w:type="spellStart"/>
            <w:r w:rsidRPr="00F11423">
              <w:rPr>
                <w:rFonts w:ascii="Verdana" w:hAnsi="Verdana"/>
                <w:color w:val="000000"/>
                <w:sz w:val="18"/>
                <w:szCs w:val="18"/>
              </w:rPr>
              <w:t>vapes</w:t>
            </w:r>
            <w:proofErr w:type="spellEnd"/>
            <w:r w:rsidRPr="00F11423">
              <w:rPr>
                <w:rFonts w:ascii="Verdana" w:hAnsi="Verdana"/>
                <w:color w:val="000000"/>
                <w:sz w:val="18"/>
                <w:szCs w:val="18"/>
              </w:rPr>
              <w:t>).</w:t>
            </w:r>
          </w:p>
        </w:tc>
      </w:tr>
      <w:tr w:rsidRPr="00F11423" w:rsidR="00EC0D04" w:rsidTr="008D533C" w14:paraId="7941A067"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2059137D" w14:textId="4F15E604">
            <w:pPr>
              <w:spacing w:after="0" w:line="276" w:lineRule="auto"/>
              <w:rPr>
                <w:rFonts w:ascii="Verdana" w:hAnsi="Verdana"/>
                <w:b/>
                <w:bCs/>
                <w:sz w:val="18"/>
                <w:szCs w:val="18"/>
              </w:rPr>
            </w:pPr>
            <w:r w:rsidRPr="00F11423">
              <w:rPr>
                <w:rFonts w:ascii="Verdana" w:hAnsi="Verdana"/>
                <w:b/>
                <w:bCs/>
                <w:sz w:val="18"/>
                <w:szCs w:val="18"/>
              </w:rPr>
              <w:t xml:space="preserve">Indieners: </w:t>
            </w:r>
            <w:proofErr w:type="spellStart"/>
            <w:r w:rsidRPr="00F11423">
              <w:rPr>
                <w:rFonts w:ascii="Verdana" w:hAnsi="Verdana"/>
                <w:sz w:val="18"/>
                <w:szCs w:val="18"/>
              </w:rPr>
              <w:t>Grinwis</w:t>
            </w:r>
            <w:proofErr w:type="spellEnd"/>
            <w:r w:rsidR="00393EC1">
              <w:rPr>
                <w:rFonts w:ascii="Verdana" w:hAnsi="Verdana"/>
                <w:sz w:val="18"/>
                <w:szCs w:val="18"/>
              </w:rPr>
              <w:t xml:space="preserve"> (ChristenUnie) en</w:t>
            </w:r>
            <w:r w:rsidRPr="00F11423">
              <w:rPr>
                <w:rFonts w:ascii="Verdana" w:hAnsi="Verdana"/>
                <w:sz w:val="18"/>
                <w:szCs w:val="18"/>
              </w:rPr>
              <w:t xml:space="preserve"> Stoffer (SGP)</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144D6C54"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EC0D04" w:rsidTr="008D533C" w14:paraId="30AA15E0"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65B3755B" w14:textId="10D41638">
            <w:pPr>
              <w:spacing w:after="0" w:line="276" w:lineRule="auto"/>
              <w:rPr>
                <w:rFonts w:ascii="Verdana" w:hAnsi="Verdana"/>
                <w:b/>
                <w:bCs/>
                <w:sz w:val="18"/>
                <w:szCs w:val="18"/>
              </w:rPr>
            </w:pPr>
            <w:r w:rsidRPr="00F11423">
              <w:rPr>
                <w:rFonts w:ascii="Verdana" w:hAnsi="Verdana"/>
                <w:b/>
                <w:bCs/>
                <w:sz w:val="18"/>
                <w:szCs w:val="18"/>
              </w:rPr>
              <w:t xml:space="preserve">Gevolgen: </w:t>
            </w:r>
            <w:r w:rsidRPr="00927F0F" w:rsidR="00927F0F">
              <w:rPr>
                <w:rFonts w:ascii="Verdana" w:hAnsi="Verdana"/>
                <w:sz w:val="18"/>
                <w:szCs w:val="18"/>
              </w:rPr>
              <w:t>Voor (elektronische) boeken, kranten en tijdschriften blijft het 9%-tarief gelden. Ter dekking hiervan wordt o.a. kamperen, bioscopen en dagrecreatie vanaf 2026 onder het 21%-btw-tarief gebracht, wordt gebruik gemaakt van de vervallen compensatie voor de btw-verhoging op schoolboeken en wordt een verbruiksbelasting geïntroduceerd op e-sigaretten (</w:t>
            </w:r>
            <w:proofErr w:type="spellStart"/>
            <w:r w:rsidRPr="00927F0F" w:rsidR="00927F0F">
              <w:rPr>
                <w:rFonts w:ascii="Verdana" w:hAnsi="Verdana"/>
                <w:sz w:val="18"/>
                <w:szCs w:val="18"/>
              </w:rPr>
              <w:t>vapes</w:t>
            </w:r>
            <w:proofErr w:type="spellEnd"/>
            <w:r w:rsidRPr="00927F0F" w:rsidR="00927F0F">
              <w:rPr>
                <w:rFonts w:ascii="Verdana" w:hAnsi="Verdana"/>
                <w:sz w:val="18"/>
                <w:szCs w:val="18"/>
              </w:rPr>
              <w:t>).  Een verbruiksbelasting op e-sigaretten kan niet worden ingevoerd per 2026 en genereert naar verwachting een opbrengst tussen 15 en 100 mln. De dekking is daarmee niet adequaat.</w:t>
            </w:r>
          </w:p>
        </w:tc>
      </w:tr>
      <w:tr w:rsidRPr="00F11423" w:rsidR="00EC0D04" w:rsidTr="008D533C" w14:paraId="22F3785E"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EC0D04" w:rsidP="00F11423" w:rsidRDefault="00EC0D04" w14:paraId="081608D9"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p>
          <w:tbl>
            <w:tblPr>
              <w:tblW w:w="8806" w:type="dxa"/>
              <w:tblCellMar>
                <w:left w:w="70" w:type="dxa"/>
                <w:right w:w="70" w:type="dxa"/>
              </w:tblCellMar>
              <w:tblLook w:val="04A0" w:firstRow="1" w:lastRow="0" w:firstColumn="1" w:lastColumn="0" w:noHBand="0" w:noVBand="1"/>
            </w:tblPr>
            <w:tblGrid>
              <w:gridCol w:w="5140"/>
              <w:gridCol w:w="660"/>
              <w:gridCol w:w="840"/>
              <w:gridCol w:w="748"/>
              <w:gridCol w:w="709"/>
              <w:gridCol w:w="709"/>
            </w:tblGrid>
            <w:tr w:rsidRPr="00F11423" w:rsidR="00EC0D04" w:rsidTr="0017102A" w14:paraId="0A42C162" w14:textId="77777777">
              <w:trPr>
                <w:trHeight w:val="300"/>
              </w:trPr>
              <w:tc>
                <w:tcPr>
                  <w:tcW w:w="5140" w:type="dxa"/>
                  <w:tcBorders>
                    <w:top w:val="single" w:color="auto" w:sz="4" w:space="0"/>
                    <w:left w:val="single" w:color="auto" w:sz="4" w:space="0"/>
                    <w:bottom w:val="single" w:color="auto" w:sz="4" w:space="0"/>
                    <w:right w:val="single" w:color="auto" w:sz="4" w:space="0"/>
                  </w:tcBorders>
                  <w:shd w:val="clear" w:color="auto" w:fill="DEEAF6" w:themeFill="accent5" w:themeFillTint="33"/>
                  <w:noWrap/>
                  <w:vAlign w:val="bottom"/>
                  <w:hideMark/>
                </w:tcPr>
                <w:p w:rsidRPr="0017102A" w:rsidR="00EC0D04" w:rsidP="00F11423" w:rsidRDefault="00EC0D04" w14:paraId="505E1179" w14:textId="77777777">
                  <w:pPr>
                    <w:spacing w:after="0" w:line="276" w:lineRule="auto"/>
                    <w:rPr>
                      <w:rFonts w:ascii="Verdana" w:hAnsi="Verdana"/>
                      <w:color w:val="000000"/>
                      <w:sz w:val="18"/>
                      <w:szCs w:val="18"/>
                      <w14:ligatures w14:val="standardContextual"/>
                    </w:rPr>
                  </w:pPr>
                  <w:proofErr w:type="gramStart"/>
                  <w:r w:rsidRPr="0017102A">
                    <w:rPr>
                      <w:rFonts w:ascii="Verdana" w:hAnsi="Verdana"/>
                      <w:color w:val="000000"/>
                      <w:sz w:val="18"/>
                      <w:szCs w:val="18"/>
                      <w14:ligatures w14:val="standardContextual"/>
                    </w:rPr>
                    <w:t>in</w:t>
                  </w:r>
                  <w:proofErr w:type="gramEnd"/>
                  <w:r w:rsidRPr="0017102A">
                    <w:rPr>
                      <w:rFonts w:ascii="Verdana" w:hAnsi="Verdana"/>
                      <w:color w:val="000000"/>
                      <w:sz w:val="18"/>
                      <w:szCs w:val="18"/>
                      <w14:ligatures w14:val="standardContextual"/>
                    </w:rPr>
                    <w:t xml:space="preserve"> prijzen 2024,  mln.</w:t>
                  </w:r>
                </w:p>
              </w:tc>
              <w:tc>
                <w:tcPr>
                  <w:tcW w:w="660" w:type="dxa"/>
                  <w:tcBorders>
                    <w:top w:val="single" w:color="auto" w:sz="4" w:space="0"/>
                    <w:left w:val="nil"/>
                    <w:bottom w:val="single" w:color="auto" w:sz="4" w:space="0"/>
                    <w:right w:val="single" w:color="auto" w:sz="4" w:space="0"/>
                  </w:tcBorders>
                  <w:shd w:val="clear" w:color="auto" w:fill="DEEAF6" w:themeFill="accent5" w:themeFillTint="33"/>
                  <w:noWrap/>
                  <w:vAlign w:val="bottom"/>
                  <w:hideMark/>
                </w:tcPr>
                <w:p w:rsidRPr="0017102A" w:rsidR="00EC0D04" w:rsidP="00F11423" w:rsidRDefault="00EC0D04" w14:paraId="43D121FA" w14:textId="77777777">
                  <w:pPr>
                    <w:spacing w:after="0" w:line="276" w:lineRule="auto"/>
                    <w:jc w:val="right"/>
                    <w:rPr>
                      <w:rFonts w:ascii="Verdana" w:hAnsi="Verdana"/>
                      <w:i/>
                      <w:iCs/>
                      <w:color w:val="000000"/>
                      <w:sz w:val="18"/>
                      <w:szCs w:val="18"/>
                      <w14:ligatures w14:val="standardContextual"/>
                    </w:rPr>
                  </w:pPr>
                  <w:r w:rsidRPr="0017102A">
                    <w:rPr>
                      <w:rFonts w:ascii="Verdana" w:hAnsi="Verdana"/>
                      <w:i/>
                      <w:iCs/>
                      <w:color w:val="000000"/>
                      <w:sz w:val="18"/>
                      <w:szCs w:val="18"/>
                      <w14:ligatures w14:val="standardContextual"/>
                    </w:rPr>
                    <w:t>2025</w:t>
                  </w:r>
                </w:p>
              </w:tc>
              <w:tc>
                <w:tcPr>
                  <w:tcW w:w="840" w:type="dxa"/>
                  <w:tcBorders>
                    <w:top w:val="single" w:color="auto" w:sz="4" w:space="0"/>
                    <w:left w:val="nil"/>
                    <w:bottom w:val="single" w:color="auto" w:sz="4" w:space="0"/>
                    <w:right w:val="single" w:color="auto" w:sz="4" w:space="0"/>
                  </w:tcBorders>
                  <w:shd w:val="clear" w:color="auto" w:fill="DEEAF6" w:themeFill="accent5" w:themeFillTint="33"/>
                  <w:noWrap/>
                  <w:vAlign w:val="bottom"/>
                  <w:hideMark/>
                </w:tcPr>
                <w:p w:rsidRPr="0017102A" w:rsidR="00EC0D04" w:rsidP="00F11423" w:rsidRDefault="00EC0D04" w14:paraId="4911578D" w14:textId="77777777">
                  <w:pPr>
                    <w:spacing w:after="0" w:line="276" w:lineRule="auto"/>
                    <w:jc w:val="right"/>
                    <w:rPr>
                      <w:rFonts w:ascii="Verdana" w:hAnsi="Verdana"/>
                      <w:i/>
                      <w:iCs/>
                      <w:color w:val="000000"/>
                      <w:sz w:val="18"/>
                      <w:szCs w:val="18"/>
                      <w14:ligatures w14:val="standardContextual"/>
                    </w:rPr>
                  </w:pPr>
                  <w:r w:rsidRPr="0017102A">
                    <w:rPr>
                      <w:rFonts w:ascii="Verdana" w:hAnsi="Verdana"/>
                      <w:i/>
                      <w:iCs/>
                      <w:color w:val="000000"/>
                      <w:sz w:val="18"/>
                      <w:szCs w:val="18"/>
                      <w14:ligatures w14:val="standardContextual"/>
                    </w:rPr>
                    <w:t>2026</w:t>
                  </w:r>
                </w:p>
              </w:tc>
              <w:tc>
                <w:tcPr>
                  <w:tcW w:w="748" w:type="dxa"/>
                  <w:tcBorders>
                    <w:top w:val="single" w:color="auto" w:sz="4" w:space="0"/>
                    <w:left w:val="nil"/>
                    <w:bottom w:val="single" w:color="auto" w:sz="4" w:space="0"/>
                    <w:right w:val="single" w:color="auto" w:sz="4" w:space="0"/>
                  </w:tcBorders>
                  <w:shd w:val="clear" w:color="auto" w:fill="DEEAF6" w:themeFill="accent5" w:themeFillTint="33"/>
                  <w:noWrap/>
                  <w:vAlign w:val="bottom"/>
                  <w:hideMark/>
                </w:tcPr>
                <w:p w:rsidRPr="0017102A" w:rsidR="00EC0D04" w:rsidP="00F11423" w:rsidRDefault="00EC0D04" w14:paraId="39588CFF" w14:textId="77777777">
                  <w:pPr>
                    <w:spacing w:after="0" w:line="276" w:lineRule="auto"/>
                    <w:jc w:val="right"/>
                    <w:rPr>
                      <w:rFonts w:ascii="Verdana" w:hAnsi="Verdana"/>
                      <w:i/>
                      <w:iCs/>
                      <w:color w:val="000000"/>
                      <w:sz w:val="18"/>
                      <w:szCs w:val="18"/>
                      <w14:ligatures w14:val="standardContextual"/>
                    </w:rPr>
                  </w:pPr>
                  <w:r w:rsidRPr="0017102A">
                    <w:rPr>
                      <w:rFonts w:ascii="Verdana" w:hAnsi="Verdana"/>
                      <w:i/>
                      <w:iCs/>
                      <w:color w:val="000000"/>
                      <w:sz w:val="18"/>
                      <w:szCs w:val="18"/>
                      <w14:ligatures w14:val="standardContextual"/>
                    </w:rPr>
                    <w:t>2027</w:t>
                  </w:r>
                </w:p>
              </w:tc>
              <w:tc>
                <w:tcPr>
                  <w:tcW w:w="709" w:type="dxa"/>
                  <w:tcBorders>
                    <w:top w:val="single" w:color="auto" w:sz="4" w:space="0"/>
                    <w:left w:val="nil"/>
                    <w:bottom w:val="single" w:color="auto" w:sz="4" w:space="0"/>
                    <w:right w:val="single" w:color="auto" w:sz="4" w:space="0"/>
                  </w:tcBorders>
                  <w:shd w:val="clear" w:color="auto" w:fill="DEEAF6" w:themeFill="accent5" w:themeFillTint="33"/>
                  <w:noWrap/>
                  <w:vAlign w:val="bottom"/>
                  <w:hideMark/>
                </w:tcPr>
                <w:p w:rsidRPr="0017102A" w:rsidR="00EC0D04" w:rsidP="00F11423" w:rsidRDefault="00EC0D04" w14:paraId="1525E523" w14:textId="77777777">
                  <w:pPr>
                    <w:spacing w:after="0" w:line="276" w:lineRule="auto"/>
                    <w:jc w:val="right"/>
                    <w:rPr>
                      <w:rFonts w:ascii="Verdana" w:hAnsi="Verdana"/>
                      <w:i/>
                      <w:iCs/>
                      <w:color w:val="000000"/>
                      <w:sz w:val="18"/>
                      <w:szCs w:val="18"/>
                      <w14:ligatures w14:val="standardContextual"/>
                    </w:rPr>
                  </w:pPr>
                  <w:r w:rsidRPr="0017102A">
                    <w:rPr>
                      <w:rFonts w:ascii="Verdana" w:hAnsi="Verdana"/>
                      <w:i/>
                      <w:iCs/>
                      <w:color w:val="000000"/>
                      <w:sz w:val="18"/>
                      <w:szCs w:val="18"/>
                      <w14:ligatures w14:val="standardContextual"/>
                    </w:rPr>
                    <w:t>2028</w:t>
                  </w:r>
                </w:p>
              </w:tc>
              <w:tc>
                <w:tcPr>
                  <w:tcW w:w="709" w:type="dxa"/>
                  <w:tcBorders>
                    <w:top w:val="single" w:color="auto" w:sz="4" w:space="0"/>
                    <w:left w:val="nil"/>
                    <w:bottom w:val="single" w:color="auto" w:sz="4" w:space="0"/>
                    <w:right w:val="single" w:color="auto" w:sz="4" w:space="0"/>
                  </w:tcBorders>
                  <w:shd w:val="clear" w:color="auto" w:fill="DEEAF6" w:themeFill="accent5" w:themeFillTint="33"/>
                  <w:noWrap/>
                  <w:vAlign w:val="bottom"/>
                  <w:hideMark/>
                </w:tcPr>
                <w:p w:rsidRPr="0017102A" w:rsidR="00EC0D04" w:rsidP="00F11423" w:rsidRDefault="00EC0D04" w14:paraId="69D422AA" w14:textId="77777777">
                  <w:pPr>
                    <w:spacing w:after="0" w:line="276" w:lineRule="auto"/>
                    <w:rPr>
                      <w:rFonts w:ascii="Verdana" w:hAnsi="Verdana"/>
                      <w:color w:val="000000"/>
                      <w:sz w:val="18"/>
                      <w:szCs w:val="18"/>
                      <w14:ligatures w14:val="standardContextual"/>
                    </w:rPr>
                  </w:pPr>
                  <w:proofErr w:type="spellStart"/>
                  <w:proofErr w:type="gramStart"/>
                  <w:r w:rsidRPr="0017102A">
                    <w:rPr>
                      <w:rFonts w:ascii="Verdana" w:hAnsi="Verdana"/>
                      <w:color w:val="000000"/>
                      <w:sz w:val="18"/>
                      <w:szCs w:val="18"/>
                      <w14:ligatures w14:val="standardContextual"/>
                    </w:rPr>
                    <w:t>struc</w:t>
                  </w:r>
                  <w:proofErr w:type="spellEnd"/>
                  <w:proofErr w:type="gramEnd"/>
                </w:p>
              </w:tc>
            </w:tr>
            <w:tr w:rsidRPr="00F11423" w:rsidR="00EC0D04" w:rsidTr="00927F0F" w14:paraId="7AA50CA8" w14:textId="77777777">
              <w:trPr>
                <w:trHeight w:val="300"/>
              </w:trPr>
              <w:tc>
                <w:tcPr>
                  <w:tcW w:w="5140" w:type="dxa"/>
                  <w:tcBorders>
                    <w:top w:val="nil"/>
                    <w:left w:val="single" w:color="auto" w:sz="4" w:space="0"/>
                    <w:bottom w:val="single" w:color="auto" w:sz="4" w:space="0"/>
                    <w:right w:val="single" w:color="auto" w:sz="4" w:space="0"/>
                  </w:tcBorders>
                  <w:shd w:val="clear" w:color="auto" w:fill="auto"/>
                  <w:vAlign w:val="bottom"/>
                  <w:hideMark/>
                </w:tcPr>
                <w:p w:rsidRPr="00F11423" w:rsidR="00EC0D04" w:rsidP="00F11423" w:rsidRDefault="00EC0D04" w14:paraId="3E01761D" w14:textId="77777777">
                  <w:pPr>
                    <w:spacing w:after="0" w:line="276" w:lineRule="auto"/>
                    <w:rPr>
                      <w:rFonts w:ascii="Verdana" w:hAnsi="Verdana"/>
                      <w:color w:val="000000"/>
                      <w:sz w:val="18"/>
                      <w:szCs w:val="18"/>
                    </w:rPr>
                  </w:pPr>
                  <w:proofErr w:type="gramStart"/>
                  <w:r w:rsidRPr="00F11423">
                    <w:rPr>
                      <w:rFonts w:ascii="Verdana" w:hAnsi="Verdana"/>
                      <w:color w:val="000000"/>
                      <w:sz w:val="18"/>
                      <w:szCs w:val="18"/>
                    </w:rPr>
                    <w:t>terugdraaien</w:t>
                  </w:r>
                  <w:proofErr w:type="gramEnd"/>
                  <w:r w:rsidRPr="00F11423">
                    <w:rPr>
                      <w:rFonts w:ascii="Verdana" w:hAnsi="Verdana"/>
                      <w:color w:val="000000"/>
                      <w:sz w:val="18"/>
                      <w:szCs w:val="18"/>
                    </w:rPr>
                    <w:t xml:space="preserve"> afschaffen verlaagd tarief op boeken</w:t>
                  </w:r>
                </w:p>
              </w:tc>
              <w:tc>
                <w:tcPr>
                  <w:tcW w:w="66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591D0223"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84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48E7DD1E"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-231</w:t>
                  </w:r>
                </w:p>
              </w:tc>
              <w:tc>
                <w:tcPr>
                  <w:tcW w:w="748"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021AB107"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-231</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550606F3"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-231</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634574F7"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-231</w:t>
                  </w:r>
                </w:p>
              </w:tc>
            </w:tr>
            <w:tr w:rsidRPr="00F11423" w:rsidR="00EC0D04" w:rsidTr="00927F0F" w14:paraId="75D1E650" w14:textId="77777777">
              <w:trPr>
                <w:trHeight w:val="300"/>
              </w:trPr>
              <w:tc>
                <w:tcPr>
                  <w:tcW w:w="5140" w:type="dxa"/>
                  <w:tcBorders>
                    <w:top w:val="nil"/>
                    <w:left w:val="single" w:color="auto" w:sz="4" w:space="0"/>
                    <w:bottom w:val="single" w:color="auto" w:sz="4" w:space="0"/>
                    <w:right w:val="single" w:color="auto" w:sz="4" w:space="0"/>
                  </w:tcBorders>
                  <w:shd w:val="clear" w:color="auto" w:fill="auto"/>
                  <w:vAlign w:val="bottom"/>
                  <w:hideMark/>
                </w:tcPr>
                <w:p w:rsidRPr="00F11423" w:rsidR="00EC0D04" w:rsidP="00F11423" w:rsidRDefault="00EC0D04" w14:paraId="28E37C93" w14:textId="77777777">
                  <w:pPr>
                    <w:spacing w:after="0" w:line="276" w:lineRule="auto"/>
                    <w:rPr>
                      <w:rFonts w:ascii="Verdana" w:hAnsi="Verdana"/>
                      <w:color w:val="000000"/>
                      <w:sz w:val="18"/>
                      <w:szCs w:val="18"/>
                    </w:rPr>
                  </w:pPr>
                  <w:proofErr w:type="gramStart"/>
                  <w:r w:rsidRPr="00F11423">
                    <w:rPr>
                      <w:rFonts w:ascii="Verdana" w:hAnsi="Verdana"/>
                      <w:color w:val="000000"/>
                      <w:sz w:val="18"/>
                      <w:szCs w:val="18"/>
                    </w:rPr>
                    <w:t>terugdraaien</w:t>
                  </w:r>
                  <w:proofErr w:type="gramEnd"/>
                  <w:r w:rsidRPr="00F11423">
                    <w:rPr>
                      <w:rFonts w:ascii="Verdana" w:hAnsi="Verdana"/>
                      <w:color w:val="000000"/>
                      <w:sz w:val="18"/>
                      <w:szCs w:val="18"/>
                    </w:rPr>
                    <w:t xml:space="preserve"> afschaffen verlaagd tarief op kranten</w:t>
                  </w:r>
                </w:p>
              </w:tc>
              <w:tc>
                <w:tcPr>
                  <w:tcW w:w="66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3A2ECA7A"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84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301A7134"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-297</w:t>
                  </w:r>
                </w:p>
              </w:tc>
              <w:tc>
                <w:tcPr>
                  <w:tcW w:w="748"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0175AB4A"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-297</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1A38EFBB"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-297</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1551951B"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-297</w:t>
                  </w:r>
                </w:p>
              </w:tc>
            </w:tr>
            <w:tr w:rsidRPr="00F11423" w:rsidR="00EC0D04" w:rsidTr="00927F0F" w14:paraId="64E57611" w14:textId="77777777">
              <w:trPr>
                <w:trHeight w:val="300"/>
              </w:trPr>
              <w:tc>
                <w:tcPr>
                  <w:tcW w:w="5140" w:type="dxa"/>
                  <w:tcBorders>
                    <w:top w:val="nil"/>
                    <w:left w:val="single" w:color="auto" w:sz="4" w:space="0"/>
                    <w:bottom w:val="single" w:color="auto" w:sz="4" w:space="0"/>
                    <w:right w:val="single" w:color="auto" w:sz="4" w:space="0"/>
                  </w:tcBorders>
                  <w:shd w:val="clear" w:color="auto" w:fill="auto"/>
                  <w:vAlign w:val="bottom"/>
                  <w:hideMark/>
                </w:tcPr>
                <w:p w:rsidRPr="00F11423" w:rsidR="00EC0D04" w:rsidP="00F11423" w:rsidRDefault="00EC0D04" w14:paraId="107D87C9" w14:textId="77777777">
                  <w:pPr>
                    <w:spacing w:after="0" w:line="276" w:lineRule="auto"/>
                    <w:rPr>
                      <w:rFonts w:ascii="Verdana" w:hAnsi="Verdana"/>
                      <w:color w:val="000000"/>
                      <w:sz w:val="18"/>
                      <w:szCs w:val="18"/>
                    </w:rPr>
                  </w:pPr>
                  <w:proofErr w:type="gramStart"/>
                  <w:r w:rsidRPr="00F11423">
                    <w:rPr>
                      <w:rFonts w:ascii="Verdana" w:hAnsi="Verdana"/>
                      <w:color w:val="000000"/>
                      <w:sz w:val="18"/>
                      <w:szCs w:val="18"/>
                    </w:rPr>
                    <w:t>afschaffen</w:t>
                  </w:r>
                  <w:proofErr w:type="gramEnd"/>
                  <w:r w:rsidRPr="00F11423">
                    <w:rPr>
                      <w:rFonts w:ascii="Verdana" w:hAnsi="Verdana"/>
                      <w:color w:val="000000"/>
                      <w:sz w:val="18"/>
                      <w:szCs w:val="18"/>
                    </w:rPr>
                    <w:t xml:space="preserve"> verlaagd tarief kampeerterreinen</w:t>
                  </w:r>
                </w:p>
              </w:tc>
              <w:tc>
                <w:tcPr>
                  <w:tcW w:w="66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3ACED780"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84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2C2E2D28"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163</w:t>
                  </w:r>
                </w:p>
              </w:tc>
              <w:tc>
                <w:tcPr>
                  <w:tcW w:w="748"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02872157"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163</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1516B6DD"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163</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2371EEDE"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163</w:t>
                  </w:r>
                </w:p>
              </w:tc>
            </w:tr>
            <w:tr w:rsidRPr="00F11423" w:rsidR="00EC0D04" w:rsidTr="00927F0F" w14:paraId="323BAFE2" w14:textId="77777777">
              <w:trPr>
                <w:trHeight w:val="600"/>
              </w:trPr>
              <w:tc>
                <w:tcPr>
                  <w:tcW w:w="5140" w:type="dxa"/>
                  <w:tcBorders>
                    <w:top w:val="nil"/>
                    <w:left w:val="single" w:color="auto" w:sz="4" w:space="0"/>
                    <w:bottom w:val="single" w:color="auto" w:sz="4" w:space="0"/>
                    <w:right w:val="single" w:color="auto" w:sz="4" w:space="0"/>
                  </w:tcBorders>
                  <w:shd w:val="clear" w:color="auto" w:fill="auto"/>
                  <w:vAlign w:val="bottom"/>
                  <w:hideMark/>
                </w:tcPr>
                <w:p w:rsidRPr="00F11423" w:rsidR="00EC0D04" w:rsidP="00F11423" w:rsidRDefault="00EC0D04" w14:paraId="51EF4596" w14:textId="77777777">
                  <w:pPr>
                    <w:spacing w:after="0" w:line="276" w:lineRule="auto"/>
                    <w:rPr>
                      <w:rFonts w:ascii="Verdana" w:hAnsi="Verdana"/>
                      <w:color w:val="000000"/>
                      <w:sz w:val="18"/>
                      <w:szCs w:val="18"/>
                    </w:rPr>
                  </w:pPr>
                  <w:proofErr w:type="gramStart"/>
                  <w:r w:rsidRPr="00F11423">
                    <w:rPr>
                      <w:rFonts w:ascii="Verdana" w:hAnsi="Verdana"/>
                      <w:color w:val="000000"/>
                      <w:sz w:val="18"/>
                      <w:szCs w:val="18"/>
                    </w:rPr>
                    <w:lastRenderedPageBreak/>
                    <w:t>afschaffen</w:t>
                  </w:r>
                  <w:proofErr w:type="gramEnd"/>
                  <w:r w:rsidRPr="00F11423">
                    <w:rPr>
                      <w:rFonts w:ascii="Verdana" w:hAnsi="Verdana"/>
                      <w:color w:val="000000"/>
                      <w:sz w:val="18"/>
                      <w:szCs w:val="18"/>
                    </w:rPr>
                    <w:t xml:space="preserve"> verlaagd tarief bioscopen en toegang tot dagrecreatie</w:t>
                  </w:r>
                </w:p>
              </w:tc>
              <w:tc>
                <w:tcPr>
                  <w:tcW w:w="66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634D7C68"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84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2EAA97B8"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162</w:t>
                  </w:r>
                </w:p>
              </w:tc>
              <w:tc>
                <w:tcPr>
                  <w:tcW w:w="748"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618B43EF"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162</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36BA1CB7"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162</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1CEC59BF"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162</w:t>
                  </w:r>
                </w:p>
              </w:tc>
            </w:tr>
            <w:tr w:rsidRPr="00F11423" w:rsidR="00EC0D04" w:rsidTr="00927F0F" w14:paraId="17FBBC83" w14:textId="77777777">
              <w:trPr>
                <w:trHeight w:val="300"/>
              </w:trPr>
              <w:tc>
                <w:tcPr>
                  <w:tcW w:w="5140" w:type="dxa"/>
                  <w:tcBorders>
                    <w:top w:val="nil"/>
                    <w:left w:val="single" w:color="auto" w:sz="4" w:space="0"/>
                    <w:bottom w:val="single" w:color="auto" w:sz="4" w:space="0"/>
                    <w:right w:val="single" w:color="auto" w:sz="4" w:space="0"/>
                  </w:tcBorders>
                  <w:shd w:val="clear" w:color="auto" w:fill="auto"/>
                  <w:noWrap/>
                  <w:vAlign w:val="bottom"/>
                  <w:hideMark/>
                </w:tcPr>
                <w:p w:rsidRPr="00F11423" w:rsidR="00EC0D04" w:rsidP="00F11423" w:rsidRDefault="00EC0D04" w14:paraId="36D72D1F" w14:textId="77777777">
                  <w:pPr>
                    <w:spacing w:after="0" w:line="276" w:lineRule="auto"/>
                    <w:rPr>
                      <w:rFonts w:ascii="Verdana" w:hAnsi="Verdana"/>
                      <w:b/>
                      <w:bCs/>
                      <w:color w:val="000000"/>
                      <w:sz w:val="18"/>
                      <w:szCs w:val="18"/>
                    </w:rPr>
                  </w:pPr>
                  <w:r w:rsidRPr="00F11423">
                    <w:rPr>
                      <w:rFonts w:ascii="Verdana" w:hAnsi="Verdana"/>
                      <w:b/>
                      <w:bCs/>
                      <w:color w:val="000000"/>
                      <w:sz w:val="18"/>
                      <w:szCs w:val="18"/>
                    </w:rPr>
                    <w:t>Totaal btw-pakket</w:t>
                  </w:r>
                </w:p>
              </w:tc>
              <w:tc>
                <w:tcPr>
                  <w:tcW w:w="66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77EAC4B1"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84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0488B09E" w14:textId="77777777">
                  <w:pPr>
                    <w:spacing w:after="0" w:line="276" w:lineRule="auto"/>
                    <w:jc w:val="right"/>
                    <w:rPr>
                      <w:rFonts w:ascii="Verdana" w:hAnsi="Verdana"/>
                      <w:b/>
                      <w:bCs/>
                      <w:color w:val="000000"/>
                      <w:sz w:val="18"/>
                      <w:szCs w:val="18"/>
                    </w:rPr>
                  </w:pPr>
                  <w:r w:rsidRPr="00F11423">
                    <w:rPr>
                      <w:rFonts w:ascii="Verdana" w:hAnsi="Verdana"/>
                      <w:b/>
                      <w:bCs/>
                      <w:color w:val="000000"/>
                      <w:sz w:val="18"/>
                      <w:szCs w:val="18"/>
                    </w:rPr>
                    <w:t>-203</w:t>
                  </w:r>
                </w:p>
              </w:tc>
              <w:tc>
                <w:tcPr>
                  <w:tcW w:w="748"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0AEC49AF" w14:textId="72043379">
                  <w:pPr>
                    <w:spacing w:after="0" w:line="276" w:lineRule="auto"/>
                    <w:jc w:val="right"/>
                    <w:rPr>
                      <w:rFonts w:ascii="Verdana" w:hAnsi="Verdana"/>
                      <w:b/>
                      <w:bCs/>
                      <w:color w:val="000000"/>
                      <w:sz w:val="18"/>
                      <w:szCs w:val="18"/>
                    </w:rPr>
                  </w:pPr>
                  <w:r w:rsidRPr="00F11423">
                    <w:rPr>
                      <w:rFonts w:ascii="Verdana" w:hAnsi="Verdana"/>
                      <w:b/>
                      <w:bCs/>
                      <w:color w:val="000000"/>
                      <w:sz w:val="18"/>
                      <w:szCs w:val="18"/>
                    </w:rPr>
                    <w:t>-203</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25D37F77" w14:textId="77777777">
                  <w:pPr>
                    <w:spacing w:after="0" w:line="276" w:lineRule="auto"/>
                    <w:jc w:val="right"/>
                    <w:rPr>
                      <w:rFonts w:ascii="Verdana" w:hAnsi="Verdana"/>
                      <w:b/>
                      <w:bCs/>
                      <w:color w:val="000000"/>
                      <w:sz w:val="18"/>
                      <w:szCs w:val="18"/>
                    </w:rPr>
                  </w:pPr>
                  <w:r w:rsidRPr="00F11423">
                    <w:rPr>
                      <w:rFonts w:ascii="Verdana" w:hAnsi="Verdana"/>
                      <w:b/>
                      <w:bCs/>
                      <w:color w:val="000000"/>
                      <w:sz w:val="18"/>
                      <w:szCs w:val="18"/>
                    </w:rPr>
                    <w:t>-203</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3DCDB73F" w14:textId="77777777">
                  <w:pPr>
                    <w:spacing w:after="0" w:line="276" w:lineRule="auto"/>
                    <w:jc w:val="right"/>
                    <w:rPr>
                      <w:rFonts w:ascii="Verdana" w:hAnsi="Verdana"/>
                      <w:b/>
                      <w:bCs/>
                      <w:color w:val="000000"/>
                      <w:sz w:val="18"/>
                      <w:szCs w:val="18"/>
                    </w:rPr>
                  </w:pPr>
                  <w:r w:rsidRPr="00F11423">
                    <w:rPr>
                      <w:rFonts w:ascii="Verdana" w:hAnsi="Verdana"/>
                      <w:b/>
                      <w:bCs/>
                      <w:color w:val="000000"/>
                      <w:sz w:val="18"/>
                      <w:szCs w:val="18"/>
                    </w:rPr>
                    <w:t>-203</w:t>
                  </w:r>
                </w:p>
              </w:tc>
            </w:tr>
            <w:tr w:rsidRPr="00F11423" w:rsidR="00EC0D04" w:rsidTr="00927F0F" w14:paraId="1A13B620" w14:textId="77777777">
              <w:trPr>
                <w:trHeight w:val="300"/>
              </w:trPr>
              <w:tc>
                <w:tcPr>
                  <w:tcW w:w="5140" w:type="dxa"/>
                  <w:tcBorders>
                    <w:top w:val="nil"/>
                    <w:left w:val="single" w:color="auto" w:sz="4" w:space="0"/>
                    <w:bottom w:val="single" w:color="auto" w:sz="4" w:space="0"/>
                    <w:right w:val="single" w:color="auto" w:sz="4" w:space="0"/>
                  </w:tcBorders>
                  <w:shd w:val="clear" w:color="auto" w:fill="auto"/>
                  <w:noWrap/>
                  <w:vAlign w:val="bottom"/>
                  <w:hideMark/>
                </w:tcPr>
                <w:p w:rsidRPr="00F11423" w:rsidR="00EC0D04" w:rsidP="00F11423" w:rsidRDefault="00EC0D04" w14:paraId="2F7BB227"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66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376E3D5D"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84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1B34DF4C"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748"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56671729"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4BF074B5"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62BA2469"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r>
            <w:tr w:rsidRPr="00F11423" w:rsidR="00EC0D04" w:rsidTr="00927F0F" w14:paraId="61893FA4" w14:textId="77777777">
              <w:trPr>
                <w:trHeight w:val="600"/>
              </w:trPr>
              <w:tc>
                <w:tcPr>
                  <w:tcW w:w="5140" w:type="dxa"/>
                  <w:tcBorders>
                    <w:top w:val="nil"/>
                    <w:left w:val="single" w:color="auto" w:sz="4" w:space="0"/>
                    <w:bottom w:val="single" w:color="auto" w:sz="4" w:space="0"/>
                    <w:right w:val="single" w:color="auto" w:sz="4" w:space="0"/>
                  </w:tcBorders>
                  <w:shd w:val="clear" w:color="auto" w:fill="auto"/>
                  <w:vAlign w:val="bottom"/>
                  <w:hideMark/>
                </w:tcPr>
                <w:p w:rsidRPr="00F11423" w:rsidR="00EC0D04" w:rsidP="00F11423" w:rsidRDefault="00EC0D04" w14:paraId="013EA546" w14:textId="77777777">
                  <w:pPr>
                    <w:spacing w:after="0" w:line="276" w:lineRule="auto"/>
                    <w:rPr>
                      <w:rFonts w:ascii="Verdana" w:hAnsi="Verdana"/>
                      <w:color w:val="000000"/>
                      <w:sz w:val="18"/>
                      <w:szCs w:val="18"/>
                    </w:rPr>
                  </w:pPr>
                  <w:r w:rsidRPr="00F11423">
                    <w:rPr>
                      <w:rFonts w:ascii="Verdana" w:hAnsi="Verdana"/>
                      <w:color w:val="000000"/>
                      <w:sz w:val="18"/>
                      <w:szCs w:val="18"/>
                    </w:rPr>
                    <w:t xml:space="preserve">Vervallen compensatie btw-verhoging leermiddelen po, vo en mbo </w:t>
                  </w:r>
                </w:p>
              </w:tc>
              <w:tc>
                <w:tcPr>
                  <w:tcW w:w="66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5B571205"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84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365B2E5F"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60</w:t>
                  </w:r>
                </w:p>
              </w:tc>
              <w:tc>
                <w:tcPr>
                  <w:tcW w:w="748"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630ECEAC"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60</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4A1B865C"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60</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1CFE4427"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60</w:t>
                  </w:r>
                </w:p>
              </w:tc>
            </w:tr>
            <w:tr w:rsidRPr="00F11423" w:rsidR="00EC0D04" w:rsidTr="00927F0F" w14:paraId="745650F0" w14:textId="77777777">
              <w:trPr>
                <w:trHeight w:val="300"/>
              </w:trPr>
              <w:tc>
                <w:tcPr>
                  <w:tcW w:w="5140" w:type="dxa"/>
                  <w:tcBorders>
                    <w:top w:val="nil"/>
                    <w:left w:val="single" w:color="auto" w:sz="4" w:space="0"/>
                    <w:bottom w:val="single" w:color="auto" w:sz="4" w:space="0"/>
                    <w:right w:val="single" w:color="auto" w:sz="4" w:space="0"/>
                  </w:tcBorders>
                  <w:shd w:val="clear" w:color="auto" w:fill="auto"/>
                  <w:noWrap/>
                  <w:vAlign w:val="bottom"/>
                  <w:hideMark/>
                </w:tcPr>
                <w:p w:rsidRPr="00F11423" w:rsidR="00EC0D04" w:rsidP="00F11423" w:rsidRDefault="00EC0D04" w14:paraId="695B6E9C" w14:textId="77777777">
                  <w:pPr>
                    <w:spacing w:after="0" w:line="276" w:lineRule="auto"/>
                    <w:rPr>
                      <w:rFonts w:ascii="Verdana" w:hAnsi="Verdana"/>
                      <w:color w:val="000000"/>
                      <w:sz w:val="18"/>
                      <w:szCs w:val="18"/>
                    </w:rPr>
                  </w:pPr>
                  <w:proofErr w:type="gramStart"/>
                  <w:r w:rsidRPr="00F11423">
                    <w:rPr>
                      <w:rFonts w:ascii="Verdana" w:hAnsi="Verdana"/>
                      <w:color w:val="000000"/>
                      <w:sz w:val="18"/>
                      <w:szCs w:val="18"/>
                    </w:rPr>
                    <w:t>verbruiksbelasting</w:t>
                  </w:r>
                  <w:proofErr w:type="gramEnd"/>
                  <w:r w:rsidRPr="00F11423">
                    <w:rPr>
                      <w:rFonts w:ascii="Verdana" w:hAnsi="Verdana"/>
                      <w:color w:val="000000"/>
                      <w:sz w:val="18"/>
                      <w:szCs w:val="18"/>
                    </w:rPr>
                    <w:t xml:space="preserve"> e-sigaretten (</w:t>
                  </w:r>
                  <w:proofErr w:type="spellStart"/>
                  <w:r w:rsidRPr="00F11423">
                    <w:rPr>
                      <w:rFonts w:ascii="Verdana" w:hAnsi="Verdana"/>
                      <w:color w:val="000000"/>
                      <w:sz w:val="18"/>
                      <w:szCs w:val="18"/>
                    </w:rPr>
                    <w:t>vapes</w:t>
                  </w:r>
                  <w:proofErr w:type="spellEnd"/>
                  <w:r w:rsidRPr="00F11423">
                    <w:rPr>
                      <w:rFonts w:ascii="Verdana" w:hAnsi="Verdana"/>
                      <w:color w:val="000000"/>
                      <w:sz w:val="18"/>
                      <w:szCs w:val="18"/>
                    </w:rPr>
                    <w:t>)</w:t>
                  </w:r>
                </w:p>
              </w:tc>
              <w:tc>
                <w:tcPr>
                  <w:tcW w:w="66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73AF566C"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84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289361D3"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143</w:t>
                  </w:r>
                </w:p>
              </w:tc>
              <w:tc>
                <w:tcPr>
                  <w:tcW w:w="748"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391CA768"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143</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1B4F0CC3"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143</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42A94F5C"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143</w:t>
                  </w:r>
                </w:p>
              </w:tc>
            </w:tr>
            <w:tr w:rsidRPr="00F11423" w:rsidR="00EC0D04" w:rsidTr="00927F0F" w14:paraId="4546848A" w14:textId="77777777">
              <w:trPr>
                <w:trHeight w:val="300"/>
              </w:trPr>
              <w:tc>
                <w:tcPr>
                  <w:tcW w:w="5140" w:type="dxa"/>
                  <w:tcBorders>
                    <w:top w:val="nil"/>
                    <w:left w:val="single" w:color="auto" w:sz="4" w:space="0"/>
                    <w:bottom w:val="single" w:color="auto" w:sz="4" w:space="0"/>
                    <w:right w:val="single" w:color="auto" w:sz="4" w:space="0"/>
                  </w:tcBorders>
                  <w:shd w:val="clear" w:color="auto" w:fill="auto"/>
                  <w:noWrap/>
                  <w:vAlign w:val="bottom"/>
                  <w:hideMark/>
                </w:tcPr>
                <w:p w:rsidRPr="00F11423" w:rsidR="00EC0D04" w:rsidP="00F11423" w:rsidRDefault="00EC0D04" w14:paraId="2E6C0332" w14:textId="77777777">
                  <w:pPr>
                    <w:spacing w:after="0" w:line="276" w:lineRule="auto"/>
                    <w:rPr>
                      <w:rFonts w:ascii="Verdana" w:hAnsi="Verdana"/>
                      <w:b/>
                      <w:bCs/>
                      <w:color w:val="000000"/>
                      <w:sz w:val="18"/>
                      <w:szCs w:val="18"/>
                    </w:rPr>
                  </w:pPr>
                  <w:r w:rsidRPr="00F11423">
                    <w:rPr>
                      <w:rFonts w:ascii="Verdana" w:hAnsi="Verdana"/>
                      <w:b/>
                      <w:bCs/>
                      <w:color w:val="000000"/>
                      <w:sz w:val="18"/>
                      <w:szCs w:val="18"/>
                    </w:rPr>
                    <w:t>Totaal</w:t>
                  </w:r>
                </w:p>
              </w:tc>
              <w:tc>
                <w:tcPr>
                  <w:tcW w:w="66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00C36052" w14:textId="77777777">
                  <w:pPr>
                    <w:spacing w:after="0" w:line="276" w:lineRule="auto"/>
                    <w:rPr>
                      <w:rFonts w:ascii="Verdana" w:hAnsi="Verdana"/>
                      <w:b/>
                      <w:bCs/>
                      <w:color w:val="000000"/>
                      <w:sz w:val="18"/>
                      <w:szCs w:val="18"/>
                    </w:rPr>
                  </w:pPr>
                  <w:r w:rsidRPr="00F11423">
                    <w:rPr>
                      <w:rFonts w:ascii="Verdana" w:hAnsi="Verdana"/>
                      <w:b/>
                      <w:bCs/>
                      <w:color w:val="000000"/>
                      <w:sz w:val="18"/>
                      <w:szCs w:val="18"/>
                    </w:rPr>
                    <w:t> </w:t>
                  </w:r>
                </w:p>
              </w:tc>
              <w:tc>
                <w:tcPr>
                  <w:tcW w:w="840"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6252E462" w14:textId="77777777">
                  <w:pPr>
                    <w:spacing w:after="0" w:line="276" w:lineRule="auto"/>
                    <w:jc w:val="right"/>
                    <w:rPr>
                      <w:rFonts w:ascii="Verdana" w:hAnsi="Verdana"/>
                      <w:b/>
                      <w:bCs/>
                      <w:color w:val="000000"/>
                      <w:sz w:val="18"/>
                      <w:szCs w:val="18"/>
                    </w:rPr>
                  </w:pPr>
                  <w:r w:rsidRPr="00F11423">
                    <w:rPr>
                      <w:rFonts w:ascii="Verdana" w:hAnsi="Verdana"/>
                      <w:b/>
                      <w:bCs/>
                      <w:color w:val="000000"/>
                      <w:sz w:val="18"/>
                      <w:szCs w:val="18"/>
                    </w:rPr>
                    <w:t>0</w:t>
                  </w:r>
                </w:p>
              </w:tc>
              <w:tc>
                <w:tcPr>
                  <w:tcW w:w="748"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21105F18" w14:textId="77777777">
                  <w:pPr>
                    <w:spacing w:after="0" w:line="276" w:lineRule="auto"/>
                    <w:jc w:val="right"/>
                    <w:rPr>
                      <w:rFonts w:ascii="Verdana" w:hAnsi="Verdana"/>
                      <w:b/>
                      <w:bCs/>
                      <w:color w:val="000000"/>
                      <w:sz w:val="18"/>
                      <w:szCs w:val="18"/>
                    </w:rPr>
                  </w:pPr>
                  <w:r w:rsidRPr="00F11423">
                    <w:rPr>
                      <w:rFonts w:ascii="Verdana" w:hAnsi="Verdana"/>
                      <w:b/>
                      <w:bCs/>
                      <w:color w:val="000000"/>
                      <w:sz w:val="18"/>
                      <w:szCs w:val="18"/>
                    </w:rPr>
                    <w:t>0</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0C1CD258" w14:textId="77777777">
                  <w:pPr>
                    <w:spacing w:after="0" w:line="276" w:lineRule="auto"/>
                    <w:jc w:val="right"/>
                    <w:rPr>
                      <w:rFonts w:ascii="Verdana" w:hAnsi="Verdana"/>
                      <w:b/>
                      <w:bCs/>
                      <w:color w:val="000000"/>
                      <w:sz w:val="18"/>
                      <w:szCs w:val="18"/>
                    </w:rPr>
                  </w:pPr>
                  <w:r w:rsidRPr="00F11423">
                    <w:rPr>
                      <w:rFonts w:ascii="Verdana" w:hAnsi="Verdana"/>
                      <w:b/>
                      <w:bCs/>
                      <w:color w:val="000000"/>
                      <w:sz w:val="18"/>
                      <w:szCs w:val="18"/>
                    </w:rPr>
                    <w:t>0</w:t>
                  </w:r>
                </w:p>
              </w:tc>
              <w:tc>
                <w:tcPr>
                  <w:tcW w:w="709" w:type="dxa"/>
                  <w:tcBorders>
                    <w:top w:val="nil"/>
                    <w:left w:val="nil"/>
                    <w:bottom w:val="single" w:color="auto" w:sz="4" w:space="0"/>
                    <w:right w:val="single" w:color="auto" w:sz="4" w:space="0"/>
                  </w:tcBorders>
                  <w:shd w:val="clear" w:color="auto" w:fill="auto"/>
                  <w:noWrap/>
                  <w:vAlign w:val="bottom"/>
                  <w:hideMark/>
                </w:tcPr>
                <w:p w:rsidRPr="00F11423" w:rsidR="00EC0D04" w:rsidP="00F11423" w:rsidRDefault="00EC0D04" w14:paraId="48BE3D67" w14:textId="77777777">
                  <w:pPr>
                    <w:spacing w:after="0" w:line="276" w:lineRule="auto"/>
                    <w:jc w:val="right"/>
                    <w:rPr>
                      <w:rFonts w:ascii="Verdana" w:hAnsi="Verdana"/>
                      <w:b/>
                      <w:bCs/>
                      <w:color w:val="000000"/>
                      <w:sz w:val="18"/>
                      <w:szCs w:val="18"/>
                    </w:rPr>
                  </w:pPr>
                  <w:r w:rsidRPr="00F11423">
                    <w:rPr>
                      <w:rFonts w:ascii="Verdana" w:hAnsi="Verdana"/>
                      <w:b/>
                      <w:bCs/>
                      <w:color w:val="000000"/>
                      <w:sz w:val="18"/>
                      <w:szCs w:val="18"/>
                    </w:rPr>
                    <w:t>0</w:t>
                  </w:r>
                </w:p>
              </w:tc>
            </w:tr>
          </w:tbl>
          <w:p w:rsidRPr="00F11423" w:rsidR="00EC0D04" w:rsidP="00F11423" w:rsidRDefault="00EC0D04" w14:paraId="60D9EA04" w14:textId="77777777">
            <w:pPr>
              <w:spacing w:after="0" w:line="276" w:lineRule="auto"/>
              <w:rPr>
                <w:rFonts w:ascii="Verdana" w:hAnsi="Verdana"/>
                <w:b/>
                <w:bCs/>
                <w:sz w:val="18"/>
                <w:szCs w:val="18"/>
              </w:rPr>
            </w:pPr>
          </w:p>
        </w:tc>
      </w:tr>
      <w:tr w:rsidRPr="00F11423" w:rsidR="00EC0D04" w:rsidTr="008D533C" w14:paraId="27CFF948"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C0D04" w:rsidP="00F11423" w:rsidRDefault="00EC0D04" w14:paraId="715D6A9D" w14:textId="6B0FDD03">
            <w:pPr>
              <w:spacing w:after="0" w:line="276" w:lineRule="auto"/>
              <w:rPr>
                <w:rFonts w:ascii="Verdana" w:hAnsi="Verdana"/>
                <w:b/>
                <w:bCs/>
                <w:sz w:val="18"/>
                <w:szCs w:val="18"/>
              </w:rPr>
            </w:pPr>
            <w:r w:rsidRPr="00F11423">
              <w:rPr>
                <w:rFonts w:ascii="Verdana" w:hAnsi="Verdana"/>
                <w:b/>
                <w:bCs/>
                <w:sz w:val="18"/>
                <w:szCs w:val="18"/>
              </w:rPr>
              <w:lastRenderedPageBreak/>
              <w:t xml:space="preserve">Uitvoeringsgevolgen: </w:t>
            </w:r>
            <w:r w:rsidRPr="00BD72E3">
              <w:rPr>
                <w:rFonts w:ascii="Verdana" w:hAnsi="Verdana"/>
                <w:sz w:val="18"/>
                <w:szCs w:val="18"/>
              </w:rPr>
              <w:t>btw</w:t>
            </w:r>
            <w:r w:rsidR="00BD72E3">
              <w:rPr>
                <w:rFonts w:ascii="Verdana" w:hAnsi="Verdana"/>
                <w:sz w:val="18"/>
                <w:szCs w:val="18"/>
              </w:rPr>
              <w:t xml:space="preserve">-wijzigingen </w:t>
            </w:r>
            <w:r w:rsidRPr="00BD72E3">
              <w:rPr>
                <w:rFonts w:ascii="Verdana" w:hAnsi="Verdana"/>
                <w:sz w:val="18"/>
                <w:szCs w:val="18"/>
              </w:rPr>
              <w:t>uitvoerbaar per 2026</w:t>
            </w:r>
            <w:r w:rsidRPr="00BD72E3" w:rsidR="00BD72E3">
              <w:rPr>
                <w:rFonts w:ascii="Verdana" w:hAnsi="Verdana"/>
                <w:sz w:val="18"/>
                <w:szCs w:val="18"/>
              </w:rPr>
              <w:t>.</w:t>
            </w:r>
            <w:r w:rsidRPr="00BD72E3">
              <w:rPr>
                <w:rFonts w:ascii="Verdana" w:hAnsi="Verdana"/>
                <w:sz w:val="18"/>
                <w:szCs w:val="18"/>
              </w:rPr>
              <w:t xml:space="preserve"> </w:t>
            </w:r>
            <w:r w:rsidRPr="00BD72E3" w:rsidR="00BD72E3">
              <w:rPr>
                <w:rFonts w:ascii="Verdana" w:hAnsi="Verdana"/>
                <w:sz w:val="18"/>
                <w:szCs w:val="18"/>
              </w:rPr>
              <w:t>De dekking is vanwege het ontbreken van een concrete wetswijziging niet beoordeeld op uitvoerbaarheid.</w:t>
            </w:r>
          </w:p>
        </w:tc>
      </w:tr>
    </w:tbl>
    <w:p w:rsidRPr="00F11423" w:rsidR="00EC0D04" w:rsidP="00F11423" w:rsidRDefault="00EC0D04" w14:paraId="709AF687" w14:textId="77777777">
      <w:pPr>
        <w:spacing w:after="0" w:line="276" w:lineRule="auto"/>
        <w:rPr>
          <w:rFonts w:ascii="Verdana" w:hAnsi="Verdana"/>
          <w:sz w:val="18"/>
          <w:szCs w:val="18"/>
        </w:rPr>
      </w:pPr>
    </w:p>
    <w:tbl>
      <w:tblPr>
        <w:tblW w:w="9629" w:type="dxa"/>
        <w:tblLayout w:type="fixed"/>
        <w:tblCellMar>
          <w:left w:w="0" w:type="dxa"/>
          <w:right w:w="0" w:type="dxa"/>
        </w:tblCellMar>
        <w:tblLook w:val="04A0" w:firstRow="1" w:lastRow="0" w:firstColumn="1" w:lastColumn="0" w:noHBand="0" w:noVBand="1"/>
      </w:tblPr>
      <w:tblGrid>
        <w:gridCol w:w="3397"/>
        <w:gridCol w:w="6232"/>
      </w:tblGrid>
      <w:tr w:rsidRPr="00F11423" w:rsidR="00BA26F9" w:rsidTr="008D533C" w14:paraId="0A69AC45"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BA26F9" w:rsidP="00F11423" w:rsidRDefault="00BA26F9" w14:paraId="2F3DF5E2" w14:textId="233F3F2D">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55</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BA26F9" w:rsidP="00F11423" w:rsidRDefault="00BA26F9" w14:paraId="770EB604"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 xml:space="preserve">Niet invoeren </w:t>
            </w:r>
            <w:proofErr w:type="spellStart"/>
            <w:r w:rsidRPr="00F11423">
              <w:rPr>
                <w:rFonts w:ascii="Verdana" w:hAnsi="Verdana"/>
                <w:color w:val="000000"/>
                <w:sz w:val="18"/>
                <w:szCs w:val="18"/>
              </w:rPr>
              <w:t>antifragmentatiemaatregel</w:t>
            </w:r>
            <w:proofErr w:type="spellEnd"/>
          </w:p>
        </w:tc>
      </w:tr>
      <w:tr w:rsidRPr="00F11423" w:rsidR="00BA26F9" w:rsidTr="008D533C" w14:paraId="5A27DCF3"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13028D70" w14:textId="21E9CA26">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Vermeer (BBB) en Van Eijk (VVD)</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63F8C845"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Oordeel Kamer</w:t>
            </w:r>
          </w:p>
        </w:tc>
      </w:tr>
      <w:tr w:rsidRPr="00F11423" w:rsidR="00BA26F9" w:rsidTr="008D533C" w14:paraId="10772033"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465446F8" w14:textId="77777777">
            <w:pPr>
              <w:spacing w:after="0" w:line="276" w:lineRule="auto"/>
              <w:rPr>
                <w:rFonts w:ascii="Verdana" w:hAnsi="Verdana"/>
                <w:sz w:val="18"/>
                <w:szCs w:val="18"/>
              </w:rPr>
            </w:pPr>
            <w:r w:rsidRPr="00F11423">
              <w:rPr>
                <w:rFonts w:ascii="Verdana" w:hAnsi="Verdana"/>
                <w:b/>
                <w:bCs/>
                <w:sz w:val="18"/>
                <w:szCs w:val="18"/>
              </w:rPr>
              <w:t xml:space="preserve">Gevolgen: </w:t>
            </w:r>
            <w:r w:rsidRPr="00F11423">
              <w:rPr>
                <w:rFonts w:ascii="Verdana" w:hAnsi="Verdana"/>
                <w:sz w:val="18"/>
                <w:szCs w:val="18"/>
              </w:rPr>
              <w:t xml:space="preserve">Dit amendement regelt het niet invoeren van </w:t>
            </w:r>
            <w:proofErr w:type="spellStart"/>
            <w:r w:rsidRPr="00F11423">
              <w:rPr>
                <w:rFonts w:ascii="Verdana" w:hAnsi="Verdana"/>
                <w:sz w:val="18"/>
                <w:szCs w:val="18"/>
              </w:rPr>
              <w:t>antifragmentatiemaatregel</w:t>
            </w:r>
            <w:proofErr w:type="spellEnd"/>
            <w:r w:rsidRPr="00F11423">
              <w:rPr>
                <w:rFonts w:ascii="Verdana" w:hAnsi="Verdana"/>
                <w:sz w:val="18"/>
                <w:szCs w:val="18"/>
              </w:rPr>
              <w:t xml:space="preserve"> in generieke renteaftrekbeperking gedekt door het begrenzen van de verhoging van het percentage van de generieke renteaftrekbeperking tot 24,5%, in plaats van tot de voorgestelde 25%. </w:t>
            </w:r>
          </w:p>
          <w:p w:rsidRPr="00F11423" w:rsidR="00BA26F9" w:rsidP="00F11423" w:rsidRDefault="00BA26F9" w14:paraId="13BAA315" w14:textId="77777777">
            <w:pPr>
              <w:spacing w:after="0" w:line="276" w:lineRule="auto"/>
              <w:rPr>
                <w:rFonts w:ascii="Verdana" w:hAnsi="Verdana"/>
                <w:sz w:val="18"/>
                <w:szCs w:val="18"/>
              </w:rPr>
            </w:pPr>
            <w:r w:rsidRPr="00F11423">
              <w:rPr>
                <w:rFonts w:ascii="Verdana" w:hAnsi="Verdana"/>
                <w:sz w:val="18"/>
                <w:szCs w:val="18"/>
              </w:rPr>
              <w:t xml:space="preserve">Vanuit de Belastingdienst is het signaal opgekomen dat er met name ten aanzien van verhuurd vastgoed wordt ‘opgeknipt’. Het doel van de </w:t>
            </w:r>
            <w:proofErr w:type="spellStart"/>
            <w:r w:rsidRPr="00F11423">
              <w:rPr>
                <w:rFonts w:ascii="Verdana" w:hAnsi="Verdana"/>
                <w:sz w:val="18"/>
                <w:szCs w:val="18"/>
              </w:rPr>
              <w:t>antifragmentatiemaatregel</w:t>
            </w:r>
            <w:proofErr w:type="spellEnd"/>
            <w:r w:rsidRPr="00F11423">
              <w:rPr>
                <w:rFonts w:ascii="Verdana" w:hAnsi="Verdana"/>
                <w:sz w:val="18"/>
                <w:szCs w:val="18"/>
              </w:rPr>
              <w:t xml:space="preserve"> is om ‘opknipgedrag’ van vastgoedlichamentegen te gaan. Zonder </w:t>
            </w:r>
            <w:proofErr w:type="spellStart"/>
            <w:r w:rsidRPr="00F11423">
              <w:rPr>
                <w:rFonts w:ascii="Verdana" w:hAnsi="Verdana"/>
                <w:sz w:val="18"/>
                <w:szCs w:val="18"/>
              </w:rPr>
              <w:t>antifragmentatiemaatregel</w:t>
            </w:r>
            <w:proofErr w:type="spellEnd"/>
            <w:r w:rsidRPr="00F11423">
              <w:rPr>
                <w:rFonts w:ascii="Verdana" w:hAnsi="Verdana"/>
                <w:sz w:val="18"/>
                <w:szCs w:val="18"/>
              </w:rPr>
              <w:t xml:space="preserve"> wordt ‘opknipgedrag’ niet tegengegaan. De gevolgen van de </w:t>
            </w:r>
            <w:proofErr w:type="spellStart"/>
            <w:r w:rsidRPr="00F11423">
              <w:rPr>
                <w:rFonts w:ascii="Verdana" w:hAnsi="Verdana"/>
                <w:sz w:val="18"/>
                <w:szCs w:val="18"/>
              </w:rPr>
              <w:t>antifragmentatiemaatregel</w:t>
            </w:r>
            <w:proofErr w:type="spellEnd"/>
            <w:r w:rsidRPr="00F11423">
              <w:rPr>
                <w:rFonts w:ascii="Verdana" w:hAnsi="Verdana"/>
                <w:sz w:val="18"/>
                <w:szCs w:val="18"/>
              </w:rPr>
              <w:t xml:space="preserve"> zijn door het kabinet bij de vormgeving geraamd. Bij die inschatting is een opbrengst van € 40 miljoen geraamd, die voor een belangrijk deel zou worden opgehaald bij investeerders op de vastgoedmarkt. </w:t>
            </w:r>
          </w:p>
          <w:p w:rsidRPr="00F11423" w:rsidR="00BA26F9" w:rsidP="00F11423" w:rsidRDefault="00BA26F9" w14:paraId="32CC40BC" w14:textId="77777777">
            <w:pPr>
              <w:spacing w:after="0" w:line="276" w:lineRule="auto"/>
              <w:rPr>
                <w:rFonts w:ascii="Verdana" w:hAnsi="Verdana"/>
                <w:sz w:val="18"/>
                <w:szCs w:val="18"/>
              </w:rPr>
            </w:pPr>
            <w:r w:rsidRPr="00F11423">
              <w:rPr>
                <w:rFonts w:ascii="Verdana" w:hAnsi="Verdana"/>
                <w:sz w:val="18"/>
                <w:szCs w:val="18"/>
              </w:rPr>
              <w:t xml:space="preserve">Tegelijkertijd zet het kabinet vol in op de bouw van voldoende woningen en komen er signalen vanuit de sector dat de </w:t>
            </w:r>
            <w:proofErr w:type="spellStart"/>
            <w:r w:rsidRPr="00F11423">
              <w:rPr>
                <w:rFonts w:ascii="Verdana" w:hAnsi="Verdana"/>
                <w:sz w:val="18"/>
                <w:szCs w:val="18"/>
              </w:rPr>
              <w:t>antifragmentatiemaatregel</w:t>
            </w:r>
            <w:proofErr w:type="spellEnd"/>
            <w:r w:rsidRPr="00F11423">
              <w:rPr>
                <w:rFonts w:ascii="Verdana" w:hAnsi="Verdana"/>
                <w:sz w:val="18"/>
                <w:szCs w:val="18"/>
              </w:rPr>
              <w:t xml:space="preserve"> de investeringscapaciteit voor het bouwen van voldoende woningen negatief beïnvloedt. Daarnaast wenst het kabinet het ondernemingsklimaat te versterken door het percentage van generieke renteaftrekbeperking te verhogen en daarmee meer in lijn te brengen met het Europese gemiddelde. Dit komt ook ten goede aan woningcorporaties en andere private vastgoedinvesteerders.</w:t>
            </w:r>
          </w:p>
          <w:p w:rsidRPr="00F11423" w:rsidR="00BA26F9" w:rsidP="00F11423" w:rsidRDefault="00BA26F9" w14:paraId="14B21FB5" w14:textId="3D091DA3">
            <w:pPr>
              <w:spacing w:after="0" w:line="276" w:lineRule="auto"/>
              <w:rPr>
                <w:rFonts w:ascii="Verdana" w:hAnsi="Verdana"/>
                <w:sz w:val="18"/>
                <w:szCs w:val="18"/>
              </w:rPr>
            </w:pPr>
            <w:r w:rsidRPr="00F11423">
              <w:rPr>
                <w:rFonts w:ascii="Verdana" w:hAnsi="Verdana"/>
                <w:sz w:val="18"/>
                <w:szCs w:val="18"/>
              </w:rPr>
              <w:t xml:space="preserve">Het tegengaan van </w:t>
            </w:r>
            <w:r w:rsidRPr="006D0C4A">
              <w:rPr>
                <w:rFonts w:ascii="Verdana" w:hAnsi="Verdana"/>
                <w:sz w:val="18"/>
                <w:szCs w:val="18"/>
              </w:rPr>
              <w:t xml:space="preserve">ongewenste belastingconstructies is en blijft een van de speerpunten van dit kabinet. </w:t>
            </w:r>
            <w:proofErr w:type="gramStart"/>
            <w:r w:rsidRPr="006D0C4A">
              <w:rPr>
                <w:rFonts w:ascii="Verdana" w:hAnsi="Verdana"/>
                <w:sz w:val="18"/>
                <w:szCs w:val="18"/>
              </w:rPr>
              <w:t>Desalniettemin</w:t>
            </w:r>
            <w:proofErr w:type="gramEnd"/>
            <w:r w:rsidRPr="006D0C4A">
              <w:rPr>
                <w:rFonts w:ascii="Verdana" w:hAnsi="Verdana"/>
                <w:sz w:val="18"/>
                <w:szCs w:val="18"/>
              </w:rPr>
              <w:t xml:space="preserve"> kan ik de gedachte achter dit amendement - om de woningbouwsector de ruimte te bieden om voldoende woningen te bouwen - volgen. En het amendement is voorzien van dekking. Daarom geef ik het oordeel Kamer</w:t>
            </w:r>
            <w:r w:rsidRPr="006D0C4A" w:rsidR="006D0C4A">
              <w:rPr>
                <w:rFonts w:ascii="Verdana" w:hAnsi="Verdana"/>
                <w:sz w:val="18"/>
                <w:szCs w:val="18"/>
              </w:rPr>
              <w:t xml:space="preserve">, </w:t>
            </w:r>
            <w:r w:rsidRPr="006D0C4A" w:rsidR="006D0C4A">
              <w:rPr>
                <w:rStyle w:val="cf01"/>
                <w:rFonts w:ascii="Verdana" w:hAnsi="Verdana"/>
              </w:rPr>
              <w:t>met de kanttekening dat het kabinet andere mogelijkheden zal inventariseren</w:t>
            </w:r>
            <w:r w:rsidRPr="006D0C4A">
              <w:rPr>
                <w:rFonts w:ascii="Verdana" w:hAnsi="Verdana"/>
                <w:sz w:val="18"/>
                <w:szCs w:val="18"/>
              </w:rPr>
              <w:t xml:space="preserve"> om in dit kader ongewenste constructies tegen te gaan.</w:t>
            </w:r>
          </w:p>
        </w:tc>
      </w:tr>
      <w:tr w:rsidRPr="00F11423" w:rsidR="00BA26F9" w:rsidTr="008D533C" w14:paraId="10DBE4B3"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BA26F9" w:rsidP="00F11423" w:rsidRDefault="00BA26F9" w14:paraId="365893A8" w14:textId="60C6A6DA">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Dit amendement heeft in de structurele fase per saldo geen budgettair effect.</w:t>
            </w:r>
          </w:p>
          <w:tbl>
            <w:tblPr>
              <w:tblW w:w="7367" w:type="dxa"/>
              <w:tblLayout w:type="fixed"/>
              <w:tblCellMar>
                <w:left w:w="0" w:type="dxa"/>
                <w:right w:w="0" w:type="dxa"/>
              </w:tblCellMar>
              <w:tblLook w:val="04A0" w:firstRow="1" w:lastRow="0" w:firstColumn="1" w:lastColumn="0" w:noHBand="0" w:noVBand="1"/>
            </w:tblPr>
            <w:tblGrid>
              <w:gridCol w:w="2637"/>
              <w:gridCol w:w="788"/>
              <w:gridCol w:w="788"/>
              <w:gridCol w:w="789"/>
              <w:gridCol w:w="788"/>
              <w:gridCol w:w="788"/>
              <w:gridCol w:w="789"/>
            </w:tblGrid>
            <w:tr w:rsidRPr="00F11423" w:rsidR="00BA26F9" w:rsidTr="00F36A62" w14:paraId="654ABEDB" w14:textId="77777777">
              <w:trPr>
                <w:trHeight w:val="656"/>
              </w:trPr>
              <w:tc>
                <w:tcPr>
                  <w:tcW w:w="2637"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7F256DB8" w14:textId="77777777">
                  <w:pPr>
                    <w:spacing w:after="0" w:line="276" w:lineRule="auto"/>
                    <w:rPr>
                      <w:rFonts w:ascii="Verdana" w:hAnsi="Verdana"/>
                      <w:sz w:val="18"/>
                      <w:szCs w:val="18"/>
                    </w:rPr>
                  </w:pPr>
                  <w:r w:rsidRPr="00F11423">
                    <w:rPr>
                      <w:rFonts w:ascii="Verdana" w:hAnsi="Verdana"/>
                      <w:color w:val="000000"/>
                      <w:sz w:val="18"/>
                      <w:szCs w:val="18"/>
                    </w:rPr>
                    <w:t>Omvang in mln. €</w:t>
                  </w:r>
                </w:p>
              </w:tc>
              <w:tc>
                <w:tcPr>
                  <w:tcW w:w="788" w:type="dxa"/>
                  <w:tcBorders>
                    <w:top w:val="single" w:color="auto" w:sz="8" w:space="0"/>
                    <w:left w:val="nil"/>
                    <w:bottom w:val="single" w:color="auto" w:sz="8" w:space="0"/>
                    <w:right w:val="single" w:color="auto" w:sz="4" w:space="0"/>
                  </w:tcBorders>
                  <w:shd w:val="clear" w:color="auto" w:fill="DEEAF6"/>
                </w:tcPr>
                <w:p w:rsidRPr="00F11423" w:rsidR="00BA26F9" w:rsidP="00F11423" w:rsidRDefault="00BA26F9" w14:paraId="59EF15F1" w14:textId="77777777">
                  <w:pPr>
                    <w:spacing w:after="0" w:line="276" w:lineRule="auto"/>
                    <w:jc w:val="center"/>
                    <w:rPr>
                      <w:rFonts w:ascii="Verdana" w:hAnsi="Verdana"/>
                      <w:i/>
                      <w:iCs/>
                      <w:color w:val="000000"/>
                      <w:sz w:val="18"/>
                      <w:szCs w:val="18"/>
                    </w:rPr>
                  </w:pPr>
                  <w:r w:rsidRPr="00F11423">
                    <w:rPr>
                      <w:rFonts w:ascii="Verdana" w:hAnsi="Verdana"/>
                      <w:i/>
                      <w:iCs/>
                      <w:color w:val="000000"/>
                      <w:sz w:val="18"/>
                      <w:szCs w:val="18"/>
                    </w:rPr>
                    <w:t>2024</w:t>
                  </w:r>
                </w:p>
              </w:tc>
              <w:tc>
                <w:tcPr>
                  <w:tcW w:w="788" w:type="dxa"/>
                  <w:tcBorders>
                    <w:top w:val="single" w:color="auto" w:sz="8" w:space="0"/>
                    <w:left w:val="single" w:color="auto" w:sz="4"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4429A02F" w14:textId="77777777">
                  <w:pPr>
                    <w:spacing w:after="0" w:line="276" w:lineRule="auto"/>
                    <w:jc w:val="center"/>
                    <w:rPr>
                      <w:rFonts w:ascii="Verdana" w:hAnsi="Verdana"/>
                      <w:i/>
                      <w:iCs/>
                      <w:sz w:val="18"/>
                      <w:szCs w:val="18"/>
                    </w:rPr>
                  </w:pPr>
                  <w:r w:rsidRPr="00F11423">
                    <w:rPr>
                      <w:rFonts w:ascii="Verdana" w:hAnsi="Verdana"/>
                      <w:i/>
                      <w:iCs/>
                      <w:color w:val="000000"/>
                      <w:sz w:val="18"/>
                      <w:szCs w:val="18"/>
                    </w:rPr>
                    <w:t>2025</w:t>
                  </w:r>
                </w:p>
              </w:tc>
              <w:tc>
                <w:tcPr>
                  <w:tcW w:w="78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0BF2F88E" w14:textId="77777777">
                  <w:pPr>
                    <w:spacing w:after="0" w:line="276" w:lineRule="auto"/>
                    <w:jc w:val="center"/>
                    <w:rPr>
                      <w:rFonts w:ascii="Verdana" w:hAnsi="Verdana"/>
                      <w:i/>
                      <w:iCs/>
                      <w:sz w:val="18"/>
                      <w:szCs w:val="18"/>
                    </w:rPr>
                  </w:pPr>
                  <w:r w:rsidRPr="00F11423">
                    <w:rPr>
                      <w:rFonts w:ascii="Verdana" w:hAnsi="Verdana"/>
                      <w:i/>
                      <w:iCs/>
                      <w:color w:val="000000"/>
                      <w:sz w:val="18"/>
                      <w:szCs w:val="18"/>
                    </w:rPr>
                    <w:t>206</w:t>
                  </w:r>
                </w:p>
              </w:tc>
              <w:tc>
                <w:tcPr>
                  <w:tcW w:w="78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03360C06" w14:textId="77777777">
                  <w:pPr>
                    <w:spacing w:after="0" w:line="276" w:lineRule="auto"/>
                    <w:jc w:val="center"/>
                    <w:rPr>
                      <w:rFonts w:ascii="Verdana" w:hAnsi="Verdana"/>
                      <w:i/>
                      <w:iCs/>
                      <w:sz w:val="18"/>
                      <w:szCs w:val="18"/>
                    </w:rPr>
                  </w:pPr>
                  <w:r w:rsidRPr="00F11423">
                    <w:rPr>
                      <w:rFonts w:ascii="Verdana" w:hAnsi="Verdana"/>
                      <w:i/>
                      <w:iCs/>
                      <w:color w:val="000000"/>
                      <w:sz w:val="18"/>
                      <w:szCs w:val="18"/>
                    </w:rPr>
                    <w:t>2027</w:t>
                  </w:r>
                </w:p>
              </w:tc>
              <w:tc>
                <w:tcPr>
                  <w:tcW w:w="78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4B77EAA4" w14:textId="77777777">
                  <w:pPr>
                    <w:spacing w:after="0" w:line="276" w:lineRule="auto"/>
                    <w:jc w:val="center"/>
                    <w:rPr>
                      <w:rFonts w:ascii="Verdana" w:hAnsi="Verdana"/>
                      <w:i/>
                      <w:iCs/>
                      <w:sz w:val="18"/>
                      <w:szCs w:val="18"/>
                    </w:rPr>
                  </w:pPr>
                  <w:r w:rsidRPr="00F11423">
                    <w:rPr>
                      <w:rFonts w:ascii="Verdana" w:hAnsi="Verdana"/>
                      <w:i/>
                      <w:iCs/>
                      <w:color w:val="000000"/>
                      <w:sz w:val="18"/>
                      <w:szCs w:val="18"/>
                    </w:rPr>
                    <w:t>2028</w:t>
                  </w:r>
                </w:p>
              </w:tc>
              <w:tc>
                <w:tcPr>
                  <w:tcW w:w="78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527172B7" w14:textId="77777777">
                  <w:pPr>
                    <w:spacing w:after="0" w:line="276" w:lineRule="auto"/>
                    <w:jc w:val="center"/>
                    <w:rPr>
                      <w:rFonts w:ascii="Verdana" w:hAnsi="Verdana"/>
                      <w:sz w:val="18"/>
                      <w:szCs w:val="18"/>
                    </w:rPr>
                  </w:pPr>
                  <w:r w:rsidRPr="00F11423">
                    <w:rPr>
                      <w:rFonts w:ascii="Verdana" w:hAnsi="Verdana"/>
                      <w:color w:val="000000"/>
                      <w:sz w:val="18"/>
                      <w:szCs w:val="18"/>
                    </w:rPr>
                    <w:t>Structureel</w:t>
                  </w:r>
                </w:p>
              </w:tc>
            </w:tr>
            <w:tr w:rsidRPr="00F11423" w:rsidR="00BA26F9" w:rsidTr="00F36A62" w14:paraId="20173FC2" w14:textId="77777777">
              <w:trPr>
                <w:trHeight w:val="656"/>
              </w:trPr>
              <w:tc>
                <w:tcPr>
                  <w:tcW w:w="2637"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7F88B25E" w14:textId="77777777">
                  <w:pPr>
                    <w:spacing w:after="0" w:line="276" w:lineRule="auto"/>
                    <w:rPr>
                      <w:rFonts w:ascii="Verdana" w:hAnsi="Verdana"/>
                      <w:sz w:val="18"/>
                      <w:szCs w:val="18"/>
                    </w:rPr>
                  </w:pPr>
                  <w:r w:rsidRPr="00F11423">
                    <w:rPr>
                      <w:rFonts w:ascii="Verdana" w:hAnsi="Verdana"/>
                      <w:sz w:val="18"/>
                      <w:szCs w:val="18"/>
                    </w:rPr>
                    <w:t xml:space="preserve">Niet invoeren </w:t>
                  </w:r>
                  <w:proofErr w:type="spellStart"/>
                  <w:r w:rsidRPr="00F11423">
                    <w:rPr>
                      <w:rFonts w:ascii="Verdana" w:hAnsi="Verdana"/>
                      <w:sz w:val="18"/>
                      <w:szCs w:val="18"/>
                    </w:rPr>
                    <w:t>antifragmentatiemaatregel</w:t>
                  </w:r>
                  <w:proofErr w:type="spellEnd"/>
                </w:p>
              </w:tc>
              <w:tc>
                <w:tcPr>
                  <w:tcW w:w="788" w:type="dxa"/>
                  <w:tcBorders>
                    <w:top w:val="single" w:color="auto" w:sz="8" w:space="0"/>
                    <w:left w:val="nil"/>
                    <w:bottom w:val="single" w:color="auto" w:sz="8" w:space="0"/>
                    <w:right w:val="single" w:color="auto" w:sz="4" w:space="0"/>
                  </w:tcBorders>
                </w:tcPr>
                <w:p w:rsidRPr="00F11423" w:rsidR="00BA26F9" w:rsidP="00F11423" w:rsidRDefault="00BA26F9" w14:paraId="3A2FC60C" w14:textId="77777777">
                  <w:pPr>
                    <w:spacing w:after="0" w:line="276" w:lineRule="auto"/>
                    <w:jc w:val="center"/>
                    <w:rPr>
                      <w:rFonts w:ascii="Verdana" w:hAnsi="Verdana"/>
                      <w:sz w:val="18"/>
                      <w:szCs w:val="18"/>
                    </w:rPr>
                  </w:pPr>
                  <w:r w:rsidRPr="00F11423">
                    <w:rPr>
                      <w:rFonts w:ascii="Verdana" w:hAnsi="Verdana"/>
                      <w:sz w:val="18"/>
                      <w:szCs w:val="18"/>
                    </w:rPr>
                    <w:t>-3</w:t>
                  </w:r>
                </w:p>
              </w:tc>
              <w:tc>
                <w:tcPr>
                  <w:tcW w:w="788" w:type="dxa"/>
                  <w:tcBorders>
                    <w:top w:val="nil"/>
                    <w:left w:val="single" w:color="auto" w:sz="4" w:space="0"/>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55CD849D" w14:textId="77777777">
                  <w:pPr>
                    <w:spacing w:after="0" w:line="276" w:lineRule="auto"/>
                    <w:jc w:val="center"/>
                    <w:rPr>
                      <w:rFonts w:ascii="Verdana" w:hAnsi="Verdana"/>
                      <w:sz w:val="18"/>
                      <w:szCs w:val="18"/>
                    </w:rPr>
                  </w:pPr>
                  <w:r w:rsidRPr="00F11423">
                    <w:rPr>
                      <w:rFonts w:ascii="Verdana" w:hAnsi="Verdana"/>
                      <w:sz w:val="18"/>
                      <w:szCs w:val="18"/>
                    </w:rPr>
                    <w:t>-53</w:t>
                  </w:r>
                </w:p>
              </w:tc>
              <w:tc>
                <w:tcPr>
                  <w:tcW w:w="789"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48655519" w14:textId="77777777">
                  <w:pPr>
                    <w:spacing w:after="0" w:line="276" w:lineRule="auto"/>
                    <w:jc w:val="center"/>
                    <w:rPr>
                      <w:rFonts w:ascii="Verdana" w:hAnsi="Verdana"/>
                      <w:sz w:val="18"/>
                      <w:szCs w:val="18"/>
                    </w:rPr>
                  </w:pPr>
                  <w:r w:rsidRPr="00F11423">
                    <w:rPr>
                      <w:rFonts w:ascii="Verdana" w:hAnsi="Verdana"/>
                      <w:sz w:val="18"/>
                      <w:szCs w:val="18"/>
                    </w:rPr>
                    <w:t>-48</w:t>
                  </w:r>
                </w:p>
              </w:tc>
              <w:tc>
                <w:tcPr>
                  <w:tcW w:w="788"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727E86A8" w14:textId="77777777">
                  <w:pPr>
                    <w:spacing w:after="0" w:line="276" w:lineRule="auto"/>
                    <w:jc w:val="center"/>
                    <w:rPr>
                      <w:rFonts w:ascii="Verdana" w:hAnsi="Verdana"/>
                      <w:sz w:val="18"/>
                      <w:szCs w:val="18"/>
                    </w:rPr>
                  </w:pPr>
                  <w:r w:rsidRPr="00F11423">
                    <w:rPr>
                      <w:rFonts w:ascii="Verdana" w:hAnsi="Verdana"/>
                      <w:sz w:val="18"/>
                      <w:szCs w:val="18"/>
                    </w:rPr>
                    <w:t>-44</w:t>
                  </w:r>
                </w:p>
              </w:tc>
              <w:tc>
                <w:tcPr>
                  <w:tcW w:w="788"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7B00CE6B" w14:textId="77777777">
                  <w:pPr>
                    <w:spacing w:after="0" w:line="276" w:lineRule="auto"/>
                    <w:jc w:val="center"/>
                    <w:rPr>
                      <w:rFonts w:ascii="Verdana" w:hAnsi="Verdana"/>
                      <w:sz w:val="18"/>
                      <w:szCs w:val="18"/>
                    </w:rPr>
                  </w:pPr>
                  <w:r w:rsidRPr="00F11423">
                    <w:rPr>
                      <w:rFonts w:ascii="Verdana" w:hAnsi="Verdana"/>
                      <w:sz w:val="18"/>
                      <w:szCs w:val="18"/>
                    </w:rPr>
                    <w:t>-43</w:t>
                  </w:r>
                </w:p>
              </w:tc>
              <w:tc>
                <w:tcPr>
                  <w:tcW w:w="789"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68FBD495" w14:textId="77777777">
                  <w:pPr>
                    <w:spacing w:after="0" w:line="276" w:lineRule="auto"/>
                    <w:jc w:val="center"/>
                    <w:rPr>
                      <w:rFonts w:ascii="Verdana" w:hAnsi="Verdana"/>
                      <w:sz w:val="18"/>
                      <w:szCs w:val="18"/>
                    </w:rPr>
                  </w:pPr>
                  <w:r w:rsidRPr="00F11423">
                    <w:rPr>
                      <w:rFonts w:ascii="Verdana" w:hAnsi="Verdana"/>
                      <w:sz w:val="18"/>
                      <w:szCs w:val="18"/>
                    </w:rPr>
                    <w:t>-40</w:t>
                  </w:r>
                </w:p>
              </w:tc>
            </w:tr>
            <w:tr w:rsidRPr="00F11423" w:rsidR="00BA26F9" w:rsidTr="00F36A62" w14:paraId="18C79C32" w14:textId="77777777">
              <w:trPr>
                <w:trHeight w:val="656"/>
              </w:trPr>
              <w:tc>
                <w:tcPr>
                  <w:tcW w:w="2637" w:type="dxa"/>
                  <w:tcBorders>
                    <w:top w:val="single" w:color="auto" w:sz="8" w:space="0"/>
                    <w:left w:val="single" w:color="auto" w:sz="8" w:space="0"/>
                    <w:bottom w:val="single" w:color="auto" w:sz="4" w:space="0"/>
                    <w:right w:val="single" w:color="auto" w:sz="8" w:space="0"/>
                  </w:tcBorders>
                  <w:noWrap/>
                  <w:tcMar>
                    <w:top w:w="0" w:type="dxa"/>
                    <w:left w:w="108" w:type="dxa"/>
                    <w:bottom w:w="0" w:type="dxa"/>
                    <w:right w:w="108" w:type="dxa"/>
                  </w:tcMar>
                  <w:hideMark/>
                </w:tcPr>
                <w:p w:rsidRPr="00F11423" w:rsidR="00BA26F9" w:rsidP="00F11423" w:rsidRDefault="00BA26F9" w14:paraId="36F5B0F8" w14:textId="77777777">
                  <w:pPr>
                    <w:spacing w:after="0" w:line="276" w:lineRule="auto"/>
                    <w:rPr>
                      <w:rFonts w:ascii="Verdana" w:hAnsi="Verdana"/>
                      <w:sz w:val="18"/>
                      <w:szCs w:val="18"/>
                    </w:rPr>
                  </w:pPr>
                  <w:r w:rsidRPr="00F11423">
                    <w:rPr>
                      <w:rFonts w:ascii="Verdana" w:hAnsi="Verdana"/>
                      <w:sz w:val="18"/>
                      <w:szCs w:val="18"/>
                    </w:rPr>
                    <w:t>Begrenzen verhoging percentage generieke renteaftrekbeperking</w:t>
                  </w:r>
                </w:p>
              </w:tc>
              <w:tc>
                <w:tcPr>
                  <w:tcW w:w="788" w:type="dxa"/>
                  <w:tcBorders>
                    <w:top w:val="single" w:color="auto" w:sz="8" w:space="0"/>
                    <w:left w:val="nil"/>
                    <w:bottom w:val="single" w:color="auto" w:sz="4" w:space="0"/>
                    <w:right w:val="single" w:color="auto" w:sz="4" w:space="0"/>
                  </w:tcBorders>
                </w:tcPr>
                <w:p w:rsidRPr="00F11423" w:rsidR="00BA26F9" w:rsidP="00F11423" w:rsidRDefault="00BA26F9" w14:paraId="0A92FC7A" w14:textId="77777777">
                  <w:pPr>
                    <w:spacing w:after="0" w:line="276" w:lineRule="auto"/>
                    <w:jc w:val="center"/>
                    <w:rPr>
                      <w:rFonts w:ascii="Verdana" w:hAnsi="Verdana"/>
                      <w:sz w:val="18"/>
                      <w:szCs w:val="18"/>
                      <w:highlight w:val="yellow"/>
                    </w:rPr>
                  </w:pPr>
                  <w:r w:rsidRPr="00F11423">
                    <w:rPr>
                      <w:rFonts w:ascii="Verdana" w:hAnsi="Verdana"/>
                      <w:sz w:val="18"/>
                      <w:szCs w:val="18"/>
                    </w:rPr>
                    <w:t>1</w:t>
                  </w:r>
                </w:p>
              </w:tc>
              <w:tc>
                <w:tcPr>
                  <w:tcW w:w="788"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tcPr>
                <w:p w:rsidRPr="00F11423" w:rsidR="00BA26F9" w:rsidP="00F11423" w:rsidRDefault="00BA26F9" w14:paraId="43EC9AC1" w14:textId="77777777">
                  <w:pPr>
                    <w:spacing w:after="0" w:line="276" w:lineRule="auto"/>
                    <w:jc w:val="center"/>
                    <w:rPr>
                      <w:rFonts w:ascii="Verdana" w:hAnsi="Verdana"/>
                      <w:sz w:val="18"/>
                      <w:szCs w:val="18"/>
                      <w:highlight w:val="yellow"/>
                    </w:rPr>
                  </w:pPr>
                  <w:r w:rsidRPr="00F11423">
                    <w:rPr>
                      <w:rFonts w:ascii="Verdana" w:hAnsi="Verdana"/>
                      <w:sz w:val="18"/>
                      <w:szCs w:val="18"/>
                    </w:rPr>
                    <w:t>51</w:t>
                  </w:r>
                </w:p>
              </w:tc>
              <w:tc>
                <w:tcPr>
                  <w:tcW w:w="789" w:type="dxa"/>
                  <w:tcBorders>
                    <w:top w:val="single" w:color="auto" w:sz="8" w:space="0"/>
                    <w:left w:val="nil"/>
                    <w:bottom w:val="single" w:color="auto" w:sz="4" w:space="0"/>
                    <w:right w:val="single" w:color="auto" w:sz="8" w:space="0"/>
                  </w:tcBorders>
                  <w:noWrap/>
                  <w:tcMar>
                    <w:top w:w="0" w:type="dxa"/>
                    <w:left w:w="108" w:type="dxa"/>
                    <w:bottom w:w="0" w:type="dxa"/>
                    <w:right w:w="108" w:type="dxa"/>
                  </w:tcMar>
                </w:tcPr>
                <w:p w:rsidRPr="00F11423" w:rsidR="00BA26F9" w:rsidP="00F11423" w:rsidRDefault="00BA26F9" w14:paraId="66F9AE0F" w14:textId="77777777">
                  <w:pPr>
                    <w:spacing w:after="0" w:line="276" w:lineRule="auto"/>
                    <w:jc w:val="center"/>
                    <w:rPr>
                      <w:rFonts w:ascii="Verdana" w:hAnsi="Verdana"/>
                      <w:sz w:val="18"/>
                      <w:szCs w:val="18"/>
                      <w:highlight w:val="yellow"/>
                    </w:rPr>
                  </w:pPr>
                  <w:r w:rsidRPr="00F11423">
                    <w:rPr>
                      <w:rFonts w:ascii="Verdana" w:hAnsi="Verdana"/>
                      <w:sz w:val="18"/>
                      <w:szCs w:val="18"/>
                    </w:rPr>
                    <w:t>48</w:t>
                  </w:r>
                </w:p>
              </w:tc>
              <w:tc>
                <w:tcPr>
                  <w:tcW w:w="788" w:type="dxa"/>
                  <w:tcBorders>
                    <w:top w:val="single" w:color="auto" w:sz="8" w:space="0"/>
                    <w:left w:val="nil"/>
                    <w:bottom w:val="single" w:color="auto" w:sz="4" w:space="0"/>
                    <w:right w:val="single" w:color="auto" w:sz="8" w:space="0"/>
                  </w:tcBorders>
                  <w:noWrap/>
                  <w:tcMar>
                    <w:top w:w="0" w:type="dxa"/>
                    <w:left w:w="108" w:type="dxa"/>
                    <w:bottom w:w="0" w:type="dxa"/>
                    <w:right w:w="108" w:type="dxa"/>
                  </w:tcMar>
                </w:tcPr>
                <w:p w:rsidRPr="00F11423" w:rsidR="00BA26F9" w:rsidP="00F11423" w:rsidRDefault="00BA26F9" w14:paraId="13976E63" w14:textId="77777777">
                  <w:pPr>
                    <w:spacing w:after="0" w:line="276" w:lineRule="auto"/>
                    <w:jc w:val="center"/>
                    <w:rPr>
                      <w:rFonts w:ascii="Verdana" w:hAnsi="Verdana"/>
                      <w:sz w:val="18"/>
                      <w:szCs w:val="18"/>
                      <w:highlight w:val="yellow"/>
                    </w:rPr>
                  </w:pPr>
                  <w:r w:rsidRPr="00F11423">
                    <w:rPr>
                      <w:rFonts w:ascii="Verdana" w:hAnsi="Verdana"/>
                      <w:sz w:val="18"/>
                      <w:szCs w:val="18"/>
                    </w:rPr>
                    <w:t>45</w:t>
                  </w:r>
                </w:p>
              </w:tc>
              <w:tc>
                <w:tcPr>
                  <w:tcW w:w="788" w:type="dxa"/>
                  <w:tcBorders>
                    <w:top w:val="single" w:color="auto" w:sz="8" w:space="0"/>
                    <w:left w:val="nil"/>
                    <w:bottom w:val="single" w:color="auto" w:sz="4" w:space="0"/>
                    <w:right w:val="single" w:color="auto" w:sz="8" w:space="0"/>
                  </w:tcBorders>
                  <w:noWrap/>
                  <w:tcMar>
                    <w:top w:w="0" w:type="dxa"/>
                    <w:left w:w="108" w:type="dxa"/>
                    <w:bottom w:w="0" w:type="dxa"/>
                    <w:right w:w="108" w:type="dxa"/>
                  </w:tcMar>
                </w:tcPr>
                <w:p w:rsidRPr="00F11423" w:rsidR="00BA26F9" w:rsidP="00F11423" w:rsidRDefault="00BA26F9" w14:paraId="337285E3" w14:textId="77777777">
                  <w:pPr>
                    <w:spacing w:after="0" w:line="276" w:lineRule="auto"/>
                    <w:jc w:val="center"/>
                    <w:rPr>
                      <w:rFonts w:ascii="Verdana" w:hAnsi="Verdana"/>
                      <w:sz w:val="18"/>
                      <w:szCs w:val="18"/>
                      <w:highlight w:val="yellow"/>
                    </w:rPr>
                  </w:pPr>
                  <w:r w:rsidRPr="00F11423">
                    <w:rPr>
                      <w:rFonts w:ascii="Verdana" w:hAnsi="Verdana"/>
                      <w:sz w:val="18"/>
                      <w:szCs w:val="18"/>
                    </w:rPr>
                    <w:t>43</w:t>
                  </w:r>
                </w:p>
              </w:tc>
              <w:tc>
                <w:tcPr>
                  <w:tcW w:w="789" w:type="dxa"/>
                  <w:tcBorders>
                    <w:top w:val="single" w:color="auto" w:sz="8" w:space="0"/>
                    <w:left w:val="nil"/>
                    <w:bottom w:val="single" w:color="auto" w:sz="4" w:space="0"/>
                    <w:right w:val="single" w:color="auto" w:sz="8" w:space="0"/>
                  </w:tcBorders>
                  <w:noWrap/>
                  <w:tcMar>
                    <w:top w:w="0" w:type="dxa"/>
                    <w:left w:w="108" w:type="dxa"/>
                    <w:bottom w:w="0" w:type="dxa"/>
                    <w:right w:w="108" w:type="dxa"/>
                  </w:tcMar>
                  <w:hideMark/>
                </w:tcPr>
                <w:p w:rsidRPr="00F11423" w:rsidR="00BA26F9" w:rsidP="00F11423" w:rsidRDefault="00BA26F9" w14:paraId="4B87189A" w14:textId="77777777">
                  <w:pPr>
                    <w:spacing w:after="0" w:line="276" w:lineRule="auto"/>
                    <w:rPr>
                      <w:rFonts w:ascii="Verdana" w:hAnsi="Verdana"/>
                      <w:sz w:val="18"/>
                      <w:szCs w:val="18"/>
                    </w:rPr>
                  </w:pPr>
                  <w:r w:rsidRPr="00F11423">
                    <w:rPr>
                      <w:rFonts w:ascii="Verdana" w:hAnsi="Verdana"/>
                      <w:sz w:val="18"/>
                      <w:szCs w:val="18"/>
                    </w:rPr>
                    <w:t xml:space="preserve"> 41</w:t>
                  </w:r>
                </w:p>
              </w:tc>
            </w:tr>
            <w:tr w:rsidRPr="00F11423" w:rsidR="00BA26F9" w:rsidTr="00F36A62" w14:paraId="42EC9995" w14:textId="77777777">
              <w:trPr>
                <w:trHeight w:val="656"/>
              </w:trPr>
              <w:tc>
                <w:tcPr>
                  <w:tcW w:w="2637"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3CBFF23F" w14:textId="77777777">
                  <w:pPr>
                    <w:spacing w:after="0" w:line="276" w:lineRule="auto"/>
                    <w:rPr>
                      <w:rFonts w:ascii="Verdana" w:hAnsi="Verdana"/>
                      <w:sz w:val="18"/>
                      <w:szCs w:val="18"/>
                    </w:rPr>
                  </w:pPr>
                  <w:r w:rsidRPr="00F11423">
                    <w:rPr>
                      <w:rFonts w:ascii="Verdana" w:hAnsi="Verdana"/>
                      <w:sz w:val="18"/>
                      <w:szCs w:val="18"/>
                    </w:rPr>
                    <w:t>Per saldo</w:t>
                  </w:r>
                </w:p>
              </w:tc>
              <w:tc>
                <w:tcPr>
                  <w:tcW w:w="788" w:type="dxa"/>
                  <w:tcBorders>
                    <w:top w:val="single" w:color="auto" w:sz="4" w:space="0"/>
                    <w:left w:val="nil"/>
                    <w:bottom w:val="single" w:color="auto" w:sz="8" w:space="0"/>
                    <w:right w:val="single" w:color="auto" w:sz="4" w:space="0"/>
                  </w:tcBorders>
                </w:tcPr>
                <w:p w:rsidRPr="00F11423" w:rsidR="00BA26F9" w:rsidP="00F11423" w:rsidRDefault="00BA26F9" w14:paraId="2ABD2AB0" w14:textId="77777777">
                  <w:pPr>
                    <w:spacing w:after="0" w:line="276" w:lineRule="auto"/>
                    <w:jc w:val="center"/>
                    <w:rPr>
                      <w:rFonts w:ascii="Verdana" w:hAnsi="Verdana"/>
                      <w:sz w:val="18"/>
                      <w:szCs w:val="18"/>
                      <w:highlight w:val="yellow"/>
                    </w:rPr>
                  </w:pPr>
                  <w:r w:rsidRPr="00F11423">
                    <w:rPr>
                      <w:rFonts w:ascii="Verdana" w:hAnsi="Verdana"/>
                      <w:sz w:val="18"/>
                      <w:szCs w:val="18"/>
                    </w:rPr>
                    <w:t>-2</w:t>
                  </w:r>
                </w:p>
              </w:tc>
              <w:tc>
                <w:tcPr>
                  <w:tcW w:w="788" w:type="dxa"/>
                  <w:tcBorders>
                    <w:top w:val="single" w:color="auto" w:sz="4" w:space="0"/>
                    <w:left w:val="single" w:color="auto" w:sz="4" w:space="0"/>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361B6693" w14:textId="77777777">
                  <w:pPr>
                    <w:spacing w:after="0" w:line="276" w:lineRule="auto"/>
                    <w:jc w:val="center"/>
                    <w:rPr>
                      <w:rFonts w:ascii="Verdana" w:hAnsi="Verdana"/>
                      <w:sz w:val="18"/>
                      <w:szCs w:val="18"/>
                      <w:highlight w:val="yellow"/>
                    </w:rPr>
                  </w:pPr>
                  <w:r w:rsidRPr="00F11423">
                    <w:rPr>
                      <w:rFonts w:ascii="Verdana" w:hAnsi="Verdana"/>
                      <w:sz w:val="18"/>
                      <w:szCs w:val="18"/>
                    </w:rPr>
                    <w:t>-2</w:t>
                  </w:r>
                </w:p>
              </w:tc>
              <w:tc>
                <w:tcPr>
                  <w:tcW w:w="789" w:type="dxa"/>
                  <w:tcBorders>
                    <w:top w:val="single" w:color="auto" w:sz="4" w:space="0"/>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543AD790" w14:textId="77777777">
                  <w:pPr>
                    <w:spacing w:after="0" w:line="276" w:lineRule="auto"/>
                    <w:jc w:val="center"/>
                    <w:rPr>
                      <w:rFonts w:ascii="Verdana" w:hAnsi="Verdana"/>
                      <w:sz w:val="18"/>
                      <w:szCs w:val="18"/>
                      <w:highlight w:val="yellow"/>
                    </w:rPr>
                  </w:pPr>
                  <w:r w:rsidRPr="00F11423">
                    <w:rPr>
                      <w:rFonts w:ascii="Verdana" w:hAnsi="Verdana"/>
                      <w:sz w:val="18"/>
                      <w:szCs w:val="18"/>
                    </w:rPr>
                    <w:t>0</w:t>
                  </w:r>
                </w:p>
              </w:tc>
              <w:tc>
                <w:tcPr>
                  <w:tcW w:w="788" w:type="dxa"/>
                  <w:tcBorders>
                    <w:top w:val="single" w:color="auto" w:sz="4" w:space="0"/>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706C980F" w14:textId="77777777">
                  <w:pPr>
                    <w:spacing w:after="0" w:line="276" w:lineRule="auto"/>
                    <w:jc w:val="center"/>
                    <w:rPr>
                      <w:rFonts w:ascii="Verdana" w:hAnsi="Verdana"/>
                      <w:sz w:val="18"/>
                      <w:szCs w:val="18"/>
                      <w:highlight w:val="yellow"/>
                    </w:rPr>
                  </w:pPr>
                  <w:r w:rsidRPr="00F11423">
                    <w:rPr>
                      <w:rFonts w:ascii="Verdana" w:hAnsi="Verdana"/>
                      <w:sz w:val="18"/>
                      <w:szCs w:val="18"/>
                    </w:rPr>
                    <w:t>1</w:t>
                  </w:r>
                </w:p>
              </w:tc>
              <w:tc>
                <w:tcPr>
                  <w:tcW w:w="788" w:type="dxa"/>
                  <w:tcBorders>
                    <w:top w:val="single" w:color="auto" w:sz="4" w:space="0"/>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1112751B" w14:textId="77777777">
                  <w:pPr>
                    <w:spacing w:after="0" w:line="276" w:lineRule="auto"/>
                    <w:jc w:val="center"/>
                    <w:rPr>
                      <w:rFonts w:ascii="Verdana" w:hAnsi="Verdana"/>
                      <w:sz w:val="18"/>
                      <w:szCs w:val="18"/>
                      <w:highlight w:val="yellow"/>
                    </w:rPr>
                  </w:pPr>
                  <w:r w:rsidRPr="00F11423">
                    <w:rPr>
                      <w:rFonts w:ascii="Verdana" w:hAnsi="Verdana"/>
                      <w:sz w:val="18"/>
                      <w:szCs w:val="18"/>
                    </w:rPr>
                    <w:t>0</w:t>
                  </w:r>
                </w:p>
              </w:tc>
              <w:tc>
                <w:tcPr>
                  <w:tcW w:w="789" w:type="dxa"/>
                  <w:tcBorders>
                    <w:top w:val="single" w:color="auto" w:sz="4" w:space="0"/>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0C2357D1" w14:textId="77777777">
                  <w:pPr>
                    <w:spacing w:after="0" w:line="276" w:lineRule="auto"/>
                    <w:rPr>
                      <w:rFonts w:ascii="Verdana" w:hAnsi="Verdana"/>
                      <w:sz w:val="18"/>
                      <w:szCs w:val="18"/>
                    </w:rPr>
                  </w:pPr>
                  <w:r w:rsidRPr="00F11423">
                    <w:rPr>
                      <w:rFonts w:ascii="Verdana" w:hAnsi="Verdana"/>
                      <w:sz w:val="18"/>
                      <w:szCs w:val="18"/>
                    </w:rPr>
                    <w:t>1</w:t>
                  </w:r>
                </w:p>
              </w:tc>
            </w:tr>
          </w:tbl>
          <w:p w:rsidRPr="00F11423" w:rsidR="00BA26F9" w:rsidP="00F11423" w:rsidRDefault="00BA26F9" w14:paraId="09CCCCDD" w14:textId="77777777">
            <w:pPr>
              <w:spacing w:after="0" w:line="276" w:lineRule="auto"/>
              <w:rPr>
                <w:rFonts w:ascii="Verdana" w:hAnsi="Verdana"/>
                <w:b/>
                <w:bCs/>
                <w:sz w:val="18"/>
                <w:szCs w:val="18"/>
              </w:rPr>
            </w:pPr>
          </w:p>
        </w:tc>
      </w:tr>
      <w:tr w:rsidRPr="00F11423" w:rsidR="00BA26F9" w:rsidTr="008D533C" w14:paraId="05402537"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5EE15329" w14:textId="77777777">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F11423">
              <w:rPr>
                <w:rFonts w:ascii="Verdana" w:hAnsi="Verdana"/>
                <w:sz w:val="18"/>
                <w:szCs w:val="18"/>
              </w:rPr>
              <w:t>Uitvoerbaar voor boekjaren die aanvangen op of na 1 januari 2025.</w:t>
            </w:r>
          </w:p>
        </w:tc>
      </w:tr>
    </w:tbl>
    <w:p w:rsidRPr="00F11423" w:rsidR="00BA26F9" w:rsidP="00F11423" w:rsidRDefault="00BA26F9" w14:paraId="4CD7148E"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BA26F9" w:rsidTr="008D533C" w14:paraId="3DA5C96A"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BA26F9" w:rsidP="00F11423" w:rsidRDefault="00BA26F9" w14:paraId="57C636EE" w14:textId="7D78ED94">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56</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BA26F9" w:rsidP="00F11423" w:rsidRDefault="00BA26F9" w14:paraId="6A363BEC"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B</w:t>
            </w:r>
            <w:r w:rsidRPr="00F11423">
              <w:rPr>
                <w:rFonts w:ascii="Verdana" w:hAnsi="Verdana"/>
                <w:sz w:val="18"/>
                <w:szCs w:val="18"/>
              </w:rPr>
              <w:t xml:space="preserve">tw-tarief op sierteeltproducten van 9% naar 21% per 1 januari 2025.  </w:t>
            </w:r>
          </w:p>
        </w:tc>
      </w:tr>
      <w:tr w:rsidRPr="00F11423" w:rsidR="00BA26F9" w:rsidTr="008D533C" w14:paraId="215302C3"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1C2CCAF1"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Teunissen (PvdD)</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7D723472"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BA26F9" w:rsidTr="008D533C" w14:paraId="75AE2E50"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089DA45F" w14:textId="1EFE1476">
            <w:pPr>
              <w:spacing w:after="0" w:line="276" w:lineRule="auto"/>
              <w:rPr>
                <w:rFonts w:ascii="Verdana" w:hAnsi="Verdana"/>
                <w:b/>
                <w:bCs/>
                <w:sz w:val="18"/>
                <w:szCs w:val="18"/>
              </w:rPr>
            </w:pPr>
            <w:r w:rsidRPr="00F11423">
              <w:rPr>
                <w:rFonts w:ascii="Verdana" w:hAnsi="Verdana"/>
                <w:b/>
                <w:bCs/>
                <w:sz w:val="18"/>
                <w:szCs w:val="18"/>
              </w:rPr>
              <w:t xml:space="preserve">Gevolgen: </w:t>
            </w:r>
          </w:p>
          <w:p w:rsidRPr="00F11423" w:rsidR="00BA26F9" w:rsidP="00F11423" w:rsidRDefault="00BA26F9" w14:paraId="22B78676" w14:textId="77777777">
            <w:pPr>
              <w:spacing w:after="0" w:line="276" w:lineRule="auto"/>
              <w:rPr>
                <w:rFonts w:ascii="Verdana" w:hAnsi="Verdana"/>
                <w:sz w:val="18"/>
                <w:szCs w:val="18"/>
              </w:rPr>
            </w:pPr>
            <w:r w:rsidRPr="00F11423">
              <w:rPr>
                <w:rFonts w:ascii="Verdana" w:hAnsi="Verdana"/>
                <w:sz w:val="18"/>
                <w:szCs w:val="18"/>
              </w:rPr>
              <w:lastRenderedPageBreak/>
              <w:t xml:space="preserve">Het verlaagde btw-tarief op sierteelt is in 2023 negatief geëvalueerd op doelmatigheid door </w:t>
            </w:r>
            <w:proofErr w:type="spellStart"/>
            <w:r w:rsidRPr="00F11423">
              <w:rPr>
                <w:rFonts w:ascii="Verdana" w:hAnsi="Verdana"/>
                <w:sz w:val="18"/>
                <w:szCs w:val="18"/>
              </w:rPr>
              <w:t>Dialogic</w:t>
            </w:r>
            <w:proofErr w:type="spellEnd"/>
            <w:r w:rsidRPr="00F11423">
              <w:rPr>
                <w:rFonts w:ascii="Verdana" w:hAnsi="Verdana"/>
                <w:sz w:val="18"/>
                <w:szCs w:val="18"/>
              </w:rPr>
              <w:t xml:space="preserve">. Afschaffen van het verlaagde btw-tarief zal leiden tot hogere prijzen voor consumenten. Dit zal leiden tot afnemen van de vraag en heeft daardoor negatieve financiële- en werkgelegenheidsgevolgen in de sierteeltsector. </w:t>
            </w:r>
          </w:p>
        </w:tc>
      </w:tr>
      <w:tr w:rsidRPr="00F11423" w:rsidR="00BA26F9" w:rsidTr="008D533C" w14:paraId="272F40B3"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BA26F9" w:rsidP="00F11423" w:rsidRDefault="00BA26F9" w14:paraId="36339DE9" w14:textId="77777777">
            <w:pPr>
              <w:spacing w:after="0" w:line="276" w:lineRule="auto"/>
              <w:rPr>
                <w:rFonts w:ascii="Verdana" w:hAnsi="Verdana"/>
                <w:sz w:val="18"/>
                <w:szCs w:val="18"/>
              </w:rPr>
            </w:pPr>
            <w:r w:rsidRPr="00F11423">
              <w:rPr>
                <w:rFonts w:ascii="Verdana" w:hAnsi="Verdana"/>
                <w:b/>
                <w:bCs/>
                <w:sz w:val="18"/>
                <w:szCs w:val="18"/>
              </w:rPr>
              <w:lastRenderedPageBreak/>
              <w:t xml:space="preserve">Budgettaire aspecten: </w:t>
            </w:r>
            <w:r w:rsidRPr="00F11423">
              <w:rPr>
                <w:rFonts w:ascii="Verdana" w:hAnsi="Verdana"/>
                <w:sz w:val="18"/>
                <w:szCs w:val="18"/>
              </w:rPr>
              <w:t>De opbrengst van de btw-verhoging is € 315 miljoen vanaf 2025.</w:t>
            </w:r>
          </w:p>
          <w:tbl>
            <w:tblPr>
              <w:tblW w:w="6658" w:type="dxa"/>
              <w:tblCellMar>
                <w:left w:w="0" w:type="dxa"/>
                <w:right w:w="0" w:type="dxa"/>
              </w:tblCellMar>
              <w:tblLook w:val="04A0" w:firstRow="1" w:lastRow="0" w:firstColumn="1" w:lastColumn="0" w:noHBand="0" w:noVBand="1"/>
            </w:tblPr>
            <w:tblGrid>
              <w:gridCol w:w="2405"/>
              <w:gridCol w:w="709"/>
              <w:gridCol w:w="709"/>
              <w:gridCol w:w="708"/>
              <w:gridCol w:w="709"/>
              <w:gridCol w:w="1418"/>
            </w:tblGrid>
            <w:tr w:rsidRPr="00F11423" w:rsidR="00BA26F9" w:rsidTr="00F36A62" w14:paraId="40924D9D"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5F235E2A" w14:textId="77777777">
                  <w:pPr>
                    <w:spacing w:after="0" w:line="276" w:lineRule="auto"/>
                    <w:rPr>
                      <w:rFonts w:ascii="Verdana" w:hAnsi="Verdana"/>
                      <w:sz w:val="18"/>
                      <w:szCs w:val="18"/>
                    </w:rPr>
                  </w:pPr>
                  <w:r w:rsidRPr="00F11423">
                    <w:rPr>
                      <w:rFonts w:ascii="Verdana" w:hAnsi="Verdana"/>
                      <w:color w:val="000000"/>
                      <w:sz w:val="18"/>
                      <w:szCs w:val="18"/>
                    </w:rPr>
                    <w:t>Omvang in mln. €</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6AE06612" w14:textId="77777777">
                  <w:pPr>
                    <w:spacing w:after="0" w:line="276" w:lineRule="auto"/>
                    <w:rPr>
                      <w:rFonts w:ascii="Verdana" w:hAnsi="Verdana"/>
                      <w:i/>
                      <w:iCs/>
                      <w:sz w:val="18"/>
                      <w:szCs w:val="18"/>
                    </w:rPr>
                  </w:pPr>
                  <w:r w:rsidRPr="00F11423">
                    <w:rPr>
                      <w:rFonts w:ascii="Verdana" w:hAnsi="Verdana"/>
                      <w:i/>
                      <w:iCs/>
                      <w:color w:val="000000"/>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3DB8A132" w14:textId="77777777">
                  <w:pPr>
                    <w:spacing w:after="0" w:line="276" w:lineRule="auto"/>
                    <w:rPr>
                      <w:rFonts w:ascii="Verdana" w:hAnsi="Verdana"/>
                      <w:i/>
                      <w:iCs/>
                      <w:sz w:val="18"/>
                      <w:szCs w:val="18"/>
                    </w:rPr>
                  </w:pPr>
                  <w:r w:rsidRPr="00F11423">
                    <w:rPr>
                      <w:rFonts w:ascii="Verdana" w:hAnsi="Verdana"/>
                      <w:i/>
                      <w:iCs/>
                      <w:color w:val="000000"/>
                      <w:sz w:val="18"/>
                      <w:szCs w:val="18"/>
                    </w:rPr>
                    <w:t>2026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6F0CE14A" w14:textId="77777777">
                  <w:pPr>
                    <w:spacing w:after="0" w:line="276" w:lineRule="auto"/>
                    <w:rPr>
                      <w:rFonts w:ascii="Verdana" w:hAnsi="Verdana"/>
                      <w:i/>
                      <w:iCs/>
                      <w:sz w:val="18"/>
                      <w:szCs w:val="18"/>
                    </w:rPr>
                  </w:pPr>
                  <w:r w:rsidRPr="00F11423">
                    <w:rPr>
                      <w:rFonts w:ascii="Verdana" w:hAnsi="Verdana"/>
                      <w:i/>
                      <w:iCs/>
                      <w:color w:val="000000"/>
                      <w:sz w:val="18"/>
                      <w:szCs w:val="18"/>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5C2BC3D3" w14:textId="77777777">
                  <w:pPr>
                    <w:spacing w:after="0" w:line="276" w:lineRule="auto"/>
                    <w:rPr>
                      <w:rFonts w:ascii="Verdana" w:hAnsi="Verdana"/>
                      <w:i/>
                      <w:iCs/>
                      <w:sz w:val="18"/>
                      <w:szCs w:val="18"/>
                    </w:rPr>
                  </w:pPr>
                  <w:r w:rsidRPr="00F11423">
                    <w:rPr>
                      <w:rFonts w:ascii="Verdana" w:hAnsi="Verdana"/>
                      <w:i/>
                      <w:iCs/>
                      <w:color w:val="000000"/>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16045DE1" w14:textId="77777777">
                  <w:pPr>
                    <w:spacing w:after="0" w:line="276" w:lineRule="auto"/>
                    <w:rPr>
                      <w:rFonts w:ascii="Verdana" w:hAnsi="Verdana"/>
                      <w:sz w:val="18"/>
                      <w:szCs w:val="18"/>
                    </w:rPr>
                  </w:pPr>
                  <w:r w:rsidRPr="00F11423">
                    <w:rPr>
                      <w:rFonts w:ascii="Verdana" w:hAnsi="Verdana"/>
                      <w:color w:val="000000"/>
                      <w:sz w:val="18"/>
                      <w:szCs w:val="18"/>
                    </w:rPr>
                    <w:t xml:space="preserve">Structureel </w:t>
                  </w:r>
                </w:p>
              </w:tc>
            </w:tr>
            <w:tr w:rsidRPr="00F11423" w:rsidR="00BA26F9" w:rsidTr="00F36A62" w14:paraId="144D6BDA"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47B867D0" w14:textId="77777777">
                  <w:pPr>
                    <w:spacing w:after="0" w:line="276" w:lineRule="auto"/>
                    <w:rPr>
                      <w:rFonts w:ascii="Verdana" w:hAnsi="Verdana"/>
                      <w:sz w:val="18"/>
                      <w:szCs w:val="18"/>
                    </w:rPr>
                  </w:pPr>
                  <w:r w:rsidRPr="00F11423">
                    <w:rPr>
                      <w:rFonts w:ascii="Verdana" w:hAnsi="Verdana"/>
                      <w:sz w:val="18"/>
                      <w:szCs w:val="18"/>
                    </w:rPr>
                    <w:t>Tariefverhoging sierteeltproducten</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08735FFF" w14:textId="77777777">
                  <w:pPr>
                    <w:spacing w:after="0" w:line="276" w:lineRule="auto"/>
                    <w:rPr>
                      <w:rFonts w:ascii="Verdana" w:hAnsi="Verdana"/>
                      <w:sz w:val="18"/>
                      <w:szCs w:val="18"/>
                    </w:rPr>
                  </w:pPr>
                  <w:r w:rsidRPr="00F11423">
                    <w:rPr>
                      <w:rFonts w:ascii="Verdana" w:hAnsi="Verdana"/>
                      <w:sz w:val="18"/>
                      <w:szCs w:val="18"/>
                    </w:rPr>
                    <w:t>315</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4D366D69" w14:textId="77777777">
                  <w:pPr>
                    <w:spacing w:after="0" w:line="276" w:lineRule="auto"/>
                    <w:rPr>
                      <w:rFonts w:ascii="Verdana" w:hAnsi="Verdana"/>
                      <w:sz w:val="18"/>
                      <w:szCs w:val="18"/>
                    </w:rPr>
                  </w:pPr>
                  <w:r w:rsidRPr="00F11423">
                    <w:rPr>
                      <w:rFonts w:ascii="Verdana" w:hAnsi="Verdana"/>
                      <w:sz w:val="18"/>
                      <w:szCs w:val="18"/>
                    </w:rPr>
                    <w:t>315</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3C1042B1" w14:textId="77777777">
                  <w:pPr>
                    <w:spacing w:after="0" w:line="276" w:lineRule="auto"/>
                    <w:rPr>
                      <w:rFonts w:ascii="Verdana" w:hAnsi="Verdana"/>
                      <w:sz w:val="18"/>
                      <w:szCs w:val="18"/>
                    </w:rPr>
                  </w:pPr>
                  <w:r w:rsidRPr="00F11423">
                    <w:rPr>
                      <w:rFonts w:ascii="Verdana" w:hAnsi="Verdana"/>
                      <w:sz w:val="18"/>
                      <w:szCs w:val="18"/>
                    </w:rPr>
                    <w:t>315</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56DB4934" w14:textId="77777777">
                  <w:pPr>
                    <w:spacing w:after="0" w:line="276" w:lineRule="auto"/>
                    <w:rPr>
                      <w:rFonts w:ascii="Verdana" w:hAnsi="Verdana"/>
                      <w:sz w:val="18"/>
                      <w:szCs w:val="18"/>
                    </w:rPr>
                  </w:pPr>
                  <w:r w:rsidRPr="00F11423">
                    <w:rPr>
                      <w:rFonts w:ascii="Verdana" w:hAnsi="Verdana"/>
                      <w:sz w:val="18"/>
                      <w:szCs w:val="18"/>
                    </w:rPr>
                    <w:t>315</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BA26F9" w:rsidP="00F11423" w:rsidRDefault="00BA26F9" w14:paraId="359445FB" w14:textId="77777777">
                  <w:pPr>
                    <w:spacing w:after="0" w:line="276" w:lineRule="auto"/>
                    <w:rPr>
                      <w:rFonts w:ascii="Verdana" w:hAnsi="Verdana"/>
                      <w:sz w:val="18"/>
                      <w:szCs w:val="18"/>
                    </w:rPr>
                  </w:pPr>
                  <w:r w:rsidRPr="00F11423">
                    <w:rPr>
                      <w:rFonts w:ascii="Verdana" w:hAnsi="Verdana"/>
                      <w:sz w:val="18"/>
                      <w:szCs w:val="18"/>
                    </w:rPr>
                    <w:t>315</w:t>
                  </w:r>
                </w:p>
              </w:tc>
            </w:tr>
          </w:tbl>
          <w:p w:rsidRPr="00F11423" w:rsidR="00BA26F9" w:rsidP="00F11423" w:rsidRDefault="00BA26F9" w14:paraId="792F507A" w14:textId="77777777">
            <w:pPr>
              <w:spacing w:after="0" w:line="276" w:lineRule="auto"/>
              <w:rPr>
                <w:rFonts w:ascii="Verdana" w:hAnsi="Verdana"/>
                <w:b/>
                <w:bCs/>
                <w:sz w:val="18"/>
                <w:szCs w:val="18"/>
              </w:rPr>
            </w:pPr>
          </w:p>
        </w:tc>
      </w:tr>
      <w:tr w:rsidRPr="00F11423" w:rsidR="00BA26F9" w:rsidTr="008D533C" w14:paraId="2B2F6FA1"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BD72E3" w:rsidRDefault="00BA26F9" w14:paraId="3CE152BA" w14:textId="03250B89">
            <w:pPr>
              <w:rPr>
                <w:rFonts w:ascii="Verdana" w:hAnsi="Verdana"/>
                <w:b/>
                <w:bCs/>
                <w:sz w:val="18"/>
                <w:szCs w:val="18"/>
              </w:rPr>
            </w:pPr>
            <w:r w:rsidRPr="00F11423">
              <w:rPr>
                <w:rFonts w:ascii="Verdana" w:hAnsi="Verdana"/>
                <w:b/>
                <w:bCs/>
                <w:sz w:val="18"/>
                <w:szCs w:val="18"/>
              </w:rPr>
              <w:t xml:space="preserve">Uitvoeringsgevolgen: </w:t>
            </w:r>
            <w:r w:rsidRPr="00BD72E3" w:rsidR="00BD72E3">
              <w:rPr>
                <w:rFonts w:ascii="Verdana" w:hAnsi="Verdana" w:cs="Calibri"/>
                <w:color w:val="000000"/>
                <w:sz w:val="18"/>
                <w:szCs w:val="18"/>
                <w:lang w:eastAsia="nl-NL"/>
              </w:rPr>
              <w:t xml:space="preserve">Uitvoerbaar per 1 januari 2025, </w:t>
            </w:r>
            <w:r w:rsidRPr="00BD72E3" w:rsidR="00BD72E3">
              <w:rPr>
                <w:rFonts w:ascii="Verdana" w:hAnsi="Verdana"/>
                <w:sz w:val="18"/>
                <w:szCs w:val="18"/>
              </w:rPr>
              <w:t>mits dit ook uitvoerbaar is voor het bedrijfsleven. Het is hoogst onzeker of inwerkingtreding voor deze sector per 1 januari 2025 mogelijk is.</w:t>
            </w:r>
          </w:p>
        </w:tc>
      </w:tr>
    </w:tbl>
    <w:p w:rsidRPr="00F11423" w:rsidR="00BA26F9" w:rsidP="00F11423" w:rsidRDefault="00BA26F9" w14:paraId="7C17B60C"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F67E75" w:rsidTr="008D533C" w14:paraId="7ADBBA98"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F67E75" w:rsidP="00F11423" w:rsidRDefault="00F67E75" w14:paraId="3E384191" w14:textId="7F1FAE91">
            <w:pPr>
              <w:spacing w:after="0" w:line="276" w:lineRule="auto"/>
              <w:rPr>
                <w:rFonts w:ascii="Verdana" w:hAnsi="Verdana"/>
                <w:sz w:val="18"/>
                <w:szCs w:val="18"/>
              </w:rPr>
            </w:pPr>
            <w:r w:rsidRPr="00F11423">
              <w:rPr>
                <w:rFonts w:ascii="Verdana" w:hAnsi="Verdana"/>
                <w:b/>
                <w:bCs/>
                <w:sz w:val="18"/>
                <w:szCs w:val="18"/>
              </w:rPr>
              <w:t xml:space="preserve">Kamernummer: </w:t>
            </w:r>
            <w:r w:rsidRPr="00F11423">
              <w:rPr>
                <w:rFonts w:ascii="Verdana" w:hAnsi="Verdana"/>
                <w:sz w:val="18"/>
                <w:szCs w:val="18"/>
              </w:rPr>
              <w:t xml:space="preserve">36602 </w:t>
            </w:r>
            <w:r w:rsidRPr="00F11423" w:rsidR="002F2453">
              <w:rPr>
                <w:rFonts w:ascii="Verdana" w:hAnsi="Verdana"/>
                <w:sz w:val="18"/>
                <w:szCs w:val="18"/>
              </w:rPr>
              <w:t>0</w:t>
            </w:r>
            <w:r w:rsidRPr="00F11423">
              <w:rPr>
                <w:rFonts w:ascii="Verdana" w:hAnsi="Verdana"/>
                <w:sz w:val="18"/>
                <w:szCs w:val="18"/>
              </w:rPr>
              <w:t>57</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F67E75" w:rsidP="00F11423" w:rsidRDefault="00F67E75" w14:paraId="0F38387D" w14:textId="77777777">
            <w:pPr>
              <w:spacing w:after="0" w:line="276" w:lineRule="auto"/>
              <w:rPr>
                <w:rFonts w:ascii="Verdana" w:hAnsi="Verdana"/>
                <w:sz w:val="18"/>
                <w:szCs w:val="18"/>
              </w:rPr>
            </w:pPr>
            <w:r w:rsidRPr="00F11423">
              <w:rPr>
                <w:rFonts w:ascii="Verdana" w:hAnsi="Verdana"/>
                <w:b/>
                <w:bCs/>
                <w:sz w:val="18"/>
                <w:szCs w:val="18"/>
              </w:rPr>
              <w:t xml:space="preserve">Inhoud amendement: </w:t>
            </w:r>
            <w:r w:rsidRPr="00F11423">
              <w:rPr>
                <w:rFonts w:ascii="Verdana" w:hAnsi="Verdana"/>
                <w:sz w:val="18"/>
                <w:szCs w:val="18"/>
              </w:rPr>
              <w:t>Afschaffen vrijstelling assurantiebelasting exportkredietverzekering per 1 juli 2025</w:t>
            </w:r>
          </w:p>
        </w:tc>
      </w:tr>
      <w:tr w:rsidRPr="00F11423" w:rsidR="00F67E75" w:rsidTr="008D533C" w14:paraId="6414D485"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5A925958"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Teunissen (PvdD)</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3B7A7630"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F67E75" w:rsidTr="008D533C" w14:paraId="77418CE7"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0E29DE4B"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r w:rsidRPr="00F11423">
              <w:rPr>
                <w:rFonts w:ascii="Verdana" w:hAnsi="Verdana"/>
                <w:sz w:val="18"/>
                <w:szCs w:val="18"/>
              </w:rPr>
              <w:t xml:space="preserve">Het afschaffen van de vrijstelling zou de concurrentiepositie van Nederlandse exporteurs t.o.v. buitenlandse concurrenten verslechteren. Exportkredietverzekeringen zijn namelijk van groot belang voor de internationale concurrentiepositie van Nederlandse exporteurs. Uit de evaluatie van de vrijstelling in 2020 blijkt dat deze doeltreffend en doelmatig is.  </w:t>
            </w:r>
          </w:p>
        </w:tc>
      </w:tr>
      <w:tr w:rsidRPr="00F11423" w:rsidR="00F67E75" w:rsidTr="008D533C" w14:paraId="4372EB31"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F67E75" w:rsidP="00F11423" w:rsidRDefault="00F67E75" w14:paraId="28C779D3"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p>
          <w:tbl>
            <w:tblPr>
              <w:tblW w:w="6658" w:type="dxa"/>
              <w:tblCellMar>
                <w:left w:w="0" w:type="dxa"/>
                <w:right w:w="0" w:type="dxa"/>
              </w:tblCellMar>
              <w:tblLook w:val="04A0" w:firstRow="1" w:lastRow="0" w:firstColumn="1" w:lastColumn="0" w:noHBand="0" w:noVBand="1"/>
            </w:tblPr>
            <w:tblGrid>
              <w:gridCol w:w="2709"/>
              <w:gridCol w:w="709"/>
              <w:gridCol w:w="709"/>
              <w:gridCol w:w="708"/>
              <w:gridCol w:w="709"/>
              <w:gridCol w:w="1418"/>
            </w:tblGrid>
            <w:tr w:rsidRPr="00F11423" w:rsidR="00F67E75" w:rsidTr="00F36A62" w14:paraId="1652CF6A"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07994988" w14:textId="77777777">
                  <w:pPr>
                    <w:spacing w:after="0" w:line="276" w:lineRule="auto"/>
                    <w:rPr>
                      <w:rFonts w:ascii="Verdana" w:hAnsi="Verdana"/>
                      <w:sz w:val="18"/>
                      <w:szCs w:val="18"/>
                    </w:rPr>
                  </w:pPr>
                  <w:r w:rsidRPr="00F11423">
                    <w:rPr>
                      <w:rFonts w:ascii="Verdana" w:hAnsi="Verdana"/>
                      <w:sz w:val="18"/>
                      <w:szCs w:val="18"/>
                    </w:rPr>
                    <w:t>Omvang in mln. €</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1EA68A86" w14:textId="77777777">
                  <w:pPr>
                    <w:spacing w:after="0" w:line="276" w:lineRule="auto"/>
                    <w:rPr>
                      <w:rFonts w:ascii="Verdana" w:hAnsi="Verdana"/>
                      <w:i/>
                      <w:iCs/>
                      <w:sz w:val="18"/>
                      <w:szCs w:val="18"/>
                    </w:rPr>
                  </w:pPr>
                  <w:r w:rsidRPr="00F11423">
                    <w:rPr>
                      <w:rFonts w:ascii="Verdana" w:hAnsi="Verdana"/>
                      <w:i/>
                      <w:iCs/>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761CFF48" w14:textId="77777777">
                  <w:pPr>
                    <w:spacing w:after="0" w:line="276" w:lineRule="auto"/>
                    <w:rPr>
                      <w:rFonts w:ascii="Verdana" w:hAnsi="Verdana"/>
                      <w:i/>
                      <w:iCs/>
                      <w:sz w:val="18"/>
                      <w:szCs w:val="18"/>
                    </w:rPr>
                  </w:pPr>
                  <w:r w:rsidRPr="00F11423">
                    <w:rPr>
                      <w:rFonts w:ascii="Verdana" w:hAnsi="Verdana"/>
                      <w:i/>
                      <w:iCs/>
                      <w:sz w:val="18"/>
                      <w:szCs w:val="18"/>
                    </w:rPr>
                    <w:t>206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517A6DBC" w14:textId="77777777">
                  <w:pPr>
                    <w:spacing w:after="0" w:line="276" w:lineRule="auto"/>
                    <w:rPr>
                      <w:rFonts w:ascii="Verdana" w:hAnsi="Verdana"/>
                      <w:i/>
                      <w:iCs/>
                      <w:sz w:val="18"/>
                      <w:szCs w:val="18"/>
                    </w:rPr>
                  </w:pPr>
                  <w:r w:rsidRPr="00F11423">
                    <w:rPr>
                      <w:rFonts w:ascii="Verdana" w:hAnsi="Verdana"/>
                      <w:i/>
                      <w:iCs/>
                      <w:sz w:val="18"/>
                      <w:szCs w:val="18"/>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60D09372" w14:textId="77777777">
                  <w:pPr>
                    <w:spacing w:after="0" w:line="276" w:lineRule="auto"/>
                    <w:rPr>
                      <w:rFonts w:ascii="Verdana" w:hAnsi="Verdana"/>
                      <w:i/>
                      <w:iCs/>
                      <w:sz w:val="18"/>
                      <w:szCs w:val="18"/>
                    </w:rPr>
                  </w:pPr>
                  <w:r w:rsidRPr="00F11423">
                    <w:rPr>
                      <w:rFonts w:ascii="Verdana" w:hAnsi="Verdana"/>
                      <w:i/>
                      <w:iCs/>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F67E75" w:rsidP="00F11423" w:rsidRDefault="00F67E75" w14:paraId="3CB56790" w14:textId="77777777">
                  <w:pPr>
                    <w:spacing w:after="0" w:line="276" w:lineRule="auto"/>
                    <w:rPr>
                      <w:rFonts w:ascii="Verdana" w:hAnsi="Verdana"/>
                      <w:sz w:val="18"/>
                      <w:szCs w:val="18"/>
                    </w:rPr>
                  </w:pPr>
                  <w:r w:rsidRPr="00F11423">
                    <w:rPr>
                      <w:rFonts w:ascii="Verdana" w:hAnsi="Verdana"/>
                      <w:sz w:val="18"/>
                      <w:szCs w:val="18"/>
                    </w:rPr>
                    <w:t xml:space="preserve">Structureel </w:t>
                  </w:r>
                </w:p>
              </w:tc>
            </w:tr>
            <w:tr w:rsidRPr="00F11423" w:rsidR="00F67E75" w:rsidTr="00F36A62" w14:paraId="68CD64D9"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01EBCFA8" w14:textId="77777777">
                  <w:pPr>
                    <w:spacing w:after="0" w:line="276" w:lineRule="auto"/>
                    <w:rPr>
                      <w:rFonts w:ascii="Verdana" w:hAnsi="Verdana"/>
                      <w:sz w:val="18"/>
                      <w:szCs w:val="18"/>
                    </w:rPr>
                  </w:pPr>
                  <w:r w:rsidRPr="00F11423">
                    <w:rPr>
                      <w:rFonts w:ascii="Verdana" w:hAnsi="Verdana"/>
                      <w:sz w:val="18"/>
                      <w:szCs w:val="18"/>
                    </w:rPr>
                    <w:t>Afschaffen vrijstelling assurantiebelasting exportkredietverzekeringen per 1/7/25</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4E8A11B5" w14:textId="77777777">
                  <w:pPr>
                    <w:spacing w:after="0" w:line="276" w:lineRule="auto"/>
                    <w:rPr>
                      <w:rFonts w:ascii="Verdana" w:hAnsi="Verdana"/>
                      <w:sz w:val="18"/>
                      <w:szCs w:val="18"/>
                    </w:rPr>
                  </w:pPr>
                  <w:r w:rsidRPr="00F11423">
                    <w:rPr>
                      <w:rFonts w:ascii="Verdana" w:hAnsi="Verdana"/>
                      <w:sz w:val="18"/>
                      <w:szCs w:val="18"/>
                    </w:rPr>
                    <w:t>8</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21D63702" w14:textId="77777777">
                  <w:pPr>
                    <w:spacing w:after="0" w:line="276" w:lineRule="auto"/>
                    <w:rPr>
                      <w:rFonts w:ascii="Verdana" w:hAnsi="Verdana"/>
                      <w:sz w:val="18"/>
                      <w:szCs w:val="18"/>
                    </w:rPr>
                  </w:pPr>
                  <w:r w:rsidRPr="00F11423">
                    <w:rPr>
                      <w:rFonts w:ascii="Verdana" w:hAnsi="Verdana"/>
                      <w:sz w:val="18"/>
                      <w:szCs w:val="18"/>
                    </w:rPr>
                    <w:t>16</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32090193" w14:textId="77777777">
                  <w:pPr>
                    <w:spacing w:after="0" w:line="276" w:lineRule="auto"/>
                    <w:rPr>
                      <w:rFonts w:ascii="Verdana" w:hAnsi="Verdana"/>
                      <w:sz w:val="18"/>
                      <w:szCs w:val="18"/>
                    </w:rPr>
                  </w:pPr>
                  <w:r w:rsidRPr="00F11423">
                    <w:rPr>
                      <w:rFonts w:ascii="Verdana" w:hAnsi="Verdana"/>
                      <w:sz w:val="18"/>
                      <w:szCs w:val="18"/>
                    </w:rPr>
                    <w:t>16</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1E8E2092" w14:textId="77777777">
                  <w:pPr>
                    <w:spacing w:after="0" w:line="276" w:lineRule="auto"/>
                    <w:rPr>
                      <w:rFonts w:ascii="Verdana" w:hAnsi="Verdana"/>
                      <w:sz w:val="18"/>
                      <w:szCs w:val="18"/>
                    </w:rPr>
                  </w:pPr>
                  <w:r w:rsidRPr="00F11423">
                    <w:rPr>
                      <w:rFonts w:ascii="Verdana" w:hAnsi="Verdana"/>
                      <w:sz w:val="18"/>
                      <w:szCs w:val="18"/>
                    </w:rPr>
                    <w:t>16</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F67E75" w:rsidP="00F11423" w:rsidRDefault="00F67E75" w14:paraId="4D845568" w14:textId="77777777">
                  <w:pPr>
                    <w:spacing w:after="0" w:line="276" w:lineRule="auto"/>
                    <w:rPr>
                      <w:rFonts w:ascii="Verdana" w:hAnsi="Verdana"/>
                      <w:sz w:val="18"/>
                      <w:szCs w:val="18"/>
                    </w:rPr>
                  </w:pPr>
                  <w:r w:rsidRPr="00F11423">
                    <w:rPr>
                      <w:rFonts w:ascii="Verdana" w:hAnsi="Verdana"/>
                      <w:sz w:val="18"/>
                      <w:szCs w:val="18"/>
                    </w:rPr>
                    <w:t>16</w:t>
                  </w:r>
                </w:p>
              </w:tc>
            </w:tr>
          </w:tbl>
          <w:p w:rsidRPr="00F11423" w:rsidR="00F67E75" w:rsidP="00F11423" w:rsidRDefault="00F67E75" w14:paraId="2AA2D284" w14:textId="77777777">
            <w:pPr>
              <w:spacing w:after="0" w:line="276" w:lineRule="auto"/>
              <w:rPr>
                <w:rFonts w:ascii="Verdana" w:hAnsi="Verdana"/>
                <w:b/>
                <w:bCs/>
                <w:sz w:val="18"/>
                <w:szCs w:val="18"/>
              </w:rPr>
            </w:pPr>
          </w:p>
        </w:tc>
      </w:tr>
      <w:tr w:rsidRPr="00F11423" w:rsidR="00F67E75" w:rsidTr="008D533C" w14:paraId="14663F23"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2AB59D74" w14:textId="7EAA152B">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F11423">
              <w:rPr>
                <w:rFonts w:ascii="Verdana" w:hAnsi="Verdana"/>
                <w:sz w:val="18"/>
                <w:szCs w:val="18"/>
              </w:rPr>
              <w:t xml:space="preserve">Uitvoerbaar per 1 juli 2025, </w:t>
            </w:r>
            <w:r w:rsidR="00BD72E3">
              <w:rPr>
                <w:rFonts w:ascii="Verdana" w:hAnsi="Verdana"/>
                <w:sz w:val="18"/>
                <w:szCs w:val="18"/>
              </w:rPr>
              <w:t>mogelijk heeft het bedrijfsleven meer tijd nodig. D</w:t>
            </w:r>
            <w:r w:rsidRPr="00F11423">
              <w:rPr>
                <w:rFonts w:ascii="Verdana" w:hAnsi="Verdana"/>
                <w:sz w:val="18"/>
                <w:szCs w:val="18"/>
              </w:rPr>
              <w:t>e impact op de systemen van de verzekeraars en hun tussenpersonen vergt nader onderzoek.</w:t>
            </w:r>
          </w:p>
        </w:tc>
      </w:tr>
    </w:tbl>
    <w:p w:rsidRPr="00F11423" w:rsidR="00BA26F9" w:rsidP="00F11423" w:rsidRDefault="00BA26F9" w14:paraId="5BDD6706"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4C0691" w:rsidTr="008D533C" w14:paraId="14CB741A"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4C0691" w:rsidP="00F11423" w:rsidRDefault="004C0691" w14:paraId="51A4ED45" w14:textId="0EAC32A5">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sidR="00361281">
              <w:rPr>
                <w:rFonts w:ascii="Verdana" w:hAnsi="Verdana"/>
                <w:color w:val="000000"/>
                <w:sz w:val="18"/>
                <w:szCs w:val="18"/>
              </w:rPr>
              <w:t>58</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4C0691" w:rsidP="00F11423" w:rsidRDefault="004C0691" w14:paraId="3F2F4DE1"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Invoering btw-nultarief op onbewerkte groente en fruit</w:t>
            </w:r>
          </w:p>
        </w:tc>
      </w:tr>
      <w:tr w:rsidRPr="00F11423" w:rsidR="004C0691" w:rsidTr="008D533C" w14:paraId="0CF893AA"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5C31C83C"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Teunissen (PvdD)</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7CDB87E0"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4C0691" w:rsidTr="008D533C" w14:paraId="04518818"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37459AD4"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r w:rsidRPr="00F11423">
              <w:rPr>
                <w:rFonts w:ascii="Verdana" w:hAnsi="Verdana"/>
                <w:sz w:val="18"/>
                <w:szCs w:val="18"/>
              </w:rPr>
              <w:t xml:space="preserve">Uit het SEO-onderzoek van vorig jaar naar een btw-nultarief op groente en fruit volgt dat de btw een ongeschikt instrument is om de consumptie van deze voedingsmiddelen te stimuleren. Alle onderzochte afbakeningsvarianten scoren slecht op doelmatigheid, doeltreffendheid, uitvoerbaarheid en juridische houdbaarheid. Dat geldt ook voor de varianten die aanhaken bij de term ‘onbewerkte groente en fruit’. </w:t>
            </w:r>
          </w:p>
        </w:tc>
      </w:tr>
      <w:tr w:rsidRPr="00F11423" w:rsidR="004C0691" w:rsidTr="008D533C" w14:paraId="6D19B032"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4C0691" w:rsidP="00F11423" w:rsidRDefault="004C0691" w14:paraId="46DEA25D" w14:textId="77777777">
            <w:pPr>
              <w:spacing w:after="0" w:line="276" w:lineRule="auto"/>
              <w:rPr>
                <w:rFonts w:ascii="Verdana" w:hAnsi="Verdana"/>
                <w:color w:val="FF0000"/>
                <w:sz w:val="18"/>
                <w:szCs w:val="18"/>
              </w:rPr>
            </w:pPr>
            <w:r w:rsidRPr="00F11423">
              <w:rPr>
                <w:rFonts w:ascii="Verdana" w:hAnsi="Verdana"/>
                <w:b/>
                <w:bCs/>
                <w:sz w:val="18"/>
                <w:szCs w:val="18"/>
              </w:rPr>
              <w:t xml:space="preserve">Budgettaire aspecten: </w:t>
            </w:r>
            <w:r w:rsidRPr="00F11423">
              <w:rPr>
                <w:rFonts w:ascii="Verdana" w:hAnsi="Verdana"/>
                <w:sz w:val="18"/>
                <w:szCs w:val="18"/>
              </w:rPr>
              <w:t xml:space="preserve">Het invoeren van een nultarief op onbewerkte groente en fruit (variant 3 van het </w:t>
            </w:r>
            <w:proofErr w:type="gramStart"/>
            <w:r w:rsidRPr="00F11423">
              <w:rPr>
                <w:rFonts w:ascii="Verdana" w:hAnsi="Verdana"/>
                <w:sz w:val="18"/>
                <w:szCs w:val="18"/>
              </w:rPr>
              <w:t>SEO onderzoek</w:t>
            </w:r>
            <w:proofErr w:type="gramEnd"/>
            <w:r w:rsidRPr="00F11423">
              <w:rPr>
                <w:rFonts w:ascii="Verdana" w:hAnsi="Verdana"/>
                <w:sz w:val="18"/>
                <w:szCs w:val="18"/>
              </w:rPr>
              <w:t>) leidt tot een budgettaire derving van 817 mln. per jaar.</w:t>
            </w:r>
            <w:r w:rsidRPr="00F11423">
              <w:rPr>
                <w:rFonts w:ascii="Verdana" w:hAnsi="Verdana"/>
                <w:b/>
                <w:bCs/>
                <w:sz w:val="18"/>
                <w:szCs w:val="18"/>
              </w:rPr>
              <w:t xml:space="preserve"> </w:t>
            </w:r>
          </w:p>
          <w:tbl>
            <w:tblPr>
              <w:tblW w:w="7632" w:type="dxa"/>
              <w:tblCellMar>
                <w:left w:w="0" w:type="dxa"/>
                <w:right w:w="0" w:type="dxa"/>
              </w:tblCellMar>
              <w:tblLook w:val="04A0" w:firstRow="1" w:lastRow="0" w:firstColumn="1" w:lastColumn="0" w:noHBand="0" w:noVBand="1"/>
            </w:tblPr>
            <w:tblGrid>
              <w:gridCol w:w="3274"/>
              <w:gridCol w:w="709"/>
              <w:gridCol w:w="709"/>
              <w:gridCol w:w="709"/>
              <w:gridCol w:w="813"/>
              <w:gridCol w:w="1418"/>
            </w:tblGrid>
            <w:tr w:rsidRPr="00F11423" w:rsidR="004C0691" w14:paraId="5D3DED42" w14:textId="77777777">
              <w:trPr>
                <w:trHeight w:val="300"/>
              </w:trPr>
              <w:tc>
                <w:tcPr>
                  <w:tcW w:w="3274"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C0691" w:rsidP="00F11423" w:rsidRDefault="004C0691" w14:paraId="4B908027" w14:textId="77777777">
                  <w:pPr>
                    <w:spacing w:after="0" w:line="276" w:lineRule="auto"/>
                    <w:rPr>
                      <w:rFonts w:ascii="Verdana" w:hAnsi="Verdana"/>
                      <w:sz w:val="18"/>
                      <w:szCs w:val="18"/>
                    </w:rPr>
                  </w:pPr>
                  <w:r w:rsidRPr="00F11423">
                    <w:rPr>
                      <w:rFonts w:ascii="Verdana" w:hAnsi="Verdana"/>
                      <w:color w:val="000000"/>
                      <w:sz w:val="18"/>
                      <w:szCs w:val="18"/>
                    </w:rPr>
                    <w:t>Omvang in mln. €</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C0691" w:rsidP="00F11423" w:rsidRDefault="004C0691" w14:paraId="01914053" w14:textId="77777777">
                  <w:pPr>
                    <w:spacing w:after="0" w:line="276" w:lineRule="auto"/>
                    <w:rPr>
                      <w:rFonts w:ascii="Verdana" w:hAnsi="Verdana"/>
                      <w:i/>
                      <w:iCs/>
                      <w:sz w:val="18"/>
                      <w:szCs w:val="18"/>
                    </w:rPr>
                  </w:pPr>
                  <w:r w:rsidRPr="00F11423">
                    <w:rPr>
                      <w:rFonts w:ascii="Verdana" w:hAnsi="Verdana"/>
                      <w:i/>
                      <w:iCs/>
                      <w:color w:val="000000"/>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C0691" w:rsidP="00F11423" w:rsidRDefault="004C0691" w14:paraId="3C5D4FB3" w14:textId="77777777">
                  <w:pPr>
                    <w:spacing w:after="0" w:line="276" w:lineRule="auto"/>
                    <w:rPr>
                      <w:rFonts w:ascii="Verdana" w:hAnsi="Verdana"/>
                      <w:i/>
                      <w:iCs/>
                      <w:sz w:val="18"/>
                      <w:szCs w:val="18"/>
                    </w:rPr>
                  </w:pPr>
                  <w:r w:rsidRPr="00F11423">
                    <w:rPr>
                      <w:rFonts w:ascii="Verdana" w:hAnsi="Verdana"/>
                      <w:i/>
                      <w:iCs/>
                      <w:color w:val="000000"/>
                      <w:sz w:val="18"/>
                      <w:szCs w:val="18"/>
                    </w:rPr>
                    <w:t>2026</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C0691" w:rsidP="00F11423" w:rsidRDefault="004C0691" w14:paraId="62C74B8F" w14:textId="77777777">
                  <w:pPr>
                    <w:spacing w:after="0" w:line="276" w:lineRule="auto"/>
                    <w:rPr>
                      <w:rFonts w:ascii="Verdana" w:hAnsi="Verdana"/>
                      <w:i/>
                      <w:iCs/>
                      <w:sz w:val="18"/>
                      <w:szCs w:val="18"/>
                    </w:rPr>
                  </w:pPr>
                  <w:r w:rsidRPr="00F11423">
                    <w:rPr>
                      <w:rFonts w:ascii="Verdana" w:hAnsi="Verdana"/>
                      <w:i/>
                      <w:iCs/>
                      <w:color w:val="000000"/>
                      <w:sz w:val="18"/>
                      <w:szCs w:val="18"/>
                    </w:rPr>
                    <w:t>2027</w:t>
                  </w:r>
                </w:p>
              </w:tc>
              <w:tc>
                <w:tcPr>
                  <w:tcW w:w="813"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C0691" w:rsidP="00F11423" w:rsidRDefault="004C0691" w14:paraId="12AAA7D6" w14:textId="77777777">
                  <w:pPr>
                    <w:spacing w:after="0" w:line="276" w:lineRule="auto"/>
                    <w:rPr>
                      <w:rFonts w:ascii="Verdana" w:hAnsi="Verdana"/>
                      <w:i/>
                      <w:iCs/>
                      <w:sz w:val="18"/>
                      <w:szCs w:val="18"/>
                    </w:rPr>
                  </w:pPr>
                  <w:r w:rsidRPr="00F11423">
                    <w:rPr>
                      <w:rFonts w:ascii="Verdana" w:hAnsi="Verdana"/>
                      <w:i/>
                      <w:iCs/>
                      <w:color w:val="000000"/>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4C0691" w:rsidP="00F11423" w:rsidRDefault="004C0691" w14:paraId="37F56C06" w14:textId="77777777">
                  <w:pPr>
                    <w:spacing w:after="0" w:line="276" w:lineRule="auto"/>
                    <w:rPr>
                      <w:rFonts w:ascii="Verdana" w:hAnsi="Verdana"/>
                      <w:sz w:val="18"/>
                      <w:szCs w:val="18"/>
                    </w:rPr>
                  </w:pPr>
                  <w:r w:rsidRPr="00F11423">
                    <w:rPr>
                      <w:rFonts w:ascii="Verdana" w:hAnsi="Verdana"/>
                      <w:color w:val="000000"/>
                      <w:sz w:val="18"/>
                      <w:szCs w:val="18"/>
                    </w:rPr>
                    <w:t xml:space="preserve">Structureel </w:t>
                  </w:r>
                </w:p>
              </w:tc>
            </w:tr>
            <w:tr w:rsidRPr="00F11423" w:rsidR="004C0691" w:rsidTr="00F67E75" w14:paraId="09C826C0" w14:textId="77777777">
              <w:trPr>
                <w:trHeight w:val="300"/>
              </w:trPr>
              <w:tc>
                <w:tcPr>
                  <w:tcW w:w="3274" w:type="dxa"/>
                  <w:tcBorders>
                    <w:top w:val="nil"/>
                    <w:left w:val="single" w:color="auto" w:sz="8" w:space="0"/>
                    <w:bottom w:val="nil"/>
                    <w:right w:val="single" w:color="auto" w:sz="8" w:space="0"/>
                  </w:tcBorders>
                  <w:noWrap/>
                  <w:tcMar>
                    <w:top w:w="0" w:type="dxa"/>
                    <w:left w:w="108" w:type="dxa"/>
                    <w:bottom w:w="0" w:type="dxa"/>
                    <w:right w:w="108" w:type="dxa"/>
                  </w:tcMar>
                  <w:hideMark/>
                </w:tcPr>
                <w:p w:rsidRPr="00F11423" w:rsidR="004C0691" w:rsidP="00F11423" w:rsidRDefault="004C0691" w14:paraId="2BC3D6F8" w14:textId="77777777">
                  <w:pPr>
                    <w:spacing w:after="0" w:line="276" w:lineRule="auto"/>
                    <w:rPr>
                      <w:rFonts w:ascii="Verdana" w:hAnsi="Verdana"/>
                      <w:sz w:val="18"/>
                      <w:szCs w:val="18"/>
                    </w:rPr>
                  </w:pPr>
                  <w:r w:rsidRPr="00F11423">
                    <w:rPr>
                      <w:rFonts w:ascii="Verdana" w:hAnsi="Verdana"/>
                      <w:sz w:val="18"/>
                      <w:szCs w:val="18"/>
                    </w:rPr>
                    <w:t>Invoering btw-nultarief op groente en fruit per 1 januari 2025</w:t>
                  </w:r>
                </w:p>
              </w:tc>
              <w:tc>
                <w:tcPr>
                  <w:tcW w:w="709" w:type="dxa"/>
                  <w:tcBorders>
                    <w:top w:val="nil"/>
                    <w:left w:val="nil"/>
                    <w:bottom w:val="nil"/>
                    <w:right w:val="single" w:color="auto" w:sz="8" w:space="0"/>
                  </w:tcBorders>
                  <w:noWrap/>
                  <w:tcMar>
                    <w:top w:w="0" w:type="dxa"/>
                    <w:left w:w="108" w:type="dxa"/>
                    <w:bottom w:w="0" w:type="dxa"/>
                    <w:right w:w="108" w:type="dxa"/>
                  </w:tcMar>
                  <w:hideMark/>
                </w:tcPr>
                <w:p w:rsidRPr="00F11423" w:rsidR="004C0691" w:rsidP="00F11423" w:rsidRDefault="004C0691" w14:paraId="131AA158" w14:textId="77777777">
                  <w:pPr>
                    <w:spacing w:after="0" w:line="276" w:lineRule="auto"/>
                    <w:rPr>
                      <w:rFonts w:ascii="Verdana" w:hAnsi="Verdana"/>
                      <w:sz w:val="18"/>
                      <w:szCs w:val="18"/>
                    </w:rPr>
                  </w:pPr>
                  <w:r w:rsidRPr="00F11423">
                    <w:rPr>
                      <w:rFonts w:ascii="Verdana" w:hAnsi="Verdana"/>
                      <w:sz w:val="18"/>
                      <w:szCs w:val="18"/>
                    </w:rPr>
                    <w:t xml:space="preserve">- 817 </w:t>
                  </w:r>
                </w:p>
              </w:tc>
              <w:tc>
                <w:tcPr>
                  <w:tcW w:w="709" w:type="dxa"/>
                  <w:tcBorders>
                    <w:top w:val="nil"/>
                    <w:left w:val="nil"/>
                    <w:bottom w:val="nil"/>
                    <w:right w:val="single" w:color="auto" w:sz="8" w:space="0"/>
                  </w:tcBorders>
                  <w:noWrap/>
                  <w:tcMar>
                    <w:top w:w="0" w:type="dxa"/>
                    <w:left w:w="108" w:type="dxa"/>
                    <w:bottom w:w="0" w:type="dxa"/>
                    <w:right w:w="108" w:type="dxa"/>
                  </w:tcMar>
                  <w:hideMark/>
                </w:tcPr>
                <w:p w:rsidRPr="00F11423" w:rsidR="004C0691" w:rsidP="00F11423" w:rsidRDefault="004C0691" w14:paraId="7FAC57C0" w14:textId="77777777">
                  <w:pPr>
                    <w:spacing w:after="0" w:line="276" w:lineRule="auto"/>
                    <w:rPr>
                      <w:rFonts w:ascii="Verdana" w:hAnsi="Verdana"/>
                      <w:sz w:val="18"/>
                      <w:szCs w:val="18"/>
                    </w:rPr>
                  </w:pPr>
                  <w:r w:rsidRPr="00F11423">
                    <w:rPr>
                      <w:rFonts w:ascii="Verdana" w:hAnsi="Verdana"/>
                      <w:sz w:val="18"/>
                      <w:szCs w:val="18"/>
                    </w:rPr>
                    <w:t>- 817</w:t>
                  </w:r>
                </w:p>
              </w:tc>
              <w:tc>
                <w:tcPr>
                  <w:tcW w:w="709" w:type="dxa"/>
                  <w:tcBorders>
                    <w:top w:val="nil"/>
                    <w:left w:val="nil"/>
                    <w:bottom w:val="nil"/>
                    <w:right w:val="single" w:color="auto" w:sz="8" w:space="0"/>
                  </w:tcBorders>
                  <w:noWrap/>
                  <w:tcMar>
                    <w:top w:w="0" w:type="dxa"/>
                    <w:left w:w="108" w:type="dxa"/>
                    <w:bottom w:w="0" w:type="dxa"/>
                    <w:right w:w="108" w:type="dxa"/>
                  </w:tcMar>
                  <w:hideMark/>
                </w:tcPr>
                <w:p w:rsidRPr="00F11423" w:rsidR="004C0691" w:rsidP="00F11423" w:rsidRDefault="004C0691" w14:paraId="11AF5617" w14:textId="77777777">
                  <w:pPr>
                    <w:spacing w:after="0" w:line="276" w:lineRule="auto"/>
                    <w:rPr>
                      <w:rFonts w:ascii="Verdana" w:hAnsi="Verdana"/>
                      <w:sz w:val="18"/>
                      <w:szCs w:val="18"/>
                    </w:rPr>
                  </w:pPr>
                  <w:r w:rsidRPr="00F11423">
                    <w:rPr>
                      <w:rFonts w:ascii="Verdana" w:hAnsi="Verdana"/>
                      <w:sz w:val="18"/>
                      <w:szCs w:val="18"/>
                    </w:rPr>
                    <w:t>- 817</w:t>
                  </w:r>
                </w:p>
              </w:tc>
              <w:tc>
                <w:tcPr>
                  <w:tcW w:w="813" w:type="dxa"/>
                  <w:tcBorders>
                    <w:top w:val="nil"/>
                    <w:left w:val="nil"/>
                    <w:bottom w:val="nil"/>
                    <w:right w:val="single" w:color="auto" w:sz="8" w:space="0"/>
                  </w:tcBorders>
                  <w:noWrap/>
                  <w:tcMar>
                    <w:top w:w="0" w:type="dxa"/>
                    <w:left w:w="108" w:type="dxa"/>
                    <w:bottom w:w="0" w:type="dxa"/>
                    <w:right w:w="108" w:type="dxa"/>
                  </w:tcMar>
                  <w:hideMark/>
                </w:tcPr>
                <w:p w:rsidRPr="00F11423" w:rsidR="004C0691" w:rsidP="00F11423" w:rsidRDefault="004C0691" w14:paraId="0E867538" w14:textId="77777777">
                  <w:pPr>
                    <w:spacing w:after="0" w:line="276" w:lineRule="auto"/>
                    <w:rPr>
                      <w:rFonts w:ascii="Verdana" w:hAnsi="Verdana"/>
                      <w:sz w:val="18"/>
                      <w:szCs w:val="18"/>
                    </w:rPr>
                  </w:pPr>
                  <w:r w:rsidRPr="00F11423">
                    <w:rPr>
                      <w:rFonts w:ascii="Verdana" w:hAnsi="Verdana"/>
                      <w:sz w:val="18"/>
                      <w:szCs w:val="18"/>
                    </w:rPr>
                    <w:t>- 817</w:t>
                  </w:r>
                </w:p>
              </w:tc>
              <w:tc>
                <w:tcPr>
                  <w:tcW w:w="1418" w:type="dxa"/>
                  <w:tcBorders>
                    <w:top w:val="nil"/>
                    <w:left w:val="nil"/>
                    <w:bottom w:val="nil"/>
                    <w:right w:val="single" w:color="auto" w:sz="8" w:space="0"/>
                  </w:tcBorders>
                  <w:noWrap/>
                  <w:tcMar>
                    <w:top w:w="0" w:type="dxa"/>
                    <w:left w:w="108" w:type="dxa"/>
                    <w:bottom w:w="0" w:type="dxa"/>
                    <w:right w:w="108" w:type="dxa"/>
                  </w:tcMar>
                  <w:hideMark/>
                </w:tcPr>
                <w:p w:rsidRPr="00F11423" w:rsidR="004C0691" w:rsidP="00F11423" w:rsidRDefault="004C0691" w14:paraId="574B960C" w14:textId="77777777">
                  <w:pPr>
                    <w:spacing w:after="0" w:line="276" w:lineRule="auto"/>
                    <w:rPr>
                      <w:rFonts w:ascii="Verdana" w:hAnsi="Verdana"/>
                      <w:sz w:val="18"/>
                      <w:szCs w:val="18"/>
                    </w:rPr>
                  </w:pPr>
                  <w:r w:rsidRPr="00F11423">
                    <w:rPr>
                      <w:rFonts w:ascii="Verdana" w:hAnsi="Verdana"/>
                      <w:sz w:val="18"/>
                      <w:szCs w:val="18"/>
                    </w:rPr>
                    <w:t>- 817</w:t>
                  </w:r>
                </w:p>
              </w:tc>
            </w:tr>
            <w:tr w:rsidRPr="00F11423" w:rsidR="00F67E75" w14:paraId="1B5E70D8" w14:textId="77777777">
              <w:trPr>
                <w:trHeight w:val="300"/>
              </w:trPr>
              <w:tc>
                <w:tcPr>
                  <w:tcW w:w="327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F11423" w:rsidR="00F67E75" w:rsidP="00F11423" w:rsidRDefault="00F67E75" w14:paraId="397CCF3B" w14:textId="77777777">
                  <w:pPr>
                    <w:spacing w:after="0" w:line="276" w:lineRule="auto"/>
                    <w:rPr>
                      <w:rFonts w:ascii="Verdana" w:hAnsi="Verdana"/>
                      <w:sz w:val="18"/>
                      <w:szCs w:val="18"/>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F67E75" w:rsidP="00F11423" w:rsidRDefault="00F67E75" w14:paraId="0426DA0D" w14:textId="77777777">
                  <w:pPr>
                    <w:spacing w:after="0" w:line="276" w:lineRule="auto"/>
                    <w:rPr>
                      <w:rFonts w:ascii="Verdana" w:hAnsi="Verdana"/>
                      <w:sz w:val="18"/>
                      <w:szCs w:val="18"/>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F67E75" w:rsidP="00F11423" w:rsidRDefault="00F67E75" w14:paraId="6187C4CA" w14:textId="77777777">
                  <w:pPr>
                    <w:spacing w:after="0" w:line="276" w:lineRule="auto"/>
                    <w:rPr>
                      <w:rFonts w:ascii="Verdana" w:hAnsi="Verdana"/>
                      <w:sz w:val="18"/>
                      <w:szCs w:val="18"/>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F67E75" w:rsidP="00F11423" w:rsidRDefault="00F67E75" w14:paraId="30956FB2" w14:textId="77777777">
                  <w:pPr>
                    <w:spacing w:after="0" w:line="276" w:lineRule="auto"/>
                    <w:rPr>
                      <w:rFonts w:ascii="Verdana" w:hAnsi="Verdana"/>
                      <w:sz w:val="18"/>
                      <w:szCs w:val="18"/>
                    </w:rPr>
                  </w:pPr>
                </w:p>
              </w:tc>
              <w:tc>
                <w:tcPr>
                  <w:tcW w:w="813"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F67E75" w:rsidP="00F11423" w:rsidRDefault="00F67E75" w14:paraId="6FEAD23C" w14:textId="77777777">
                  <w:pPr>
                    <w:spacing w:after="0" w:line="276" w:lineRule="auto"/>
                    <w:rPr>
                      <w:rFonts w:ascii="Verdana" w:hAnsi="Verdana"/>
                      <w:sz w:val="18"/>
                      <w:szCs w:val="18"/>
                    </w:rPr>
                  </w:pPr>
                </w:p>
              </w:tc>
              <w:tc>
                <w:tcPr>
                  <w:tcW w:w="1418"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F67E75" w:rsidP="00F11423" w:rsidRDefault="00F67E75" w14:paraId="1E902815" w14:textId="77777777">
                  <w:pPr>
                    <w:spacing w:after="0" w:line="276" w:lineRule="auto"/>
                    <w:rPr>
                      <w:rFonts w:ascii="Verdana" w:hAnsi="Verdana"/>
                      <w:sz w:val="18"/>
                      <w:szCs w:val="18"/>
                    </w:rPr>
                  </w:pPr>
                </w:p>
              </w:tc>
            </w:tr>
          </w:tbl>
          <w:p w:rsidRPr="00F11423" w:rsidR="004C0691" w:rsidP="00F11423" w:rsidRDefault="004C0691" w14:paraId="5E8345CD" w14:textId="77777777">
            <w:pPr>
              <w:spacing w:after="0" w:line="276" w:lineRule="auto"/>
              <w:rPr>
                <w:rFonts w:ascii="Verdana" w:hAnsi="Verdana" w:cs="Calibri"/>
                <w:b/>
                <w:bCs/>
                <w:sz w:val="18"/>
                <w:szCs w:val="18"/>
                <w14:ligatures w14:val="standardContextual"/>
              </w:rPr>
            </w:pPr>
          </w:p>
        </w:tc>
      </w:tr>
      <w:tr w:rsidRPr="00F11423" w:rsidR="00F67E75" w:rsidTr="008D533C" w14:paraId="3299F3E1"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5189E819" w14:textId="27265934">
            <w:pPr>
              <w:spacing w:after="0" w:line="276" w:lineRule="auto"/>
              <w:rPr>
                <w:rFonts w:ascii="Verdana" w:hAnsi="Verdana"/>
                <w:sz w:val="18"/>
                <w:szCs w:val="18"/>
              </w:rPr>
            </w:pPr>
            <w:r w:rsidRPr="00F11423">
              <w:rPr>
                <w:rFonts w:ascii="Verdana" w:hAnsi="Verdana"/>
                <w:b/>
                <w:bCs/>
                <w:sz w:val="18"/>
                <w:szCs w:val="18"/>
              </w:rPr>
              <w:t xml:space="preserve">Uitvoeringsgevolgen: </w:t>
            </w:r>
            <w:r w:rsidRPr="00F11423">
              <w:rPr>
                <w:rFonts w:ascii="Verdana" w:hAnsi="Verdana"/>
                <w:sz w:val="18"/>
                <w:szCs w:val="18"/>
              </w:rPr>
              <w:t>Deze maatregel is niet uitvoerbaar per 1 januari 2025 gelet op de hiermee samenhangende complexiteitstoename en afbakeningsproblematiek.</w:t>
            </w:r>
          </w:p>
        </w:tc>
      </w:tr>
    </w:tbl>
    <w:p w:rsidRPr="00F11423" w:rsidR="00BA26F9" w:rsidP="00F11423" w:rsidRDefault="00BA26F9" w14:paraId="4CD9A89B"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4C0691" w:rsidTr="008D533C" w14:paraId="2552339B"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4C0691" w:rsidP="00F11423" w:rsidRDefault="004C0691" w14:paraId="3DDE35FB" w14:textId="24D15B67">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sidR="00361281">
              <w:rPr>
                <w:rFonts w:ascii="Verdana" w:hAnsi="Verdana"/>
                <w:color w:val="000000"/>
                <w:sz w:val="18"/>
                <w:szCs w:val="18"/>
              </w:rPr>
              <w:t>60</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4C0691" w:rsidP="00F11423" w:rsidRDefault="004C0691" w14:paraId="10C9B5DA"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Schrappen horizonbepaling voor separaat tarief voor waterstof in de energiebelasting</w:t>
            </w:r>
          </w:p>
        </w:tc>
      </w:tr>
      <w:tr w:rsidRPr="00F11423" w:rsidR="004C0691" w:rsidTr="008D533C" w14:paraId="51958FE5"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5D9278C1"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Erkens (VVD)</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572F6DD6"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Oordeel Kamer</w:t>
            </w:r>
          </w:p>
        </w:tc>
      </w:tr>
      <w:tr w:rsidRPr="00F11423" w:rsidR="004C0691" w:rsidTr="008D533C" w14:paraId="26CF1C5B"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71BE2645" w14:textId="77777777">
            <w:pPr>
              <w:spacing w:after="0" w:line="276" w:lineRule="auto"/>
              <w:rPr>
                <w:rFonts w:ascii="Verdana" w:hAnsi="Verdana"/>
                <w:sz w:val="18"/>
                <w:szCs w:val="18"/>
              </w:rPr>
            </w:pPr>
            <w:r w:rsidRPr="00F11423">
              <w:rPr>
                <w:rFonts w:ascii="Verdana" w:hAnsi="Verdana"/>
                <w:b/>
                <w:bCs/>
                <w:sz w:val="18"/>
                <w:szCs w:val="18"/>
              </w:rPr>
              <w:t xml:space="preserve">Gevolgen: </w:t>
            </w:r>
            <w:r w:rsidRPr="00F11423">
              <w:rPr>
                <w:rFonts w:ascii="Verdana" w:hAnsi="Verdana"/>
                <w:sz w:val="18"/>
                <w:szCs w:val="18"/>
              </w:rPr>
              <w:t xml:space="preserve">Het amendement voorziet in het schrappen van de voorgestelde horizonbepaling voor het voorgestelde separate tarief voor waterstof in de energiebelasting. Het kabinet hecht eraan een evaluatie- en horizonbepaling op te nemen bij nieuwe fiscale regelingen. Het helpt grip te houden op </w:t>
            </w:r>
            <w:r w:rsidRPr="00F11423">
              <w:rPr>
                <w:rFonts w:ascii="Verdana" w:hAnsi="Verdana"/>
                <w:sz w:val="18"/>
                <w:szCs w:val="18"/>
              </w:rPr>
              <w:lastRenderedPageBreak/>
              <w:t>fiscale regelingen. In dit specifieke geval is er een zekere spanning met het doel om investeringen met een lange tijdshorizon te stimuleren.</w:t>
            </w:r>
          </w:p>
        </w:tc>
      </w:tr>
      <w:tr w:rsidRPr="00F11423" w:rsidR="004C0691" w:rsidTr="008D533C" w14:paraId="58BC95F8"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4C0691" w:rsidP="00F11423" w:rsidRDefault="004C0691" w14:paraId="727F8920" w14:textId="77777777">
            <w:pPr>
              <w:spacing w:after="0" w:line="276" w:lineRule="auto"/>
              <w:rPr>
                <w:rFonts w:ascii="Verdana" w:hAnsi="Verdana"/>
                <w:sz w:val="18"/>
                <w:szCs w:val="18"/>
              </w:rPr>
            </w:pPr>
            <w:r w:rsidRPr="00F11423">
              <w:rPr>
                <w:rFonts w:ascii="Verdana" w:hAnsi="Verdana"/>
                <w:b/>
                <w:bCs/>
                <w:sz w:val="18"/>
                <w:szCs w:val="18"/>
              </w:rPr>
              <w:lastRenderedPageBreak/>
              <w:t xml:space="preserve">Budgettaire aspecten: </w:t>
            </w:r>
          </w:p>
          <w:p w:rsidRPr="00F11423" w:rsidR="004C0691" w:rsidP="00F11423" w:rsidRDefault="004C0691" w14:paraId="21BC8810" w14:textId="77777777">
            <w:pPr>
              <w:spacing w:after="0" w:line="276" w:lineRule="auto"/>
              <w:rPr>
                <w:rFonts w:ascii="Verdana" w:hAnsi="Verdana"/>
                <w:b/>
                <w:bCs/>
                <w:sz w:val="18"/>
                <w:szCs w:val="18"/>
              </w:rPr>
            </w:pPr>
            <w:r w:rsidRPr="00F11423">
              <w:rPr>
                <w:rFonts w:ascii="Verdana" w:hAnsi="Verdana"/>
                <w:color w:val="000000"/>
                <w:sz w:val="18"/>
                <w:szCs w:val="18"/>
              </w:rPr>
              <w:t>Geen gevolgen voor het inkomstenkader.</w:t>
            </w:r>
          </w:p>
        </w:tc>
      </w:tr>
      <w:tr w:rsidRPr="00F11423" w:rsidR="004C0691" w:rsidTr="008D533C" w14:paraId="7969DBCC"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4C0691" w:rsidP="00F11423" w:rsidRDefault="004C0691" w14:paraId="55D221DC" w14:textId="3501976D">
            <w:pPr>
              <w:spacing w:after="0" w:line="276" w:lineRule="auto"/>
              <w:rPr>
                <w:rFonts w:ascii="Verdana" w:hAnsi="Verdana"/>
                <w:sz w:val="18"/>
                <w:szCs w:val="18"/>
              </w:rPr>
            </w:pPr>
            <w:r w:rsidRPr="00F11423">
              <w:rPr>
                <w:rFonts w:ascii="Verdana" w:hAnsi="Verdana"/>
                <w:b/>
                <w:bCs/>
                <w:sz w:val="18"/>
                <w:szCs w:val="18"/>
              </w:rPr>
              <w:t xml:space="preserve">Uitvoeringsgevolgen: </w:t>
            </w:r>
            <w:r w:rsidRPr="00F11423">
              <w:rPr>
                <w:rFonts w:ascii="Verdana" w:hAnsi="Verdana"/>
                <w:sz w:val="18"/>
                <w:szCs w:val="18"/>
              </w:rPr>
              <w:t>Uitvoerbaar</w:t>
            </w:r>
            <w:r w:rsidR="00BD72E3">
              <w:rPr>
                <w:rFonts w:ascii="Verdana" w:hAnsi="Verdana"/>
                <w:sz w:val="18"/>
                <w:szCs w:val="18"/>
              </w:rPr>
              <w:t xml:space="preserve"> per 1 januari 2025.</w:t>
            </w:r>
          </w:p>
        </w:tc>
      </w:tr>
    </w:tbl>
    <w:p w:rsidRPr="00F11423" w:rsidR="004C0691" w:rsidP="00F11423" w:rsidRDefault="004C0691" w14:paraId="33A78D23"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2"/>
        <w:gridCol w:w="6237"/>
      </w:tblGrid>
      <w:tr w:rsidRPr="00F11423" w:rsidR="00F67E75" w:rsidTr="003249FC" w14:paraId="03BFB133" w14:textId="77777777">
        <w:trPr>
          <w:trHeight w:val="637"/>
        </w:trPr>
        <w:tc>
          <w:tcPr>
            <w:tcW w:w="3392"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F67E75" w:rsidP="00F11423" w:rsidRDefault="00F67E75" w14:paraId="7667328F" w14:textId="77777777">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36602 061</w:t>
            </w:r>
          </w:p>
        </w:tc>
        <w:tc>
          <w:tcPr>
            <w:tcW w:w="6237"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F67E75" w:rsidP="00F11423" w:rsidRDefault="00F67E75" w14:paraId="700B7CCD"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Verhogen korting voor emissievrije personenauto’s in motorrijtuigenbelasting vanaf 2026</w:t>
            </w:r>
          </w:p>
        </w:tc>
      </w:tr>
      <w:tr w:rsidRPr="00F11423" w:rsidR="00F67E75" w:rsidTr="003249FC" w14:paraId="05EF304E" w14:textId="77777777">
        <w:trPr>
          <w:trHeight w:val="409"/>
        </w:trPr>
        <w:tc>
          <w:tcPr>
            <w:tcW w:w="33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6BFD9437" w14:textId="05BDBDAD">
            <w:pPr>
              <w:spacing w:after="0" w:line="276" w:lineRule="auto"/>
              <w:rPr>
                <w:rFonts w:ascii="Verdana" w:hAnsi="Verdana"/>
                <w:b/>
                <w:bCs/>
                <w:sz w:val="18"/>
                <w:szCs w:val="18"/>
              </w:rPr>
            </w:pPr>
            <w:r w:rsidRPr="00F11423">
              <w:rPr>
                <w:rFonts w:ascii="Verdana" w:hAnsi="Verdana"/>
                <w:b/>
                <w:bCs/>
                <w:sz w:val="18"/>
                <w:szCs w:val="18"/>
              </w:rPr>
              <w:t xml:space="preserve">Indiener: </w:t>
            </w:r>
            <w:proofErr w:type="spellStart"/>
            <w:r w:rsidRPr="00F11423">
              <w:rPr>
                <w:rFonts w:ascii="Verdana" w:hAnsi="Verdana"/>
                <w:sz w:val="18"/>
                <w:szCs w:val="18"/>
              </w:rPr>
              <w:t>Grinwis</w:t>
            </w:r>
            <w:proofErr w:type="spellEnd"/>
            <w:r w:rsidR="00393EC1">
              <w:rPr>
                <w:rFonts w:ascii="Verdana" w:hAnsi="Verdana"/>
                <w:sz w:val="18"/>
                <w:szCs w:val="18"/>
              </w:rPr>
              <w:t xml:space="preserve"> (ChristenUnie)</w:t>
            </w:r>
          </w:p>
        </w:tc>
        <w:tc>
          <w:tcPr>
            <w:tcW w:w="6237"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7A2C0600"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F67E75" w:rsidTr="008D533C" w14:paraId="4568128E" w14:textId="77777777">
        <w:trPr>
          <w:trHeight w:val="2624"/>
        </w:trPr>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F67E75" w:rsidP="00F11423" w:rsidRDefault="00F67E75" w14:paraId="441CCF04"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p>
          <w:p w:rsidRPr="00F11423" w:rsidR="00F67E75" w:rsidP="00F11423" w:rsidRDefault="00F67E75" w14:paraId="203EAC83" w14:textId="77777777">
            <w:pPr>
              <w:pStyle w:val="Lijstalinea"/>
              <w:numPr>
                <w:ilvl w:val="0"/>
                <w:numId w:val="1"/>
              </w:numPr>
              <w:spacing w:line="276" w:lineRule="auto"/>
              <w:rPr>
                <w:rFonts w:ascii="Verdana" w:hAnsi="Verdana"/>
                <w:sz w:val="18"/>
                <w:szCs w:val="18"/>
              </w:rPr>
            </w:pPr>
            <w:r w:rsidRPr="00F11423">
              <w:rPr>
                <w:rFonts w:ascii="Verdana" w:hAnsi="Verdana"/>
                <w:sz w:val="18"/>
                <w:szCs w:val="18"/>
              </w:rPr>
              <w:t xml:space="preserve">Het amendement wordt gedekt door de tarieven in de motorrijtuigenbelasting voor alle personenauto’s en particuliere bestelauto’s tijdelijk te verhogen tot 2031. Daarmee worden lasten verschoven van houders van een emissievrije personenauto naar houders van een met fossiele brandstoffen aangedreven personenauto. </w:t>
            </w:r>
          </w:p>
          <w:p w:rsidRPr="00F11423" w:rsidR="00F67E75" w:rsidP="00F11423" w:rsidRDefault="00F67E75" w14:paraId="1F6CF230" w14:textId="77777777">
            <w:pPr>
              <w:pStyle w:val="Lijstalinea"/>
              <w:numPr>
                <w:ilvl w:val="0"/>
                <w:numId w:val="1"/>
              </w:numPr>
              <w:spacing w:line="276" w:lineRule="auto"/>
              <w:rPr>
                <w:rFonts w:ascii="Verdana" w:hAnsi="Verdana"/>
                <w:sz w:val="18"/>
                <w:szCs w:val="18"/>
              </w:rPr>
            </w:pPr>
            <w:r w:rsidRPr="00F11423">
              <w:rPr>
                <w:rFonts w:ascii="Verdana" w:hAnsi="Verdana"/>
                <w:sz w:val="18"/>
                <w:szCs w:val="18"/>
              </w:rPr>
              <w:t xml:space="preserve">Het verdient aanbeveling om de tariefkorting in het voorjaar in breder verband opnieuw te wegen als het kabinet met een breder plan voor de hervorming van de autobelastingen komt.  </w:t>
            </w:r>
          </w:p>
          <w:p w:rsidRPr="00F11423" w:rsidR="00F67E75" w:rsidP="00F11423" w:rsidRDefault="00F67E75" w14:paraId="3193D1B0" w14:textId="77777777">
            <w:pPr>
              <w:pStyle w:val="Lijstalinea"/>
              <w:numPr>
                <w:ilvl w:val="0"/>
                <w:numId w:val="1"/>
              </w:numPr>
              <w:spacing w:line="276" w:lineRule="auto"/>
              <w:rPr>
                <w:rFonts w:ascii="Verdana" w:hAnsi="Verdana"/>
                <w:sz w:val="18"/>
                <w:szCs w:val="18"/>
              </w:rPr>
            </w:pPr>
            <w:r w:rsidRPr="00F11423">
              <w:rPr>
                <w:rFonts w:ascii="Verdana" w:hAnsi="Verdana"/>
                <w:sz w:val="18"/>
                <w:szCs w:val="18"/>
              </w:rPr>
              <w:t xml:space="preserve">Er is een schending van begrotingsregels. Het amendement compenseert provincies via de uitgavenkant (provinciefonds), terwijl de opbrengst hiervoor valt binnen het inkomstenkader (hogere </w:t>
            </w:r>
            <w:proofErr w:type="spellStart"/>
            <w:r w:rsidRPr="00F11423">
              <w:rPr>
                <w:rFonts w:ascii="Verdana" w:hAnsi="Verdana"/>
                <w:sz w:val="18"/>
                <w:szCs w:val="18"/>
              </w:rPr>
              <w:t>mrb</w:t>
            </w:r>
            <w:proofErr w:type="spellEnd"/>
            <w:r w:rsidRPr="00F11423">
              <w:rPr>
                <w:rFonts w:ascii="Verdana" w:hAnsi="Verdana"/>
                <w:sz w:val="18"/>
                <w:szCs w:val="18"/>
              </w:rPr>
              <w:t>). Een dergelijke kadercorrectie kan in dit specifieke geval verdedigbaar zijn, omdat de maatregel aan de lastenkant een directe impact heeft op de inkomsten voor de provincies en de vanwege de bestuurlijke verhoudingen benodigde compensatie via het Provinciefonds.</w:t>
            </w:r>
          </w:p>
          <w:p w:rsidRPr="00F11423" w:rsidR="00C86796" w:rsidP="00F11423" w:rsidRDefault="00C86796" w14:paraId="48279047" w14:textId="77777777">
            <w:pPr>
              <w:pStyle w:val="Lijstalinea"/>
              <w:spacing w:line="276" w:lineRule="auto"/>
              <w:ind w:left="360"/>
              <w:rPr>
                <w:rFonts w:ascii="Verdana" w:hAnsi="Verdana"/>
                <w:sz w:val="18"/>
                <w:szCs w:val="18"/>
              </w:rPr>
            </w:pPr>
          </w:p>
          <w:p w:rsidRPr="00F11423" w:rsidR="00F67E75" w:rsidP="00F11423" w:rsidRDefault="00F67E75" w14:paraId="0EE013E6" w14:textId="77777777">
            <w:pPr>
              <w:spacing w:after="0" w:line="276" w:lineRule="auto"/>
              <w:rPr>
                <w:rFonts w:ascii="Verdana" w:hAnsi="Verdana"/>
                <w:b/>
                <w:bCs/>
                <w:sz w:val="18"/>
                <w:szCs w:val="18"/>
              </w:rPr>
            </w:pPr>
          </w:p>
        </w:tc>
      </w:tr>
      <w:tr w:rsidRPr="00F11423" w:rsidR="00F67E75" w:rsidTr="008D533C" w14:paraId="234E45D4" w14:textId="77777777">
        <w:trPr>
          <w:trHeight w:val="2578"/>
        </w:trPr>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F67E75" w:rsidP="00F11423" w:rsidRDefault="00F67E75" w14:paraId="49BF8264" w14:textId="6F81D067">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Budgetneutraal</w:t>
            </w:r>
          </w:p>
          <w:tbl>
            <w:tblPr>
              <w:tblpPr w:leftFromText="141" w:rightFromText="141" w:vertAnchor="page" w:horzAnchor="margin" w:tblpY="426"/>
              <w:tblOverlap w:val="never"/>
              <w:tblW w:w="8637" w:type="dxa"/>
              <w:tblCellMar>
                <w:left w:w="70" w:type="dxa"/>
                <w:right w:w="70" w:type="dxa"/>
              </w:tblCellMar>
              <w:tblLook w:val="04A0" w:firstRow="1" w:lastRow="0" w:firstColumn="1" w:lastColumn="0" w:noHBand="0" w:noVBand="1"/>
            </w:tblPr>
            <w:tblGrid>
              <w:gridCol w:w="2641"/>
              <w:gridCol w:w="595"/>
              <w:gridCol w:w="774"/>
              <w:gridCol w:w="774"/>
              <w:gridCol w:w="774"/>
              <w:gridCol w:w="774"/>
              <w:gridCol w:w="774"/>
              <w:gridCol w:w="595"/>
              <w:gridCol w:w="1287"/>
            </w:tblGrid>
            <w:tr w:rsidRPr="00F11423" w:rsidR="00C86796" w:rsidTr="0017102A" w14:paraId="0056C4EE" w14:textId="77777777">
              <w:trPr>
                <w:trHeight w:val="303"/>
              </w:trPr>
              <w:tc>
                <w:tcPr>
                  <w:tcW w:w="2641" w:type="dxa"/>
                  <w:tcBorders>
                    <w:top w:val="single" w:color="auto" w:sz="8" w:space="0"/>
                    <w:left w:val="single" w:color="auto" w:sz="8" w:space="0"/>
                    <w:bottom w:val="nil"/>
                    <w:right w:val="single" w:color="auto" w:sz="4" w:space="0"/>
                  </w:tcBorders>
                  <w:shd w:val="clear" w:color="auto" w:fill="DEEAF6" w:themeFill="accent5" w:themeFillTint="33"/>
                  <w:noWrap/>
                  <w:tcMar>
                    <w:left w:w="0" w:type="dxa"/>
                    <w:right w:w="0" w:type="dxa"/>
                  </w:tcMar>
                  <w:vAlign w:val="bottom"/>
                  <w:hideMark/>
                </w:tcPr>
                <w:p w:rsidRPr="008D533C" w:rsidR="00F67E75" w:rsidP="00F11423" w:rsidRDefault="00F67E75" w14:paraId="52FA072D" w14:textId="77777777">
                  <w:pPr>
                    <w:spacing w:after="0" w:line="276" w:lineRule="auto"/>
                    <w:rPr>
                      <w:rFonts w:ascii="Verdana" w:hAnsi="Verdana"/>
                      <w:sz w:val="18"/>
                      <w:szCs w:val="18"/>
                    </w:rPr>
                  </w:pPr>
                  <w:r w:rsidRPr="008D533C">
                    <w:rPr>
                      <w:rFonts w:ascii="Verdana" w:hAnsi="Verdana"/>
                      <w:sz w:val="18"/>
                      <w:szCs w:val="18"/>
                    </w:rPr>
                    <w:t>Maatvoering verhoging</w:t>
                  </w:r>
                </w:p>
              </w:tc>
              <w:tc>
                <w:tcPr>
                  <w:tcW w:w="552" w:type="dxa"/>
                  <w:tcBorders>
                    <w:top w:val="single" w:color="auto" w:sz="8" w:space="0"/>
                    <w:left w:val="single" w:color="auto" w:sz="4" w:space="0"/>
                    <w:bottom w:val="nil"/>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5CF222D0" w14:textId="77777777">
                  <w:pPr>
                    <w:spacing w:after="0" w:line="276" w:lineRule="auto"/>
                    <w:jc w:val="right"/>
                    <w:rPr>
                      <w:rFonts w:ascii="Verdana" w:hAnsi="Verdana"/>
                      <w:sz w:val="18"/>
                      <w:szCs w:val="18"/>
                    </w:rPr>
                  </w:pPr>
                  <w:r w:rsidRPr="008D533C">
                    <w:rPr>
                      <w:rFonts w:ascii="Verdana" w:hAnsi="Verdana"/>
                      <w:sz w:val="18"/>
                      <w:szCs w:val="18"/>
                    </w:rPr>
                    <w:t>100%</w:t>
                  </w:r>
                </w:p>
              </w:tc>
              <w:tc>
                <w:tcPr>
                  <w:tcW w:w="721" w:type="dxa"/>
                  <w:tcBorders>
                    <w:top w:val="single" w:color="auto" w:sz="8" w:space="0"/>
                    <w:left w:val="single" w:color="auto" w:sz="4" w:space="0"/>
                    <w:bottom w:val="nil"/>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502E5AC1" w14:textId="77777777">
                  <w:pPr>
                    <w:spacing w:after="0" w:line="276" w:lineRule="auto"/>
                    <w:jc w:val="right"/>
                    <w:rPr>
                      <w:rFonts w:ascii="Verdana" w:hAnsi="Verdana"/>
                      <w:sz w:val="18"/>
                      <w:szCs w:val="18"/>
                    </w:rPr>
                  </w:pPr>
                  <w:r w:rsidRPr="008D533C">
                    <w:rPr>
                      <w:rFonts w:ascii="Verdana" w:hAnsi="Verdana"/>
                      <w:sz w:val="18"/>
                      <w:szCs w:val="18"/>
                    </w:rPr>
                    <w:t>107,5%</w:t>
                  </w:r>
                </w:p>
              </w:tc>
              <w:tc>
                <w:tcPr>
                  <w:tcW w:w="721" w:type="dxa"/>
                  <w:tcBorders>
                    <w:top w:val="single" w:color="auto" w:sz="8" w:space="0"/>
                    <w:left w:val="single" w:color="auto" w:sz="4" w:space="0"/>
                    <w:bottom w:val="nil"/>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1D5C8C1C" w14:textId="77777777">
                  <w:pPr>
                    <w:spacing w:after="0" w:line="276" w:lineRule="auto"/>
                    <w:jc w:val="right"/>
                    <w:rPr>
                      <w:rFonts w:ascii="Verdana" w:hAnsi="Verdana"/>
                      <w:sz w:val="18"/>
                      <w:szCs w:val="18"/>
                    </w:rPr>
                  </w:pPr>
                  <w:r w:rsidRPr="008D533C">
                    <w:rPr>
                      <w:rFonts w:ascii="Verdana" w:hAnsi="Verdana"/>
                      <w:sz w:val="18"/>
                      <w:szCs w:val="18"/>
                    </w:rPr>
                    <w:t>107,5%</w:t>
                  </w:r>
                </w:p>
              </w:tc>
              <w:tc>
                <w:tcPr>
                  <w:tcW w:w="721" w:type="dxa"/>
                  <w:tcBorders>
                    <w:top w:val="single" w:color="auto" w:sz="8" w:space="0"/>
                    <w:left w:val="single" w:color="auto" w:sz="4" w:space="0"/>
                    <w:bottom w:val="nil"/>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0277DA87" w14:textId="77777777">
                  <w:pPr>
                    <w:spacing w:after="0" w:line="276" w:lineRule="auto"/>
                    <w:jc w:val="right"/>
                    <w:rPr>
                      <w:rFonts w:ascii="Verdana" w:hAnsi="Verdana"/>
                      <w:sz w:val="18"/>
                      <w:szCs w:val="18"/>
                    </w:rPr>
                  </w:pPr>
                  <w:r w:rsidRPr="008D533C">
                    <w:rPr>
                      <w:rFonts w:ascii="Verdana" w:hAnsi="Verdana"/>
                      <w:sz w:val="18"/>
                      <w:szCs w:val="18"/>
                    </w:rPr>
                    <w:t>107,5%</w:t>
                  </w:r>
                </w:p>
              </w:tc>
              <w:tc>
                <w:tcPr>
                  <w:tcW w:w="721" w:type="dxa"/>
                  <w:tcBorders>
                    <w:top w:val="single" w:color="auto" w:sz="4" w:space="0"/>
                    <w:left w:val="single" w:color="auto" w:sz="4" w:space="0"/>
                    <w:bottom w:val="nil"/>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4B07240A" w14:textId="77777777">
                  <w:pPr>
                    <w:spacing w:after="0" w:line="276" w:lineRule="auto"/>
                    <w:jc w:val="right"/>
                    <w:rPr>
                      <w:rFonts w:ascii="Verdana" w:hAnsi="Verdana"/>
                      <w:sz w:val="18"/>
                      <w:szCs w:val="18"/>
                    </w:rPr>
                  </w:pPr>
                  <w:r w:rsidRPr="008D533C">
                    <w:rPr>
                      <w:rFonts w:ascii="Verdana" w:hAnsi="Verdana"/>
                      <w:sz w:val="18"/>
                      <w:szCs w:val="18"/>
                    </w:rPr>
                    <w:t>107,5%</w:t>
                  </w:r>
                </w:p>
              </w:tc>
              <w:tc>
                <w:tcPr>
                  <w:tcW w:w="721" w:type="dxa"/>
                  <w:tcBorders>
                    <w:top w:val="single" w:color="auto" w:sz="8" w:space="0"/>
                    <w:left w:val="single" w:color="auto" w:sz="4" w:space="0"/>
                    <w:bottom w:val="nil"/>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6BFE79E9" w14:textId="77777777">
                  <w:pPr>
                    <w:spacing w:after="0" w:line="276" w:lineRule="auto"/>
                    <w:jc w:val="right"/>
                    <w:rPr>
                      <w:rFonts w:ascii="Verdana" w:hAnsi="Verdana"/>
                      <w:sz w:val="18"/>
                      <w:szCs w:val="18"/>
                    </w:rPr>
                  </w:pPr>
                  <w:r w:rsidRPr="008D533C">
                    <w:rPr>
                      <w:rFonts w:ascii="Verdana" w:hAnsi="Verdana"/>
                      <w:sz w:val="18"/>
                      <w:szCs w:val="18"/>
                    </w:rPr>
                    <w:t>107,5%</w:t>
                  </w:r>
                </w:p>
              </w:tc>
              <w:tc>
                <w:tcPr>
                  <w:tcW w:w="552" w:type="dxa"/>
                  <w:tcBorders>
                    <w:top w:val="single" w:color="auto" w:sz="8" w:space="0"/>
                    <w:left w:val="single" w:color="auto" w:sz="4" w:space="0"/>
                    <w:bottom w:val="nil"/>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1C97CE2B" w14:textId="77777777">
                  <w:pPr>
                    <w:spacing w:after="0" w:line="276" w:lineRule="auto"/>
                    <w:jc w:val="right"/>
                    <w:rPr>
                      <w:rFonts w:ascii="Verdana" w:hAnsi="Verdana"/>
                      <w:sz w:val="18"/>
                      <w:szCs w:val="18"/>
                    </w:rPr>
                  </w:pPr>
                  <w:r w:rsidRPr="008D533C">
                    <w:rPr>
                      <w:rFonts w:ascii="Verdana" w:hAnsi="Verdana"/>
                      <w:sz w:val="18"/>
                      <w:szCs w:val="18"/>
                    </w:rPr>
                    <w:t>100%</w:t>
                  </w:r>
                </w:p>
              </w:tc>
              <w:tc>
                <w:tcPr>
                  <w:tcW w:w="1287" w:type="dxa"/>
                  <w:tcBorders>
                    <w:top w:val="single" w:color="auto" w:sz="8" w:space="0"/>
                    <w:left w:val="single" w:color="auto" w:sz="4" w:space="0"/>
                    <w:bottom w:val="nil"/>
                    <w:right w:val="single" w:color="auto" w:sz="8" w:space="0"/>
                  </w:tcBorders>
                  <w:shd w:val="clear" w:color="auto" w:fill="DEEAF6" w:themeFill="accent5" w:themeFillTint="33"/>
                  <w:noWrap/>
                  <w:tcMar>
                    <w:left w:w="0" w:type="dxa"/>
                    <w:right w:w="57" w:type="dxa"/>
                  </w:tcMar>
                  <w:vAlign w:val="bottom"/>
                  <w:hideMark/>
                </w:tcPr>
                <w:p w:rsidRPr="008D533C" w:rsidR="00F67E75" w:rsidP="00F11423" w:rsidRDefault="00F67E75" w14:paraId="06CCF81B" w14:textId="77777777">
                  <w:pPr>
                    <w:spacing w:after="0" w:line="276" w:lineRule="auto"/>
                    <w:rPr>
                      <w:rFonts w:ascii="Verdana" w:hAnsi="Verdana"/>
                      <w:sz w:val="18"/>
                      <w:szCs w:val="18"/>
                    </w:rPr>
                  </w:pPr>
                  <w:r w:rsidRPr="008D533C">
                    <w:rPr>
                      <w:rFonts w:ascii="Verdana" w:hAnsi="Verdana"/>
                      <w:sz w:val="18"/>
                      <w:szCs w:val="18"/>
                    </w:rPr>
                    <w:t>Cum (25-30)</w:t>
                  </w:r>
                </w:p>
              </w:tc>
            </w:tr>
            <w:tr w:rsidRPr="00F11423" w:rsidR="00C86796" w:rsidTr="0017102A" w14:paraId="26D7CF67" w14:textId="77777777">
              <w:trPr>
                <w:trHeight w:val="303"/>
              </w:trPr>
              <w:tc>
                <w:tcPr>
                  <w:tcW w:w="2641" w:type="dxa"/>
                  <w:tcBorders>
                    <w:top w:val="nil"/>
                    <w:left w:val="single" w:color="auto" w:sz="8" w:space="0"/>
                    <w:right w:val="single" w:color="auto" w:sz="4" w:space="0"/>
                  </w:tcBorders>
                  <w:shd w:val="clear" w:color="auto" w:fill="DEEAF6" w:themeFill="accent5" w:themeFillTint="33"/>
                  <w:noWrap/>
                  <w:tcMar>
                    <w:left w:w="0" w:type="dxa"/>
                    <w:right w:w="0" w:type="dxa"/>
                  </w:tcMar>
                  <w:vAlign w:val="bottom"/>
                  <w:hideMark/>
                </w:tcPr>
                <w:p w:rsidRPr="008D533C" w:rsidR="00F67E75" w:rsidP="00F11423" w:rsidRDefault="00F67E75" w14:paraId="1BCD9CE1" w14:textId="77777777">
                  <w:pPr>
                    <w:spacing w:after="0" w:line="276" w:lineRule="auto"/>
                    <w:rPr>
                      <w:rFonts w:ascii="Verdana" w:hAnsi="Verdana"/>
                      <w:sz w:val="18"/>
                      <w:szCs w:val="18"/>
                    </w:rPr>
                  </w:pPr>
                  <w:r w:rsidRPr="008D533C">
                    <w:rPr>
                      <w:rFonts w:ascii="Verdana" w:hAnsi="Verdana"/>
                      <w:sz w:val="18"/>
                      <w:szCs w:val="18"/>
                    </w:rPr>
                    <w:t>Budgettair effect; mln. € prijspeil 2024</w:t>
                  </w:r>
                </w:p>
              </w:tc>
              <w:tc>
                <w:tcPr>
                  <w:tcW w:w="552" w:type="dxa"/>
                  <w:tcBorders>
                    <w:top w:val="nil"/>
                    <w:left w:val="single" w:color="auto" w:sz="4" w:space="0"/>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3A0822FB" w14:textId="77777777">
                  <w:pPr>
                    <w:spacing w:after="0" w:line="276" w:lineRule="auto"/>
                    <w:jc w:val="right"/>
                    <w:rPr>
                      <w:rFonts w:ascii="Verdana" w:hAnsi="Verdana"/>
                      <w:sz w:val="18"/>
                      <w:szCs w:val="18"/>
                    </w:rPr>
                  </w:pPr>
                  <w:r w:rsidRPr="008D533C">
                    <w:rPr>
                      <w:rFonts w:ascii="Verdana" w:hAnsi="Verdana"/>
                      <w:sz w:val="18"/>
                      <w:szCs w:val="18"/>
                    </w:rPr>
                    <w:t>2025</w:t>
                  </w:r>
                </w:p>
              </w:tc>
              <w:tc>
                <w:tcPr>
                  <w:tcW w:w="721" w:type="dxa"/>
                  <w:tcBorders>
                    <w:top w:val="nil"/>
                    <w:left w:val="single" w:color="auto" w:sz="4" w:space="0"/>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6532C4BC" w14:textId="77777777">
                  <w:pPr>
                    <w:spacing w:after="0" w:line="276" w:lineRule="auto"/>
                    <w:jc w:val="right"/>
                    <w:rPr>
                      <w:rFonts w:ascii="Verdana" w:hAnsi="Verdana"/>
                      <w:sz w:val="18"/>
                      <w:szCs w:val="18"/>
                    </w:rPr>
                  </w:pPr>
                  <w:r w:rsidRPr="008D533C">
                    <w:rPr>
                      <w:rFonts w:ascii="Verdana" w:hAnsi="Verdana"/>
                      <w:sz w:val="18"/>
                      <w:szCs w:val="18"/>
                    </w:rPr>
                    <w:t>2026</w:t>
                  </w:r>
                </w:p>
              </w:tc>
              <w:tc>
                <w:tcPr>
                  <w:tcW w:w="721" w:type="dxa"/>
                  <w:tcBorders>
                    <w:top w:val="nil"/>
                    <w:left w:val="single" w:color="auto" w:sz="4" w:space="0"/>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67B23A0F" w14:textId="77777777">
                  <w:pPr>
                    <w:spacing w:after="0" w:line="276" w:lineRule="auto"/>
                    <w:jc w:val="right"/>
                    <w:rPr>
                      <w:rFonts w:ascii="Verdana" w:hAnsi="Verdana"/>
                      <w:sz w:val="18"/>
                      <w:szCs w:val="18"/>
                    </w:rPr>
                  </w:pPr>
                  <w:r w:rsidRPr="008D533C">
                    <w:rPr>
                      <w:rFonts w:ascii="Verdana" w:hAnsi="Verdana"/>
                      <w:sz w:val="18"/>
                      <w:szCs w:val="18"/>
                    </w:rPr>
                    <w:t>2027</w:t>
                  </w:r>
                </w:p>
              </w:tc>
              <w:tc>
                <w:tcPr>
                  <w:tcW w:w="721" w:type="dxa"/>
                  <w:tcBorders>
                    <w:top w:val="nil"/>
                    <w:left w:val="single" w:color="auto" w:sz="4" w:space="0"/>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3B6A4284" w14:textId="77777777">
                  <w:pPr>
                    <w:spacing w:after="0" w:line="276" w:lineRule="auto"/>
                    <w:jc w:val="right"/>
                    <w:rPr>
                      <w:rFonts w:ascii="Verdana" w:hAnsi="Verdana"/>
                      <w:sz w:val="18"/>
                      <w:szCs w:val="18"/>
                    </w:rPr>
                  </w:pPr>
                  <w:r w:rsidRPr="008D533C">
                    <w:rPr>
                      <w:rFonts w:ascii="Verdana" w:hAnsi="Verdana"/>
                      <w:sz w:val="18"/>
                      <w:szCs w:val="18"/>
                    </w:rPr>
                    <w:t>2028</w:t>
                  </w:r>
                </w:p>
              </w:tc>
              <w:tc>
                <w:tcPr>
                  <w:tcW w:w="721" w:type="dxa"/>
                  <w:tcBorders>
                    <w:top w:val="nil"/>
                    <w:left w:val="single" w:color="auto" w:sz="4" w:space="0"/>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76869F76" w14:textId="77777777">
                  <w:pPr>
                    <w:spacing w:after="0" w:line="276" w:lineRule="auto"/>
                    <w:jc w:val="right"/>
                    <w:rPr>
                      <w:rFonts w:ascii="Verdana" w:hAnsi="Verdana"/>
                      <w:sz w:val="18"/>
                      <w:szCs w:val="18"/>
                    </w:rPr>
                  </w:pPr>
                  <w:r w:rsidRPr="008D533C">
                    <w:rPr>
                      <w:rFonts w:ascii="Verdana" w:hAnsi="Verdana"/>
                      <w:sz w:val="18"/>
                      <w:szCs w:val="18"/>
                    </w:rPr>
                    <w:t>2029</w:t>
                  </w:r>
                </w:p>
              </w:tc>
              <w:tc>
                <w:tcPr>
                  <w:tcW w:w="721" w:type="dxa"/>
                  <w:tcBorders>
                    <w:top w:val="nil"/>
                    <w:left w:val="single" w:color="auto" w:sz="4" w:space="0"/>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25A06615" w14:textId="77777777">
                  <w:pPr>
                    <w:spacing w:after="0" w:line="276" w:lineRule="auto"/>
                    <w:jc w:val="right"/>
                    <w:rPr>
                      <w:rFonts w:ascii="Verdana" w:hAnsi="Verdana"/>
                      <w:sz w:val="18"/>
                      <w:szCs w:val="18"/>
                    </w:rPr>
                  </w:pPr>
                  <w:r w:rsidRPr="008D533C">
                    <w:rPr>
                      <w:rFonts w:ascii="Verdana" w:hAnsi="Verdana"/>
                      <w:sz w:val="18"/>
                      <w:szCs w:val="18"/>
                    </w:rPr>
                    <w:t>2030</w:t>
                  </w:r>
                </w:p>
              </w:tc>
              <w:tc>
                <w:tcPr>
                  <w:tcW w:w="552" w:type="dxa"/>
                  <w:tcBorders>
                    <w:top w:val="nil"/>
                    <w:left w:val="single" w:color="auto" w:sz="4" w:space="0"/>
                    <w:right w:val="single" w:color="auto" w:sz="4" w:space="0"/>
                  </w:tcBorders>
                  <w:shd w:val="clear" w:color="auto" w:fill="DEEAF6" w:themeFill="accent5" w:themeFillTint="33"/>
                  <w:noWrap/>
                  <w:tcMar>
                    <w:left w:w="0" w:type="dxa"/>
                    <w:right w:w="57" w:type="dxa"/>
                  </w:tcMar>
                  <w:vAlign w:val="bottom"/>
                  <w:hideMark/>
                </w:tcPr>
                <w:p w:rsidRPr="008D533C" w:rsidR="00F67E75" w:rsidP="00F11423" w:rsidRDefault="00F67E75" w14:paraId="157902FB" w14:textId="77777777">
                  <w:pPr>
                    <w:spacing w:after="0" w:line="276" w:lineRule="auto"/>
                    <w:jc w:val="right"/>
                    <w:rPr>
                      <w:rFonts w:ascii="Verdana" w:hAnsi="Verdana"/>
                      <w:sz w:val="18"/>
                      <w:szCs w:val="18"/>
                    </w:rPr>
                  </w:pPr>
                  <w:proofErr w:type="spellStart"/>
                  <w:proofErr w:type="gramStart"/>
                  <w:r w:rsidRPr="008D533C">
                    <w:rPr>
                      <w:rFonts w:ascii="Verdana" w:hAnsi="Verdana"/>
                      <w:sz w:val="18"/>
                      <w:szCs w:val="18"/>
                    </w:rPr>
                    <w:t>struc</w:t>
                  </w:r>
                  <w:proofErr w:type="spellEnd"/>
                  <w:proofErr w:type="gramEnd"/>
                </w:p>
              </w:tc>
              <w:tc>
                <w:tcPr>
                  <w:tcW w:w="1287" w:type="dxa"/>
                  <w:tcBorders>
                    <w:top w:val="nil"/>
                    <w:left w:val="single" w:color="auto" w:sz="4" w:space="0"/>
                    <w:right w:val="single" w:color="auto" w:sz="8" w:space="0"/>
                  </w:tcBorders>
                  <w:shd w:val="clear" w:color="auto" w:fill="DEEAF6" w:themeFill="accent5" w:themeFillTint="33"/>
                  <w:noWrap/>
                  <w:tcMar>
                    <w:left w:w="0" w:type="dxa"/>
                    <w:right w:w="57" w:type="dxa"/>
                  </w:tcMar>
                  <w:vAlign w:val="bottom"/>
                  <w:hideMark/>
                </w:tcPr>
                <w:p w:rsidRPr="008D533C" w:rsidR="00F67E75" w:rsidP="00F11423" w:rsidRDefault="00F67E75" w14:paraId="5E74185F" w14:textId="77777777">
                  <w:pPr>
                    <w:spacing w:after="0" w:line="276" w:lineRule="auto"/>
                    <w:rPr>
                      <w:rFonts w:ascii="Verdana" w:hAnsi="Verdana"/>
                      <w:sz w:val="18"/>
                      <w:szCs w:val="18"/>
                    </w:rPr>
                  </w:pPr>
                  <w:r w:rsidRPr="008D533C">
                    <w:rPr>
                      <w:rFonts w:ascii="Verdana" w:hAnsi="Verdana"/>
                      <w:sz w:val="18"/>
                      <w:szCs w:val="18"/>
                    </w:rPr>
                    <w:t> </w:t>
                  </w:r>
                </w:p>
              </w:tc>
            </w:tr>
            <w:tr w:rsidRPr="00F11423" w:rsidR="00C86796" w:rsidTr="00AE4A9C" w14:paraId="00D20D9F" w14:textId="77777777">
              <w:trPr>
                <w:trHeight w:val="303"/>
              </w:trPr>
              <w:tc>
                <w:tcPr>
                  <w:tcW w:w="2641" w:type="dxa"/>
                  <w:tcBorders>
                    <w:top w:val="nil"/>
                    <w:left w:val="single" w:color="auto" w:sz="8" w:space="0"/>
                    <w:bottom w:val="single" w:color="auto" w:sz="4" w:space="0"/>
                    <w:right w:val="single" w:color="auto" w:sz="4" w:space="0"/>
                  </w:tcBorders>
                  <w:shd w:val="clear" w:color="auto" w:fill="auto"/>
                  <w:noWrap/>
                  <w:tcMar>
                    <w:left w:w="0" w:type="dxa"/>
                    <w:right w:w="0" w:type="dxa"/>
                  </w:tcMar>
                  <w:vAlign w:val="bottom"/>
                  <w:hideMark/>
                </w:tcPr>
                <w:p w:rsidRPr="00F11423" w:rsidR="00F67E75" w:rsidP="00F11423" w:rsidRDefault="00F67E75" w14:paraId="403C628F" w14:textId="77777777">
                  <w:pPr>
                    <w:spacing w:after="0" w:line="276" w:lineRule="auto"/>
                    <w:rPr>
                      <w:rFonts w:ascii="Verdana" w:hAnsi="Verdana"/>
                      <w:color w:val="000000"/>
                      <w:sz w:val="18"/>
                      <w:szCs w:val="18"/>
                    </w:rPr>
                  </w:pPr>
                  <w:r w:rsidRPr="00F11423">
                    <w:rPr>
                      <w:rFonts w:ascii="Verdana" w:hAnsi="Verdana"/>
                      <w:color w:val="000000"/>
                      <w:sz w:val="18"/>
                      <w:szCs w:val="18"/>
                    </w:rPr>
                    <w:t>Terugdraaien versobering korting (incl. opcenten):</w:t>
                  </w:r>
                </w:p>
              </w:tc>
              <w:tc>
                <w:tcPr>
                  <w:tcW w:w="552" w:type="dxa"/>
                  <w:tcBorders>
                    <w:top w:val="nil"/>
                    <w:left w:val="single" w:color="auto" w:sz="4" w:space="0"/>
                    <w:bottom w:val="single" w:color="auto" w:sz="4" w:space="0"/>
                    <w:right w:val="single" w:color="auto" w:sz="4" w:space="0"/>
                  </w:tcBorders>
                  <w:shd w:val="clear" w:color="auto" w:fill="auto"/>
                  <w:noWrap/>
                  <w:tcMar>
                    <w:left w:w="0" w:type="dxa"/>
                    <w:right w:w="57" w:type="dxa"/>
                  </w:tcMar>
                  <w:vAlign w:val="bottom"/>
                  <w:hideMark/>
                </w:tcPr>
                <w:p w:rsidRPr="00F11423" w:rsidR="00F67E75" w:rsidP="00F11423" w:rsidRDefault="00F67E75" w14:paraId="679DCE01"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w:t>
                  </w:r>
                </w:p>
              </w:tc>
              <w:tc>
                <w:tcPr>
                  <w:tcW w:w="721" w:type="dxa"/>
                  <w:tcBorders>
                    <w:top w:val="nil"/>
                    <w:left w:val="single" w:color="auto" w:sz="4" w:space="0"/>
                    <w:bottom w:val="single" w:color="auto" w:sz="4" w:space="0"/>
                    <w:right w:val="single" w:color="auto" w:sz="4" w:space="0"/>
                  </w:tcBorders>
                  <w:shd w:val="clear" w:color="auto" w:fill="auto"/>
                  <w:noWrap/>
                  <w:tcMar>
                    <w:left w:w="0" w:type="dxa"/>
                    <w:right w:w="57" w:type="dxa"/>
                  </w:tcMar>
                  <w:vAlign w:val="bottom"/>
                  <w:hideMark/>
                </w:tcPr>
                <w:p w:rsidRPr="00F11423" w:rsidR="00F67E75" w:rsidP="00F11423" w:rsidRDefault="00F67E75" w14:paraId="2BF4F633"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-160</w:t>
                  </w:r>
                </w:p>
              </w:tc>
              <w:tc>
                <w:tcPr>
                  <w:tcW w:w="721" w:type="dxa"/>
                  <w:tcBorders>
                    <w:top w:val="nil"/>
                    <w:left w:val="single" w:color="auto" w:sz="4" w:space="0"/>
                    <w:bottom w:val="single" w:color="auto" w:sz="4" w:space="0"/>
                    <w:right w:val="single" w:color="auto" w:sz="4" w:space="0"/>
                  </w:tcBorders>
                  <w:shd w:val="clear" w:color="auto" w:fill="auto"/>
                  <w:noWrap/>
                  <w:tcMar>
                    <w:left w:w="0" w:type="dxa"/>
                    <w:right w:w="57" w:type="dxa"/>
                  </w:tcMar>
                  <w:vAlign w:val="bottom"/>
                  <w:hideMark/>
                </w:tcPr>
                <w:p w:rsidRPr="00F11423" w:rsidR="00F67E75" w:rsidP="00F11423" w:rsidRDefault="00F67E75" w14:paraId="6F95C356"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-218</w:t>
                  </w:r>
                </w:p>
              </w:tc>
              <w:tc>
                <w:tcPr>
                  <w:tcW w:w="721" w:type="dxa"/>
                  <w:tcBorders>
                    <w:top w:val="nil"/>
                    <w:left w:val="single" w:color="auto" w:sz="4" w:space="0"/>
                    <w:bottom w:val="single" w:color="auto" w:sz="4" w:space="0"/>
                    <w:right w:val="single" w:color="auto" w:sz="4" w:space="0"/>
                  </w:tcBorders>
                  <w:shd w:val="clear" w:color="auto" w:fill="auto"/>
                  <w:noWrap/>
                  <w:tcMar>
                    <w:left w:w="0" w:type="dxa"/>
                    <w:right w:w="57" w:type="dxa"/>
                  </w:tcMar>
                  <w:vAlign w:val="bottom"/>
                  <w:hideMark/>
                </w:tcPr>
                <w:p w:rsidRPr="00F11423" w:rsidR="00F67E75" w:rsidP="00F11423" w:rsidRDefault="00F67E75" w14:paraId="5F73BF03"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-294</w:t>
                  </w:r>
                </w:p>
              </w:tc>
              <w:tc>
                <w:tcPr>
                  <w:tcW w:w="721" w:type="dxa"/>
                  <w:tcBorders>
                    <w:top w:val="nil"/>
                    <w:left w:val="single" w:color="auto" w:sz="4" w:space="0"/>
                    <w:bottom w:val="single" w:color="auto" w:sz="4" w:space="0"/>
                    <w:right w:val="single" w:color="auto" w:sz="4" w:space="0"/>
                  </w:tcBorders>
                  <w:shd w:val="clear" w:color="auto" w:fill="auto"/>
                  <w:noWrap/>
                  <w:tcMar>
                    <w:left w:w="0" w:type="dxa"/>
                    <w:right w:w="57" w:type="dxa"/>
                  </w:tcMar>
                  <w:vAlign w:val="bottom"/>
                  <w:hideMark/>
                </w:tcPr>
                <w:p w:rsidRPr="00F11423" w:rsidR="00F67E75" w:rsidP="00F11423" w:rsidRDefault="00F67E75" w14:paraId="7673D132"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-274</w:t>
                  </w:r>
                </w:p>
              </w:tc>
              <w:tc>
                <w:tcPr>
                  <w:tcW w:w="721" w:type="dxa"/>
                  <w:tcBorders>
                    <w:top w:val="nil"/>
                    <w:left w:val="single" w:color="auto" w:sz="4" w:space="0"/>
                    <w:bottom w:val="single" w:color="auto" w:sz="4" w:space="0"/>
                    <w:right w:val="single" w:color="auto" w:sz="4" w:space="0"/>
                  </w:tcBorders>
                  <w:shd w:val="clear" w:color="auto" w:fill="auto"/>
                  <w:noWrap/>
                  <w:tcMar>
                    <w:left w:w="0" w:type="dxa"/>
                    <w:right w:w="57" w:type="dxa"/>
                  </w:tcMar>
                  <w:vAlign w:val="bottom"/>
                  <w:hideMark/>
                </w:tcPr>
                <w:p w:rsidRPr="00F11423" w:rsidR="00F67E75" w:rsidP="00F11423" w:rsidRDefault="00F67E75" w14:paraId="542D55B6"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-647</w:t>
                  </w:r>
                </w:p>
              </w:tc>
              <w:tc>
                <w:tcPr>
                  <w:tcW w:w="552" w:type="dxa"/>
                  <w:tcBorders>
                    <w:top w:val="nil"/>
                    <w:left w:val="single" w:color="auto" w:sz="4" w:space="0"/>
                    <w:bottom w:val="single" w:color="auto" w:sz="4" w:space="0"/>
                    <w:right w:val="single" w:color="auto" w:sz="4" w:space="0"/>
                  </w:tcBorders>
                  <w:shd w:val="clear" w:color="auto" w:fill="auto"/>
                  <w:noWrap/>
                  <w:tcMar>
                    <w:left w:w="0" w:type="dxa"/>
                    <w:right w:w="57" w:type="dxa"/>
                  </w:tcMar>
                  <w:vAlign w:val="bottom"/>
                  <w:hideMark/>
                </w:tcPr>
                <w:p w:rsidRPr="00F11423" w:rsidR="00F67E75" w:rsidP="00F11423" w:rsidRDefault="00F67E75" w14:paraId="6A3E0C58"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7</w:t>
                  </w:r>
                </w:p>
              </w:tc>
              <w:tc>
                <w:tcPr>
                  <w:tcW w:w="1287" w:type="dxa"/>
                  <w:tcBorders>
                    <w:top w:val="nil"/>
                    <w:left w:val="single" w:color="auto" w:sz="4" w:space="0"/>
                    <w:bottom w:val="single" w:color="auto" w:sz="4" w:space="0"/>
                    <w:right w:val="single" w:color="auto" w:sz="8" w:space="0"/>
                  </w:tcBorders>
                  <w:shd w:val="clear" w:color="auto" w:fill="auto"/>
                  <w:noWrap/>
                  <w:tcMar>
                    <w:left w:w="0" w:type="dxa"/>
                    <w:right w:w="57" w:type="dxa"/>
                  </w:tcMar>
                  <w:vAlign w:val="bottom"/>
                  <w:hideMark/>
                </w:tcPr>
                <w:p w:rsidRPr="00F11423" w:rsidR="00F67E75" w:rsidP="00F11423" w:rsidRDefault="00F67E75" w14:paraId="696C7504"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-1595</w:t>
                  </w:r>
                </w:p>
              </w:tc>
            </w:tr>
            <w:tr w:rsidRPr="00F11423" w:rsidR="00C86796" w:rsidTr="00AE4A9C" w14:paraId="6D53024A" w14:textId="77777777">
              <w:trPr>
                <w:trHeight w:val="184"/>
              </w:trPr>
              <w:tc>
                <w:tcPr>
                  <w:tcW w:w="2641" w:type="dxa"/>
                  <w:tcBorders>
                    <w:top w:val="single" w:color="auto" w:sz="4" w:space="0"/>
                    <w:left w:val="single" w:color="auto" w:sz="8" w:space="0"/>
                    <w:bottom w:val="single" w:color="auto" w:sz="8" w:space="0"/>
                    <w:right w:val="single" w:color="auto" w:sz="4" w:space="0"/>
                  </w:tcBorders>
                  <w:shd w:val="clear" w:color="auto" w:fill="auto"/>
                  <w:noWrap/>
                  <w:tcMar>
                    <w:left w:w="0" w:type="dxa"/>
                    <w:right w:w="0" w:type="dxa"/>
                  </w:tcMar>
                  <w:vAlign w:val="bottom"/>
                  <w:hideMark/>
                </w:tcPr>
                <w:p w:rsidRPr="00F11423" w:rsidR="00F67E75" w:rsidP="00F11423" w:rsidRDefault="00F67E75" w14:paraId="15614735" w14:textId="77777777">
                  <w:pPr>
                    <w:spacing w:after="0" w:line="276" w:lineRule="auto"/>
                    <w:rPr>
                      <w:rFonts w:ascii="Verdana" w:hAnsi="Verdana"/>
                      <w:color w:val="000000"/>
                      <w:sz w:val="18"/>
                      <w:szCs w:val="18"/>
                    </w:rPr>
                  </w:pPr>
                  <w:proofErr w:type="spellStart"/>
                  <w:r w:rsidRPr="00F11423">
                    <w:rPr>
                      <w:rFonts w:ascii="Verdana" w:hAnsi="Verdana"/>
                      <w:color w:val="000000"/>
                      <w:sz w:val="18"/>
                      <w:szCs w:val="18"/>
                    </w:rPr>
                    <w:t>Mrb</w:t>
                  </w:r>
                  <w:proofErr w:type="spellEnd"/>
                  <w:r w:rsidRPr="00F11423">
                    <w:rPr>
                      <w:rFonts w:ascii="Verdana" w:hAnsi="Verdana"/>
                      <w:color w:val="000000"/>
                      <w:sz w:val="18"/>
                      <w:szCs w:val="18"/>
                    </w:rPr>
                    <w:t xml:space="preserve"> verhoging (excl. Opcenten) </w:t>
                  </w:r>
                </w:p>
              </w:tc>
              <w:tc>
                <w:tcPr>
                  <w:tcW w:w="552" w:type="dxa"/>
                  <w:tcBorders>
                    <w:top w:val="single" w:color="auto" w:sz="4" w:space="0"/>
                    <w:left w:val="single" w:color="auto" w:sz="4" w:space="0"/>
                    <w:bottom w:val="single" w:color="auto" w:sz="8" w:space="0"/>
                    <w:right w:val="single" w:color="auto" w:sz="4" w:space="0"/>
                  </w:tcBorders>
                  <w:shd w:val="clear" w:color="auto" w:fill="auto"/>
                  <w:noWrap/>
                  <w:tcMar>
                    <w:left w:w="0" w:type="dxa"/>
                    <w:right w:w="57" w:type="dxa"/>
                  </w:tcMar>
                  <w:vAlign w:val="bottom"/>
                  <w:hideMark/>
                </w:tcPr>
                <w:p w:rsidRPr="00F11423" w:rsidR="00F67E75" w:rsidP="00F11423" w:rsidRDefault="00F67E75" w14:paraId="4FF589CE" w14:textId="77777777">
                  <w:pPr>
                    <w:spacing w:after="0" w:line="276" w:lineRule="auto"/>
                    <w:rPr>
                      <w:rFonts w:ascii="Verdana" w:hAnsi="Verdana"/>
                      <w:color w:val="000000"/>
                      <w:sz w:val="18"/>
                      <w:szCs w:val="18"/>
                    </w:rPr>
                  </w:pPr>
                  <w:r w:rsidRPr="00F11423">
                    <w:rPr>
                      <w:rFonts w:ascii="Verdana" w:hAnsi="Verdana"/>
                      <w:color w:val="000000"/>
                      <w:sz w:val="18"/>
                      <w:szCs w:val="18"/>
                    </w:rPr>
                    <w:t> </w:t>
                  </w:r>
                </w:p>
              </w:tc>
              <w:tc>
                <w:tcPr>
                  <w:tcW w:w="721" w:type="dxa"/>
                  <w:tcBorders>
                    <w:top w:val="single" w:color="auto" w:sz="4" w:space="0"/>
                    <w:left w:val="single" w:color="auto" w:sz="4" w:space="0"/>
                    <w:bottom w:val="single" w:color="auto" w:sz="8" w:space="0"/>
                    <w:right w:val="single" w:color="auto" w:sz="4" w:space="0"/>
                  </w:tcBorders>
                  <w:shd w:val="clear" w:color="auto" w:fill="auto"/>
                  <w:noWrap/>
                  <w:tcMar>
                    <w:left w:w="0" w:type="dxa"/>
                    <w:right w:w="57" w:type="dxa"/>
                  </w:tcMar>
                  <w:vAlign w:val="bottom"/>
                  <w:hideMark/>
                </w:tcPr>
                <w:p w:rsidRPr="00F11423" w:rsidR="00F67E75" w:rsidP="00F11423" w:rsidRDefault="00F67E75" w14:paraId="19B4891B"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345</w:t>
                  </w:r>
                </w:p>
              </w:tc>
              <w:tc>
                <w:tcPr>
                  <w:tcW w:w="721" w:type="dxa"/>
                  <w:tcBorders>
                    <w:top w:val="single" w:color="auto" w:sz="4" w:space="0"/>
                    <w:left w:val="single" w:color="auto" w:sz="4" w:space="0"/>
                    <w:bottom w:val="single" w:color="auto" w:sz="8" w:space="0"/>
                    <w:right w:val="single" w:color="auto" w:sz="4" w:space="0"/>
                  </w:tcBorders>
                  <w:shd w:val="clear" w:color="auto" w:fill="auto"/>
                  <w:noWrap/>
                  <w:tcMar>
                    <w:left w:w="0" w:type="dxa"/>
                    <w:right w:w="57" w:type="dxa"/>
                  </w:tcMar>
                  <w:vAlign w:val="bottom"/>
                  <w:hideMark/>
                </w:tcPr>
                <w:p w:rsidRPr="00F11423" w:rsidR="00F67E75" w:rsidP="00F11423" w:rsidRDefault="00F67E75" w14:paraId="3DFC83C3"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332</w:t>
                  </w:r>
                </w:p>
              </w:tc>
              <w:tc>
                <w:tcPr>
                  <w:tcW w:w="721" w:type="dxa"/>
                  <w:tcBorders>
                    <w:top w:val="single" w:color="auto" w:sz="4" w:space="0"/>
                    <w:left w:val="single" w:color="auto" w:sz="4" w:space="0"/>
                    <w:bottom w:val="single" w:color="auto" w:sz="8" w:space="0"/>
                    <w:right w:val="single" w:color="auto" w:sz="4" w:space="0"/>
                  </w:tcBorders>
                  <w:shd w:val="clear" w:color="auto" w:fill="auto"/>
                  <w:noWrap/>
                  <w:tcMar>
                    <w:left w:w="0" w:type="dxa"/>
                    <w:right w:w="57" w:type="dxa"/>
                  </w:tcMar>
                  <w:vAlign w:val="bottom"/>
                  <w:hideMark/>
                </w:tcPr>
                <w:p w:rsidRPr="00F11423" w:rsidR="00F67E75" w:rsidP="00F11423" w:rsidRDefault="00F67E75" w14:paraId="1B579719"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320</w:t>
                  </w:r>
                </w:p>
              </w:tc>
              <w:tc>
                <w:tcPr>
                  <w:tcW w:w="721" w:type="dxa"/>
                  <w:tcBorders>
                    <w:top w:val="single" w:color="auto" w:sz="4" w:space="0"/>
                    <w:left w:val="single" w:color="auto" w:sz="4" w:space="0"/>
                    <w:bottom w:val="single" w:color="auto" w:sz="8" w:space="0"/>
                    <w:right w:val="single" w:color="auto" w:sz="4" w:space="0"/>
                  </w:tcBorders>
                  <w:shd w:val="clear" w:color="auto" w:fill="auto"/>
                  <w:noWrap/>
                  <w:tcMar>
                    <w:left w:w="0" w:type="dxa"/>
                    <w:right w:w="57" w:type="dxa"/>
                  </w:tcMar>
                  <w:vAlign w:val="bottom"/>
                  <w:hideMark/>
                </w:tcPr>
                <w:p w:rsidRPr="00F11423" w:rsidR="00F67E75" w:rsidP="00F11423" w:rsidRDefault="00F67E75" w14:paraId="0A4C69F6"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307</w:t>
                  </w:r>
                </w:p>
              </w:tc>
              <w:tc>
                <w:tcPr>
                  <w:tcW w:w="721" w:type="dxa"/>
                  <w:tcBorders>
                    <w:top w:val="single" w:color="auto" w:sz="4" w:space="0"/>
                    <w:left w:val="single" w:color="auto" w:sz="4" w:space="0"/>
                    <w:bottom w:val="single" w:color="auto" w:sz="8" w:space="0"/>
                    <w:right w:val="single" w:color="auto" w:sz="4" w:space="0"/>
                  </w:tcBorders>
                  <w:shd w:val="clear" w:color="auto" w:fill="auto"/>
                  <w:noWrap/>
                  <w:tcMar>
                    <w:left w:w="0" w:type="dxa"/>
                    <w:right w:w="57" w:type="dxa"/>
                  </w:tcMar>
                  <w:vAlign w:val="bottom"/>
                  <w:hideMark/>
                </w:tcPr>
                <w:p w:rsidRPr="00F11423" w:rsidR="00F67E75" w:rsidP="00F11423" w:rsidRDefault="00F67E75" w14:paraId="3089A79C"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295</w:t>
                  </w:r>
                </w:p>
              </w:tc>
              <w:tc>
                <w:tcPr>
                  <w:tcW w:w="552" w:type="dxa"/>
                  <w:tcBorders>
                    <w:top w:val="single" w:color="auto" w:sz="4" w:space="0"/>
                    <w:left w:val="single" w:color="auto" w:sz="4" w:space="0"/>
                    <w:bottom w:val="single" w:color="auto" w:sz="8" w:space="0"/>
                    <w:right w:val="single" w:color="auto" w:sz="4" w:space="0"/>
                  </w:tcBorders>
                  <w:shd w:val="clear" w:color="auto" w:fill="auto"/>
                  <w:noWrap/>
                  <w:tcMar>
                    <w:left w:w="0" w:type="dxa"/>
                    <w:right w:w="57" w:type="dxa"/>
                  </w:tcMar>
                  <w:vAlign w:val="bottom"/>
                  <w:hideMark/>
                </w:tcPr>
                <w:p w:rsidRPr="00F11423" w:rsidR="00F67E75" w:rsidP="00F11423" w:rsidRDefault="00F67E75" w14:paraId="2BEFC9B7"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0</w:t>
                  </w:r>
                </w:p>
              </w:tc>
              <w:tc>
                <w:tcPr>
                  <w:tcW w:w="1287" w:type="dxa"/>
                  <w:tcBorders>
                    <w:top w:val="single" w:color="auto" w:sz="4" w:space="0"/>
                    <w:left w:val="single" w:color="auto" w:sz="4" w:space="0"/>
                    <w:bottom w:val="single" w:color="auto" w:sz="8" w:space="0"/>
                    <w:right w:val="single" w:color="auto" w:sz="8" w:space="0"/>
                  </w:tcBorders>
                  <w:shd w:val="clear" w:color="auto" w:fill="auto"/>
                  <w:noWrap/>
                  <w:tcMar>
                    <w:left w:w="0" w:type="dxa"/>
                    <w:right w:w="57" w:type="dxa"/>
                  </w:tcMar>
                  <w:vAlign w:val="bottom"/>
                  <w:hideMark/>
                </w:tcPr>
                <w:p w:rsidRPr="00F11423" w:rsidR="00F67E75" w:rsidP="00F11423" w:rsidRDefault="00F67E75" w14:paraId="291A343E" w14:textId="77777777">
                  <w:pPr>
                    <w:spacing w:after="0" w:line="276" w:lineRule="auto"/>
                    <w:jc w:val="right"/>
                    <w:rPr>
                      <w:rFonts w:ascii="Verdana" w:hAnsi="Verdana"/>
                      <w:color w:val="000000"/>
                      <w:sz w:val="18"/>
                      <w:szCs w:val="18"/>
                    </w:rPr>
                  </w:pPr>
                  <w:r w:rsidRPr="00F11423">
                    <w:rPr>
                      <w:rFonts w:ascii="Verdana" w:hAnsi="Verdana"/>
                      <w:color w:val="000000"/>
                      <w:sz w:val="18"/>
                      <w:szCs w:val="18"/>
                    </w:rPr>
                    <w:t>1599</w:t>
                  </w:r>
                </w:p>
              </w:tc>
            </w:tr>
          </w:tbl>
          <w:p w:rsidRPr="00F11423" w:rsidR="00F67E75" w:rsidP="00F11423" w:rsidRDefault="00F67E75" w14:paraId="248BD3EF" w14:textId="77777777">
            <w:pPr>
              <w:spacing w:after="0" w:line="276" w:lineRule="auto"/>
              <w:rPr>
                <w:rFonts w:ascii="Verdana" w:hAnsi="Verdana"/>
                <w:b/>
                <w:bCs/>
                <w:sz w:val="18"/>
                <w:szCs w:val="18"/>
              </w:rPr>
            </w:pPr>
          </w:p>
        </w:tc>
      </w:tr>
      <w:tr w:rsidRPr="00F11423" w:rsidR="00C86796" w:rsidTr="008D533C" w14:paraId="3AD1E947" w14:textId="77777777">
        <w:trPr>
          <w:trHeight w:val="409"/>
        </w:trPr>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C86796" w:rsidP="00F11423" w:rsidRDefault="00C86796" w14:paraId="6BB2862A" w14:textId="3A205748">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F11423">
              <w:rPr>
                <w:rFonts w:ascii="Verdana" w:hAnsi="Verdana"/>
                <w:sz w:val="18"/>
                <w:szCs w:val="18"/>
              </w:rPr>
              <w:t>Uitvoerbaar per 1 januari 2026.</w:t>
            </w:r>
          </w:p>
        </w:tc>
      </w:tr>
    </w:tbl>
    <w:p w:rsidRPr="00F11423" w:rsidR="00F67E75" w:rsidP="00F11423" w:rsidRDefault="00F67E75" w14:paraId="38448532" w14:textId="77777777">
      <w:pPr>
        <w:spacing w:after="0" w:line="276" w:lineRule="auto"/>
        <w:rPr>
          <w:rFonts w:ascii="Verdana" w:hAnsi="Verdana"/>
          <w:sz w:val="18"/>
          <w:szCs w:val="18"/>
        </w:rPr>
      </w:pPr>
    </w:p>
    <w:tbl>
      <w:tblPr>
        <w:tblW w:w="9647" w:type="dxa"/>
        <w:tblInd w:w="-18" w:type="dxa"/>
        <w:tblCellMar>
          <w:left w:w="0" w:type="dxa"/>
          <w:right w:w="0" w:type="dxa"/>
        </w:tblCellMar>
        <w:tblLook w:val="04A0" w:firstRow="1" w:lastRow="0" w:firstColumn="1" w:lastColumn="0" w:noHBand="0" w:noVBand="1"/>
      </w:tblPr>
      <w:tblGrid>
        <w:gridCol w:w="3127"/>
        <w:gridCol w:w="6520"/>
      </w:tblGrid>
      <w:tr w:rsidRPr="00F11423" w:rsidR="00BA26F9" w:rsidTr="003249FC" w14:paraId="7DCB33C7" w14:textId="77777777">
        <w:trPr>
          <w:trHeight w:val="474"/>
        </w:trPr>
        <w:tc>
          <w:tcPr>
            <w:tcW w:w="312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BA26F9" w:rsidP="00F11423" w:rsidRDefault="00BA26F9" w14:paraId="0699CDAC" w14:textId="11166FF2">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36602 </w:t>
            </w:r>
            <w:r w:rsidRPr="00F11423" w:rsidR="002F2453">
              <w:rPr>
                <w:rFonts w:ascii="Verdana" w:hAnsi="Verdana"/>
                <w:color w:val="000000"/>
                <w:sz w:val="18"/>
                <w:szCs w:val="18"/>
              </w:rPr>
              <w:t>0</w:t>
            </w:r>
            <w:r w:rsidRPr="00F11423">
              <w:rPr>
                <w:rFonts w:ascii="Verdana" w:hAnsi="Verdana"/>
                <w:color w:val="000000"/>
                <w:sz w:val="18"/>
                <w:szCs w:val="18"/>
              </w:rPr>
              <w:t>63</w:t>
            </w:r>
          </w:p>
        </w:tc>
        <w:tc>
          <w:tcPr>
            <w:tcW w:w="6520"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BA26F9" w:rsidP="00F11423" w:rsidRDefault="00BA26F9" w14:paraId="557404F1" w14:textId="77777777">
            <w:pPr>
              <w:spacing w:after="0" w:line="276" w:lineRule="auto"/>
              <w:rPr>
                <w:rFonts w:ascii="Verdana" w:hAnsi="Verdana" w:cs="Arial"/>
                <w:sz w:val="18"/>
                <w:szCs w:val="18"/>
              </w:rPr>
            </w:pPr>
            <w:r w:rsidRPr="00F11423">
              <w:rPr>
                <w:rFonts w:ascii="Verdana" w:hAnsi="Verdana"/>
                <w:b/>
                <w:bCs/>
                <w:color w:val="000000"/>
                <w:sz w:val="18"/>
                <w:szCs w:val="18"/>
              </w:rPr>
              <w:t xml:space="preserve">Inhoud amendement: </w:t>
            </w:r>
            <w:r w:rsidRPr="00F11423">
              <w:rPr>
                <w:rFonts w:ascii="Verdana" w:hAnsi="Verdana" w:cs="Arial"/>
                <w:sz w:val="18"/>
                <w:szCs w:val="18"/>
              </w:rPr>
              <w:t xml:space="preserve">Herstel van een omissie </w:t>
            </w:r>
            <w:proofErr w:type="gramStart"/>
            <w:r w:rsidRPr="00F11423">
              <w:rPr>
                <w:rFonts w:ascii="Verdana" w:hAnsi="Verdana" w:cs="Arial"/>
                <w:sz w:val="18"/>
                <w:szCs w:val="18"/>
              </w:rPr>
              <w:t>inzake</w:t>
            </w:r>
            <w:proofErr w:type="gramEnd"/>
            <w:r w:rsidRPr="00F11423">
              <w:rPr>
                <w:rFonts w:ascii="Verdana" w:hAnsi="Verdana" w:cs="Arial"/>
                <w:sz w:val="18"/>
                <w:szCs w:val="18"/>
              </w:rPr>
              <w:t xml:space="preserve"> rekenregels voor de jaarruimte met betrekking tot het </w:t>
            </w:r>
            <w:proofErr w:type="spellStart"/>
            <w:r w:rsidRPr="00F11423">
              <w:rPr>
                <w:rFonts w:ascii="Verdana" w:hAnsi="Verdana" w:cs="Arial"/>
                <w:sz w:val="18"/>
                <w:szCs w:val="18"/>
              </w:rPr>
              <w:t>nettopensioen</w:t>
            </w:r>
            <w:proofErr w:type="spellEnd"/>
            <w:r w:rsidRPr="00F11423">
              <w:rPr>
                <w:rFonts w:ascii="Verdana" w:hAnsi="Verdana" w:cs="Arial"/>
                <w:sz w:val="18"/>
                <w:szCs w:val="18"/>
              </w:rPr>
              <w:t xml:space="preserve">. </w:t>
            </w:r>
          </w:p>
          <w:p w:rsidRPr="00F11423" w:rsidR="00BA26F9" w:rsidP="00F11423" w:rsidRDefault="00BA26F9" w14:paraId="5EEE7A00" w14:textId="77777777">
            <w:pPr>
              <w:spacing w:after="0" w:line="276" w:lineRule="auto"/>
              <w:rPr>
                <w:rFonts w:ascii="Verdana" w:hAnsi="Verdana"/>
                <w:sz w:val="18"/>
                <w:szCs w:val="18"/>
              </w:rPr>
            </w:pPr>
          </w:p>
        </w:tc>
      </w:tr>
      <w:tr w:rsidRPr="00F11423" w:rsidR="00BA26F9" w:rsidTr="003249FC" w14:paraId="1933445F" w14:textId="77777777">
        <w:trPr>
          <w:trHeight w:val="560"/>
        </w:trPr>
        <w:tc>
          <w:tcPr>
            <w:tcW w:w="312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778E5B11"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Van Eijk (VVD)</w:t>
            </w:r>
          </w:p>
        </w:tc>
        <w:tc>
          <w:tcPr>
            <w:tcW w:w="6520"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2B488C18" w14:textId="77390648">
            <w:pPr>
              <w:spacing w:after="0" w:line="276" w:lineRule="auto"/>
              <w:rPr>
                <w:rFonts w:ascii="Verdana" w:hAnsi="Verdana"/>
                <w:sz w:val="18"/>
                <w:szCs w:val="18"/>
              </w:rPr>
            </w:pPr>
            <w:r w:rsidRPr="00F11423">
              <w:rPr>
                <w:rFonts w:ascii="Verdana" w:hAnsi="Verdana"/>
                <w:b/>
                <w:bCs/>
                <w:sz w:val="18"/>
                <w:szCs w:val="18"/>
              </w:rPr>
              <w:t xml:space="preserve">Appreciatie: </w:t>
            </w:r>
            <w:r w:rsidRPr="003249FC" w:rsidR="00C86796">
              <w:rPr>
                <w:rFonts w:ascii="Verdana" w:hAnsi="Verdana"/>
                <w:sz w:val="18"/>
                <w:szCs w:val="18"/>
              </w:rPr>
              <w:t>O</w:t>
            </w:r>
            <w:r w:rsidRPr="00F11423">
              <w:rPr>
                <w:rFonts w:ascii="Verdana" w:hAnsi="Verdana"/>
                <w:sz w:val="18"/>
                <w:szCs w:val="18"/>
              </w:rPr>
              <w:t>ordeel Kamer</w:t>
            </w:r>
          </w:p>
        </w:tc>
      </w:tr>
      <w:tr w:rsidRPr="00F11423" w:rsidR="00BA26F9" w:rsidTr="008D533C" w14:paraId="1CDFE0D2" w14:textId="77777777">
        <w:trPr>
          <w:trHeight w:val="1121"/>
        </w:trPr>
        <w:tc>
          <w:tcPr>
            <w:tcW w:w="964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5ED2A735"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p>
          <w:p w:rsidRPr="00F11423" w:rsidR="00BA26F9" w:rsidP="00F11423" w:rsidRDefault="00BA26F9" w14:paraId="52658D05" w14:textId="77777777">
            <w:pPr>
              <w:spacing w:after="0" w:line="276" w:lineRule="auto"/>
              <w:rPr>
                <w:rFonts w:ascii="Verdana" w:hAnsi="Verdana"/>
                <w:b/>
                <w:bCs/>
                <w:sz w:val="18"/>
                <w:szCs w:val="18"/>
              </w:rPr>
            </w:pPr>
            <w:r w:rsidRPr="00F11423">
              <w:rPr>
                <w:rFonts w:ascii="Verdana" w:hAnsi="Verdana"/>
                <w:sz w:val="18"/>
                <w:szCs w:val="18"/>
              </w:rPr>
              <w:t xml:space="preserve">Het amendement herstelt een omissie in de in artikel 10a.25, tweede lid, Wet inkomstenbelasting 2001 opgenomen formule voor het berekenen van de zogenoemde jaarruimte voor premies voor een lijfrente vanwege een pensioentekort. Deze formule is geïntroduceerd met de Wet toekomst pensioenen. Het </w:t>
            </w:r>
            <w:proofErr w:type="spellStart"/>
            <w:r w:rsidRPr="00F11423">
              <w:rPr>
                <w:rFonts w:ascii="Verdana" w:hAnsi="Verdana"/>
                <w:sz w:val="18"/>
                <w:szCs w:val="18"/>
              </w:rPr>
              <w:t>nettopensioen</w:t>
            </w:r>
            <w:proofErr w:type="spellEnd"/>
            <w:r w:rsidRPr="00F11423">
              <w:rPr>
                <w:rFonts w:ascii="Verdana" w:hAnsi="Verdana"/>
                <w:sz w:val="18"/>
                <w:szCs w:val="18"/>
              </w:rPr>
              <w:t xml:space="preserve"> wordt abusievelijk niet goed meegenomen in deze formule. Dit bemoeilijkt de uitvoering van deze wettelijke bepaling door pensioenuitvoerders. Het kabinet was </w:t>
            </w:r>
            <w:proofErr w:type="gramStart"/>
            <w:r w:rsidRPr="00F11423">
              <w:rPr>
                <w:rFonts w:ascii="Verdana" w:hAnsi="Verdana"/>
                <w:sz w:val="18"/>
                <w:szCs w:val="18"/>
              </w:rPr>
              <w:t>reeds</w:t>
            </w:r>
            <w:proofErr w:type="gramEnd"/>
            <w:r w:rsidRPr="00F11423">
              <w:rPr>
                <w:rFonts w:ascii="Verdana" w:hAnsi="Verdana"/>
                <w:sz w:val="18"/>
                <w:szCs w:val="18"/>
              </w:rPr>
              <w:t xml:space="preserve"> voornemens deze formule aan te passen. Deze maatregel maakte onderdeel uit van de Fiscale verzamelwet 2026 die onlangs voor internetconsultatie open heeft gestaan.        </w:t>
            </w:r>
          </w:p>
        </w:tc>
      </w:tr>
      <w:tr w:rsidRPr="00F11423" w:rsidR="00BA26F9" w:rsidTr="00BD72E3" w14:paraId="7F47ECBC" w14:textId="77777777">
        <w:trPr>
          <w:trHeight w:val="1642"/>
        </w:trPr>
        <w:tc>
          <w:tcPr>
            <w:tcW w:w="964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BA26F9" w:rsidP="00F11423" w:rsidRDefault="00BA26F9" w14:paraId="53C09042" w14:textId="77777777">
            <w:pPr>
              <w:spacing w:after="0" w:line="276" w:lineRule="auto"/>
              <w:rPr>
                <w:rFonts w:ascii="Verdana" w:hAnsi="Verdana"/>
                <w:sz w:val="18"/>
                <w:szCs w:val="18"/>
              </w:rPr>
            </w:pPr>
            <w:r w:rsidRPr="00F11423">
              <w:rPr>
                <w:rFonts w:ascii="Verdana" w:hAnsi="Verdana"/>
                <w:b/>
                <w:bCs/>
                <w:sz w:val="18"/>
                <w:szCs w:val="18"/>
              </w:rPr>
              <w:lastRenderedPageBreak/>
              <w:t xml:space="preserve">Budgettaire aspecten: </w:t>
            </w:r>
            <w:r w:rsidRPr="00F11423">
              <w:rPr>
                <w:rFonts w:ascii="Verdana" w:hAnsi="Verdana"/>
                <w:sz w:val="18"/>
                <w:szCs w:val="18"/>
              </w:rPr>
              <w:t>Budgetneutraal</w:t>
            </w:r>
          </w:p>
          <w:tbl>
            <w:tblPr>
              <w:tblW w:w="6776" w:type="dxa"/>
              <w:tblCellMar>
                <w:left w:w="0" w:type="dxa"/>
                <w:right w:w="0" w:type="dxa"/>
              </w:tblCellMar>
              <w:tblLook w:val="04A0" w:firstRow="1" w:lastRow="0" w:firstColumn="1" w:lastColumn="0" w:noHBand="0" w:noVBand="1"/>
            </w:tblPr>
            <w:tblGrid>
              <w:gridCol w:w="1892"/>
              <w:gridCol w:w="916"/>
              <w:gridCol w:w="916"/>
              <w:gridCol w:w="916"/>
              <w:gridCol w:w="916"/>
              <w:gridCol w:w="1220"/>
            </w:tblGrid>
            <w:tr w:rsidRPr="00F11423" w:rsidR="00BA26F9" w:rsidTr="00C86796" w14:paraId="18F9E690" w14:textId="77777777">
              <w:trPr>
                <w:trHeight w:val="279"/>
              </w:trPr>
              <w:tc>
                <w:tcPr>
                  <w:tcW w:w="1892"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32EECF35" w14:textId="77777777">
                  <w:pPr>
                    <w:spacing w:after="0" w:line="276" w:lineRule="auto"/>
                    <w:rPr>
                      <w:rFonts w:ascii="Verdana" w:hAnsi="Verdana"/>
                      <w:sz w:val="18"/>
                      <w:szCs w:val="18"/>
                    </w:rPr>
                  </w:pPr>
                  <w:r w:rsidRPr="00F11423">
                    <w:rPr>
                      <w:rFonts w:ascii="Verdana" w:hAnsi="Verdana"/>
                      <w:color w:val="000000"/>
                      <w:sz w:val="18"/>
                      <w:szCs w:val="18"/>
                    </w:rPr>
                    <w:t>Omvang in mln. €</w:t>
                  </w:r>
                </w:p>
              </w:tc>
              <w:tc>
                <w:tcPr>
                  <w:tcW w:w="916"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0E8FE299" w14:textId="77777777">
                  <w:pPr>
                    <w:spacing w:after="0" w:line="276" w:lineRule="auto"/>
                    <w:rPr>
                      <w:rFonts w:ascii="Verdana" w:hAnsi="Verdana"/>
                      <w:i/>
                      <w:iCs/>
                      <w:sz w:val="18"/>
                      <w:szCs w:val="18"/>
                    </w:rPr>
                  </w:pPr>
                  <w:r w:rsidRPr="00F11423">
                    <w:rPr>
                      <w:rFonts w:ascii="Verdana" w:hAnsi="Verdana"/>
                      <w:i/>
                      <w:iCs/>
                      <w:color w:val="000000"/>
                      <w:sz w:val="18"/>
                      <w:szCs w:val="18"/>
                    </w:rPr>
                    <w:t>2025</w:t>
                  </w:r>
                </w:p>
              </w:tc>
              <w:tc>
                <w:tcPr>
                  <w:tcW w:w="916"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40F4BFDA" w14:textId="77777777">
                  <w:pPr>
                    <w:spacing w:after="0" w:line="276" w:lineRule="auto"/>
                    <w:rPr>
                      <w:rFonts w:ascii="Verdana" w:hAnsi="Verdana"/>
                      <w:i/>
                      <w:iCs/>
                      <w:sz w:val="18"/>
                      <w:szCs w:val="18"/>
                    </w:rPr>
                  </w:pPr>
                  <w:r w:rsidRPr="00F11423">
                    <w:rPr>
                      <w:rFonts w:ascii="Verdana" w:hAnsi="Verdana"/>
                      <w:i/>
                      <w:iCs/>
                      <w:color w:val="000000"/>
                      <w:sz w:val="18"/>
                      <w:szCs w:val="18"/>
                    </w:rPr>
                    <w:t>2026</w:t>
                  </w:r>
                </w:p>
              </w:tc>
              <w:tc>
                <w:tcPr>
                  <w:tcW w:w="916"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0870F7D9" w14:textId="77777777">
                  <w:pPr>
                    <w:spacing w:after="0" w:line="276" w:lineRule="auto"/>
                    <w:rPr>
                      <w:rFonts w:ascii="Verdana" w:hAnsi="Verdana"/>
                      <w:i/>
                      <w:iCs/>
                      <w:sz w:val="18"/>
                      <w:szCs w:val="18"/>
                    </w:rPr>
                  </w:pPr>
                  <w:r w:rsidRPr="00F11423">
                    <w:rPr>
                      <w:rFonts w:ascii="Verdana" w:hAnsi="Verdana"/>
                      <w:i/>
                      <w:iCs/>
                      <w:color w:val="000000"/>
                      <w:sz w:val="18"/>
                      <w:szCs w:val="18"/>
                    </w:rPr>
                    <w:t>2027</w:t>
                  </w:r>
                </w:p>
              </w:tc>
              <w:tc>
                <w:tcPr>
                  <w:tcW w:w="916"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70E0F7A7" w14:textId="77777777">
                  <w:pPr>
                    <w:spacing w:after="0" w:line="276" w:lineRule="auto"/>
                    <w:rPr>
                      <w:rFonts w:ascii="Verdana" w:hAnsi="Verdana"/>
                      <w:i/>
                      <w:iCs/>
                      <w:sz w:val="18"/>
                      <w:szCs w:val="18"/>
                    </w:rPr>
                  </w:pPr>
                  <w:r w:rsidRPr="00F11423">
                    <w:rPr>
                      <w:rFonts w:ascii="Verdana" w:hAnsi="Verdana"/>
                      <w:i/>
                      <w:iCs/>
                      <w:color w:val="000000"/>
                      <w:sz w:val="18"/>
                      <w:szCs w:val="18"/>
                    </w:rPr>
                    <w:t>2028</w:t>
                  </w:r>
                </w:p>
              </w:tc>
              <w:tc>
                <w:tcPr>
                  <w:tcW w:w="1220"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BA26F9" w:rsidP="00F11423" w:rsidRDefault="00BA26F9" w14:paraId="0189A7E0" w14:textId="77777777">
                  <w:pPr>
                    <w:spacing w:after="0" w:line="276" w:lineRule="auto"/>
                    <w:rPr>
                      <w:rFonts w:ascii="Verdana" w:hAnsi="Verdana"/>
                      <w:sz w:val="18"/>
                      <w:szCs w:val="18"/>
                    </w:rPr>
                  </w:pPr>
                  <w:r w:rsidRPr="00F11423">
                    <w:rPr>
                      <w:rFonts w:ascii="Verdana" w:hAnsi="Verdana"/>
                      <w:color w:val="000000"/>
                      <w:sz w:val="18"/>
                      <w:szCs w:val="18"/>
                    </w:rPr>
                    <w:t xml:space="preserve">Structureel </w:t>
                  </w:r>
                </w:p>
              </w:tc>
            </w:tr>
            <w:tr w:rsidRPr="00F11423" w:rsidR="00BA26F9" w:rsidTr="00C86796" w14:paraId="6F7EE7A5" w14:textId="77777777">
              <w:trPr>
                <w:trHeight w:val="279"/>
              </w:trPr>
              <w:tc>
                <w:tcPr>
                  <w:tcW w:w="1892" w:type="dxa"/>
                  <w:tcBorders>
                    <w:top w:val="nil"/>
                    <w:left w:val="single" w:color="auto" w:sz="8" w:space="0"/>
                    <w:bottom w:val="nil"/>
                    <w:right w:val="single" w:color="auto" w:sz="8" w:space="0"/>
                  </w:tcBorders>
                  <w:noWrap/>
                  <w:tcMar>
                    <w:top w:w="0" w:type="dxa"/>
                    <w:left w:w="108" w:type="dxa"/>
                    <w:bottom w:w="0" w:type="dxa"/>
                    <w:right w:w="108" w:type="dxa"/>
                  </w:tcMar>
                </w:tcPr>
                <w:p w:rsidRPr="00F11423" w:rsidR="00BA26F9" w:rsidP="00F11423" w:rsidRDefault="00BA26F9" w14:paraId="460EDFE8" w14:textId="77777777">
                  <w:pPr>
                    <w:spacing w:after="0" w:line="276" w:lineRule="auto"/>
                    <w:rPr>
                      <w:rFonts w:ascii="Verdana" w:hAnsi="Verdana"/>
                      <w:sz w:val="18"/>
                      <w:szCs w:val="18"/>
                    </w:rPr>
                  </w:pPr>
                  <w:r w:rsidRPr="00F11423">
                    <w:rPr>
                      <w:rFonts w:ascii="Verdana" w:hAnsi="Verdana"/>
                      <w:sz w:val="18"/>
                      <w:szCs w:val="18"/>
                    </w:rPr>
                    <w:t xml:space="preserve">Herstel omissie berekening jaarruimte </w:t>
                  </w:r>
                </w:p>
              </w:tc>
              <w:tc>
                <w:tcPr>
                  <w:tcW w:w="916" w:type="dxa"/>
                  <w:tcBorders>
                    <w:top w:val="nil"/>
                    <w:left w:val="nil"/>
                    <w:bottom w:val="nil"/>
                    <w:right w:val="single" w:color="auto" w:sz="8" w:space="0"/>
                  </w:tcBorders>
                  <w:noWrap/>
                  <w:tcMar>
                    <w:top w:w="0" w:type="dxa"/>
                    <w:left w:w="108" w:type="dxa"/>
                    <w:bottom w:w="0" w:type="dxa"/>
                    <w:right w:w="108" w:type="dxa"/>
                  </w:tcMar>
                </w:tcPr>
                <w:p w:rsidRPr="00F11423" w:rsidR="00BA26F9" w:rsidP="00F11423" w:rsidRDefault="00BA26F9" w14:paraId="43B09219" w14:textId="77777777">
                  <w:pPr>
                    <w:spacing w:after="0" w:line="276" w:lineRule="auto"/>
                    <w:rPr>
                      <w:rFonts w:ascii="Verdana" w:hAnsi="Verdana"/>
                      <w:sz w:val="18"/>
                      <w:szCs w:val="18"/>
                    </w:rPr>
                  </w:pPr>
                  <w:r w:rsidRPr="00F11423">
                    <w:rPr>
                      <w:rFonts w:ascii="Verdana" w:hAnsi="Verdana"/>
                      <w:sz w:val="18"/>
                      <w:szCs w:val="18"/>
                    </w:rPr>
                    <w:t>0</w:t>
                  </w:r>
                </w:p>
              </w:tc>
              <w:tc>
                <w:tcPr>
                  <w:tcW w:w="916" w:type="dxa"/>
                  <w:tcBorders>
                    <w:top w:val="nil"/>
                    <w:left w:val="nil"/>
                    <w:bottom w:val="nil"/>
                    <w:right w:val="single" w:color="auto" w:sz="8" w:space="0"/>
                  </w:tcBorders>
                  <w:noWrap/>
                  <w:tcMar>
                    <w:top w:w="0" w:type="dxa"/>
                    <w:left w:w="108" w:type="dxa"/>
                    <w:bottom w:w="0" w:type="dxa"/>
                    <w:right w:w="108" w:type="dxa"/>
                  </w:tcMar>
                </w:tcPr>
                <w:p w:rsidRPr="00F11423" w:rsidR="00BA26F9" w:rsidP="00F11423" w:rsidRDefault="00BA26F9" w14:paraId="67E19DE6" w14:textId="77777777">
                  <w:pPr>
                    <w:spacing w:after="0" w:line="276" w:lineRule="auto"/>
                    <w:rPr>
                      <w:rFonts w:ascii="Verdana" w:hAnsi="Verdana"/>
                      <w:sz w:val="18"/>
                      <w:szCs w:val="18"/>
                    </w:rPr>
                  </w:pPr>
                  <w:r w:rsidRPr="00F11423">
                    <w:rPr>
                      <w:rFonts w:ascii="Verdana" w:hAnsi="Verdana"/>
                      <w:sz w:val="18"/>
                      <w:szCs w:val="18"/>
                    </w:rPr>
                    <w:t>0</w:t>
                  </w:r>
                </w:p>
              </w:tc>
              <w:tc>
                <w:tcPr>
                  <w:tcW w:w="916" w:type="dxa"/>
                  <w:tcBorders>
                    <w:top w:val="nil"/>
                    <w:left w:val="nil"/>
                    <w:bottom w:val="nil"/>
                    <w:right w:val="single" w:color="auto" w:sz="8" w:space="0"/>
                  </w:tcBorders>
                  <w:noWrap/>
                  <w:tcMar>
                    <w:top w:w="0" w:type="dxa"/>
                    <w:left w:w="108" w:type="dxa"/>
                    <w:bottom w:w="0" w:type="dxa"/>
                    <w:right w:w="108" w:type="dxa"/>
                  </w:tcMar>
                </w:tcPr>
                <w:p w:rsidRPr="00F11423" w:rsidR="00BA26F9" w:rsidP="00F11423" w:rsidRDefault="00BA26F9" w14:paraId="55737212" w14:textId="77777777">
                  <w:pPr>
                    <w:spacing w:after="0" w:line="276" w:lineRule="auto"/>
                    <w:rPr>
                      <w:rFonts w:ascii="Verdana" w:hAnsi="Verdana"/>
                      <w:sz w:val="18"/>
                      <w:szCs w:val="18"/>
                    </w:rPr>
                  </w:pPr>
                  <w:r w:rsidRPr="00F11423">
                    <w:rPr>
                      <w:rFonts w:ascii="Verdana" w:hAnsi="Verdana"/>
                      <w:sz w:val="18"/>
                      <w:szCs w:val="18"/>
                    </w:rPr>
                    <w:t>0</w:t>
                  </w:r>
                </w:p>
              </w:tc>
              <w:tc>
                <w:tcPr>
                  <w:tcW w:w="916" w:type="dxa"/>
                  <w:tcBorders>
                    <w:top w:val="nil"/>
                    <w:left w:val="nil"/>
                    <w:bottom w:val="nil"/>
                    <w:right w:val="single" w:color="auto" w:sz="8" w:space="0"/>
                  </w:tcBorders>
                  <w:noWrap/>
                  <w:tcMar>
                    <w:top w:w="0" w:type="dxa"/>
                    <w:left w:w="108" w:type="dxa"/>
                    <w:bottom w:w="0" w:type="dxa"/>
                    <w:right w:w="108" w:type="dxa"/>
                  </w:tcMar>
                </w:tcPr>
                <w:p w:rsidRPr="00F11423" w:rsidR="00BA26F9" w:rsidP="00F11423" w:rsidRDefault="00BA26F9" w14:paraId="48EBFD7F" w14:textId="77777777">
                  <w:pPr>
                    <w:spacing w:after="0" w:line="276" w:lineRule="auto"/>
                    <w:rPr>
                      <w:rFonts w:ascii="Verdana" w:hAnsi="Verdana"/>
                      <w:sz w:val="18"/>
                      <w:szCs w:val="18"/>
                    </w:rPr>
                  </w:pPr>
                  <w:r w:rsidRPr="00F11423">
                    <w:rPr>
                      <w:rFonts w:ascii="Verdana" w:hAnsi="Verdana"/>
                      <w:sz w:val="18"/>
                      <w:szCs w:val="18"/>
                    </w:rPr>
                    <w:t>0</w:t>
                  </w:r>
                </w:p>
              </w:tc>
              <w:tc>
                <w:tcPr>
                  <w:tcW w:w="1220" w:type="dxa"/>
                  <w:tcBorders>
                    <w:top w:val="nil"/>
                    <w:left w:val="nil"/>
                    <w:bottom w:val="nil"/>
                    <w:right w:val="single" w:color="auto" w:sz="8" w:space="0"/>
                  </w:tcBorders>
                  <w:noWrap/>
                  <w:tcMar>
                    <w:top w:w="0" w:type="dxa"/>
                    <w:left w:w="108" w:type="dxa"/>
                    <w:bottom w:w="0" w:type="dxa"/>
                    <w:right w:w="108" w:type="dxa"/>
                  </w:tcMar>
                </w:tcPr>
                <w:p w:rsidRPr="00F11423" w:rsidR="00BA26F9" w:rsidP="00F11423" w:rsidRDefault="00BA26F9" w14:paraId="2068CCA0" w14:textId="77777777">
                  <w:pPr>
                    <w:spacing w:after="0" w:line="276" w:lineRule="auto"/>
                    <w:rPr>
                      <w:rFonts w:ascii="Verdana" w:hAnsi="Verdana"/>
                      <w:sz w:val="18"/>
                      <w:szCs w:val="18"/>
                    </w:rPr>
                  </w:pPr>
                  <w:r w:rsidRPr="00F11423">
                    <w:rPr>
                      <w:rFonts w:ascii="Verdana" w:hAnsi="Verdana"/>
                      <w:sz w:val="18"/>
                      <w:szCs w:val="18"/>
                    </w:rPr>
                    <w:t>0</w:t>
                  </w:r>
                </w:p>
              </w:tc>
            </w:tr>
            <w:tr w:rsidRPr="00F11423" w:rsidR="00BA26F9" w:rsidTr="00C86796" w14:paraId="7922357A" w14:textId="77777777">
              <w:trPr>
                <w:trHeight w:val="279"/>
              </w:trPr>
              <w:tc>
                <w:tcPr>
                  <w:tcW w:w="1892"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728996C1" w14:textId="77777777">
                  <w:pPr>
                    <w:spacing w:after="0" w:line="276" w:lineRule="auto"/>
                    <w:rPr>
                      <w:rStyle w:val="cf01"/>
                      <w:rFonts w:ascii="Verdana" w:hAnsi="Verdana" w:cs="Times New Roman"/>
                    </w:rPr>
                  </w:pPr>
                </w:p>
              </w:tc>
              <w:tc>
                <w:tcPr>
                  <w:tcW w:w="916"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23696705" w14:textId="77777777">
                  <w:pPr>
                    <w:spacing w:after="0" w:line="276" w:lineRule="auto"/>
                    <w:rPr>
                      <w:rFonts w:ascii="Verdana" w:hAnsi="Verdana"/>
                      <w:sz w:val="18"/>
                      <w:szCs w:val="18"/>
                    </w:rPr>
                  </w:pPr>
                </w:p>
              </w:tc>
              <w:tc>
                <w:tcPr>
                  <w:tcW w:w="916"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1DA1FCDE" w14:textId="77777777">
                  <w:pPr>
                    <w:spacing w:after="0" w:line="276" w:lineRule="auto"/>
                    <w:rPr>
                      <w:rFonts w:ascii="Verdana" w:hAnsi="Verdana"/>
                      <w:sz w:val="18"/>
                      <w:szCs w:val="18"/>
                    </w:rPr>
                  </w:pPr>
                </w:p>
              </w:tc>
              <w:tc>
                <w:tcPr>
                  <w:tcW w:w="916"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6A6E8027" w14:textId="77777777">
                  <w:pPr>
                    <w:spacing w:after="0" w:line="276" w:lineRule="auto"/>
                    <w:rPr>
                      <w:rFonts w:ascii="Verdana" w:hAnsi="Verdana"/>
                      <w:sz w:val="18"/>
                      <w:szCs w:val="18"/>
                    </w:rPr>
                  </w:pPr>
                </w:p>
              </w:tc>
              <w:tc>
                <w:tcPr>
                  <w:tcW w:w="916"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2C373827" w14:textId="77777777">
                  <w:pPr>
                    <w:spacing w:after="0" w:line="276" w:lineRule="auto"/>
                    <w:rPr>
                      <w:rFonts w:ascii="Verdana" w:hAnsi="Verdana"/>
                      <w:sz w:val="18"/>
                      <w:szCs w:val="18"/>
                    </w:rPr>
                  </w:pPr>
                </w:p>
              </w:tc>
              <w:tc>
                <w:tcPr>
                  <w:tcW w:w="1220" w:type="dxa"/>
                  <w:tcBorders>
                    <w:top w:val="nil"/>
                    <w:left w:val="nil"/>
                    <w:bottom w:val="single" w:color="auto" w:sz="8" w:space="0"/>
                    <w:right w:val="single" w:color="auto" w:sz="8" w:space="0"/>
                  </w:tcBorders>
                  <w:noWrap/>
                  <w:tcMar>
                    <w:top w:w="0" w:type="dxa"/>
                    <w:left w:w="108" w:type="dxa"/>
                    <w:bottom w:w="0" w:type="dxa"/>
                    <w:right w:w="108" w:type="dxa"/>
                  </w:tcMar>
                </w:tcPr>
                <w:p w:rsidRPr="00F11423" w:rsidR="00BA26F9" w:rsidP="00F11423" w:rsidRDefault="00BA26F9" w14:paraId="5D71FDCB" w14:textId="77777777">
                  <w:pPr>
                    <w:spacing w:after="0" w:line="276" w:lineRule="auto"/>
                    <w:rPr>
                      <w:rFonts w:ascii="Verdana" w:hAnsi="Verdana"/>
                      <w:sz w:val="18"/>
                      <w:szCs w:val="18"/>
                    </w:rPr>
                  </w:pPr>
                </w:p>
              </w:tc>
            </w:tr>
          </w:tbl>
          <w:p w:rsidRPr="00F11423" w:rsidR="00BA26F9" w:rsidP="00F11423" w:rsidRDefault="00BA26F9" w14:paraId="306A7644" w14:textId="77777777">
            <w:pPr>
              <w:spacing w:after="0" w:line="276" w:lineRule="auto"/>
              <w:rPr>
                <w:rFonts w:ascii="Verdana" w:hAnsi="Verdana"/>
                <w:b/>
                <w:bCs/>
                <w:sz w:val="18"/>
                <w:szCs w:val="18"/>
              </w:rPr>
            </w:pPr>
          </w:p>
        </w:tc>
      </w:tr>
      <w:tr w:rsidRPr="00F11423" w:rsidR="00BA26F9" w:rsidTr="008D533C" w14:paraId="3214EB0A" w14:textId="77777777">
        <w:trPr>
          <w:trHeight w:val="251"/>
        </w:trPr>
        <w:tc>
          <w:tcPr>
            <w:tcW w:w="964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BA26F9" w:rsidP="00F11423" w:rsidRDefault="00BA26F9" w14:paraId="0551E6EE" w14:textId="033C2B60">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BD72E3" w:rsidR="00BD72E3">
              <w:rPr>
                <w:rFonts w:ascii="Verdana" w:hAnsi="Verdana"/>
                <w:sz w:val="18"/>
                <w:szCs w:val="18"/>
              </w:rPr>
              <w:t xml:space="preserve">Aan deze </w:t>
            </w:r>
            <w:proofErr w:type="spellStart"/>
            <w:r w:rsidRPr="00BD72E3" w:rsidR="00BD72E3">
              <w:rPr>
                <w:rFonts w:ascii="Verdana" w:hAnsi="Verdana"/>
                <w:sz w:val="18"/>
                <w:szCs w:val="18"/>
              </w:rPr>
              <w:t>quickscan</w:t>
            </w:r>
            <w:proofErr w:type="spellEnd"/>
            <w:r w:rsidRPr="00BD72E3" w:rsidR="00BD72E3">
              <w:rPr>
                <w:rFonts w:ascii="Verdana" w:hAnsi="Verdana"/>
                <w:sz w:val="18"/>
                <w:szCs w:val="18"/>
              </w:rPr>
              <w:t xml:space="preserve"> wordt nog gewerkt en wordt naar verwachting in de set </w:t>
            </w:r>
            <w:proofErr w:type="spellStart"/>
            <w:r w:rsidRPr="00BD72E3" w:rsidR="00BD72E3">
              <w:rPr>
                <w:rFonts w:ascii="Verdana" w:hAnsi="Verdana"/>
                <w:sz w:val="18"/>
                <w:szCs w:val="18"/>
              </w:rPr>
              <w:t>quickscans</w:t>
            </w:r>
            <w:proofErr w:type="spellEnd"/>
            <w:r w:rsidRPr="00BD72E3" w:rsidR="00BD72E3">
              <w:rPr>
                <w:rFonts w:ascii="Verdana" w:hAnsi="Verdana"/>
                <w:sz w:val="18"/>
                <w:szCs w:val="18"/>
              </w:rPr>
              <w:t xml:space="preserve"> van 14 november meegenomen</w:t>
            </w:r>
          </w:p>
        </w:tc>
      </w:tr>
    </w:tbl>
    <w:p w:rsidRPr="00F11423" w:rsidR="00BA26F9" w:rsidP="00F11423" w:rsidRDefault="00BA26F9" w14:paraId="2335F621" w14:textId="77777777">
      <w:pPr>
        <w:spacing w:after="0" w:line="276" w:lineRule="auto"/>
        <w:rPr>
          <w:rFonts w:ascii="Verdana" w:hAnsi="Verdana"/>
          <w:sz w:val="18"/>
          <w:szCs w:val="18"/>
        </w:rPr>
      </w:pPr>
    </w:p>
    <w:tbl>
      <w:tblPr>
        <w:tblStyle w:val="Tabelraster"/>
        <w:tblW w:w="9634" w:type="dxa"/>
        <w:tblLook w:val="04A0" w:firstRow="1" w:lastRow="0" w:firstColumn="1" w:lastColumn="0" w:noHBand="0" w:noVBand="1"/>
      </w:tblPr>
      <w:tblGrid>
        <w:gridCol w:w="3397"/>
        <w:gridCol w:w="6237"/>
      </w:tblGrid>
      <w:tr w:rsidRPr="00F11423" w:rsidR="00E35960" w:rsidTr="008D533C" w14:paraId="311D8A35" w14:textId="77777777">
        <w:tc>
          <w:tcPr>
            <w:tcW w:w="3397" w:type="dxa"/>
            <w:shd w:val="clear" w:color="auto" w:fill="9CC2E5" w:themeFill="accent5" w:themeFillTint="99"/>
          </w:tcPr>
          <w:p w:rsidRPr="00F11423" w:rsidR="00E35960" w:rsidP="00F11423" w:rsidRDefault="00E35960" w14:paraId="36DFD1A0" w14:textId="3E6E60F2">
            <w:pPr>
              <w:spacing w:line="276" w:lineRule="auto"/>
              <w:rPr>
                <w:rFonts w:ascii="Verdana" w:hAnsi="Verdana"/>
                <w:sz w:val="18"/>
                <w:szCs w:val="18"/>
              </w:rPr>
            </w:pPr>
            <w:bookmarkStart w:name="_Hlk149043545" w:id="3"/>
            <w:r w:rsidRPr="00F11423">
              <w:rPr>
                <w:rFonts w:ascii="Verdana" w:hAnsi="Verdana"/>
                <w:b/>
                <w:bCs/>
                <w:sz w:val="18"/>
                <w:szCs w:val="18"/>
              </w:rPr>
              <w:t xml:space="preserve">Kamernummer: </w:t>
            </w:r>
            <w:r w:rsidRPr="00F11423">
              <w:rPr>
                <w:rFonts w:ascii="Verdana" w:hAnsi="Verdana"/>
                <w:sz w:val="18"/>
                <w:szCs w:val="18"/>
              </w:rPr>
              <w:t>36602 064</w:t>
            </w:r>
          </w:p>
        </w:tc>
        <w:tc>
          <w:tcPr>
            <w:tcW w:w="6237" w:type="dxa"/>
            <w:shd w:val="clear" w:color="auto" w:fill="9CC2E5" w:themeFill="accent5" w:themeFillTint="99"/>
          </w:tcPr>
          <w:p w:rsidRPr="00F11423" w:rsidR="00E35960" w:rsidP="00F11423" w:rsidRDefault="00E35960" w14:paraId="4379C23E" w14:textId="77777777">
            <w:pPr>
              <w:spacing w:line="276" w:lineRule="auto"/>
              <w:rPr>
                <w:rFonts w:ascii="Verdana" w:hAnsi="Verdana"/>
                <w:sz w:val="18"/>
                <w:szCs w:val="18"/>
              </w:rPr>
            </w:pPr>
            <w:r w:rsidRPr="00F11423">
              <w:rPr>
                <w:rFonts w:ascii="Verdana" w:hAnsi="Verdana"/>
                <w:b/>
                <w:bCs/>
                <w:sz w:val="18"/>
                <w:szCs w:val="18"/>
              </w:rPr>
              <w:t xml:space="preserve">Inhoud amendement: </w:t>
            </w:r>
            <w:r w:rsidRPr="00F11423">
              <w:rPr>
                <w:rFonts w:ascii="Verdana" w:hAnsi="Verdana"/>
                <w:sz w:val="18"/>
                <w:szCs w:val="18"/>
              </w:rPr>
              <w:t xml:space="preserve">Uitstel Wet FKR en definitie </w:t>
            </w:r>
            <w:proofErr w:type="spellStart"/>
            <w:r w:rsidRPr="00F11423">
              <w:rPr>
                <w:rFonts w:ascii="Verdana" w:hAnsi="Verdana"/>
                <w:sz w:val="18"/>
                <w:szCs w:val="18"/>
              </w:rPr>
              <w:t>fgr</w:t>
            </w:r>
            <w:proofErr w:type="spellEnd"/>
            <w:r w:rsidRPr="00F11423">
              <w:rPr>
                <w:rFonts w:ascii="Verdana" w:hAnsi="Verdana"/>
                <w:sz w:val="18"/>
                <w:szCs w:val="18"/>
              </w:rPr>
              <w:t xml:space="preserve">, geen belastingplicht open cv in bron- en dividendbelasting, geen uitstel aanpassing </w:t>
            </w:r>
            <w:proofErr w:type="spellStart"/>
            <w:r w:rsidRPr="00F11423">
              <w:rPr>
                <w:rFonts w:ascii="Verdana" w:hAnsi="Verdana"/>
                <w:sz w:val="18"/>
                <w:szCs w:val="18"/>
              </w:rPr>
              <w:t>vbi</w:t>
            </w:r>
            <w:proofErr w:type="spellEnd"/>
            <w:r w:rsidRPr="00F11423">
              <w:rPr>
                <w:rFonts w:ascii="Verdana" w:hAnsi="Verdana"/>
                <w:sz w:val="18"/>
                <w:szCs w:val="18"/>
              </w:rPr>
              <w:t xml:space="preserve">-regime </w:t>
            </w:r>
          </w:p>
        </w:tc>
      </w:tr>
      <w:tr w:rsidRPr="00F11423" w:rsidR="00E35960" w:rsidTr="008D533C" w14:paraId="5AF0B4DF" w14:textId="77777777">
        <w:tc>
          <w:tcPr>
            <w:tcW w:w="3397" w:type="dxa"/>
          </w:tcPr>
          <w:p w:rsidRPr="00F11423" w:rsidR="00E35960" w:rsidP="00F11423" w:rsidRDefault="00E35960" w14:paraId="554BEA3F" w14:textId="77777777">
            <w:pPr>
              <w:spacing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Van Eijk (VVD)</w:t>
            </w:r>
          </w:p>
        </w:tc>
        <w:tc>
          <w:tcPr>
            <w:tcW w:w="6237" w:type="dxa"/>
          </w:tcPr>
          <w:p w:rsidRPr="00F11423" w:rsidR="00E35960" w:rsidP="00F11423" w:rsidRDefault="00E35960" w14:paraId="5C66484E" w14:textId="77777777">
            <w:pPr>
              <w:spacing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E35960" w:rsidTr="008D533C" w14:paraId="4513F42B" w14:textId="77777777">
        <w:tc>
          <w:tcPr>
            <w:tcW w:w="9634" w:type="dxa"/>
            <w:gridSpan w:val="2"/>
          </w:tcPr>
          <w:p w:rsidRPr="00F11423" w:rsidR="00E35960" w:rsidP="00F11423" w:rsidRDefault="00E35960" w14:paraId="5F57B55D" w14:textId="77777777">
            <w:pPr>
              <w:spacing w:line="276" w:lineRule="auto"/>
              <w:rPr>
                <w:rFonts w:ascii="Verdana" w:hAnsi="Verdana"/>
                <w:sz w:val="18"/>
                <w:szCs w:val="18"/>
              </w:rPr>
            </w:pPr>
            <w:r w:rsidRPr="00F11423">
              <w:rPr>
                <w:rFonts w:ascii="Verdana" w:hAnsi="Verdana"/>
                <w:b/>
                <w:bCs/>
                <w:sz w:val="18"/>
                <w:szCs w:val="18"/>
              </w:rPr>
              <w:t xml:space="preserve">Gevolgen: </w:t>
            </w:r>
          </w:p>
          <w:p w:rsidRPr="00F11423" w:rsidR="00E35960" w:rsidP="00F11423" w:rsidRDefault="00E35960" w14:paraId="42D58F45" w14:textId="77777777">
            <w:pPr>
              <w:pStyle w:val="Lijstalinea"/>
              <w:numPr>
                <w:ilvl w:val="0"/>
                <w:numId w:val="2"/>
              </w:numPr>
              <w:suppressAutoHyphens/>
              <w:spacing w:line="276" w:lineRule="auto"/>
              <w:rPr>
                <w:rFonts w:ascii="Verdana" w:hAnsi="Verdana"/>
                <w:b/>
                <w:bCs/>
                <w:sz w:val="18"/>
                <w:szCs w:val="18"/>
              </w:rPr>
            </w:pPr>
            <w:r w:rsidRPr="00F11423">
              <w:rPr>
                <w:rFonts w:ascii="Verdana" w:hAnsi="Verdana"/>
                <w:sz w:val="18"/>
                <w:szCs w:val="18"/>
              </w:rPr>
              <w:t xml:space="preserve">De Wet fiscaal kwalificatiebeleid rechtsvormen en de Wet aanpassing fonds voor gemene rekening en vrijgestelde beleggingsinstelling zijn </w:t>
            </w:r>
            <w:proofErr w:type="gramStart"/>
            <w:r w:rsidRPr="00F11423">
              <w:rPr>
                <w:rFonts w:ascii="Verdana" w:hAnsi="Verdana"/>
                <w:sz w:val="18"/>
                <w:szCs w:val="18"/>
              </w:rPr>
              <w:t>reeds</w:t>
            </w:r>
            <w:proofErr w:type="gramEnd"/>
            <w:r w:rsidRPr="00F11423">
              <w:rPr>
                <w:rFonts w:ascii="Verdana" w:hAnsi="Verdana"/>
                <w:sz w:val="18"/>
                <w:szCs w:val="18"/>
              </w:rPr>
              <w:t xml:space="preserve"> in 2023 aangenomen en gepubliceerd in het Staatsblad. </w:t>
            </w:r>
          </w:p>
          <w:p w:rsidRPr="00F11423" w:rsidR="00E35960" w:rsidP="00F11423" w:rsidRDefault="00E35960" w14:paraId="15E625C8" w14:textId="77777777">
            <w:pPr>
              <w:pStyle w:val="Lijstalinea"/>
              <w:numPr>
                <w:ilvl w:val="0"/>
                <w:numId w:val="2"/>
              </w:numPr>
              <w:suppressAutoHyphens/>
              <w:spacing w:line="276" w:lineRule="auto"/>
              <w:rPr>
                <w:rFonts w:ascii="Verdana" w:hAnsi="Verdana"/>
                <w:b/>
                <w:bCs/>
                <w:sz w:val="18"/>
                <w:szCs w:val="18"/>
              </w:rPr>
            </w:pPr>
            <w:r w:rsidRPr="00F11423">
              <w:rPr>
                <w:rFonts w:ascii="Verdana" w:hAnsi="Verdana"/>
                <w:sz w:val="18"/>
                <w:szCs w:val="18"/>
              </w:rPr>
              <w:t xml:space="preserve">Het overgangsrecht is </w:t>
            </w:r>
            <w:proofErr w:type="gramStart"/>
            <w:r w:rsidRPr="00F11423">
              <w:rPr>
                <w:rFonts w:ascii="Verdana" w:hAnsi="Verdana"/>
                <w:sz w:val="18"/>
                <w:szCs w:val="18"/>
              </w:rPr>
              <w:t>reeds</w:t>
            </w:r>
            <w:proofErr w:type="gramEnd"/>
            <w:r w:rsidRPr="00F11423">
              <w:rPr>
                <w:rFonts w:ascii="Verdana" w:hAnsi="Verdana"/>
                <w:sz w:val="18"/>
                <w:szCs w:val="18"/>
              </w:rPr>
              <w:t xml:space="preserve"> per 1 januari 2024 in werking getreden. De materiële bepalingen van voornoemde wetten treden in werking per 1 januari 2025. </w:t>
            </w:r>
          </w:p>
          <w:p w:rsidRPr="00F11423" w:rsidR="00E35960" w:rsidP="00F11423" w:rsidRDefault="00E35960" w14:paraId="394429B8" w14:textId="77777777">
            <w:pPr>
              <w:pStyle w:val="Lijstalinea"/>
              <w:numPr>
                <w:ilvl w:val="0"/>
                <w:numId w:val="2"/>
              </w:numPr>
              <w:suppressAutoHyphens/>
              <w:spacing w:line="276" w:lineRule="auto"/>
              <w:rPr>
                <w:rFonts w:ascii="Verdana" w:hAnsi="Verdana"/>
                <w:b/>
                <w:bCs/>
                <w:sz w:val="18"/>
                <w:szCs w:val="18"/>
              </w:rPr>
            </w:pPr>
            <w:r w:rsidRPr="00F11423">
              <w:rPr>
                <w:rFonts w:ascii="Verdana" w:hAnsi="Verdana"/>
                <w:sz w:val="18"/>
                <w:szCs w:val="18"/>
              </w:rPr>
              <w:t xml:space="preserve">Een deel van de belastingplichtigen heeft </w:t>
            </w:r>
            <w:proofErr w:type="gramStart"/>
            <w:r w:rsidRPr="00F11423">
              <w:rPr>
                <w:rFonts w:ascii="Verdana" w:hAnsi="Verdana"/>
                <w:sz w:val="18"/>
                <w:szCs w:val="18"/>
              </w:rPr>
              <w:t>reeds</w:t>
            </w:r>
            <w:proofErr w:type="gramEnd"/>
            <w:r w:rsidRPr="00F11423">
              <w:rPr>
                <w:rFonts w:ascii="Verdana" w:hAnsi="Verdana"/>
                <w:sz w:val="18"/>
                <w:szCs w:val="18"/>
              </w:rPr>
              <w:t xml:space="preserve"> van het overgangsrecht gebruik gemaakt om zich voor te bereiden op de situatie per 1 januari 2025. Uitstel van voornoemde wetten doet naar de mening van dit kabinet afbreuk aan de verwachtingen van deze belastingplichtigen op grond van de hiervoor genoemde wetten.</w:t>
            </w:r>
          </w:p>
          <w:p w:rsidRPr="00F11423" w:rsidR="00E35960" w:rsidP="00F11423" w:rsidRDefault="00E35960" w14:paraId="07015D4D" w14:textId="77777777">
            <w:pPr>
              <w:pStyle w:val="Lijstalinea"/>
              <w:numPr>
                <w:ilvl w:val="0"/>
                <w:numId w:val="2"/>
              </w:numPr>
              <w:spacing w:line="276" w:lineRule="auto"/>
              <w:rPr>
                <w:rFonts w:ascii="Verdana" w:hAnsi="Verdana"/>
                <w:bCs/>
                <w:sz w:val="18"/>
                <w:szCs w:val="18"/>
              </w:rPr>
            </w:pPr>
            <w:r w:rsidRPr="00F11423">
              <w:rPr>
                <w:rFonts w:ascii="Verdana" w:hAnsi="Verdana"/>
                <w:bCs/>
                <w:sz w:val="18"/>
                <w:szCs w:val="18"/>
              </w:rPr>
              <w:t>Door uitstel kunnen lichamen een jaar langer als “hybride” kwalificeren, waardoor zij langer kunnen aanlopen tegen antimisbruikbepalingen.</w:t>
            </w:r>
          </w:p>
          <w:p w:rsidRPr="00F11423" w:rsidR="00E35960" w:rsidP="00F11423" w:rsidRDefault="00E35960" w14:paraId="5A650433" w14:textId="77777777">
            <w:pPr>
              <w:pStyle w:val="Lijstalinea"/>
              <w:numPr>
                <w:ilvl w:val="0"/>
                <w:numId w:val="2"/>
              </w:numPr>
              <w:spacing w:line="276" w:lineRule="auto"/>
              <w:rPr>
                <w:rFonts w:ascii="Verdana" w:hAnsi="Verdana"/>
                <w:bCs/>
                <w:sz w:val="18"/>
                <w:szCs w:val="18"/>
              </w:rPr>
            </w:pPr>
            <w:r w:rsidRPr="00F11423">
              <w:rPr>
                <w:rFonts w:ascii="Verdana" w:hAnsi="Verdana"/>
                <w:bCs/>
                <w:sz w:val="18"/>
                <w:szCs w:val="18"/>
              </w:rPr>
              <w:t xml:space="preserve">Door uitstel blijft onbedoeld gebruik van het </w:t>
            </w:r>
            <w:proofErr w:type="spellStart"/>
            <w:r w:rsidRPr="00F11423">
              <w:rPr>
                <w:rFonts w:ascii="Verdana" w:hAnsi="Verdana"/>
                <w:bCs/>
                <w:sz w:val="18"/>
                <w:szCs w:val="18"/>
              </w:rPr>
              <w:t>fgr</w:t>
            </w:r>
            <w:proofErr w:type="spellEnd"/>
            <w:r w:rsidRPr="00F11423">
              <w:rPr>
                <w:rFonts w:ascii="Verdana" w:hAnsi="Verdana"/>
                <w:bCs/>
                <w:sz w:val="18"/>
                <w:szCs w:val="18"/>
              </w:rPr>
              <w:t xml:space="preserve"> zoals </w:t>
            </w:r>
            <w:proofErr w:type="spellStart"/>
            <w:r w:rsidRPr="00F11423">
              <w:rPr>
                <w:rFonts w:ascii="Verdana" w:hAnsi="Verdana"/>
                <w:bCs/>
                <w:sz w:val="18"/>
                <w:szCs w:val="18"/>
              </w:rPr>
              <w:t>boxarbitrage</w:t>
            </w:r>
            <w:proofErr w:type="spellEnd"/>
            <w:r w:rsidRPr="00F11423">
              <w:rPr>
                <w:rFonts w:ascii="Verdana" w:hAnsi="Verdana"/>
                <w:bCs/>
                <w:sz w:val="18"/>
                <w:szCs w:val="18"/>
              </w:rPr>
              <w:t xml:space="preserve"> en </w:t>
            </w:r>
            <w:proofErr w:type="spellStart"/>
            <w:r w:rsidRPr="00F11423">
              <w:rPr>
                <w:rFonts w:ascii="Verdana" w:hAnsi="Verdana"/>
                <w:bCs/>
                <w:sz w:val="18"/>
                <w:szCs w:val="18"/>
              </w:rPr>
              <w:t>anonimisering</w:t>
            </w:r>
            <w:proofErr w:type="spellEnd"/>
            <w:r w:rsidRPr="00F11423">
              <w:rPr>
                <w:rFonts w:ascii="Verdana" w:hAnsi="Verdana"/>
                <w:bCs/>
                <w:sz w:val="18"/>
                <w:szCs w:val="18"/>
              </w:rPr>
              <w:t xml:space="preserve"> door vermogende particulieren langer bestaan. </w:t>
            </w:r>
          </w:p>
          <w:p w:rsidRPr="00F11423" w:rsidR="00E35960" w:rsidP="00F11423" w:rsidRDefault="00E35960" w14:paraId="705EFF54" w14:textId="77777777">
            <w:pPr>
              <w:pStyle w:val="Lijstalinea"/>
              <w:numPr>
                <w:ilvl w:val="0"/>
                <w:numId w:val="2"/>
              </w:numPr>
              <w:spacing w:line="276" w:lineRule="auto"/>
              <w:rPr>
                <w:rFonts w:ascii="Verdana" w:hAnsi="Verdana"/>
                <w:bCs/>
                <w:sz w:val="18"/>
                <w:szCs w:val="18"/>
              </w:rPr>
            </w:pPr>
            <w:r w:rsidRPr="00F11423">
              <w:rPr>
                <w:rFonts w:ascii="Verdana" w:hAnsi="Verdana"/>
                <w:bCs/>
                <w:sz w:val="18"/>
                <w:szCs w:val="18"/>
              </w:rPr>
              <w:t xml:space="preserve">Uitstel van voornoemde wetten, terwijl de wijziging van het </w:t>
            </w:r>
            <w:proofErr w:type="spellStart"/>
            <w:r w:rsidRPr="00F11423">
              <w:rPr>
                <w:rFonts w:ascii="Verdana" w:hAnsi="Verdana"/>
                <w:bCs/>
                <w:sz w:val="18"/>
                <w:szCs w:val="18"/>
              </w:rPr>
              <w:t>vbi</w:t>
            </w:r>
            <w:proofErr w:type="spellEnd"/>
            <w:r w:rsidRPr="00F11423">
              <w:rPr>
                <w:rFonts w:ascii="Verdana" w:hAnsi="Verdana"/>
                <w:bCs/>
                <w:sz w:val="18"/>
                <w:szCs w:val="18"/>
              </w:rPr>
              <w:t>-regime niet wordt uitgesteld en de open cv voor de bron- en dividendbelasting niet belastingplichtig is, leidt tot discrepanties tussen belastingregimes en verschillende belastingen.</w:t>
            </w:r>
          </w:p>
          <w:p w:rsidRPr="00F11423" w:rsidR="00E35960" w:rsidP="00F11423" w:rsidRDefault="00E35960" w14:paraId="07761B73" w14:textId="77777777">
            <w:pPr>
              <w:pStyle w:val="Lijstalinea"/>
              <w:numPr>
                <w:ilvl w:val="0"/>
                <w:numId w:val="2"/>
              </w:numPr>
              <w:spacing w:line="276" w:lineRule="auto"/>
              <w:rPr>
                <w:rFonts w:ascii="Verdana" w:hAnsi="Verdana"/>
                <w:bCs/>
                <w:sz w:val="18"/>
                <w:szCs w:val="18"/>
              </w:rPr>
            </w:pPr>
            <w:r w:rsidRPr="00F11423">
              <w:rPr>
                <w:rFonts w:ascii="Verdana" w:hAnsi="Verdana"/>
                <w:bCs/>
                <w:sz w:val="18"/>
                <w:szCs w:val="18"/>
              </w:rPr>
              <w:t xml:space="preserve">Door uitstel kan het voorkomen dat een fonds voor het jaar 2025 belastingplichtig wordt omdat het niet langer kwalificeert als </w:t>
            </w:r>
            <w:proofErr w:type="spellStart"/>
            <w:r w:rsidRPr="00F11423">
              <w:rPr>
                <w:rFonts w:ascii="Verdana" w:hAnsi="Verdana"/>
                <w:bCs/>
                <w:sz w:val="18"/>
                <w:szCs w:val="18"/>
              </w:rPr>
              <w:t>vbi</w:t>
            </w:r>
            <w:proofErr w:type="spellEnd"/>
            <w:r w:rsidRPr="00F11423">
              <w:rPr>
                <w:rFonts w:ascii="Verdana" w:hAnsi="Verdana"/>
                <w:bCs/>
                <w:sz w:val="18"/>
                <w:szCs w:val="18"/>
              </w:rPr>
              <w:t xml:space="preserve">. Dit betreft een paar honderd gevallen. Dit kan in voorkomende gevallen leiden tot een eenmalige aangifte vennootschapsbelasting en extra inspanningen voor de Belastingdienst. </w:t>
            </w:r>
          </w:p>
          <w:p w:rsidRPr="00F11423" w:rsidR="00E35960" w:rsidP="00F11423" w:rsidRDefault="00E35960" w14:paraId="5907CDD6" w14:textId="77777777">
            <w:pPr>
              <w:pStyle w:val="Lijstalinea"/>
              <w:numPr>
                <w:ilvl w:val="0"/>
                <w:numId w:val="2"/>
              </w:numPr>
              <w:spacing w:line="276" w:lineRule="auto"/>
              <w:rPr>
                <w:rFonts w:ascii="Verdana" w:hAnsi="Verdana"/>
                <w:bCs/>
                <w:sz w:val="18"/>
                <w:szCs w:val="18"/>
              </w:rPr>
            </w:pPr>
            <w:r w:rsidRPr="00F11423">
              <w:rPr>
                <w:rFonts w:ascii="Verdana" w:hAnsi="Verdana"/>
                <w:bCs/>
                <w:sz w:val="18"/>
                <w:szCs w:val="18"/>
              </w:rPr>
              <w:t xml:space="preserve">Een deel van de door de uitvoeringspraktijk genoemde bezwaren ziet op de cv die als </w:t>
            </w:r>
            <w:proofErr w:type="spellStart"/>
            <w:r w:rsidRPr="00F11423">
              <w:rPr>
                <w:rFonts w:ascii="Verdana" w:hAnsi="Verdana"/>
                <w:bCs/>
                <w:sz w:val="18"/>
                <w:szCs w:val="18"/>
              </w:rPr>
              <w:t>fgr</w:t>
            </w:r>
            <w:proofErr w:type="spellEnd"/>
            <w:r w:rsidRPr="00F11423">
              <w:rPr>
                <w:rFonts w:ascii="Verdana" w:hAnsi="Verdana"/>
                <w:bCs/>
                <w:sz w:val="18"/>
                <w:szCs w:val="18"/>
              </w:rPr>
              <w:t xml:space="preserve"> zelfstandig belastingplichtig kan zijn. De tot op heden aangedragen en onderzochte oplossingen zijn vooralsnog als ongewenst of onuitvoerbaar beoordeeld. Op dit moment heeft het kabinet geen aanleiding om aan te nemen dat uitstel van de Wet FKR aan een oplossing bijdraagt.</w:t>
            </w:r>
          </w:p>
          <w:p w:rsidRPr="00F11423" w:rsidR="00E35960" w:rsidP="00F11423" w:rsidRDefault="00E35960" w14:paraId="1B707A63" w14:textId="77777777">
            <w:pPr>
              <w:pStyle w:val="Lijstalinea"/>
              <w:numPr>
                <w:ilvl w:val="0"/>
                <w:numId w:val="2"/>
              </w:numPr>
              <w:spacing w:line="276" w:lineRule="auto"/>
              <w:rPr>
                <w:rFonts w:ascii="Verdana" w:hAnsi="Verdana"/>
                <w:bCs/>
                <w:sz w:val="18"/>
                <w:szCs w:val="18"/>
              </w:rPr>
            </w:pPr>
            <w:r w:rsidRPr="00F11423">
              <w:rPr>
                <w:rFonts w:ascii="Verdana" w:hAnsi="Verdana"/>
                <w:bCs/>
                <w:sz w:val="18"/>
                <w:szCs w:val="18"/>
              </w:rPr>
              <w:t xml:space="preserve">Uitstel kan </w:t>
            </w:r>
            <w:proofErr w:type="gramStart"/>
            <w:r w:rsidRPr="00F11423">
              <w:rPr>
                <w:rFonts w:ascii="Verdana" w:hAnsi="Verdana"/>
                <w:bCs/>
                <w:sz w:val="18"/>
                <w:szCs w:val="18"/>
              </w:rPr>
              <w:t>tegemoet komen</w:t>
            </w:r>
            <w:proofErr w:type="gramEnd"/>
            <w:r w:rsidRPr="00F11423">
              <w:rPr>
                <w:rFonts w:ascii="Verdana" w:hAnsi="Verdana"/>
                <w:bCs/>
                <w:sz w:val="18"/>
                <w:szCs w:val="18"/>
              </w:rPr>
              <w:t xml:space="preserve"> aan een deel van de door de uitvoeringspraktijk en door belanghebbenden gesignaleerde knelpunten. Hieraan is het kabinet </w:t>
            </w:r>
            <w:proofErr w:type="gramStart"/>
            <w:r w:rsidRPr="00F11423">
              <w:rPr>
                <w:rFonts w:ascii="Verdana" w:hAnsi="Verdana"/>
                <w:bCs/>
                <w:sz w:val="18"/>
                <w:szCs w:val="18"/>
              </w:rPr>
              <w:t>tegemoet gekomen</w:t>
            </w:r>
            <w:proofErr w:type="gramEnd"/>
            <w:r w:rsidRPr="00F11423">
              <w:rPr>
                <w:rFonts w:ascii="Verdana" w:hAnsi="Verdana"/>
                <w:bCs/>
                <w:sz w:val="18"/>
                <w:szCs w:val="18"/>
              </w:rPr>
              <w:t xml:space="preserve"> bij een derde nota van wijziging bij het Belastingplan 2025. In deze nota is een aanvullende overgangsbepaling voorgesteld die beleggingsfondsen langer de tijd geeft om te voldoen aan de voorwaarden voor het zijn van inkoopfonds.</w:t>
            </w:r>
          </w:p>
        </w:tc>
      </w:tr>
      <w:tr w:rsidRPr="00F11423" w:rsidR="00E35960" w:rsidTr="008D533C" w14:paraId="035BF47A" w14:textId="77777777">
        <w:tc>
          <w:tcPr>
            <w:tcW w:w="9634" w:type="dxa"/>
            <w:gridSpan w:val="2"/>
          </w:tcPr>
          <w:p w:rsidRPr="00F11423" w:rsidR="00E35960" w:rsidP="00F11423" w:rsidRDefault="00E35960" w14:paraId="298AE50C" w14:textId="77777777">
            <w:pPr>
              <w:spacing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Dit amendement heeft geen budgettair effect.</w:t>
            </w:r>
          </w:p>
          <w:p w:rsidRPr="00F11423" w:rsidR="00E35960" w:rsidP="00F11423" w:rsidRDefault="00E35960" w14:paraId="5081C584" w14:textId="77777777">
            <w:pPr>
              <w:spacing w:line="276" w:lineRule="auto"/>
              <w:rPr>
                <w:rFonts w:ascii="Verdana" w:hAnsi="Verdana"/>
                <w:sz w:val="18"/>
                <w:szCs w:val="18"/>
              </w:rPr>
            </w:pPr>
          </w:p>
          <w:tbl>
            <w:tblPr>
              <w:tblStyle w:val="Tabelraster"/>
              <w:tblW w:w="6658" w:type="dxa"/>
              <w:tblLook w:val="04A0" w:firstRow="1" w:lastRow="0" w:firstColumn="1" w:lastColumn="0" w:noHBand="0" w:noVBand="1"/>
            </w:tblPr>
            <w:tblGrid>
              <w:gridCol w:w="2405"/>
              <w:gridCol w:w="709"/>
              <w:gridCol w:w="709"/>
              <w:gridCol w:w="708"/>
              <w:gridCol w:w="709"/>
              <w:gridCol w:w="1418"/>
            </w:tblGrid>
            <w:tr w:rsidRPr="00F11423" w:rsidR="00E35960" w:rsidTr="00E35960" w14:paraId="180C27BD" w14:textId="77777777">
              <w:trPr>
                <w:trHeight w:val="300"/>
              </w:trPr>
              <w:tc>
                <w:tcPr>
                  <w:tcW w:w="2405" w:type="dxa"/>
                  <w:tcBorders>
                    <w:top w:val="single" w:color="auto" w:sz="4" w:space="0"/>
                    <w:left w:val="single" w:color="auto" w:sz="4" w:space="0"/>
                    <w:bottom w:val="single" w:color="auto" w:sz="4" w:space="0"/>
                    <w:right w:val="single" w:color="auto" w:sz="4" w:space="0"/>
                  </w:tcBorders>
                  <w:shd w:val="clear" w:color="auto" w:fill="DEEAF6" w:themeFill="accent5" w:themeFillTint="33"/>
                  <w:noWrap/>
                  <w:hideMark/>
                </w:tcPr>
                <w:p w:rsidRPr="00F11423" w:rsidR="00E35960" w:rsidP="00F11423" w:rsidRDefault="00E35960" w14:paraId="1D832FB9" w14:textId="77777777">
                  <w:pPr>
                    <w:spacing w:line="276" w:lineRule="auto"/>
                    <w:rPr>
                      <w:rFonts w:ascii="Verdana" w:hAnsi="Verdana" w:cs="Calibri"/>
                      <w:color w:val="000000"/>
                      <w:sz w:val="18"/>
                      <w:szCs w:val="18"/>
                    </w:rPr>
                  </w:pPr>
                  <w:r w:rsidRPr="00F11423">
                    <w:rPr>
                      <w:rFonts w:ascii="Verdana" w:hAnsi="Verdana" w:cs="Calibri"/>
                      <w:color w:val="000000"/>
                      <w:sz w:val="18"/>
                      <w:szCs w:val="18"/>
                    </w:rPr>
                    <w:t>Omvang in mln. €</w:t>
                  </w:r>
                </w:p>
              </w:tc>
              <w:tc>
                <w:tcPr>
                  <w:tcW w:w="709" w:type="dxa"/>
                  <w:tcBorders>
                    <w:top w:val="single" w:color="auto" w:sz="4" w:space="0"/>
                    <w:left w:val="single" w:color="auto" w:sz="4" w:space="0"/>
                    <w:bottom w:val="single" w:color="auto" w:sz="4" w:space="0"/>
                    <w:right w:val="single" w:color="auto" w:sz="4" w:space="0"/>
                  </w:tcBorders>
                  <w:shd w:val="clear" w:color="auto" w:fill="DEEAF6" w:themeFill="accent5" w:themeFillTint="33"/>
                  <w:noWrap/>
                  <w:hideMark/>
                </w:tcPr>
                <w:p w:rsidRPr="00F11423" w:rsidR="00E35960" w:rsidP="00F11423" w:rsidRDefault="00E35960" w14:paraId="4CCA8CB8" w14:textId="77777777">
                  <w:pPr>
                    <w:spacing w:line="276" w:lineRule="auto"/>
                    <w:jc w:val="right"/>
                    <w:rPr>
                      <w:rFonts w:ascii="Verdana" w:hAnsi="Verdana" w:cs="Calibri"/>
                      <w:i/>
                      <w:iCs/>
                      <w:color w:val="000000"/>
                      <w:sz w:val="18"/>
                      <w:szCs w:val="18"/>
                    </w:rPr>
                  </w:pPr>
                  <w:r w:rsidRPr="00F11423">
                    <w:rPr>
                      <w:rFonts w:ascii="Verdana" w:hAnsi="Verdana" w:cs="Calibri"/>
                      <w:i/>
                      <w:iCs/>
                      <w:color w:val="000000"/>
                      <w:sz w:val="18"/>
                      <w:szCs w:val="18"/>
                    </w:rPr>
                    <w:t>2024</w:t>
                  </w:r>
                </w:p>
              </w:tc>
              <w:tc>
                <w:tcPr>
                  <w:tcW w:w="709" w:type="dxa"/>
                  <w:tcBorders>
                    <w:top w:val="single" w:color="auto" w:sz="4" w:space="0"/>
                    <w:left w:val="single" w:color="auto" w:sz="4" w:space="0"/>
                    <w:bottom w:val="single" w:color="auto" w:sz="4" w:space="0"/>
                    <w:right w:val="single" w:color="auto" w:sz="4" w:space="0"/>
                  </w:tcBorders>
                  <w:shd w:val="clear" w:color="auto" w:fill="DEEAF6" w:themeFill="accent5" w:themeFillTint="33"/>
                  <w:noWrap/>
                  <w:hideMark/>
                </w:tcPr>
                <w:p w:rsidRPr="00F11423" w:rsidR="00E35960" w:rsidP="00F11423" w:rsidRDefault="00E35960" w14:paraId="118557BF" w14:textId="77777777">
                  <w:pPr>
                    <w:spacing w:line="276" w:lineRule="auto"/>
                    <w:jc w:val="right"/>
                    <w:rPr>
                      <w:rFonts w:ascii="Verdana" w:hAnsi="Verdana" w:cs="Calibri"/>
                      <w:i/>
                      <w:iCs/>
                      <w:color w:val="000000"/>
                      <w:sz w:val="18"/>
                      <w:szCs w:val="18"/>
                    </w:rPr>
                  </w:pPr>
                  <w:r w:rsidRPr="00F11423">
                    <w:rPr>
                      <w:rFonts w:ascii="Verdana" w:hAnsi="Verdana" w:cs="Calibri"/>
                      <w:i/>
                      <w:iCs/>
                      <w:color w:val="000000"/>
                      <w:sz w:val="18"/>
                      <w:szCs w:val="18"/>
                    </w:rPr>
                    <w:t>2025</w:t>
                  </w:r>
                </w:p>
              </w:tc>
              <w:tc>
                <w:tcPr>
                  <w:tcW w:w="708" w:type="dxa"/>
                  <w:tcBorders>
                    <w:top w:val="single" w:color="auto" w:sz="4" w:space="0"/>
                    <w:left w:val="single" w:color="auto" w:sz="4" w:space="0"/>
                    <w:bottom w:val="single" w:color="auto" w:sz="4" w:space="0"/>
                    <w:right w:val="single" w:color="auto" w:sz="4" w:space="0"/>
                  </w:tcBorders>
                  <w:shd w:val="clear" w:color="auto" w:fill="DEEAF6" w:themeFill="accent5" w:themeFillTint="33"/>
                  <w:noWrap/>
                  <w:hideMark/>
                </w:tcPr>
                <w:p w:rsidRPr="00F11423" w:rsidR="00E35960" w:rsidP="00F11423" w:rsidRDefault="00E35960" w14:paraId="4383F940" w14:textId="77777777">
                  <w:pPr>
                    <w:spacing w:line="276" w:lineRule="auto"/>
                    <w:jc w:val="right"/>
                    <w:rPr>
                      <w:rFonts w:ascii="Verdana" w:hAnsi="Verdana" w:cs="Calibri"/>
                      <w:i/>
                      <w:iCs/>
                      <w:color w:val="000000"/>
                      <w:sz w:val="18"/>
                      <w:szCs w:val="18"/>
                    </w:rPr>
                  </w:pPr>
                  <w:r w:rsidRPr="00F11423">
                    <w:rPr>
                      <w:rFonts w:ascii="Verdana" w:hAnsi="Verdana" w:cs="Calibri"/>
                      <w:i/>
                      <w:iCs/>
                      <w:color w:val="000000"/>
                      <w:sz w:val="18"/>
                      <w:szCs w:val="18"/>
                    </w:rPr>
                    <w:t>2026</w:t>
                  </w:r>
                </w:p>
              </w:tc>
              <w:tc>
                <w:tcPr>
                  <w:tcW w:w="709" w:type="dxa"/>
                  <w:tcBorders>
                    <w:top w:val="single" w:color="auto" w:sz="4" w:space="0"/>
                    <w:left w:val="single" w:color="auto" w:sz="4" w:space="0"/>
                    <w:bottom w:val="single" w:color="auto" w:sz="4" w:space="0"/>
                    <w:right w:val="single" w:color="auto" w:sz="4" w:space="0"/>
                  </w:tcBorders>
                  <w:shd w:val="clear" w:color="auto" w:fill="DEEAF6" w:themeFill="accent5" w:themeFillTint="33"/>
                  <w:noWrap/>
                  <w:hideMark/>
                </w:tcPr>
                <w:p w:rsidRPr="00F11423" w:rsidR="00E35960" w:rsidP="00F11423" w:rsidRDefault="00E35960" w14:paraId="38FDF54D" w14:textId="77777777">
                  <w:pPr>
                    <w:spacing w:line="276" w:lineRule="auto"/>
                    <w:jc w:val="right"/>
                    <w:rPr>
                      <w:rFonts w:ascii="Verdana" w:hAnsi="Verdana" w:cs="Calibri"/>
                      <w:i/>
                      <w:iCs/>
                      <w:color w:val="000000"/>
                      <w:sz w:val="18"/>
                      <w:szCs w:val="18"/>
                    </w:rPr>
                  </w:pPr>
                  <w:r w:rsidRPr="00F11423">
                    <w:rPr>
                      <w:rFonts w:ascii="Verdana" w:hAnsi="Verdana" w:cs="Calibri"/>
                      <w:i/>
                      <w:iCs/>
                      <w:color w:val="000000"/>
                      <w:sz w:val="18"/>
                      <w:szCs w:val="18"/>
                    </w:rPr>
                    <w:t>2027</w:t>
                  </w:r>
                </w:p>
              </w:tc>
              <w:tc>
                <w:tcPr>
                  <w:tcW w:w="1418" w:type="dxa"/>
                  <w:tcBorders>
                    <w:top w:val="single" w:color="auto" w:sz="4" w:space="0"/>
                    <w:left w:val="single" w:color="auto" w:sz="4" w:space="0"/>
                    <w:bottom w:val="single" w:color="auto" w:sz="4" w:space="0"/>
                    <w:right w:val="single" w:color="auto" w:sz="4" w:space="0"/>
                  </w:tcBorders>
                  <w:shd w:val="clear" w:color="auto" w:fill="DEEAF6" w:themeFill="accent5" w:themeFillTint="33"/>
                  <w:noWrap/>
                  <w:hideMark/>
                </w:tcPr>
                <w:p w:rsidRPr="00F11423" w:rsidR="00E35960" w:rsidP="00F11423" w:rsidRDefault="00E35960" w14:paraId="01B857C7" w14:textId="77777777">
                  <w:pPr>
                    <w:spacing w:line="276" w:lineRule="auto"/>
                    <w:rPr>
                      <w:rFonts w:ascii="Verdana" w:hAnsi="Verdana" w:cs="Calibri"/>
                      <w:color w:val="000000"/>
                      <w:sz w:val="18"/>
                      <w:szCs w:val="18"/>
                    </w:rPr>
                  </w:pPr>
                  <w:r w:rsidRPr="00F11423">
                    <w:rPr>
                      <w:rFonts w:ascii="Verdana" w:hAnsi="Verdana" w:cs="Calibri"/>
                      <w:color w:val="000000"/>
                      <w:sz w:val="18"/>
                      <w:szCs w:val="18"/>
                    </w:rPr>
                    <w:t xml:space="preserve"> Structureel </w:t>
                  </w:r>
                </w:p>
              </w:tc>
            </w:tr>
            <w:tr w:rsidRPr="00F11423" w:rsidR="00E35960" w:rsidTr="00F36A62" w14:paraId="17DFB6B2" w14:textId="77777777">
              <w:trPr>
                <w:trHeight w:val="300"/>
              </w:trPr>
              <w:tc>
                <w:tcPr>
                  <w:tcW w:w="2405" w:type="dxa"/>
                  <w:tcBorders>
                    <w:top w:val="single" w:color="auto" w:sz="4" w:space="0"/>
                    <w:left w:val="single" w:color="auto" w:sz="4" w:space="0"/>
                    <w:bottom w:val="single" w:color="auto" w:sz="4" w:space="0"/>
                    <w:right w:val="single" w:color="auto" w:sz="4" w:space="0"/>
                  </w:tcBorders>
                  <w:noWrap/>
                  <w:hideMark/>
                </w:tcPr>
                <w:p w:rsidRPr="00F11423" w:rsidR="00E35960" w:rsidP="00F11423" w:rsidRDefault="00E35960" w14:paraId="255D4B37" w14:textId="77777777">
                  <w:pPr>
                    <w:spacing w:line="276" w:lineRule="auto"/>
                    <w:rPr>
                      <w:rFonts w:ascii="Verdana" w:hAnsi="Verdana" w:cs="Calibri"/>
                      <w:color w:val="000000"/>
                      <w:sz w:val="18"/>
                      <w:szCs w:val="18"/>
                    </w:rPr>
                  </w:pPr>
                  <w:r w:rsidRPr="00F11423">
                    <w:rPr>
                      <w:rFonts w:ascii="Verdana" w:hAnsi="Verdana"/>
                      <w:sz w:val="18"/>
                      <w:szCs w:val="18"/>
                    </w:rPr>
                    <w:t>Uitstel Wet FKR etc.</w:t>
                  </w:r>
                </w:p>
              </w:tc>
              <w:tc>
                <w:tcPr>
                  <w:tcW w:w="709" w:type="dxa"/>
                  <w:tcBorders>
                    <w:top w:val="single" w:color="auto" w:sz="4" w:space="0"/>
                    <w:left w:val="single" w:color="auto" w:sz="4" w:space="0"/>
                    <w:bottom w:val="single" w:color="auto" w:sz="4" w:space="0"/>
                    <w:right w:val="single" w:color="auto" w:sz="4" w:space="0"/>
                  </w:tcBorders>
                  <w:noWrap/>
                  <w:hideMark/>
                </w:tcPr>
                <w:p w:rsidRPr="00F11423" w:rsidR="00E35960" w:rsidP="00F11423" w:rsidRDefault="00E35960" w14:paraId="071B4763" w14:textId="77777777">
                  <w:pPr>
                    <w:spacing w:line="276" w:lineRule="auto"/>
                    <w:rPr>
                      <w:rFonts w:ascii="Verdana" w:hAnsi="Verdana" w:cs="Calibri"/>
                      <w:color w:val="000000"/>
                      <w:sz w:val="18"/>
                      <w:szCs w:val="18"/>
                    </w:rPr>
                  </w:pPr>
                  <w:r w:rsidRPr="00F11423">
                    <w:rPr>
                      <w:rFonts w:ascii="Verdana" w:hAnsi="Verdana" w:cs="Calibri"/>
                      <w:color w:val="000000"/>
                      <w:sz w:val="18"/>
                      <w:szCs w:val="18"/>
                    </w:rPr>
                    <w:t>0</w:t>
                  </w:r>
                </w:p>
              </w:tc>
              <w:tc>
                <w:tcPr>
                  <w:tcW w:w="709" w:type="dxa"/>
                  <w:tcBorders>
                    <w:top w:val="single" w:color="auto" w:sz="4" w:space="0"/>
                    <w:left w:val="single" w:color="auto" w:sz="4" w:space="0"/>
                    <w:bottom w:val="single" w:color="auto" w:sz="4" w:space="0"/>
                    <w:right w:val="single" w:color="auto" w:sz="4" w:space="0"/>
                  </w:tcBorders>
                  <w:noWrap/>
                  <w:hideMark/>
                </w:tcPr>
                <w:p w:rsidRPr="00F11423" w:rsidR="00E35960" w:rsidP="00F11423" w:rsidRDefault="00E35960" w14:paraId="3C8E629A" w14:textId="77777777">
                  <w:pPr>
                    <w:spacing w:line="276" w:lineRule="auto"/>
                    <w:rPr>
                      <w:rFonts w:ascii="Verdana" w:hAnsi="Verdana" w:cs="Calibri"/>
                      <w:color w:val="000000"/>
                      <w:sz w:val="18"/>
                      <w:szCs w:val="18"/>
                    </w:rPr>
                  </w:pPr>
                  <w:r w:rsidRPr="00F11423">
                    <w:rPr>
                      <w:rFonts w:ascii="Verdana" w:hAnsi="Verdana" w:cs="Calibri"/>
                      <w:color w:val="000000"/>
                      <w:sz w:val="18"/>
                      <w:szCs w:val="18"/>
                    </w:rPr>
                    <w:t>0</w:t>
                  </w:r>
                </w:p>
              </w:tc>
              <w:tc>
                <w:tcPr>
                  <w:tcW w:w="708" w:type="dxa"/>
                  <w:tcBorders>
                    <w:top w:val="single" w:color="auto" w:sz="4" w:space="0"/>
                    <w:left w:val="single" w:color="auto" w:sz="4" w:space="0"/>
                    <w:bottom w:val="single" w:color="auto" w:sz="4" w:space="0"/>
                    <w:right w:val="single" w:color="auto" w:sz="4" w:space="0"/>
                  </w:tcBorders>
                  <w:noWrap/>
                  <w:hideMark/>
                </w:tcPr>
                <w:p w:rsidRPr="00F11423" w:rsidR="00E35960" w:rsidP="00F11423" w:rsidRDefault="00E35960" w14:paraId="3D698C48" w14:textId="77777777">
                  <w:pPr>
                    <w:spacing w:line="276" w:lineRule="auto"/>
                    <w:rPr>
                      <w:rFonts w:ascii="Verdana" w:hAnsi="Verdana" w:cs="Calibri"/>
                      <w:color w:val="000000"/>
                      <w:sz w:val="18"/>
                      <w:szCs w:val="18"/>
                    </w:rPr>
                  </w:pPr>
                  <w:r w:rsidRPr="00F11423">
                    <w:rPr>
                      <w:rFonts w:ascii="Verdana" w:hAnsi="Verdana" w:cs="Calibri"/>
                      <w:color w:val="000000"/>
                      <w:sz w:val="18"/>
                      <w:szCs w:val="18"/>
                    </w:rPr>
                    <w:t>0</w:t>
                  </w:r>
                </w:p>
              </w:tc>
              <w:tc>
                <w:tcPr>
                  <w:tcW w:w="709" w:type="dxa"/>
                  <w:tcBorders>
                    <w:top w:val="single" w:color="auto" w:sz="4" w:space="0"/>
                    <w:left w:val="single" w:color="auto" w:sz="4" w:space="0"/>
                    <w:bottom w:val="single" w:color="auto" w:sz="4" w:space="0"/>
                    <w:right w:val="single" w:color="auto" w:sz="4" w:space="0"/>
                  </w:tcBorders>
                  <w:noWrap/>
                  <w:hideMark/>
                </w:tcPr>
                <w:p w:rsidRPr="00F11423" w:rsidR="00E35960" w:rsidP="00F11423" w:rsidRDefault="00E35960" w14:paraId="153773EF" w14:textId="77777777">
                  <w:pPr>
                    <w:spacing w:line="276" w:lineRule="auto"/>
                    <w:rPr>
                      <w:rFonts w:ascii="Verdana" w:hAnsi="Verdana" w:cs="Calibri"/>
                      <w:color w:val="000000"/>
                      <w:sz w:val="18"/>
                      <w:szCs w:val="18"/>
                    </w:rPr>
                  </w:pPr>
                  <w:r w:rsidRPr="00F11423">
                    <w:rPr>
                      <w:rFonts w:ascii="Verdana" w:hAnsi="Verdana" w:cs="Calibri"/>
                      <w:color w:val="000000"/>
                      <w:sz w:val="18"/>
                      <w:szCs w:val="18"/>
                    </w:rPr>
                    <w:t>0</w:t>
                  </w:r>
                </w:p>
              </w:tc>
              <w:tc>
                <w:tcPr>
                  <w:tcW w:w="1418" w:type="dxa"/>
                  <w:tcBorders>
                    <w:top w:val="single" w:color="auto" w:sz="4" w:space="0"/>
                    <w:left w:val="single" w:color="auto" w:sz="4" w:space="0"/>
                    <w:bottom w:val="single" w:color="auto" w:sz="4" w:space="0"/>
                    <w:right w:val="single" w:color="auto" w:sz="4" w:space="0"/>
                  </w:tcBorders>
                  <w:noWrap/>
                </w:tcPr>
                <w:p w:rsidRPr="00F11423" w:rsidR="00E35960" w:rsidP="00F11423" w:rsidRDefault="00E35960" w14:paraId="0B676022" w14:textId="77777777">
                  <w:pPr>
                    <w:spacing w:line="276" w:lineRule="auto"/>
                    <w:rPr>
                      <w:rFonts w:ascii="Verdana" w:hAnsi="Verdana" w:cs="Calibri"/>
                      <w:color w:val="000000"/>
                      <w:sz w:val="18"/>
                      <w:szCs w:val="18"/>
                    </w:rPr>
                  </w:pPr>
                  <w:r w:rsidRPr="00F11423">
                    <w:rPr>
                      <w:rFonts w:ascii="Verdana" w:hAnsi="Verdana" w:cs="Calibri"/>
                      <w:color w:val="000000"/>
                      <w:sz w:val="18"/>
                      <w:szCs w:val="18"/>
                    </w:rPr>
                    <w:t>0</w:t>
                  </w:r>
                </w:p>
              </w:tc>
            </w:tr>
          </w:tbl>
          <w:p w:rsidRPr="00F11423" w:rsidR="00E35960" w:rsidP="00F11423" w:rsidRDefault="00E35960" w14:paraId="7C7082EF" w14:textId="77777777">
            <w:pPr>
              <w:spacing w:line="276" w:lineRule="auto"/>
              <w:rPr>
                <w:rFonts w:ascii="Verdana" w:hAnsi="Verdana"/>
                <w:b/>
                <w:bCs/>
                <w:sz w:val="18"/>
                <w:szCs w:val="18"/>
              </w:rPr>
            </w:pPr>
          </w:p>
        </w:tc>
      </w:tr>
      <w:tr w:rsidRPr="00F11423" w:rsidR="00E35960" w:rsidTr="008D533C" w14:paraId="21B19F06" w14:textId="77777777">
        <w:tc>
          <w:tcPr>
            <w:tcW w:w="9634" w:type="dxa"/>
            <w:gridSpan w:val="2"/>
          </w:tcPr>
          <w:p w:rsidRPr="00F11423" w:rsidR="00E35960" w:rsidP="00F11423" w:rsidRDefault="00E35960" w14:paraId="79BEA44A" w14:textId="3669EBA6">
            <w:pPr>
              <w:spacing w:line="276" w:lineRule="auto"/>
              <w:rPr>
                <w:rFonts w:ascii="Verdana" w:hAnsi="Verdana"/>
                <w:b/>
                <w:bCs/>
                <w:sz w:val="18"/>
                <w:szCs w:val="18"/>
              </w:rPr>
            </w:pPr>
            <w:r w:rsidRPr="00F11423">
              <w:rPr>
                <w:rFonts w:ascii="Verdana" w:hAnsi="Verdana"/>
                <w:b/>
                <w:bCs/>
                <w:sz w:val="18"/>
                <w:szCs w:val="18"/>
              </w:rPr>
              <w:t xml:space="preserve">Uitvoeringsgevolgen: </w:t>
            </w:r>
            <w:r w:rsidRPr="00F11423">
              <w:rPr>
                <w:rFonts w:ascii="Verdana" w:hAnsi="Verdana"/>
                <w:sz w:val="18"/>
                <w:szCs w:val="18"/>
              </w:rPr>
              <w:t>Uitvoerbaar</w:t>
            </w:r>
            <w:r w:rsidR="00BD72E3">
              <w:rPr>
                <w:rFonts w:ascii="Verdana" w:hAnsi="Verdana"/>
                <w:sz w:val="18"/>
                <w:szCs w:val="18"/>
              </w:rPr>
              <w:t xml:space="preserve"> per 1 januari 2025.</w:t>
            </w:r>
          </w:p>
        </w:tc>
      </w:tr>
      <w:bookmarkEnd w:id="3"/>
    </w:tbl>
    <w:p w:rsidR="00F67E75" w:rsidP="00F11423" w:rsidRDefault="00F67E75" w14:paraId="7397973A"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942"/>
        <w:gridCol w:w="5687"/>
      </w:tblGrid>
      <w:tr w:rsidRPr="00F11423" w:rsidR="001E1C57" w:rsidTr="00F36A62" w14:paraId="46DEFD9F" w14:textId="77777777">
        <w:tc>
          <w:tcPr>
            <w:tcW w:w="3942"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1E1C57" w:rsidP="00F36A62" w:rsidRDefault="001E1C57" w14:paraId="719595A2" w14:textId="77777777">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36602 0</w:t>
            </w:r>
            <w:r>
              <w:rPr>
                <w:rFonts w:ascii="Verdana" w:hAnsi="Verdana"/>
                <w:color w:val="000000"/>
                <w:sz w:val="18"/>
                <w:szCs w:val="18"/>
              </w:rPr>
              <w:t>66</w:t>
            </w:r>
          </w:p>
        </w:tc>
        <w:tc>
          <w:tcPr>
            <w:tcW w:w="5687"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1E1C57" w:rsidP="00F36A62" w:rsidRDefault="001E1C57" w14:paraId="129A5C98"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Behoud korting LPG, LNG of CNG binnen de motorrijtuigenbelasting</w:t>
            </w:r>
          </w:p>
        </w:tc>
      </w:tr>
      <w:tr w:rsidRPr="00F11423" w:rsidR="001E1C57" w:rsidTr="00F36A62" w14:paraId="4AB0AB33" w14:textId="77777777">
        <w:tc>
          <w:tcPr>
            <w:tcW w:w="394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1E1C57" w:rsidP="00F36A62" w:rsidRDefault="001E1C57" w14:paraId="73B4A4C2" w14:textId="0267BFBE">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Vermeer</w:t>
            </w:r>
            <w:r w:rsidR="00393EC1">
              <w:rPr>
                <w:rFonts w:ascii="Verdana" w:hAnsi="Verdana"/>
                <w:sz w:val="18"/>
                <w:szCs w:val="18"/>
              </w:rPr>
              <w:t xml:space="preserve"> (BBB)</w:t>
            </w:r>
          </w:p>
        </w:tc>
        <w:tc>
          <w:tcPr>
            <w:tcW w:w="5687"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1E1C57" w:rsidP="00F36A62" w:rsidRDefault="001E1C57" w14:paraId="7421AB2C"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1E1C57" w:rsidTr="00F36A62" w14:paraId="59E87646"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1E1C57" w:rsidP="00F36A62" w:rsidRDefault="001E1C57" w14:paraId="76A492E0" w14:textId="77777777">
            <w:pPr>
              <w:spacing w:after="0" w:line="276" w:lineRule="auto"/>
              <w:rPr>
                <w:rFonts w:ascii="Verdana" w:hAnsi="Verdana"/>
                <w:b/>
                <w:bCs/>
                <w:sz w:val="18"/>
                <w:szCs w:val="18"/>
              </w:rPr>
            </w:pPr>
            <w:r w:rsidRPr="00F11423">
              <w:rPr>
                <w:rFonts w:ascii="Verdana" w:hAnsi="Verdana"/>
                <w:b/>
                <w:bCs/>
                <w:sz w:val="18"/>
                <w:szCs w:val="18"/>
              </w:rPr>
              <w:lastRenderedPageBreak/>
              <w:t xml:space="preserve">Gevolgen: </w:t>
            </w:r>
          </w:p>
          <w:p w:rsidRPr="00F11423" w:rsidR="001E1C57" w:rsidP="00F36A62" w:rsidRDefault="001E1C57" w14:paraId="75E29922" w14:textId="3B0938EB">
            <w:pPr>
              <w:pStyle w:val="Lijstalinea"/>
              <w:numPr>
                <w:ilvl w:val="0"/>
                <w:numId w:val="1"/>
              </w:numPr>
              <w:spacing w:line="276" w:lineRule="auto"/>
              <w:rPr>
                <w:rFonts w:ascii="Verdana" w:hAnsi="Verdana"/>
                <w:sz w:val="18"/>
                <w:szCs w:val="18"/>
              </w:rPr>
            </w:pPr>
            <w:r w:rsidRPr="00F11423">
              <w:rPr>
                <w:rFonts w:ascii="Verdana" w:hAnsi="Verdana"/>
                <w:sz w:val="18"/>
                <w:szCs w:val="18"/>
              </w:rPr>
              <w:t xml:space="preserve">Met het amendement blijft een negatief geëvalueerde regeling bestaan. In het Belastingplan 2024 is geregeld dat de lagere brandstoftoeslag voor specifieke autogasinstallaties komt te vervallen met ingang van 1 januari 2026. Deze fiscale regeling is geschrapt naar aanleiding van de evaluatie van deze regeling, waaruit naar voren kwam dat de doelstelling is achterhaald. Het beleid is inmiddels gericht op het stimuleren van duurzamere alternatieven (elektrische auto’s en waterstofauto’s). </w:t>
            </w:r>
          </w:p>
          <w:p w:rsidRPr="00F11423" w:rsidR="001E1C57" w:rsidP="00F36A62" w:rsidRDefault="001E1C57" w14:paraId="1119A1CB" w14:textId="77777777">
            <w:pPr>
              <w:pStyle w:val="Lijstalinea"/>
              <w:numPr>
                <w:ilvl w:val="0"/>
                <w:numId w:val="1"/>
              </w:numPr>
              <w:spacing w:line="276" w:lineRule="auto"/>
              <w:rPr>
                <w:rFonts w:ascii="Verdana" w:hAnsi="Verdana"/>
                <w:sz w:val="18"/>
                <w:szCs w:val="18"/>
              </w:rPr>
            </w:pPr>
            <w:r w:rsidRPr="00F11423">
              <w:rPr>
                <w:rFonts w:ascii="Verdana" w:hAnsi="Verdana"/>
                <w:sz w:val="18"/>
                <w:szCs w:val="18"/>
              </w:rPr>
              <w:t xml:space="preserve">De motorrijtuigenbelasting is gebaseerd op gewicht. Het tarief wordt verhoogd met een brandstoftoeslag voor autogas en dieselvoertuigen. Autogas kent een brandstoftoeslag in de motorrijtuigenbelasting, vanwege de ontbrekende of lagere brandstofaccijnzen voor LPG, LNG en CNG. </w:t>
            </w:r>
          </w:p>
          <w:p w:rsidRPr="00F11423" w:rsidR="001E1C57" w:rsidP="00F36A62" w:rsidRDefault="001E1C57" w14:paraId="1F60A6B7" w14:textId="77777777">
            <w:pPr>
              <w:pStyle w:val="Lijstalinea"/>
              <w:spacing w:line="276" w:lineRule="auto"/>
              <w:ind w:left="360"/>
              <w:rPr>
                <w:rFonts w:ascii="Verdana" w:hAnsi="Verdana"/>
                <w:sz w:val="18"/>
                <w:szCs w:val="18"/>
              </w:rPr>
            </w:pPr>
          </w:p>
        </w:tc>
      </w:tr>
      <w:tr w:rsidRPr="00F11423" w:rsidR="001E1C57" w:rsidTr="00F36A62" w14:paraId="55AAC954"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1E1C57" w:rsidP="00F36A62" w:rsidRDefault="001E1C57" w14:paraId="460E3352"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p>
          <w:tbl>
            <w:tblPr>
              <w:tblW w:w="9212" w:type="dxa"/>
              <w:tblCellMar>
                <w:left w:w="70" w:type="dxa"/>
                <w:right w:w="70" w:type="dxa"/>
              </w:tblCellMar>
              <w:tblLook w:val="04A0" w:firstRow="1" w:lastRow="0" w:firstColumn="1" w:lastColumn="0" w:noHBand="0" w:noVBand="1"/>
            </w:tblPr>
            <w:tblGrid>
              <w:gridCol w:w="3756"/>
              <w:gridCol w:w="1091"/>
              <w:gridCol w:w="1091"/>
              <w:gridCol w:w="1091"/>
              <w:gridCol w:w="1091"/>
              <w:gridCol w:w="1092"/>
            </w:tblGrid>
            <w:tr w:rsidRPr="00F11423" w:rsidR="001E1C57" w:rsidTr="0017102A" w14:paraId="0B734712" w14:textId="77777777">
              <w:trPr>
                <w:trHeight w:val="315"/>
              </w:trPr>
              <w:tc>
                <w:tcPr>
                  <w:tcW w:w="3756" w:type="dxa"/>
                  <w:tcBorders>
                    <w:top w:val="single" w:color="7BA0CD" w:sz="8" w:space="0"/>
                    <w:left w:val="single" w:color="7BA0CD" w:sz="8" w:space="0"/>
                    <w:right w:val="nil"/>
                  </w:tcBorders>
                  <w:shd w:val="clear" w:color="auto" w:fill="DEEAF6" w:themeFill="accent5" w:themeFillTint="33"/>
                  <w:noWrap/>
                  <w:vAlign w:val="center"/>
                  <w:hideMark/>
                </w:tcPr>
                <w:p w:rsidRPr="0017102A" w:rsidR="001E1C57" w:rsidP="00F36A62" w:rsidRDefault="001E1C57" w14:paraId="29D3AD1A" w14:textId="77777777">
                  <w:pPr>
                    <w:spacing w:after="0" w:line="276" w:lineRule="auto"/>
                    <w:rPr>
                      <w:rFonts w:ascii="Verdana" w:hAnsi="Verdana"/>
                      <w:sz w:val="18"/>
                      <w:szCs w:val="18"/>
                    </w:rPr>
                  </w:pPr>
                  <w:r w:rsidRPr="0017102A">
                    <w:rPr>
                      <w:rFonts w:ascii="Verdana" w:hAnsi="Verdana"/>
                      <w:sz w:val="18"/>
                      <w:szCs w:val="18"/>
                    </w:rPr>
                    <w:t>(Bedragen in mln euro)</w:t>
                  </w:r>
                </w:p>
              </w:tc>
              <w:tc>
                <w:tcPr>
                  <w:tcW w:w="1091" w:type="dxa"/>
                  <w:tcBorders>
                    <w:top w:val="single" w:color="7BA0CD" w:sz="8" w:space="0"/>
                    <w:left w:val="single" w:color="7BA0CD" w:sz="8" w:space="0"/>
                    <w:right w:val="nil"/>
                  </w:tcBorders>
                  <w:shd w:val="clear" w:color="auto" w:fill="DEEAF6" w:themeFill="accent5" w:themeFillTint="33"/>
                  <w:noWrap/>
                  <w:vAlign w:val="center"/>
                  <w:hideMark/>
                </w:tcPr>
                <w:p w:rsidRPr="0017102A" w:rsidR="001E1C57" w:rsidP="00F36A62" w:rsidRDefault="001E1C57" w14:paraId="38A48FE5" w14:textId="77777777">
                  <w:pPr>
                    <w:spacing w:after="0" w:line="276" w:lineRule="auto"/>
                    <w:jc w:val="center"/>
                    <w:rPr>
                      <w:rFonts w:ascii="Verdana" w:hAnsi="Verdana"/>
                      <w:i/>
                      <w:iCs/>
                      <w:sz w:val="18"/>
                      <w:szCs w:val="18"/>
                    </w:rPr>
                  </w:pPr>
                  <w:r w:rsidRPr="0017102A">
                    <w:rPr>
                      <w:rFonts w:ascii="Verdana" w:hAnsi="Verdana"/>
                      <w:i/>
                      <w:iCs/>
                      <w:sz w:val="18"/>
                      <w:szCs w:val="18"/>
                    </w:rPr>
                    <w:t>2026</w:t>
                  </w:r>
                </w:p>
              </w:tc>
              <w:tc>
                <w:tcPr>
                  <w:tcW w:w="1091" w:type="dxa"/>
                  <w:tcBorders>
                    <w:top w:val="single" w:color="7BA0CD" w:sz="8" w:space="0"/>
                    <w:left w:val="single" w:color="7BA0CD" w:sz="8" w:space="0"/>
                    <w:right w:val="nil"/>
                  </w:tcBorders>
                  <w:shd w:val="clear" w:color="auto" w:fill="DEEAF6" w:themeFill="accent5" w:themeFillTint="33"/>
                  <w:noWrap/>
                  <w:vAlign w:val="center"/>
                  <w:hideMark/>
                </w:tcPr>
                <w:p w:rsidRPr="0017102A" w:rsidR="001E1C57" w:rsidP="00F36A62" w:rsidRDefault="001E1C57" w14:paraId="1C3108AE" w14:textId="77777777">
                  <w:pPr>
                    <w:spacing w:after="0" w:line="276" w:lineRule="auto"/>
                    <w:jc w:val="center"/>
                    <w:rPr>
                      <w:rFonts w:ascii="Verdana" w:hAnsi="Verdana"/>
                      <w:i/>
                      <w:iCs/>
                      <w:sz w:val="18"/>
                      <w:szCs w:val="18"/>
                    </w:rPr>
                  </w:pPr>
                  <w:r w:rsidRPr="0017102A">
                    <w:rPr>
                      <w:rFonts w:ascii="Verdana" w:hAnsi="Verdana"/>
                      <w:i/>
                      <w:iCs/>
                      <w:sz w:val="18"/>
                      <w:szCs w:val="18"/>
                    </w:rPr>
                    <w:t>2027</w:t>
                  </w:r>
                </w:p>
              </w:tc>
              <w:tc>
                <w:tcPr>
                  <w:tcW w:w="1091" w:type="dxa"/>
                  <w:tcBorders>
                    <w:top w:val="single" w:color="7BA0CD" w:sz="8" w:space="0"/>
                    <w:left w:val="single" w:color="7BA0CD" w:sz="8" w:space="0"/>
                    <w:right w:val="nil"/>
                  </w:tcBorders>
                  <w:shd w:val="clear" w:color="auto" w:fill="DEEAF6" w:themeFill="accent5" w:themeFillTint="33"/>
                  <w:noWrap/>
                  <w:vAlign w:val="center"/>
                  <w:hideMark/>
                </w:tcPr>
                <w:p w:rsidRPr="0017102A" w:rsidR="001E1C57" w:rsidP="00F36A62" w:rsidRDefault="001E1C57" w14:paraId="2026AF70" w14:textId="77777777">
                  <w:pPr>
                    <w:spacing w:after="0" w:line="276" w:lineRule="auto"/>
                    <w:jc w:val="center"/>
                    <w:rPr>
                      <w:rFonts w:ascii="Verdana" w:hAnsi="Verdana"/>
                      <w:i/>
                      <w:iCs/>
                      <w:sz w:val="18"/>
                      <w:szCs w:val="18"/>
                    </w:rPr>
                  </w:pPr>
                  <w:r w:rsidRPr="0017102A">
                    <w:rPr>
                      <w:rFonts w:ascii="Verdana" w:hAnsi="Verdana"/>
                      <w:i/>
                      <w:iCs/>
                      <w:sz w:val="18"/>
                      <w:szCs w:val="18"/>
                    </w:rPr>
                    <w:t>2028</w:t>
                  </w:r>
                </w:p>
              </w:tc>
              <w:tc>
                <w:tcPr>
                  <w:tcW w:w="1091" w:type="dxa"/>
                  <w:tcBorders>
                    <w:top w:val="single" w:color="7BA0CD" w:sz="8" w:space="0"/>
                    <w:left w:val="single" w:color="7BA0CD" w:sz="8" w:space="0"/>
                    <w:right w:val="nil"/>
                  </w:tcBorders>
                  <w:shd w:val="clear" w:color="auto" w:fill="DEEAF6" w:themeFill="accent5" w:themeFillTint="33"/>
                  <w:noWrap/>
                  <w:vAlign w:val="center"/>
                  <w:hideMark/>
                </w:tcPr>
                <w:p w:rsidRPr="0017102A" w:rsidR="001E1C57" w:rsidP="00F36A62" w:rsidRDefault="001E1C57" w14:paraId="07252652" w14:textId="77777777">
                  <w:pPr>
                    <w:spacing w:after="0" w:line="276" w:lineRule="auto"/>
                    <w:jc w:val="center"/>
                    <w:rPr>
                      <w:rFonts w:ascii="Verdana" w:hAnsi="Verdana"/>
                      <w:sz w:val="18"/>
                      <w:szCs w:val="18"/>
                    </w:rPr>
                  </w:pPr>
                  <w:proofErr w:type="spellStart"/>
                  <w:proofErr w:type="gramStart"/>
                  <w:r w:rsidRPr="0017102A">
                    <w:rPr>
                      <w:rFonts w:ascii="Verdana" w:hAnsi="Verdana"/>
                      <w:sz w:val="18"/>
                      <w:szCs w:val="18"/>
                    </w:rPr>
                    <w:t>struc</w:t>
                  </w:r>
                  <w:proofErr w:type="spellEnd"/>
                  <w:proofErr w:type="gramEnd"/>
                </w:p>
              </w:tc>
              <w:tc>
                <w:tcPr>
                  <w:tcW w:w="1092" w:type="dxa"/>
                  <w:tcBorders>
                    <w:top w:val="single" w:color="7BA0CD" w:sz="8" w:space="0"/>
                    <w:left w:val="single" w:color="7BA0CD" w:sz="8" w:space="0"/>
                    <w:right w:val="nil"/>
                  </w:tcBorders>
                  <w:shd w:val="clear" w:color="auto" w:fill="DEEAF6" w:themeFill="accent5" w:themeFillTint="33"/>
                  <w:noWrap/>
                  <w:vAlign w:val="center"/>
                  <w:hideMark/>
                </w:tcPr>
                <w:p w:rsidRPr="0017102A" w:rsidR="001E1C57" w:rsidP="00F36A62" w:rsidRDefault="001E1C57" w14:paraId="373BC7F8" w14:textId="77777777">
                  <w:pPr>
                    <w:spacing w:after="0" w:line="276" w:lineRule="auto"/>
                    <w:jc w:val="center"/>
                    <w:rPr>
                      <w:rFonts w:ascii="Verdana" w:hAnsi="Verdana"/>
                      <w:sz w:val="18"/>
                      <w:szCs w:val="18"/>
                    </w:rPr>
                  </w:pPr>
                  <w:proofErr w:type="spellStart"/>
                  <w:r w:rsidRPr="0017102A">
                    <w:rPr>
                      <w:rFonts w:ascii="Verdana" w:hAnsi="Verdana"/>
                      <w:sz w:val="18"/>
                      <w:szCs w:val="18"/>
                    </w:rPr>
                    <w:t>Struc</w:t>
                  </w:r>
                  <w:proofErr w:type="spellEnd"/>
                  <w:r w:rsidRPr="0017102A">
                    <w:rPr>
                      <w:rFonts w:ascii="Verdana" w:hAnsi="Verdana"/>
                      <w:sz w:val="18"/>
                      <w:szCs w:val="18"/>
                    </w:rPr>
                    <w:t xml:space="preserve"> in</w:t>
                  </w:r>
                </w:p>
              </w:tc>
            </w:tr>
            <w:tr w:rsidRPr="00F11423" w:rsidR="001E1C57" w:rsidTr="00F36A62" w14:paraId="54D37B16" w14:textId="77777777">
              <w:trPr>
                <w:trHeight w:val="315"/>
              </w:trPr>
              <w:tc>
                <w:tcPr>
                  <w:tcW w:w="3756" w:type="dxa"/>
                  <w:tcBorders>
                    <w:left w:val="single" w:color="7BA0CD" w:sz="8" w:space="0"/>
                    <w:bottom w:val="single" w:color="7BA0CD" w:sz="8" w:space="0"/>
                    <w:right w:val="single" w:color="auto" w:sz="4" w:space="0"/>
                  </w:tcBorders>
                  <w:shd w:val="clear" w:color="000000" w:fill="auto"/>
                  <w:vAlign w:val="center"/>
                  <w:hideMark/>
                </w:tcPr>
                <w:p w:rsidRPr="00F11423" w:rsidR="001E1C57" w:rsidP="00F36A62" w:rsidRDefault="001E1C57" w14:paraId="607A2613" w14:textId="77777777">
                  <w:pPr>
                    <w:spacing w:after="0" w:line="276" w:lineRule="auto"/>
                    <w:rPr>
                      <w:rFonts w:ascii="Verdana" w:hAnsi="Verdana"/>
                      <w:color w:val="000000"/>
                      <w:sz w:val="18"/>
                      <w:szCs w:val="18"/>
                    </w:rPr>
                  </w:pPr>
                  <w:r w:rsidRPr="00F11423">
                    <w:rPr>
                      <w:rFonts w:ascii="Verdana" w:hAnsi="Verdana"/>
                      <w:color w:val="000000"/>
                      <w:sz w:val="18"/>
                      <w:szCs w:val="18"/>
                    </w:rPr>
                    <w:t>Terugdraaien beëindigen nihil- of lager tarief motorrijtuigenbelasting voor LPG, CNG en LNG</w:t>
                  </w:r>
                </w:p>
              </w:tc>
              <w:tc>
                <w:tcPr>
                  <w:tcW w:w="1091" w:type="dxa"/>
                  <w:tcBorders>
                    <w:left w:val="single" w:color="auto" w:sz="4" w:space="0"/>
                    <w:bottom w:val="single" w:color="7BA0CD" w:sz="8" w:space="0"/>
                    <w:right w:val="single" w:color="auto" w:sz="4" w:space="0"/>
                  </w:tcBorders>
                  <w:shd w:val="clear" w:color="000000" w:fill="auto"/>
                  <w:noWrap/>
                  <w:vAlign w:val="center"/>
                  <w:hideMark/>
                </w:tcPr>
                <w:p w:rsidRPr="00F11423" w:rsidR="001E1C57" w:rsidP="00F36A62" w:rsidRDefault="001E1C57" w14:paraId="49138B02" w14:textId="77777777">
                  <w:pPr>
                    <w:spacing w:after="0" w:line="276" w:lineRule="auto"/>
                    <w:jc w:val="center"/>
                    <w:rPr>
                      <w:rFonts w:ascii="Verdana" w:hAnsi="Verdana"/>
                      <w:color w:val="000000"/>
                      <w:sz w:val="18"/>
                      <w:szCs w:val="18"/>
                    </w:rPr>
                  </w:pPr>
                  <w:r w:rsidRPr="00F11423">
                    <w:rPr>
                      <w:rFonts w:ascii="Verdana" w:hAnsi="Verdana"/>
                      <w:color w:val="000000"/>
                      <w:sz w:val="18"/>
                      <w:szCs w:val="18"/>
                    </w:rPr>
                    <w:t>-54</w:t>
                  </w:r>
                </w:p>
              </w:tc>
              <w:tc>
                <w:tcPr>
                  <w:tcW w:w="1091" w:type="dxa"/>
                  <w:tcBorders>
                    <w:left w:val="single" w:color="auto" w:sz="4" w:space="0"/>
                    <w:bottom w:val="single" w:color="7BA0CD" w:sz="8" w:space="0"/>
                    <w:right w:val="single" w:color="auto" w:sz="4" w:space="0"/>
                  </w:tcBorders>
                  <w:shd w:val="clear" w:color="000000" w:fill="auto"/>
                  <w:noWrap/>
                  <w:vAlign w:val="center"/>
                  <w:hideMark/>
                </w:tcPr>
                <w:p w:rsidRPr="00F11423" w:rsidR="001E1C57" w:rsidP="00F36A62" w:rsidRDefault="001E1C57" w14:paraId="0DC898FB" w14:textId="77777777">
                  <w:pPr>
                    <w:spacing w:after="0" w:line="276" w:lineRule="auto"/>
                    <w:jc w:val="center"/>
                    <w:rPr>
                      <w:rFonts w:ascii="Verdana" w:hAnsi="Verdana"/>
                      <w:color w:val="000000"/>
                      <w:sz w:val="18"/>
                      <w:szCs w:val="18"/>
                    </w:rPr>
                  </w:pPr>
                  <w:r w:rsidRPr="00F11423">
                    <w:rPr>
                      <w:rFonts w:ascii="Verdana" w:hAnsi="Verdana"/>
                      <w:color w:val="000000"/>
                      <w:sz w:val="18"/>
                      <w:szCs w:val="18"/>
                    </w:rPr>
                    <w:t>-51</w:t>
                  </w:r>
                </w:p>
              </w:tc>
              <w:tc>
                <w:tcPr>
                  <w:tcW w:w="1091" w:type="dxa"/>
                  <w:tcBorders>
                    <w:left w:val="single" w:color="auto" w:sz="4" w:space="0"/>
                    <w:bottom w:val="single" w:color="7BA0CD" w:sz="8" w:space="0"/>
                    <w:right w:val="single" w:color="auto" w:sz="4" w:space="0"/>
                  </w:tcBorders>
                  <w:shd w:val="clear" w:color="000000" w:fill="auto"/>
                  <w:noWrap/>
                  <w:vAlign w:val="center"/>
                  <w:hideMark/>
                </w:tcPr>
                <w:p w:rsidRPr="00F11423" w:rsidR="001E1C57" w:rsidP="00F36A62" w:rsidRDefault="001E1C57" w14:paraId="63A19313" w14:textId="77777777">
                  <w:pPr>
                    <w:spacing w:after="0" w:line="276" w:lineRule="auto"/>
                    <w:jc w:val="center"/>
                    <w:rPr>
                      <w:rFonts w:ascii="Verdana" w:hAnsi="Verdana"/>
                      <w:color w:val="000000"/>
                      <w:sz w:val="18"/>
                      <w:szCs w:val="18"/>
                    </w:rPr>
                  </w:pPr>
                  <w:r w:rsidRPr="00F11423">
                    <w:rPr>
                      <w:rFonts w:ascii="Verdana" w:hAnsi="Verdana"/>
                      <w:color w:val="000000"/>
                      <w:sz w:val="18"/>
                      <w:szCs w:val="18"/>
                    </w:rPr>
                    <w:t>-48</w:t>
                  </w:r>
                </w:p>
              </w:tc>
              <w:tc>
                <w:tcPr>
                  <w:tcW w:w="1091" w:type="dxa"/>
                  <w:tcBorders>
                    <w:left w:val="single" w:color="auto" w:sz="4" w:space="0"/>
                    <w:bottom w:val="single" w:color="7BA0CD" w:sz="8" w:space="0"/>
                    <w:right w:val="single" w:color="auto" w:sz="4" w:space="0"/>
                  </w:tcBorders>
                  <w:shd w:val="clear" w:color="000000" w:fill="auto"/>
                  <w:noWrap/>
                  <w:vAlign w:val="center"/>
                  <w:hideMark/>
                </w:tcPr>
                <w:p w:rsidRPr="00F11423" w:rsidR="001E1C57" w:rsidP="00F36A62" w:rsidRDefault="001E1C57" w14:paraId="48941B17" w14:textId="77777777">
                  <w:pPr>
                    <w:spacing w:after="0" w:line="276" w:lineRule="auto"/>
                    <w:jc w:val="center"/>
                    <w:rPr>
                      <w:rFonts w:ascii="Verdana" w:hAnsi="Verdana"/>
                      <w:color w:val="000000"/>
                      <w:sz w:val="18"/>
                      <w:szCs w:val="18"/>
                    </w:rPr>
                  </w:pPr>
                  <w:r w:rsidRPr="00F11423">
                    <w:rPr>
                      <w:rFonts w:ascii="Verdana" w:hAnsi="Verdana"/>
                      <w:color w:val="000000"/>
                      <w:sz w:val="18"/>
                      <w:szCs w:val="18"/>
                    </w:rPr>
                    <w:t>-44</w:t>
                  </w:r>
                </w:p>
              </w:tc>
              <w:tc>
                <w:tcPr>
                  <w:tcW w:w="1092" w:type="dxa"/>
                  <w:tcBorders>
                    <w:left w:val="single" w:color="auto" w:sz="4" w:space="0"/>
                    <w:bottom w:val="single" w:color="7BA0CD" w:sz="8" w:space="0"/>
                    <w:right w:val="single" w:color="7BA0CD" w:sz="8" w:space="0"/>
                  </w:tcBorders>
                  <w:shd w:val="clear" w:color="000000" w:fill="auto"/>
                  <w:noWrap/>
                  <w:vAlign w:val="center"/>
                  <w:hideMark/>
                </w:tcPr>
                <w:p w:rsidRPr="00F11423" w:rsidR="001E1C57" w:rsidP="00F36A62" w:rsidRDefault="001E1C57" w14:paraId="74E01D5D" w14:textId="77777777">
                  <w:pPr>
                    <w:spacing w:after="0" w:line="276" w:lineRule="auto"/>
                    <w:jc w:val="center"/>
                    <w:rPr>
                      <w:rFonts w:ascii="Verdana" w:hAnsi="Verdana"/>
                      <w:color w:val="000000"/>
                      <w:sz w:val="18"/>
                      <w:szCs w:val="18"/>
                    </w:rPr>
                  </w:pPr>
                  <w:r w:rsidRPr="00F11423">
                    <w:rPr>
                      <w:rFonts w:ascii="Verdana" w:hAnsi="Verdana"/>
                      <w:color w:val="000000"/>
                      <w:sz w:val="18"/>
                      <w:szCs w:val="18"/>
                    </w:rPr>
                    <w:t>2030</w:t>
                  </w:r>
                </w:p>
              </w:tc>
            </w:tr>
          </w:tbl>
          <w:p w:rsidRPr="00F11423" w:rsidR="001E1C57" w:rsidP="00F36A62" w:rsidRDefault="001E1C57" w14:paraId="5025D009" w14:textId="77777777">
            <w:pPr>
              <w:spacing w:after="0" w:line="276" w:lineRule="auto"/>
              <w:rPr>
                <w:rFonts w:ascii="Verdana" w:hAnsi="Verdana"/>
                <w:b/>
                <w:bCs/>
                <w:sz w:val="18"/>
                <w:szCs w:val="18"/>
              </w:rPr>
            </w:pPr>
          </w:p>
        </w:tc>
      </w:tr>
      <w:tr w:rsidRPr="00F11423" w:rsidR="001E1C57" w:rsidTr="00F36A62" w14:paraId="09ABBEC9"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1E1C57" w:rsidP="00F36A62" w:rsidRDefault="001E1C57" w14:paraId="13FA701D" w14:textId="77777777">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F11423">
              <w:rPr>
                <w:rFonts w:ascii="Verdana" w:hAnsi="Verdana"/>
                <w:sz w:val="18"/>
                <w:szCs w:val="18"/>
              </w:rPr>
              <w:t>Uitvoerbaar per 1 januari 2026.</w:t>
            </w:r>
          </w:p>
        </w:tc>
      </w:tr>
    </w:tbl>
    <w:p w:rsidR="001E1C57" w:rsidP="00F11423" w:rsidRDefault="001E1C57" w14:paraId="6807AEFB"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9A37E0" w:rsidTr="008D533C" w14:paraId="7258F8DB"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9A37E0" w:rsidP="00F11423" w:rsidRDefault="009A37E0" w14:paraId="6910EF4F" w14:textId="6ABF1576">
            <w:pPr>
              <w:spacing w:after="0" w:line="276" w:lineRule="auto"/>
              <w:rPr>
                <w:rFonts w:ascii="Verdana" w:hAnsi="Verdana" w:eastAsia="Calibri" w:cs="Calibri"/>
                <w:sz w:val="18"/>
                <w:szCs w:val="18"/>
              </w:rPr>
            </w:pPr>
            <w:r w:rsidRPr="00F11423">
              <w:rPr>
                <w:rFonts w:ascii="Verdana" w:hAnsi="Verdana" w:eastAsia="Calibri" w:cs="Calibri"/>
                <w:b/>
                <w:bCs/>
                <w:color w:val="000000"/>
                <w:sz w:val="18"/>
                <w:szCs w:val="18"/>
              </w:rPr>
              <w:t xml:space="preserve">Kamernummer: </w:t>
            </w:r>
            <w:r w:rsidRPr="00F11423">
              <w:rPr>
                <w:rFonts w:ascii="Verdana" w:hAnsi="Verdana" w:eastAsia="Calibri" w:cs="Calibri"/>
                <w:color w:val="000000"/>
                <w:sz w:val="18"/>
                <w:szCs w:val="18"/>
              </w:rPr>
              <w:t xml:space="preserve">36602 </w:t>
            </w:r>
            <w:r w:rsidRPr="00F11423" w:rsidR="002F2453">
              <w:rPr>
                <w:rFonts w:ascii="Verdana" w:hAnsi="Verdana" w:eastAsia="Calibri" w:cs="Calibri"/>
                <w:color w:val="000000"/>
                <w:sz w:val="18"/>
                <w:szCs w:val="18"/>
              </w:rPr>
              <w:t>067</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9A37E0" w:rsidP="00F11423" w:rsidRDefault="009A37E0" w14:paraId="49B9A76E" w14:textId="77777777">
            <w:pPr>
              <w:spacing w:after="0" w:line="276" w:lineRule="auto"/>
              <w:rPr>
                <w:rFonts w:ascii="Verdana" w:hAnsi="Verdana" w:eastAsia="Calibri" w:cs="Calibri"/>
                <w:sz w:val="18"/>
                <w:szCs w:val="18"/>
              </w:rPr>
            </w:pPr>
            <w:r w:rsidRPr="00F11423">
              <w:rPr>
                <w:rFonts w:ascii="Verdana" w:hAnsi="Verdana" w:eastAsia="Calibri" w:cs="Calibri"/>
                <w:b/>
                <w:bCs/>
                <w:color w:val="000000"/>
                <w:sz w:val="18"/>
                <w:szCs w:val="18"/>
              </w:rPr>
              <w:t xml:space="preserve">Inhoud amendement: </w:t>
            </w:r>
            <w:r w:rsidRPr="00F11423">
              <w:rPr>
                <w:rFonts w:ascii="Verdana" w:hAnsi="Verdana" w:eastAsia="Calibri" w:cs="Calibri"/>
                <w:color w:val="000000"/>
                <w:sz w:val="18"/>
                <w:szCs w:val="18"/>
              </w:rPr>
              <w:t>Verlagen tarief tweede schijf</w:t>
            </w:r>
          </w:p>
        </w:tc>
      </w:tr>
      <w:tr w:rsidRPr="00F11423" w:rsidR="009A37E0" w:rsidTr="008D533C" w14:paraId="01E8321D"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5A4FD7DA" w14:textId="77777777">
            <w:pPr>
              <w:spacing w:after="0" w:line="276" w:lineRule="auto"/>
              <w:rPr>
                <w:rFonts w:ascii="Verdana" w:hAnsi="Verdana" w:eastAsia="Calibri" w:cs="Calibri"/>
                <w:b/>
                <w:bCs/>
                <w:sz w:val="18"/>
                <w:szCs w:val="18"/>
              </w:rPr>
            </w:pPr>
            <w:r w:rsidRPr="00F11423">
              <w:rPr>
                <w:rFonts w:ascii="Verdana" w:hAnsi="Verdana" w:eastAsia="Calibri" w:cs="Calibri"/>
                <w:b/>
                <w:bCs/>
                <w:sz w:val="18"/>
                <w:szCs w:val="18"/>
              </w:rPr>
              <w:t xml:space="preserve">Indiener: </w:t>
            </w:r>
            <w:proofErr w:type="spellStart"/>
            <w:r w:rsidRPr="00F11423">
              <w:rPr>
                <w:rFonts w:ascii="Verdana" w:hAnsi="Verdana" w:eastAsia="Calibri" w:cs="Calibri"/>
                <w:sz w:val="18"/>
                <w:szCs w:val="18"/>
              </w:rPr>
              <w:t>Grinwis</w:t>
            </w:r>
            <w:proofErr w:type="spellEnd"/>
            <w:r w:rsidRPr="00F11423">
              <w:rPr>
                <w:rFonts w:ascii="Verdana" w:hAnsi="Verdana" w:eastAsia="Calibri" w:cs="Calibri"/>
                <w:sz w:val="18"/>
                <w:szCs w:val="18"/>
              </w:rPr>
              <w:t xml:space="preserve"> (ChristenUnie)</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4418AE6C" w14:textId="77777777">
            <w:pPr>
              <w:spacing w:after="0" w:line="276" w:lineRule="auto"/>
              <w:rPr>
                <w:rFonts w:ascii="Verdana" w:hAnsi="Verdana" w:eastAsia="Calibri" w:cs="Calibri"/>
                <w:sz w:val="18"/>
                <w:szCs w:val="18"/>
              </w:rPr>
            </w:pPr>
            <w:r w:rsidRPr="00F11423">
              <w:rPr>
                <w:rFonts w:ascii="Verdana" w:hAnsi="Verdana" w:eastAsia="Calibri" w:cs="Calibri"/>
                <w:b/>
                <w:bCs/>
                <w:sz w:val="18"/>
                <w:szCs w:val="18"/>
              </w:rPr>
              <w:t xml:space="preserve">Appreciatie: </w:t>
            </w:r>
            <w:r w:rsidRPr="00F11423">
              <w:rPr>
                <w:rFonts w:ascii="Verdana" w:hAnsi="Verdana" w:eastAsia="Calibri" w:cs="Calibri"/>
                <w:sz w:val="18"/>
                <w:szCs w:val="18"/>
              </w:rPr>
              <w:t>Ontraden</w:t>
            </w:r>
          </w:p>
        </w:tc>
      </w:tr>
      <w:tr w:rsidRPr="00F11423" w:rsidR="009A37E0" w:rsidTr="008D533C" w14:paraId="5CF15FAB"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43D743F3" w14:textId="77777777">
            <w:pPr>
              <w:spacing w:after="0" w:line="276" w:lineRule="auto"/>
              <w:rPr>
                <w:rFonts w:ascii="Verdana" w:hAnsi="Verdana" w:eastAsia="Calibri" w:cs="Calibri"/>
                <w:sz w:val="18"/>
                <w:szCs w:val="18"/>
              </w:rPr>
            </w:pPr>
            <w:r w:rsidRPr="00F11423">
              <w:rPr>
                <w:rFonts w:ascii="Verdana" w:hAnsi="Verdana" w:eastAsia="Calibri" w:cs="Calibri"/>
                <w:b/>
                <w:bCs/>
                <w:sz w:val="18"/>
                <w:szCs w:val="18"/>
              </w:rPr>
              <w:t xml:space="preserve">Gevolgen: </w:t>
            </w:r>
            <w:r w:rsidRPr="00F11423">
              <w:rPr>
                <w:rFonts w:ascii="Verdana" w:hAnsi="Verdana" w:eastAsia="Calibri" w:cs="Calibri"/>
                <w:sz w:val="18"/>
                <w:szCs w:val="18"/>
              </w:rPr>
              <w:t>Het tarief in de tweede schijf wordt verlaagd en gelijkgesteld aan het tarief in de eerste schijf. De wijziging wordt gedekt door het verlagen van het aanvangspunt van het toptarief in 2025 en het verlagen van de arbeidskorting.</w:t>
            </w:r>
          </w:p>
          <w:p w:rsidRPr="00F11423" w:rsidR="009A37E0" w:rsidP="00F11423" w:rsidRDefault="009A37E0" w14:paraId="34568AB6" w14:textId="77777777">
            <w:pPr>
              <w:spacing w:after="0" w:line="276" w:lineRule="auto"/>
              <w:rPr>
                <w:rFonts w:ascii="Verdana" w:hAnsi="Verdana"/>
                <w:sz w:val="18"/>
                <w:szCs w:val="18"/>
              </w:rPr>
            </w:pPr>
            <w:r w:rsidRPr="00F11423">
              <w:rPr>
                <w:rFonts w:ascii="Verdana" w:hAnsi="Verdana" w:eastAsia="Calibri" w:cs="Calibri"/>
                <w:sz w:val="18"/>
                <w:szCs w:val="18"/>
              </w:rPr>
              <w:t>Het opgestelde amendement bereikt niet volledig het gestelde doel.</w:t>
            </w:r>
          </w:p>
          <w:p w:rsidRPr="00F11423" w:rsidR="009A37E0" w:rsidP="00F11423" w:rsidRDefault="009A37E0" w14:paraId="771432E5" w14:textId="77777777">
            <w:pPr>
              <w:spacing w:after="0" w:line="276" w:lineRule="auto"/>
              <w:rPr>
                <w:rFonts w:ascii="Verdana" w:hAnsi="Verdana"/>
                <w:sz w:val="18"/>
                <w:szCs w:val="18"/>
              </w:rPr>
            </w:pPr>
          </w:p>
        </w:tc>
      </w:tr>
    </w:tbl>
    <w:p w:rsidR="00E35960" w:rsidP="00F11423" w:rsidRDefault="00E35960" w14:paraId="33584D96" w14:textId="77777777">
      <w:pPr>
        <w:spacing w:after="0" w:line="276" w:lineRule="auto"/>
        <w:rPr>
          <w:rFonts w:ascii="Verdana" w:hAnsi="Verdana"/>
          <w:b/>
          <w:bCs/>
          <w:sz w:val="18"/>
          <w:szCs w:val="18"/>
        </w:rPr>
      </w:pPr>
    </w:p>
    <w:tbl>
      <w:tblPr>
        <w:tblW w:w="9629" w:type="dxa"/>
        <w:tblCellMar>
          <w:left w:w="0" w:type="dxa"/>
          <w:right w:w="0" w:type="dxa"/>
        </w:tblCellMar>
        <w:tblLook w:val="04A0" w:firstRow="1" w:lastRow="0" w:firstColumn="1" w:lastColumn="0" w:noHBand="0" w:noVBand="1"/>
      </w:tblPr>
      <w:tblGrid>
        <w:gridCol w:w="3795"/>
        <w:gridCol w:w="5834"/>
      </w:tblGrid>
      <w:tr w:rsidRPr="00F11423" w:rsidR="00EE5A45" w:rsidTr="00724485" w14:paraId="3F5D5174" w14:textId="77777777">
        <w:tc>
          <w:tcPr>
            <w:tcW w:w="3795"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EE5A45" w:rsidP="00724485" w:rsidRDefault="00EE5A45" w14:paraId="18D6F434" w14:textId="77777777">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36602 0</w:t>
            </w:r>
            <w:r>
              <w:rPr>
                <w:rFonts w:ascii="Verdana" w:hAnsi="Verdana"/>
                <w:color w:val="000000"/>
                <w:sz w:val="18"/>
                <w:szCs w:val="18"/>
              </w:rPr>
              <w:t>68</w:t>
            </w:r>
          </w:p>
        </w:tc>
        <w:tc>
          <w:tcPr>
            <w:tcW w:w="5834"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EE5A45" w:rsidP="00724485" w:rsidRDefault="00EE5A45" w14:paraId="09633E65"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proofErr w:type="gramStart"/>
            <w:r w:rsidRPr="00F11423">
              <w:rPr>
                <w:rFonts w:ascii="Verdana" w:hAnsi="Verdana"/>
                <w:color w:val="000000"/>
                <w:sz w:val="18"/>
                <w:szCs w:val="18"/>
              </w:rPr>
              <w:t>WBSO budget</w:t>
            </w:r>
            <w:proofErr w:type="gramEnd"/>
            <w:r w:rsidRPr="00F11423">
              <w:rPr>
                <w:rFonts w:ascii="Verdana" w:hAnsi="Verdana"/>
                <w:color w:val="000000"/>
                <w:sz w:val="18"/>
                <w:szCs w:val="18"/>
              </w:rPr>
              <w:t xml:space="preserve"> structureel verhogen met € 100 miljoen met name voor starters en kleine gebruikers. Dekking door </w:t>
            </w:r>
            <w:r>
              <w:rPr>
                <w:rFonts w:ascii="Verdana" w:hAnsi="Verdana"/>
                <w:color w:val="000000"/>
                <w:sz w:val="18"/>
                <w:szCs w:val="18"/>
              </w:rPr>
              <w:t xml:space="preserve">verhoging </w:t>
            </w:r>
            <w:proofErr w:type="spellStart"/>
            <w:r>
              <w:rPr>
                <w:rFonts w:ascii="Verdana" w:hAnsi="Verdana"/>
                <w:color w:val="000000"/>
                <w:sz w:val="18"/>
                <w:szCs w:val="18"/>
              </w:rPr>
              <w:t>aof</w:t>
            </w:r>
            <w:proofErr w:type="spellEnd"/>
            <w:r>
              <w:rPr>
                <w:rFonts w:ascii="Verdana" w:hAnsi="Verdana"/>
                <w:color w:val="000000"/>
                <w:sz w:val="18"/>
                <w:szCs w:val="18"/>
              </w:rPr>
              <w:t xml:space="preserve"> premie</w:t>
            </w:r>
          </w:p>
        </w:tc>
      </w:tr>
      <w:tr w:rsidRPr="00F11423" w:rsidR="00EE5A45" w:rsidTr="00724485" w14:paraId="26D1D399" w14:textId="77777777">
        <w:tc>
          <w:tcPr>
            <w:tcW w:w="379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E5A45" w:rsidP="00724485" w:rsidRDefault="00EE5A45" w14:paraId="7A0AA1C9"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color w:val="000000"/>
                <w:sz w:val="18"/>
                <w:szCs w:val="18"/>
              </w:rPr>
              <w:t>Inge van Dijk</w:t>
            </w:r>
            <w:r w:rsidRPr="00F11423">
              <w:rPr>
                <w:rFonts w:ascii="Verdana" w:hAnsi="Verdana"/>
                <w:sz w:val="18"/>
                <w:szCs w:val="18"/>
              </w:rPr>
              <w:t xml:space="preserve"> (</w:t>
            </w:r>
            <w:r w:rsidRPr="00F11423">
              <w:rPr>
                <w:rFonts w:ascii="Verdana" w:hAnsi="Verdana"/>
                <w:color w:val="000000"/>
                <w:sz w:val="18"/>
                <w:szCs w:val="18"/>
              </w:rPr>
              <w:t>CDA</w:t>
            </w:r>
            <w:r w:rsidRPr="00F11423">
              <w:rPr>
                <w:rFonts w:ascii="Verdana" w:hAnsi="Verdana"/>
                <w:sz w:val="18"/>
                <w:szCs w:val="18"/>
              </w:rPr>
              <w:t>)</w:t>
            </w:r>
          </w:p>
        </w:tc>
        <w:tc>
          <w:tcPr>
            <w:tcW w:w="5834"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EE5A45" w:rsidP="00724485" w:rsidRDefault="00EE5A45" w14:paraId="04ED8346"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color w:val="000000"/>
                <w:sz w:val="18"/>
                <w:szCs w:val="18"/>
              </w:rPr>
              <w:t>O</w:t>
            </w:r>
            <w:r>
              <w:rPr>
                <w:rFonts w:ascii="Verdana" w:hAnsi="Verdana"/>
                <w:color w:val="000000"/>
                <w:sz w:val="18"/>
                <w:szCs w:val="18"/>
              </w:rPr>
              <w:t>ordeel Kamer</w:t>
            </w:r>
          </w:p>
        </w:tc>
      </w:tr>
      <w:tr w:rsidRPr="00F11423" w:rsidR="00EE5A45" w:rsidTr="00724485" w14:paraId="122150FA"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E5A45" w:rsidP="00724485" w:rsidRDefault="00EE5A45" w14:paraId="5AAF4CC7" w14:textId="2FF1E88A">
            <w:pPr>
              <w:spacing w:after="0" w:line="276" w:lineRule="auto"/>
              <w:rPr>
                <w:rFonts w:ascii="Verdana" w:hAnsi="Verdana"/>
                <w:b/>
                <w:bCs/>
                <w:sz w:val="18"/>
                <w:szCs w:val="18"/>
              </w:rPr>
            </w:pPr>
            <w:r w:rsidRPr="00F11423">
              <w:rPr>
                <w:rFonts w:ascii="Verdana" w:hAnsi="Verdana"/>
                <w:b/>
                <w:bCs/>
                <w:sz w:val="18"/>
                <w:szCs w:val="18"/>
              </w:rPr>
              <w:t xml:space="preserve">Gevolgen: </w:t>
            </w:r>
            <w:r w:rsidRPr="00D50E85" w:rsidR="00D50E85">
              <w:rPr>
                <w:rFonts w:ascii="Verdana" w:hAnsi="Verdana"/>
                <w:sz w:val="18"/>
                <w:szCs w:val="18"/>
              </w:rPr>
              <w:t>Er loopt op dit moment een evaluatie van de WBSO. Dit amendement loopt daarop vooruit.</w:t>
            </w:r>
          </w:p>
        </w:tc>
      </w:tr>
      <w:tr w:rsidRPr="00F11423" w:rsidR="00EE5A45" w:rsidTr="00724485" w14:paraId="15374501"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EE5A45" w:rsidP="00724485" w:rsidRDefault="00EE5A45" w14:paraId="232C42C4" w14:textId="77777777">
            <w:pPr>
              <w:spacing w:after="0" w:line="276" w:lineRule="auto"/>
              <w:rPr>
                <w:rFonts w:ascii="Verdana" w:hAnsi="Verdana"/>
                <w:sz w:val="18"/>
                <w:szCs w:val="18"/>
              </w:rPr>
            </w:pPr>
            <w:r w:rsidRPr="00F11423">
              <w:rPr>
                <w:rFonts w:ascii="Verdana" w:hAnsi="Verdana"/>
                <w:b/>
                <w:bCs/>
                <w:sz w:val="18"/>
                <w:szCs w:val="18"/>
              </w:rPr>
              <w:t>Budgettaire aspecten:</w:t>
            </w:r>
          </w:p>
          <w:p w:rsidRPr="00F11423" w:rsidR="00EE5A45" w:rsidP="00724485" w:rsidRDefault="00EE5A45" w14:paraId="740A18AA" w14:textId="77777777">
            <w:pPr>
              <w:spacing w:after="0" w:line="276" w:lineRule="auto"/>
              <w:rPr>
                <w:rFonts w:ascii="Verdana" w:hAnsi="Verdana"/>
                <w:sz w:val="18"/>
                <w:szCs w:val="18"/>
              </w:rPr>
            </w:pPr>
          </w:p>
          <w:tbl>
            <w:tblPr>
              <w:tblW w:w="9125" w:type="dxa"/>
              <w:tblCellMar>
                <w:left w:w="0" w:type="dxa"/>
                <w:right w:w="0" w:type="dxa"/>
              </w:tblCellMar>
              <w:tblLook w:val="04A0" w:firstRow="1" w:lastRow="0" w:firstColumn="1" w:lastColumn="0" w:noHBand="0" w:noVBand="1"/>
            </w:tblPr>
            <w:tblGrid>
              <w:gridCol w:w="4248"/>
              <w:gridCol w:w="975"/>
              <w:gridCol w:w="975"/>
              <w:gridCol w:w="976"/>
              <w:gridCol w:w="975"/>
              <w:gridCol w:w="976"/>
            </w:tblGrid>
            <w:tr w:rsidRPr="00F11423" w:rsidR="00EE5A45" w:rsidTr="0017102A" w14:paraId="28458331" w14:textId="77777777">
              <w:tc>
                <w:tcPr>
                  <w:tcW w:w="4248" w:type="dxa"/>
                  <w:tcBorders>
                    <w:top w:val="single" w:color="BDD6EE" w:sz="8" w:space="0"/>
                    <w:left w:val="single" w:color="BDD6EE" w:sz="8" w:space="0"/>
                    <w:bottom w:val="single" w:color="9CC2E5" w:sz="12" w:space="0"/>
                    <w:right w:val="single" w:color="BDD6EE" w:sz="8" w:space="0"/>
                  </w:tcBorders>
                  <w:shd w:val="clear" w:color="auto" w:fill="DEEAF6" w:themeFill="accent5" w:themeFillTint="33"/>
                  <w:tcMar>
                    <w:top w:w="0" w:type="dxa"/>
                    <w:left w:w="108" w:type="dxa"/>
                    <w:bottom w:w="0" w:type="dxa"/>
                    <w:right w:w="108" w:type="dxa"/>
                  </w:tcMar>
                  <w:hideMark/>
                </w:tcPr>
                <w:p w:rsidRPr="0017102A" w:rsidR="00EE5A45" w:rsidP="00724485" w:rsidRDefault="00EE5A45" w14:paraId="42612C31" w14:textId="77777777">
                  <w:pPr>
                    <w:spacing w:after="0" w:line="276" w:lineRule="auto"/>
                    <w:rPr>
                      <w:rFonts w:ascii="Verdana" w:hAnsi="Verdana" w:cs="Arial"/>
                      <w:sz w:val="18"/>
                      <w:szCs w:val="18"/>
                      <w:lang w:eastAsia="nl-NL"/>
                    </w:rPr>
                  </w:pPr>
                  <w:r w:rsidRPr="0017102A">
                    <w:rPr>
                      <w:rFonts w:ascii="Verdana" w:hAnsi="Verdana" w:cs="Arial"/>
                      <w:sz w:val="18"/>
                      <w:szCs w:val="18"/>
                      <w:lang w:eastAsia="nl-NL"/>
                    </w:rPr>
                    <w:t>Omvang in mln. €</w:t>
                  </w:r>
                </w:p>
              </w:tc>
              <w:tc>
                <w:tcPr>
                  <w:tcW w:w="975" w:type="dxa"/>
                  <w:tcBorders>
                    <w:top w:val="single" w:color="BDD6EE" w:sz="8" w:space="0"/>
                    <w:left w:val="nil"/>
                    <w:bottom w:val="single" w:color="9CC2E5" w:sz="12" w:space="0"/>
                    <w:right w:val="single" w:color="BDD6EE" w:sz="8" w:space="0"/>
                  </w:tcBorders>
                  <w:shd w:val="clear" w:color="auto" w:fill="DEEAF6" w:themeFill="accent5" w:themeFillTint="33"/>
                  <w:tcMar>
                    <w:top w:w="0" w:type="dxa"/>
                    <w:left w:w="108" w:type="dxa"/>
                    <w:bottom w:w="0" w:type="dxa"/>
                    <w:right w:w="108" w:type="dxa"/>
                  </w:tcMar>
                  <w:hideMark/>
                </w:tcPr>
                <w:p w:rsidRPr="0017102A" w:rsidR="00EE5A45" w:rsidP="00724485" w:rsidRDefault="00EE5A45" w14:paraId="24E92626" w14:textId="77777777">
                  <w:pPr>
                    <w:spacing w:after="0" w:line="276" w:lineRule="auto"/>
                    <w:rPr>
                      <w:rFonts w:ascii="Verdana" w:hAnsi="Verdana" w:cs="Calibri"/>
                      <w:i/>
                      <w:iCs/>
                      <w:sz w:val="18"/>
                      <w:szCs w:val="18"/>
                      <w14:ligatures w14:val="standardContextual"/>
                    </w:rPr>
                  </w:pPr>
                  <w:r w:rsidRPr="0017102A">
                    <w:rPr>
                      <w:rFonts w:ascii="Verdana" w:hAnsi="Verdana"/>
                      <w:i/>
                      <w:iCs/>
                      <w:sz w:val="18"/>
                      <w:szCs w:val="18"/>
                    </w:rPr>
                    <w:t>2025</w:t>
                  </w:r>
                </w:p>
              </w:tc>
              <w:tc>
                <w:tcPr>
                  <w:tcW w:w="975" w:type="dxa"/>
                  <w:tcBorders>
                    <w:top w:val="single" w:color="BDD6EE" w:sz="8" w:space="0"/>
                    <w:left w:val="nil"/>
                    <w:bottom w:val="single" w:color="9CC2E5" w:sz="12" w:space="0"/>
                    <w:right w:val="single" w:color="BDD6EE" w:sz="8" w:space="0"/>
                  </w:tcBorders>
                  <w:shd w:val="clear" w:color="auto" w:fill="DEEAF6" w:themeFill="accent5" w:themeFillTint="33"/>
                  <w:tcMar>
                    <w:top w:w="0" w:type="dxa"/>
                    <w:left w:w="108" w:type="dxa"/>
                    <w:bottom w:w="0" w:type="dxa"/>
                    <w:right w:w="108" w:type="dxa"/>
                  </w:tcMar>
                  <w:hideMark/>
                </w:tcPr>
                <w:p w:rsidRPr="0017102A" w:rsidR="00EE5A45" w:rsidP="00724485" w:rsidRDefault="00EE5A45" w14:paraId="1F694B2F" w14:textId="77777777">
                  <w:pPr>
                    <w:spacing w:after="0" w:line="276" w:lineRule="auto"/>
                    <w:rPr>
                      <w:rFonts w:ascii="Verdana" w:hAnsi="Verdana"/>
                      <w:i/>
                      <w:iCs/>
                      <w:sz w:val="18"/>
                      <w:szCs w:val="18"/>
                    </w:rPr>
                  </w:pPr>
                  <w:r w:rsidRPr="0017102A">
                    <w:rPr>
                      <w:rFonts w:ascii="Verdana" w:hAnsi="Verdana"/>
                      <w:i/>
                      <w:iCs/>
                      <w:sz w:val="18"/>
                      <w:szCs w:val="18"/>
                    </w:rPr>
                    <w:t>2026</w:t>
                  </w:r>
                </w:p>
              </w:tc>
              <w:tc>
                <w:tcPr>
                  <w:tcW w:w="976" w:type="dxa"/>
                  <w:tcBorders>
                    <w:top w:val="single" w:color="BDD6EE" w:sz="8" w:space="0"/>
                    <w:left w:val="nil"/>
                    <w:bottom w:val="single" w:color="9CC2E5" w:sz="12" w:space="0"/>
                    <w:right w:val="single" w:color="BDD6EE" w:sz="8" w:space="0"/>
                  </w:tcBorders>
                  <w:shd w:val="clear" w:color="auto" w:fill="DEEAF6" w:themeFill="accent5" w:themeFillTint="33"/>
                  <w:tcMar>
                    <w:top w:w="0" w:type="dxa"/>
                    <w:left w:w="108" w:type="dxa"/>
                    <w:bottom w:w="0" w:type="dxa"/>
                    <w:right w:w="108" w:type="dxa"/>
                  </w:tcMar>
                  <w:hideMark/>
                </w:tcPr>
                <w:p w:rsidRPr="0017102A" w:rsidR="00EE5A45" w:rsidP="00724485" w:rsidRDefault="00EE5A45" w14:paraId="25761993" w14:textId="77777777">
                  <w:pPr>
                    <w:spacing w:after="0" w:line="276" w:lineRule="auto"/>
                    <w:rPr>
                      <w:rFonts w:ascii="Verdana" w:hAnsi="Verdana"/>
                      <w:i/>
                      <w:iCs/>
                      <w:sz w:val="18"/>
                      <w:szCs w:val="18"/>
                    </w:rPr>
                  </w:pPr>
                  <w:r w:rsidRPr="0017102A">
                    <w:rPr>
                      <w:rFonts w:ascii="Verdana" w:hAnsi="Verdana"/>
                      <w:i/>
                      <w:iCs/>
                      <w:sz w:val="18"/>
                      <w:szCs w:val="18"/>
                    </w:rPr>
                    <w:t>2027</w:t>
                  </w:r>
                </w:p>
              </w:tc>
              <w:tc>
                <w:tcPr>
                  <w:tcW w:w="975" w:type="dxa"/>
                  <w:tcBorders>
                    <w:top w:val="single" w:color="BDD6EE" w:sz="8" w:space="0"/>
                    <w:left w:val="nil"/>
                    <w:bottom w:val="single" w:color="9CC2E5" w:sz="12" w:space="0"/>
                    <w:right w:val="single" w:color="BDD6EE" w:sz="8" w:space="0"/>
                  </w:tcBorders>
                  <w:shd w:val="clear" w:color="auto" w:fill="DEEAF6" w:themeFill="accent5" w:themeFillTint="33"/>
                  <w:tcMar>
                    <w:top w:w="0" w:type="dxa"/>
                    <w:left w:w="108" w:type="dxa"/>
                    <w:bottom w:w="0" w:type="dxa"/>
                    <w:right w:w="108" w:type="dxa"/>
                  </w:tcMar>
                  <w:hideMark/>
                </w:tcPr>
                <w:p w:rsidRPr="0017102A" w:rsidR="00EE5A45" w:rsidP="00724485" w:rsidRDefault="00EE5A45" w14:paraId="3EBFEB87" w14:textId="77777777">
                  <w:pPr>
                    <w:spacing w:after="0" w:line="276" w:lineRule="auto"/>
                    <w:rPr>
                      <w:rFonts w:ascii="Verdana" w:hAnsi="Verdana"/>
                      <w:i/>
                      <w:iCs/>
                      <w:sz w:val="18"/>
                      <w:szCs w:val="18"/>
                    </w:rPr>
                  </w:pPr>
                  <w:r w:rsidRPr="0017102A">
                    <w:rPr>
                      <w:rFonts w:ascii="Verdana" w:hAnsi="Verdana"/>
                      <w:i/>
                      <w:iCs/>
                      <w:sz w:val="18"/>
                      <w:szCs w:val="18"/>
                    </w:rPr>
                    <w:t>2028</w:t>
                  </w:r>
                </w:p>
              </w:tc>
              <w:tc>
                <w:tcPr>
                  <w:tcW w:w="976" w:type="dxa"/>
                  <w:tcBorders>
                    <w:top w:val="single" w:color="BDD6EE" w:sz="8" w:space="0"/>
                    <w:left w:val="nil"/>
                    <w:bottom w:val="single" w:color="9CC2E5" w:sz="12" w:space="0"/>
                    <w:right w:val="single" w:color="BDD6EE" w:sz="8" w:space="0"/>
                  </w:tcBorders>
                  <w:shd w:val="clear" w:color="auto" w:fill="DEEAF6" w:themeFill="accent5" w:themeFillTint="33"/>
                  <w:tcMar>
                    <w:top w:w="0" w:type="dxa"/>
                    <w:left w:w="108" w:type="dxa"/>
                    <w:bottom w:w="0" w:type="dxa"/>
                    <w:right w:w="108" w:type="dxa"/>
                  </w:tcMar>
                  <w:hideMark/>
                </w:tcPr>
                <w:p w:rsidRPr="0017102A" w:rsidR="00EE5A45" w:rsidP="00724485" w:rsidRDefault="00EE5A45" w14:paraId="63BB6CB0" w14:textId="77777777">
                  <w:pPr>
                    <w:spacing w:after="0" w:line="276" w:lineRule="auto"/>
                    <w:rPr>
                      <w:rFonts w:ascii="Verdana" w:hAnsi="Verdana"/>
                      <w:sz w:val="18"/>
                      <w:szCs w:val="18"/>
                    </w:rPr>
                  </w:pPr>
                  <w:proofErr w:type="spellStart"/>
                  <w:proofErr w:type="gramStart"/>
                  <w:r w:rsidRPr="0017102A">
                    <w:rPr>
                      <w:rFonts w:ascii="Verdana" w:hAnsi="Verdana"/>
                      <w:sz w:val="18"/>
                      <w:szCs w:val="18"/>
                    </w:rPr>
                    <w:t>struc</w:t>
                  </w:r>
                  <w:proofErr w:type="spellEnd"/>
                  <w:proofErr w:type="gramEnd"/>
                </w:p>
              </w:tc>
            </w:tr>
            <w:tr w:rsidRPr="00F11423" w:rsidR="00EE5A45" w:rsidTr="00724485" w14:paraId="557128F7" w14:textId="77777777">
              <w:tc>
                <w:tcPr>
                  <w:tcW w:w="4248"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0DC6ADD2" w14:textId="77777777">
                  <w:pPr>
                    <w:spacing w:after="0" w:line="276" w:lineRule="auto"/>
                    <w:rPr>
                      <w:rFonts w:ascii="Verdana" w:hAnsi="Verdana"/>
                      <w:sz w:val="18"/>
                      <w:szCs w:val="18"/>
                    </w:rPr>
                  </w:pPr>
                  <w:r w:rsidRPr="00F11423">
                    <w:rPr>
                      <w:rFonts w:ascii="Verdana" w:hAnsi="Verdana"/>
                      <w:sz w:val="18"/>
                      <w:szCs w:val="18"/>
                    </w:rPr>
                    <w:t>Verhogingen S&amp;O-afdrachtvermindering</w:t>
                  </w:r>
                </w:p>
              </w:tc>
              <w:tc>
                <w:tcPr>
                  <w:tcW w:w="975" w:type="dxa"/>
                  <w:tcBorders>
                    <w:top w:val="nil"/>
                    <w:left w:val="nil"/>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1A06FB8D" w14:textId="77777777">
                  <w:pPr>
                    <w:spacing w:after="0" w:line="276" w:lineRule="auto"/>
                    <w:rPr>
                      <w:rFonts w:ascii="Verdana" w:hAnsi="Verdana"/>
                      <w:sz w:val="18"/>
                      <w:szCs w:val="18"/>
                    </w:rPr>
                  </w:pPr>
                  <w:r w:rsidRPr="00F11423">
                    <w:rPr>
                      <w:rFonts w:ascii="Verdana" w:hAnsi="Verdana"/>
                      <w:sz w:val="18"/>
                      <w:szCs w:val="18"/>
                    </w:rPr>
                    <w:t>-100</w:t>
                  </w:r>
                </w:p>
              </w:tc>
              <w:tc>
                <w:tcPr>
                  <w:tcW w:w="975" w:type="dxa"/>
                  <w:tcBorders>
                    <w:top w:val="nil"/>
                    <w:left w:val="nil"/>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18ED14C9" w14:textId="77777777">
                  <w:pPr>
                    <w:spacing w:after="0" w:line="276" w:lineRule="auto"/>
                    <w:rPr>
                      <w:rFonts w:ascii="Verdana" w:hAnsi="Verdana"/>
                      <w:sz w:val="18"/>
                      <w:szCs w:val="18"/>
                    </w:rPr>
                  </w:pPr>
                  <w:r w:rsidRPr="00F11423">
                    <w:rPr>
                      <w:rFonts w:ascii="Verdana" w:hAnsi="Verdana"/>
                      <w:sz w:val="18"/>
                      <w:szCs w:val="18"/>
                    </w:rPr>
                    <w:t>-100</w:t>
                  </w:r>
                </w:p>
              </w:tc>
              <w:tc>
                <w:tcPr>
                  <w:tcW w:w="976" w:type="dxa"/>
                  <w:tcBorders>
                    <w:top w:val="nil"/>
                    <w:left w:val="nil"/>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5A431E36" w14:textId="77777777">
                  <w:pPr>
                    <w:spacing w:after="0" w:line="276" w:lineRule="auto"/>
                    <w:rPr>
                      <w:rFonts w:ascii="Verdana" w:hAnsi="Verdana"/>
                      <w:sz w:val="18"/>
                      <w:szCs w:val="18"/>
                    </w:rPr>
                  </w:pPr>
                  <w:r w:rsidRPr="00F11423">
                    <w:rPr>
                      <w:rFonts w:ascii="Verdana" w:hAnsi="Verdana"/>
                      <w:sz w:val="18"/>
                      <w:szCs w:val="18"/>
                    </w:rPr>
                    <w:t>-100</w:t>
                  </w:r>
                </w:p>
              </w:tc>
              <w:tc>
                <w:tcPr>
                  <w:tcW w:w="975" w:type="dxa"/>
                  <w:tcBorders>
                    <w:top w:val="nil"/>
                    <w:left w:val="nil"/>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5BEAEA7D" w14:textId="77777777">
                  <w:pPr>
                    <w:spacing w:after="0" w:line="276" w:lineRule="auto"/>
                    <w:rPr>
                      <w:rFonts w:ascii="Verdana" w:hAnsi="Verdana"/>
                      <w:sz w:val="18"/>
                      <w:szCs w:val="18"/>
                    </w:rPr>
                  </w:pPr>
                  <w:r w:rsidRPr="00F11423">
                    <w:rPr>
                      <w:rFonts w:ascii="Verdana" w:hAnsi="Verdana"/>
                      <w:sz w:val="18"/>
                      <w:szCs w:val="18"/>
                    </w:rPr>
                    <w:t>-100</w:t>
                  </w:r>
                </w:p>
              </w:tc>
              <w:tc>
                <w:tcPr>
                  <w:tcW w:w="976" w:type="dxa"/>
                  <w:tcBorders>
                    <w:top w:val="nil"/>
                    <w:left w:val="nil"/>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5E329453" w14:textId="77777777">
                  <w:pPr>
                    <w:spacing w:after="0" w:line="276" w:lineRule="auto"/>
                    <w:rPr>
                      <w:rFonts w:ascii="Verdana" w:hAnsi="Verdana"/>
                      <w:sz w:val="18"/>
                      <w:szCs w:val="18"/>
                    </w:rPr>
                  </w:pPr>
                  <w:r w:rsidRPr="00F11423">
                    <w:rPr>
                      <w:rFonts w:ascii="Verdana" w:hAnsi="Verdana"/>
                      <w:sz w:val="18"/>
                      <w:szCs w:val="18"/>
                    </w:rPr>
                    <w:t>-100</w:t>
                  </w:r>
                </w:p>
              </w:tc>
            </w:tr>
            <w:tr w:rsidRPr="00F11423" w:rsidR="00EE5A45" w:rsidTr="00724485" w14:paraId="0133B8EF" w14:textId="77777777">
              <w:tc>
                <w:tcPr>
                  <w:tcW w:w="4248"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713D6C63" w14:textId="3526D44B">
                  <w:pPr>
                    <w:spacing w:after="0" w:line="276" w:lineRule="auto"/>
                    <w:rPr>
                      <w:rFonts w:ascii="Verdana" w:hAnsi="Verdana"/>
                      <w:sz w:val="18"/>
                      <w:szCs w:val="18"/>
                    </w:rPr>
                  </w:pPr>
                  <w:r>
                    <w:rPr>
                      <w:rFonts w:ascii="Verdana" w:hAnsi="Verdana"/>
                      <w:sz w:val="18"/>
                      <w:szCs w:val="18"/>
                    </w:rPr>
                    <w:t xml:space="preserve">Verhoging </w:t>
                  </w:r>
                  <w:proofErr w:type="spellStart"/>
                  <w:r>
                    <w:rPr>
                      <w:rFonts w:ascii="Verdana" w:hAnsi="Verdana"/>
                      <w:sz w:val="18"/>
                      <w:szCs w:val="18"/>
                    </w:rPr>
                    <w:t>Aof</w:t>
                  </w:r>
                  <w:proofErr w:type="spellEnd"/>
                  <w:r>
                    <w:rPr>
                      <w:rFonts w:ascii="Verdana" w:hAnsi="Verdana"/>
                      <w:sz w:val="18"/>
                      <w:szCs w:val="18"/>
                    </w:rPr>
                    <w:t xml:space="preserve"> premie</w:t>
                  </w:r>
                  <w:r w:rsidRPr="00F11423">
                    <w:rPr>
                      <w:rFonts w:ascii="Verdana" w:hAnsi="Verdana"/>
                      <w:sz w:val="18"/>
                      <w:szCs w:val="18"/>
                    </w:rPr>
                    <w:t xml:space="preserve"> </w:t>
                  </w:r>
                  <w:r w:rsidR="003C246F">
                    <w:rPr>
                      <w:rFonts w:ascii="Verdana" w:hAnsi="Verdana"/>
                      <w:sz w:val="18"/>
                      <w:szCs w:val="18"/>
                    </w:rPr>
                    <w:t>met 0,04%</w:t>
                  </w:r>
                </w:p>
              </w:tc>
              <w:tc>
                <w:tcPr>
                  <w:tcW w:w="975" w:type="dxa"/>
                  <w:tcBorders>
                    <w:top w:val="nil"/>
                    <w:left w:val="nil"/>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5C73F7F1" w14:textId="77777777">
                  <w:pPr>
                    <w:spacing w:after="0" w:line="276" w:lineRule="auto"/>
                    <w:rPr>
                      <w:rFonts w:ascii="Verdana" w:hAnsi="Verdana"/>
                      <w:sz w:val="18"/>
                      <w:szCs w:val="18"/>
                    </w:rPr>
                  </w:pPr>
                  <w:r>
                    <w:rPr>
                      <w:rFonts w:ascii="Verdana" w:hAnsi="Verdana"/>
                      <w:sz w:val="18"/>
                      <w:szCs w:val="18"/>
                    </w:rPr>
                    <w:t>100</w:t>
                  </w:r>
                </w:p>
              </w:tc>
              <w:tc>
                <w:tcPr>
                  <w:tcW w:w="975" w:type="dxa"/>
                  <w:tcBorders>
                    <w:top w:val="nil"/>
                    <w:left w:val="nil"/>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67FBBAA1" w14:textId="77777777">
                  <w:pPr>
                    <w:spacing w:after="0" w:line="276" w:lineRule="auto"/>
                    <w:rPr>
                      <w:rFonts w:ascii="Verdana" w:hAnsi="Verdana"/>
                      <w:sz w:val="18"/>
                      <w:szCs w:val="18"/>
                    </w:rPr>
                  </w:pPr>
                  <w:r>
                    <w:rPr>
                      <w:rFonts w:ascii="Verdana" w:hAnsi="Verdana"/>
                      <w:sz w:val="18"/>
                      <w:szCs w:val="18"/>
                    </w:rPr>
                    <w:t>100</w:t>
                  </w:r>
                </w:p>
              </w:tc>
              <w:tc>
                <w:tcPr>
                  <w:tcW w:w="976" w:type="dxa"/>
                  <w:tcBorders>
                    <w:top w:val="nil"/>
                    <w:left w:val="nil"/>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3F33A9C6" w14:textId="77777777">
                  <w:pPr>
                    <w:spacing w:after="0" w:line="276" w:lineRule="auto"/>
                    <w:rPr>
                      <w:rFonts w:ascii="Verdana" w:hAnsi="Verdana"/>
                      <w:sz w:val="18"/>
                      <w:szCs w:val="18"/>
                    </w:rPr>
                  </w:pPr>
                  <w:r>
                    <w:rPr>
                      <w:rFonts w:ascii="Verdana" w:hAnsi="Verdana"/>
                      <w:sz w:val="18"/>
                      <w:szCs w:val="18"/>
                    </w:rPr>
                    <w:t>100</w:t>
                  </w:r>
                </w:p>
              </w:tc>
              <w:tc>
                <w:tcPr>
                  <w:tcW w:w="975" w:type="dxa"/>
                  <w:tcBorders>
                    <w:top w:val="nil"/>
                    <w:left w:val="nil"/>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3C04F15D" w14:textId="77777777">
                  <w:pPr>
                    <w:spacing w:after="0" w:line="276" w:lineRule="auto"/>
                    <w:rPr>
                      <w:rFonts w:ascii="Verdana" w:hAnsi="Verdana"/>
                      <w:sz w:val="18"/>
                      <w:szCs w:val="18"/>
                    </w:rPr>
                  </w:pPr>
                  <w:r>
                    <w:rPr>
                      <w:rFonts w:ascii="Verdana" w:hAnsi="Verdana"/>
                      <w:sz w:val="18"/>
                      <w:szCs w:val="18"/>
                    </w:rPr>
                    <w:t>100</w:t>
                  </w:r>
                </w:p>
              </w:tc>
              <w:tc>
                <w:tcPr>
                  <w:tcW w:w="976" w:type="dxa"/>
                  <w:tcBorders>
                    <w:top w:val="nil"/>
                    <w:left w:val="nil"/>
                    <w:bottom w:val="single" w:color="BDD6EE" w:sz="8" w:space="0"/>
                    <w:right w:val="single" w:color="BDD6EE" w:sz="8" w:space="0"/>
                  </w:tcBorders>
                  <w:tcMar>
                    <w:top w:w="0" w:type="dxa"/>
                    <w:left w:w="108" w:type="dxa"/>
                    <w:bottom w:w="0" w:type="dxa"/>
                    <w:right w:w="108" w:type="dxa"/>
                  </w:tcMar>
                  <w:hideMark/>
                </w:tcPr>
                <w:p w:rsidRPr="00F11423" w:rsidR="00EE5A45" w:rsidP="00724485" w:rsidRDefault="00EE5A45" w14:paraId="24AC4DDC" w14:textId="77777777">
                  <w:pPr>
                    <w:spacing w:after="0" w:line="276" w:lineRule="auto"/>
                    <w:rPr>
                      <w:rFonts w:ascii="Verdana" w:hAnsi="Verdana"/>
                      <w:sz w:val="18"/>
                      <w:szCs w:val="18"/>
                    </w:rPr>
                  </w:pPr>
                  <w:r>
                    <w:rPr>
                      <w:rFonts w:ascii="Verdana" w:hAnsi="Verdana"/>
                      <w:sz w:val="18"/>
                      <w:szCs w:val="18"/>
                    </w:rPr>
                    <w:t>100</w:t>
                  </w:r>
                </w:p>
              </w:tc>
            </w:tr>
          </w:tbl>
          <w:p w:rsidRPr="00F11423" w:rsidR="00EE5A45" w:rsidP="00724485" w:rsidRDefault="00EE5A45" w14:paraId="384A4B4B" w14:textId="77777777">
            <w:pPr>
              <w:spacing w:after="0" w:line="276" w:lineRule="auto"/>
              <w:rPr>
                <w:rFonts w:ascii="Verdana" w:hAnsi="Verdana" w:cs="Calibri"/>
                <w:b/>
                <w:bCs/>
                <w:sz w:val="18"/>
                <w:szCs w:val="18"/>
                <w14:ligatures w14:val="standardContextual"/>
              </w:rPr>
            </w:pPr>
          </w:p>
        </w:tc>
      </w:tr>
      <w:tr w:rsidRPr="00F11423" w:rsidR="00EE5A45" w:rsidTr="00724485" w14:paraId="4C40DF4A"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EE5A45" w:rsidP="00724485" w:rsidRDefault="00EE5A45" w14:paraId="045F049E" w14:textId="77777777">
            <w:pPr>
              <w:spacing w:after="0" w:line="276" w:lineRule="auto"/>
              <w:rPr>
                <w:rFonts w:ascii="Verdana" w:hAnsi="Verdana"/>
                <w:b/>
                <w:bCs/>
                <w:sz w:val="18"/>
                <w:szCs w:val="18"/>
              </w:rPr>
            </w:pPr>
            <w:r w:rsidRPr="00F11423">
              <w:rPr>
                <w:rFonts w:ascii="Verdana" w:hAnsi="Verdana"/>
                <w:b/>
                <w:bCs/>
                <w:sz w:val="18"/>
                <w:szCs w:val="18"/>
              </w:rPr>
              <w:t xml:space="preserve">Uitvoeringsgevolgen: </w:t>
            </w:r>
            <w:r>
              <w:rPr>
                <w:rFonts w:ascii="Verdana" w:hAnsi="Verdana"/>
                <w:sz w:val="18"/>
                <w:szCs w:val="18"/>
              </w:rPr>
              <w:t>Uitvoerbaar per 1 januari 2025, mits uiterlijk 15 november 2024, 12:00 uur bekend.</w:t>
            </w:r>
          </w:p>
        </w:tc>
      </w:tr>
    </w:tbl>
    <w:p w:rsidR="00EE5A45" w:rsidP="00F11423" w:rsidRDefault="00EE5A45" w14:paraId="322A38EF" w14:textId="77777777">
      <w:pPr>
        <w:spacing w:after="0" w:line="276" w:lineRule="auto"/>
        <w:rPr>
          <w:rFonts w:ascii="Verdana" w:hAnsi="Verdana"/>
          <w:b/>
          <w:bCs/>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237B2B" w:rsidTr="00724485" w14:paraId="4C88562F"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237B2B" w:rsidP="00724485" w:rsidRDefault="00237B2B" w14:paraId="47BEF0CD" w14:textId="77777777">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36602 0</w:t>
            </w:r>
            <w:r>
              <w:rPr>
                <w:rFonts w:ascii="Verdana" w:hAnsi="Verdana"/>
                <w:color w:val="000000"/>
                <w:sz w:val="18"/>
                <w:szCs w:val="18"/>
              </w:rPr>
              <w:t>80</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237B2B" w:rsidP="00724485" w:rsidRDefault="00237B2B" w14:paraId="0328BA86"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Terugdraaien verhoging percentage generieke renteaftrekbeperking</w:t>
            </w:r>
          </w:p>
        </w:tc>
      </w:tr>
      <w:tr w:rsidRPr="00F11423" w:rsidR="00237B2B" w:rsidTr="00724485" w14:paraId="5EE41BEE"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237B2B" w:rsidP="00724485" w:rsidRDefault="00237B2B" w14:paraId="255F2910"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Dobbe (SP) en Dijk (SP)</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237B2B" w:rsidP="00724485" w:rsidRDefault="00237B2B" w14:paraId="4EB70914"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237B2B" w:rsidTr="00724485" w14:paraId="4055203E"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237B2B" w:rsidP="00724485" w:rsidRDefault="00237B2B" w14:paraId="7010673A" w14:textId="77777777">
            <w:pPr>
              <w:spacing w:after="0" w:line="276" w:lineRule="auto"/>
              <w:rPr>
                <w:rFonts w:ascii="Verdana" w:hAnsi="Verdana"/>
                <w:sz w:val="18"/>
                <w:szCs w:val="18"/>
              </w:rPr>
            </w:pPr>
            <w:r w:rsidRPr="00F11423">
              <w:rPr>
                <w:rFonts w:ascii="Verdana" w:hAnsi="Verdana"/>
                <w:b/>
                <w:bCs/>
                <w:sz w:val="18"/>
                <w:szCs w:val="18"/>
              </w:rPr>
              <w:t xml:space="preserve">Gevolgen: </w:t>
            </w:r>
            <w:r w:rsidRPr="00F11423">
              <w:rPr>
                <w:rFonts w:ascii="Verdana" w:hAnsi="Verdana"/>
                <w:sz w:val="18"/>
                <w:szCs w:val="18"/>
              </w:rPr>
              <w:t xml:space="preserve">Dit amendement komt niet overeen met het Hoofdlijnenakkoord en </w:t>
            </w:r>
            <w:proofErr w:type="gramStart"/>
            <w:r w:rsidRPr="00F11423">
              <w:rPr>
                <w:rFonts w:ascii="Verdana" w:hAnsi="Verdana"/>
                <w:sz w:val="18"/>
                <w:szCs w:val="18"/>
              </w:rPr>
              <w:t>het  Regeerprogramma</w:t>
            </w:r>
            <w:proofErr w:type="gramEnd"/>
            <w:r w:rsidRPr="00F11423">
              <w:rPr>
                <w:rFonts w:ascii="Verdana" w:hAnsi="Verdana"/>
                <w:sz w:val="18"/>
                <w:szCs w:val="18"/>
              </w:rPr>
              <w:t xml:space="preserve"> en heeft een negatief effect op het Nederlandse vestigings- en investeringsklimaat.</w:t>
            </w:r>
          </w:p>
        </w:tc>
      </w:tr>
      <w:tr w:rsidRPr="00F11423" w:rsidR="00237B2B" w:rsidTr="00724485" w14:paraId="6F70388A"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237B2B" w:rsidP="00724485" w:rsidRDefault="00237B2B" w14:paraId="1CC2D440"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Dit amendement levert € 424 miljoen structureel op per 2025.</w:t>
            </w:r>
          </w:p>
          <w:p w:rsidRPr="00F11423" w:rsidR="00237B2B" w:rsidP="00724485" w:rsidRDefault="00237B2B" w14:paraId="79555A09" w14:textId="77777777">
            <w:pPr>
              <w:spacing w:after="0" w:line="276" w:lineRule="auto"/>
              <w:rPr>
                <w:rFonts w:ascii="Verdana" w:hAnsi="Verdana"/>
                <w:sz w:val="18"/>
                <w:szCs w:val="18"/>
              </w:rPr>
            </w:pPr>
          </w:p>
          <w:tbl>
            <w:tblPr>
              <w:tblW w:w="7367" w:type="dxa"/>
              <w:tblCellMar>
                <w:left w:w="0" w:type="dxa"/>
                <w:right w:w="0" w:type="dxa"/>
              </w:tblCellMar>
              <w:tblLook w:val="04A0" w:firstRow="1" w:lastRow="0" w:firstColumn="1" w:lastColumn="0" w:noHBand="0" w:noVBand="1"/>
            </w:tblPr>
            <w:tblGrid>
              <w:gridCol w:w="2405"/>
              <w:gridCol w:w="709"/>
              <w:gridCol w:w="709"/>
              <w:gridCol w:w="709"/>
              <w:gridCol w:w="708"/>
              <w:gridCol w:w="709"/>
              <w:gridCol w:w="1418"/>
            </w:tblGrid>
            <w:tr w:rsidRPr="00F11423" w:rsidR="00237B2B" w:rsidTr="00724485" w14:paraId="523556CF"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37B2B" w:rsidP="00724485" w:rsidRDefault="00237B2B" w14:paraId="5A6C13B6" w14:textId="77777777">
                  <w:pPr>
                    <w:spacing w:after="0" w:line="276" w:lineRule="auto"/>
                    <w:rPr>
                      <w:rFonts w:ascii="Verdana" w:hAnsi="Verdana"/>
                      <w:sz w:val="18"/>
                      <w:szCs w:val="18"/>
                    </w:rPr>
                  </w:pPr>
                  <w:r w:rsidRPr="00F11423">
                    <w:rPr>
                      <w:rFonts w:ascii="Verdana" w:hAnsi="Verdana"/>
                      <w:color w:val="000000"/>
                      <w:sz w:val="18"/>
                      <w:szCs w:val="18"/>
                    </w:rPr>
                    <w:t>Omvang in mln. €</w:t>
                  </w:r>
                </w:p>
              </w:tc>
              <w:tc>
                <w:tcPr>
                  <w:tcW w:w="709" w:type="dxa"/>
                  <w:tcBorders>
                    <w:top w:val="single" w:color="auto" w:sz="8" w:space="0"/>
                    <w:left w:val="nil"/>
                    <w:bottom w:val="single" w:color="auto" w:sz="8" w:space="0"/>
                    <w:right w:val="single" w:color="auto" w:sz="4" w:space="0"/>
                  </w:tcBorders>
                  <w:shd w:val="clear" w:color="auto" w:fill="DEEAF6"/>
                </w:tcPr>
                <w:p w:rsidRPr="00F11423" w:rsidR="00237B2B" w:rsidP="00724485" w:rsidRDefault="00237B2B" w14:paraId="7F3D2479" w14:textId="77777777">
                  <w:pPr>
                    <w:spacing w:after="0" w:line="276" w:lineRule="auto"/>
                    <w:jc w:val="center"/>
                    <w:rPr>
                      <w:rFonts w:ascii="Verdana" w:hAnsi="Verdana"/>
                      <w:i/>
                      <w:iCs/>
                      <w:color w:val="000000"/>
                      <w:sz w:val="18"/>
                      <w:szCs w:val="18"/>
                    </w:rPr>
                  </w:pPr>
                  <w:r w:rsidRPr="00F11423">
                    <w:rPr>
                      <w:rFonts w:ascii="Verdana" w:hAnsi="Verdana"/>
                      <w:i/>
                      <w:iCs/>
                      <w:color w:val="000000"/>
                      <w:sz w:val="18"/>
                      <w:szCs w:val="18"/>
                    </w:rPr>
                    <w:t>2024</w:t>
                  </w:r>
                </w:p>
              </w:tc>
              <w:tc>
                <w:tcPr>
                  <w:tcW w:w="709" w:type="dxa"/>
                  <w:tcBorders>
                    <w:top w:val="single" w:color="auto" w:sz="8" w:space="0"/>
                    <w:left w:val="single" w:color="auto" w:sz="4"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37B2B" w:rsidP="00724485" w:rsidRDefault="00237B2B" w14:paraId="67AD43B8" w14:textId="77777777">
                  <w:pPr>
                    <w:spacing w:after="0" w:line="276" w:lineRule="auto"/>
                    <w:jc w:val="center"/>
                    <w:rPr>
                      <w:rFonts w:ascii="Verdana" w:hAnsi="Verdana"/>
                      <w:i/>
                      <w:iCs/>
                      <w:sz w:val="18"/>
                      <w:szCs w:val="18"/>
                    </w:rPr>
                  </w:pPr>
                  <w:r w:rsidRPr="00F11423">
                    <w:rPr>
                      <w:rFonts w:ascii="Verdana" w:hAnsi="Verdana"/>
                      <w:i/>
                      <w:iCs/>
                      <w:color w:val="000000"/>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37B2B" w:rsidP="00724485" w:rsidRDefault="00237B2B" w14:paraId="7D0BDD28" w14:textId="77777777">
                  <w:pPr>
                    <w:spacing w:after="0" w:line="276" w:lineRule="auto"/>
                    <w:jc w:val="center"/>
                    <w:rPr>
                      <w:rFonts w:ascii="Verdana" w:hAnsi="Verdana"/>
                      <w:i/>
                      <w:iCs/>
                      <w:sz w:val="18"/>
                      <w:szCs w:val="18"/>
                    </w:rPr>
                  </w:pPr>
                  <w:r w:rsidRPr="00F11423">
                    <w:rPr>
                      <w:rFonts w:ascii="Verdana" w:hAnsi="Verdana"/>
                      <w:i/>
                      <w:iCs/>
                      <w:color w:val="000000"/>
                      <w:sz w:val="18"/>
                      <w:szCs w:val="18"/>
                    </w:rPr>
                    <w:t>206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37B2B" w:rsidP="00724485" w:rsidRDefault="00237B2B" w14:paraId="4B303646" w14:textId="77777777">
                  <w:pPr>
                    <w:spacing w:after="0" w:line="276" w:lineRule="auto"/>
                    <w:jc w:val="center"/>
                    <w:rPr>
                      <w:rFonts w:ascii="Verdana" w:hAnsi="Verdana"/>
                      <w:i/>
                      <w:iCs/>
                      <w:sz w:val="18"/>
                      <w:szCs w:val="18"/>
                    </w:rPr>
                  </w:pPr>
                  <w:r w:rsidRPr="00F11423">
                    <w:rPr>
                      <w:rFonts w:ascii="Verdana" w:hAnsi="Verdana"/>
                      <w:i/>
                      <w:iCs/>
                      <w:color w:val="000000"/>
                      <w:sz w:val="18"/>
                      <w:szCs w:val="18"/>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37B2B" w:rsidP="00724485" w:rsidRDefault="00237B2B" w14:paraId="139F0741" w14:textId="77777777">
                  <w:pPr>
                    <w:spacing w:after="0" w:line="276" w:lineRule="auto"/>
                    <w:jc w:val="center"/>
                    <w:rPr>
                      <w:rFonts w:ascii="Verdana" w:hAnsi="Verdana"/>
                      <w:i/>
                      <w:iCs/>
                      <w:sz w:val="18"/>
                      <w:szCs w:val="18"/>
                    </w:rPr>
                  </w:pPr>
                  <w:r w:rsidRPr="00F11423">
                    <w:rPr>
                      <w:rFonts w:ascii="Verdana" w:hAnsi="Verdana"/>
                      <w:i/>
                      <w:iCs/>
                      <w:color w:val="000000"/>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237B2B" w:rsidP="00724485" w:rsidRDefault="00237B2B" w14:paraId="56E60AB3" w14:textId="77777777">
                  <w:pPr>
                    <w:spacing w:after="0" w:line="276" w:lineRule="auto"/>
                    <w:jc w:val="center"/>
                    <w:rPr>
                      <w:rFonts w:ascii="Verdana" w:hAnsi="Verdana"/>
                      <w:sz w:val="18"/>
                      <w:szCs w:val="18"/>
                    </w:rPr>
                  </w:pPr>
                  <w:r w:rsidRPr="00F11423">
                    <w:rPr>
                      <w:rFonts w:ascii="Verdana" w:hAnsi="Verdana"/>
                      <w:color w:val="000000"/>
                      <w:sz w:val="18"/>
                      <w:szCs w:val="18"/>
                    </w:rPr>
                    <w:t>Structureel</w:t>
                  </w:r>
                </w:p>
              </w:tc>
            </w:tr>
            <w:tr w:rsidRPr="00F11423" w:rsidR="00237B2B" w:rsidTr="00724485" w14:paraId="7FC1D49C"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237B2B" w:rsidP="00724485" w:rsidRDefault="00237B2B" w14:paraId="63501E9C" w14:textId="77777777">
                  <w:pPr>
                    <w:spacing w:after="0" w:line="276" w:lineRule="auto"/>
                    <w:rPr>
                      <w:rFonts w:ascii="Verdana" w:hAnsi="Verdana"/>
                      <w:sz w:val="18"/>
                      <w:szCs w:val="18"/>
                    </w:rPr>
                  </w:pPr>
                  <w:r w:rsidRPr="00F11423">
                    <w:rPr>
                      <w:rFonts w:ascii="Verdana" w:hAnsi="Verdana"/>
                      <w:sz w:val="18"/>
                      <w:szCs w:val="18"/>
                    </w:rPr>
                    <w:t>Verhoging percentage generieke renteaftrekbeperking</w:t>
                  </w:r>
                </w:p>
              </w:tc>
              <w:tc>
                <w:tcPr>
                  <w:tcW w:w="709" w:type="dxa"/>
                  <w:tcBorders>
                    <w:top w:val="single" w:color="auto" w:sz="8" w:space="0"/>
                    <w:left w:val="nil"/>
                    <w:bottom w:val="single" w:color="auto" w:sz="8" w:space="0"/>
                    <w:right w:val="single" w:color="auto" w:sz="4" w:space="0"/>
                  </w:tcBorders>
                </w:tcPr>
                <w:p w:rsidRPr="00F11423" w:rsidR="00237B2B" w:rsidP="00724485" w:rsidRDefault="00237B2B" w14:paraId="13B33798" w14:textId="77777777">
                  <w:pPr>
                    <w:spacing w:after="0" w:line="276" w:lineRule="auto"/>
                    <w:jc w:val="center"/>
                    <w:rPr>
                      <w:rFonts w:ascii="Verdana" w:hAnsi="Verdana"/>
                      <w:sz w:val="18"/>
                      <w:szCs w:val="18"/>
                    </w:rPr>
                  </w:pPr>
                  <w:r w:rsidRPr="00F11423">
                    <w:rPr>
                      <w:rFonts w:ascii="Verdana" w:hAnsi="Verdana"/>
                      <w:sz w:val="18"/>
                      <w:szCs w:val="18"/>
                    </w:rPr>
                    <w:t>4</w:t>
                  </w:r>
                </w:p>
              </w:tc>
              <w:tc>
                <w:tcPr>
                  <w:tcW w:w="709" w:type="dxa"/>
                  <w:tcBorders>
                    <w:top w:val="nil"/>
                    <w:left w:val="single" w:color="auto" w:sz="4" w:space="0"/>
                    <w:bottom w:val="single" w:color="auto" w:sz="8" w:space="0"/>
                    <w:right w:val="single" w:color="auto" w:sz="8" w:space="0"/>
                  </w:tcBorders>
                  <w:noWrap/>
                  <w:tcMar>
                    <w:top w:w="0" w:type="dxa"/>
                    <w:left w:w="108" w:type="dxa"/>
                    <w:bottom w:w="0" w:type="dxa"/>
                    <w:right w:w="108" w:type="dxa"/>
                  </w:tcMar>
                  <w:hideMark/>
                </w:tcPr>
                <w:p w:rsidRPr="00F11423" w:rsidR="00237B2B" w:rsidP="00724485" w:rsidRDefault="00237B2B" w14:paraId="5D686B6E" w14:textId="77777777">
                  <w:pPr>
                    <w:spacing w:after="0" w:line="276" w:lineRule="auto"/>
                    <w:jc w:val="center"/>
                    <w:rPr>
                      <w:rFonts w:ascii="Verdana" w:hAnsi="Verdana"/>
                      <w:sz w:val="18"/>
                      <w:szCs w:val="18"/>
                    </w:rPr>
                  </w:pPr>
                  <w:r w:rsidRPr="00F11423">
                    <w:rPr>
                      <w:rFonts w:ascii="Verdana" w:hAnsi="Verdana"/>
                      <w:sz w:val="18"/>
                      <w:szCs w:val="18"/>
                    </w:rPr>
                    <w:t>435</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237B2B" w:rsidP="00724485" w:rsidRDefault="00237B2B" w14:paraId="09EE310F" w14:textId="77777777">
                  <w:pPr>
                    <w:spacing w:after="0" w:line="276" w:lineRule="auto"/>
                    <w:jc w:val="center"/>
                    <w:rPr>
                      <w:rFonts w:ascii="Verdana" w:hAnsi="Verdana"/>
                      <w:sz w:val="18"/>
                      <w:szCs w:val="18"/>
                    </w:rPr>
                  </w:pPr>
                  <w:r w:rsidRPr="00F11423">
                    <w:rPr>
                      <w:rFonts w:ascii="Verdana" w:hAnsi="Verdana"/>
                      <w:sz w:val="18"/>
                      <w:szCs w:val="18"/>
                    </w:rPr>
                    <w:t>428</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237B2B" w:rsidP="00724485" w:rsidRDefault="00237B2B" w14:paraId="11DCB49D" w14:textId="77777777">
                  <w:pPr>
                    <w:spacing w:after="0" w:line="276" w:lineRule="auto"/>
                    <w:jc w:val="center"/>
                    <w:rPr>
                      <w:rFonts w:ascii="Verdana" w:hAnsi="Verdana"/>
                      <w:sz w:val="18"/>
                      <w:szCs w:val="18"/>
                    </w:rPr>
                  </w:pPr>
                  <w:r w:rsidRPr="00F11423">
                    <w:rPr>
                      <w:rFonts w:ascii="Verdana" w:hAnsi="Verdana"/>
                      <w:sz w:val="18"/>
                      <w:szCs w:val="18"/>
                    </w:rPr>
                    <w:t>426</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237B2B" w:rsidP="00724485" w:rsidRDefault="00237B2B" w14:paraId="5B09AC4C" w14:textId="77777777">
                  <w:pPr>
                    <w:spacing w:after="0" w:line="276" w:lineRule="auto"/>
                    <w:jc w:val="center"/>
                    <w:rPr>
                      <w:rFonts w:ascii="Verdana" w:hAnsi="Verdana"/>
                      <w:sz w:val="18"/>
                      <w:szCs w:val="18"/>
                    </w:rPr>
                  </w:pPr>
                  <w:r w:rsidRPr="00F11423">
                    <w:rPr>
                      <w:rFonts w:ascii="Verdana" w:hAnsi="Verdana"/>
                      <w:sz w:val="18"/>
                      <w:szCs w:val="18"/>
                    </w:rPr>
                    <w:t>425</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237B2B" w:rsidP="00724485" w:rsidRDefault="00237B2B" w14:paraId="1D23C178" w14:textId="77777777">
                  <w:pPr>
                    <w:spacing w:after="0" w:line="276" w:lineRule="auto"/>
                    <w:jc w:val="center"/>
                    <w:rPr>
                      <w:rFonts w:ascii="Verdana" w:hAnsi="Verdana"/>
                      <w:sz w:val="18"/>
                      <w:szCs w:val="18"/>
                    </w:rPr>
                  </w:pPr>
                  <w:r w:rsidRPr="00F11423">
                    <w:rPr>
                      <w:rFonts w:ascii="Verdana" w:hAnsi="Verdana"/>
                      <w:sz w:val="18"/>
                      <w:szCs w:val="18"/>
                    </w:rPr>
                    <w:t>424</w:t>
                  </w:r>
                </w:p>
              </w:tc>
            </w:tr>
          </w:tbl>
          <w:p w:rsidRPr="00F11423" w:rsidR="00237B2B" w:rsidP="00724485" w:rsidRDefault="00237B2B" w14:paraId="4A065178" w14:textId="77777777">
            <w:pPr>
              <w:spacing w:after="0" w:line="276" w:lineRule="auto"/>
              <w:rPr>
                <w:rFonts w:ascii="Verdana" w:hAnsi="Verdana"/>
                <w:b/>
                <w:bCs/>
                <w:sz w:val="18"/>
                <w:szCs w:val="18"/>
              </w:rPr>
            </w:pPr>
          </w:p>
        </w:tc>
      </w:tr>
      <w:tr w:rsidRPr="00F11423" w:rsidR="00237B2B" w:rsidTr="00724485" w14:paraId="15870F9D"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237B2B" w:rsidP="00724485" w:rsidRDefault="00237B2B" w14:paraId="3F35FF11" w14:textId="77777777">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F11423">
              <w:rPr>
                <w:rFonts w:ascii="Verdana" w:hAnsi="Verdana"/>
                <w:sz w:val="18"/>
                <w:szCs w:val="18"/>
              </w:rPr>
              <w:t>Uitvoerbaar per 1 januari 2025.</w:t>
            </w:r>
          </w:p>
        </w:tc>
      </w:tr>
    </w:tbl>
    <w:p w:rsidR="00EE5A45" w:rsidP="00F11423" w:rsidRDefault="00EE5A45" w14:paraId="7FB1369A" w14:textId="77777777">
      <w:pPr>
        <w:spacing w:after="0" w:line="276" w:lineRule="auto"/>
        <w:rPr>
          <w:rFonts w:ascii="Verdana" w:hAnsi="Verdana"/>
          <w:b/>
          <w:bCs/>
          <w:sz w:val="18"/>
          <w:szCs w:val="18"/>
        </w:rPr>
      </w:pPr>
    </w:p>
    <w:p w:rsidR="00237B2B" w:rsidP="00F11423" w:rsidRDefault="00237B2B" w14:paraId="244A0C19" w14:textId="77777777">
      <w:pPr>
        <w:spacing w:after="0" w:line="276" w:lineRule="auto"/>
        <w:rPr>
          <w:rFonts w:ascii="Verdana" w:hAnsi="Verdana"/>
          <w:b/>
          <w:bCs/>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C53341" w:rsidTr="00724485" w14:paraId="37E0A6BE"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C53341" w:rsidP="00724485" w:rsidRDefault="00C53341" w14:paraId="3CB9EB05" w14:textId="77777777">
            <w:pPr>
              <w:spacing w:after="0" w:line="276" w:lineRule="auto"/>
              <w:rPr>
                <w:rFonts w:ascii="Verdana" w:hAnsi="Verdana"/>
                <w:sz w:val="18"/>
                <w:szCs w:val="18"/>
              </w:rPr>
            </w:pPr>
            <w:r w:rsidRPr="00F11423">
              <w:rPr>
                <w:rFonts w:ascii="Verdana" w:hAnsi="Verdana"/>
                <w:b/>
                <w:bCs/>
                <w:color w:val="000000"/>
                <w:sz w:val="18"/>
                <w:szCs w:val="18"/>
              </w:rPr>
              <w:lastRenderedPageBreak/>
              <w:t xml:space="preserve">Kamernummer: </w:t>
            </w:r>
            <w:r w:rsidRPr="00F11423">
              <w:rPr>
                <w:rFonts w:ascii="Verdana" w:hAnsi="Verdana"/>
                <w:color w:val="000000"/>
                <w:sz w:val="18"/>
                <w:szCs w:val="18"/>
              </w:rPr>
              <w:t>36602 0</w:t>
            </w:r>
            <w:r>
              <w:rPr>
                <w:rFonts w:ascii="Verdana" w:hAnsi="Verdana"/>
                <w:color w:val="000000"/>
                <w:sz w:val="18"/>
                <w:szCs w:val="18"/>
              </w:rPr>
              <w:t>81</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C53341" w:rsidP="00724485" w:rsidRDefault="00C53341" w14:paraId="4379EF5D"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 xml:space="preserve">Verlagen btw-tarief op OV van 9% naar 0%. </w:t>
            </w:r>
          </w:p>
        </w:tc>
      </w:tr>
      <w:tr w:rsidRPr="00F11423" w:rsidR="00C53341" w:rsidTr="00724485" w14:paraId="3D0B9619"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C53341" w:rsidP="00724485" w:rsidRDefault="00C53341" w14:paraId="40698657"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Van Kent (SP)</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C53341" w:rsidP="00724485" w:rsidRDefault="00C53341" w14:paraId="2B537DBD"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Ontraden</w:t>
            </w:r>
          </w:p>
        </w:tc>
      </w:tr>
      <w:tr w:rsidRPr="00F11423" w:rsidR="00C53341" w:rsidTr="00724485" w14:paraId="44F6A29D"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C53341" w:rsidP="00724485" w:rsidRDefault="00C53341" w14:paraId="008A2024"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p>
          <w:p w:rsidRPr="00137294" w:rsidR="00C53341" w:rsidP="00724485" w:rsidRDefault="00C53341" w14:paraId="4DFFBD80" w14:textId="77777777">
            <w:pPr>
              <w:spacing w:after="0" w:line="276" w:lineRule="auto"/>
              <w:rPr>
                <w:rFonts w:ascii="Verdana" w:hAnsi="Verdana"/>
                <w:sz w:val="18"/>
                <w:szCs w:val="18"/>
              </w:rPr>
            </w:pPr>
            <w:r w:rsidRPr="00F11423">
              <w:rPr>
                <w:rFonts w:ascii="Verdana" w:hAnsi="Verdana"/>
                <w:sz w:val="18"/>
                <w:szCs w:val="18"/>
              </w:rPr>
              <w:t xml:space="preserve">Mogelijk wordt er door het verlagen van het btw-tarief voor het OV meer met het OV gereisd. Dit wordt dan slechts voor een klein deel veroorzaakt door een verschuiving vanuit de auto naar het OV. Hiermee wordt een volgens de </w:t>
            </w:r>
            <w:r w:rsidRPr="00137294">
              <w:rPr>
                <w:rFonts w:ascii="Verdana" w:hAnsi="Verdana"/>
                <w:sz w:val="18"/>
                <w:szCs w:val="18"/>
              </w:rPr>
              <w:t xml:space="preserve">evaluatie van </w:t>
            </w:r>
            <w:proofErr w:type="spellStart"/>
            <w:r w:rsidRPr="00137294">
              <w:rPr>
                <w:rFonts w:ascii="Verdana" w:hAnsi="Verdana"/>
                <w:sz w:val="18"/>
                <w:szCs w:val="18"/>
              </w:rPr>
              <w:t>Dialogic</w:t>
            </w:r>
            <w:proofErr w:type="spellEnd"/>
            <w:r w:rsidRPr="00137294">
              <w:rPr>
                <w:rFonts w:ascii="Verdana" w:hAnsi="Verdana"/>
                <w:sz w:val="18"/>
                <w:szCs w:val="18"/>
              </w:rPr>
              <w:t xml:space="preserve"> uit 2023 vermoedelijk beperkt doeltreffende en ondoelmatige regeling geïntensiveerd.</w:t>
            </w:r>
          </w:p>
          <w:p w:rsidRPr="00F11423" w:rsidR="00C53341" w:rsidP="00724485" w:rsidRDefault="00C53341" w14:paraId="6715A8B9" w14:textId="77777777">
            <w:pPr>
              <w:spacing w:line="276" w:lineRule="auto"/>
              <w:rPr>
                <w:rFonts w:ascii="Verdana" w:hAnsi="Verdana"/>
                <w:sz w:val="18"/>
                <w:szCs w:val="18"/>
              </w:rPr>
            </w:pPr>
            <w:r w:rsidRPr="00450A0F">
              <w:rPr>
                <w:rFonts w:ascii="Verdana" w:hAnsi="Verdana"/>
                <w:sz w:val="18"/>
                <w:szCs w:val="18"/>
              </w:rPr>
              <w:t>Dit dekkingsvoorstel is in strijd met de begrotingsregels, het gaat in tegen de scheiding tussen inkomsten en uitgaven en de dekking is incidenteel terwijl de kosten structureel zijn. Daarom is dit voorstel geen deugdelijke dekking.</w:t>
            </w:r>
          </w:p>
        </w:tc>
      </w:tr>
      <w:tr w:rsidRPr="00F11423" w:rsidR="00C53341" w:rsidTr="00724485" w14:paraId="19705916"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C53341" w:rsidP="00724485" w:rsidRDefault="00C53341" w14:paraId="44C93FF8"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Een 0%-tarief kost per 1 januari 2025 structureel € 392 mln.</w:t>
            </w:r>
          </w:p>
          <w:tbl>
            <w:tblPr>
              <w:tblW w:w="6658" w:type="dxa"/>
              <w:tblCellMar>
                <w:left w:w="0" w:type="dxa"/>
                <w:right w:w="0" w:type="dxa"/>
              </w:tblCellMar>
              <w:tblLook w:val="04A0" w:firstRow="1" w:lastRow="0" w:firstColumn="1" w:lastColumn="0" w:noHBand="0" w:noVBand="1"/>
            </w:tblPr>
            <w:tblGrid>
              <w:gridCol w:w="2405"/>
              <w:gridCol w:w="709"/>
              <w:gridCol w:w="709"/>
              <w:gridCol w:w="708"/>
              <w:gridCol w:w="709"/>
              <w:gridCol w:w="1418"/>
            </w:tblGrid>
            <w:tr w:rsidRPr="00F11423" w:rsidR="00C53341" w:rsidTr="00724485" w14:paraId="133752EE" w14:textId="77777777">
              <w:trPr>
                <w:trHeight w:val="300"/>
              </w:trPr>
              <w:tc>
                <w:tcPr>
                  <w:tcW w:w="2405" w:type="dxa"/>
                  <w:tcBorders>
                    <w:top w:val="single" w:color="auto" w:sz="8" w:space="0"/>
                    <w:left w:val="single" w:color="auto" w:sz="8" w:space="0"/>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C53341" w:rsidP="00724485" w:rsidRDefault="00C53341" w14:paraId="77A7EC40" w14:textId="77777777">
                  <w:pPr>
                    <w:spacing w:after="0" w:line="276" w:lineRule="auto"/>
                    <w:rPr>
                      <w:rFonts w:ascii="Verdana" w:hAnsi="Verdana"/>
                      <w:sz w:val="18"/>
                      <w:szCs w:val="18"/>
                    </w:rPr>
                  </w:pPr>
                  <w:r w:rsidRPr="00F11423">
                    <w:rPr>
                      <w:rFonts w:ascii="Verdana" w:hAnsi="Verdana"/>
                      <w:color w:val="000000"/>
                      <w:sz w:val="18"/>
                      <w:szCs w:val="18"/>
                    </w:rPr>
                    <w:t>Omvang in mln. €</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C53341" w:rsidP="00724485" w:rsidRDefault="00C53341" w14:paraId="001F4751" w14:textId="77777777">
                  <w:pPr>
                    <w:spacing w:after="0" w:line="276" w:lineRule="auto"/>
                    <w:rPr>
                      <w:rFonts w:ascii="Verdana" w:hAnsi="Verdana"/>
                      <w:i/>
                      <w:iCs/>
                      <w:sz w:val="18"/>
                      <w:szCs w:val="18"/>
                    </w:rPr>
                  </w:pPr>
                  <w:r w:rsidRPr="00F11423">
                    <w:rPr>
                      <w:rFonts w:ascii="Verdana" w:hAnsi="Verdana"/>
                      <w:i/>
                      <w:iCs/>
                      <w:color w:val="000000"/>
                      <w:sz w:val="18"/>
                      <w:szCs w:val="18"/>
                    </w:rPr>
                    <w:t>2025</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C53341" w:rsidP="00724485" w:rsidRDefault="00C53341" w14:paraId="4AFFAFD6" w14:textId="77777777">
                  <w:pPr>
                    <w:spacing w:after="0" w:line="276" w:lineRule="auto"/>
                    <w:rPr>
                      <w:rFonts w:ascii="Verdana" w:hAnsi="Verdana"/>
                      <w:i/>
                      <w:iCs/>
                      <w:sz w:val="18"/>
                      <w:szCs w:val="18"/>
                    </w:rPr>
                  </w:pPr>
                  <w:r w:rsidRPr="00F11423">
                    <w:rPr>
                      <w:rFonts w:ascii="Verdana" w:hAnsi="Verdana"/>
                      <w:i/>
                      <w:iCs/>
                      <w:color w:val="000000"/>
                      <w:sz w:val="18"/>
                      <w:szCs w:val="18"/>
                    </w:rPr>
                    <w:t>206</w:t>
                  </w:r>
                </w:p>
              </w:tc>
              <w:tc>
                <w:tcPr>
                  <w:tcW w:w="70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C53341" w:rsidP="00724485" w:rsidRDefault="00C53341" w14:paraId="4E099489" w14:textId="77777777">
                  <w:pPr>
                    <w:spacing w:after="0" w:line="276" w:lineRule="auto"/>
                    <w:rPr>
                      <w:rFonts w:ascii="Verdana" w:hAnsi="Verdana"/>
                      <w:i/>
                      <w:iCs/>
                      <w:sz w:val="18"/>
                      <w:szCs w:val="18"/>
                    </w:rPr>
                  </w:pPr>
                  <w:r w:rsidRPr="00F11423">
                    <w:rPr>
                      <w:rFonts w:ascii="Verdana" w:hAnsi="Verdana"/>
                      <w:i/>
                      <w:iCs/>
                      <w:color w:val="000000"/>
                      <w:sz w:val="18"/>
                      <w:szCs w:val="18"/>
                    </w:rPr>
                    <w:t>2027</w:t>
                  </w:r>
                </w:p>
              </w:tc>
              <w:tc>
                <w:tcPr>
                  <w:tcW w:w="709"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C53341" w:rsidP="00724485" w:rsidRDefault="00C53341" w14:paraId="6094344B" w14:textId="77777777">
                  <w:pPr>
                    <w:spacing w:after="0" w:line="276" w:lineRule="auto"/>
                    <w:rPr>
                      <w:rFonts w:ascii="Verdana" w:hAnsi="Verdana"/>
                      <w:i/>
                      <w:iCs/>
                      <w:sz w:val="18"/>
                      <w:szCs w:val="18"/>
                    </w:rPr>
                  </w:pPr>
                  <w:r w:rsidRPr="00F11423">
                    <w:rPr>
                      <w:rFonts w:ascii="Verdana" w:hAnsi="Verdana"/>
                      <w:i/>
                      <w:iCs/>
                      <w:color w:val="000000"/>
                      <w:sz w:val="18"/>
                      <w:szCs w:val="18"/>
                    </w:rPr>
                    <w:t>2028</w:t>
                  </w:r>
                </w:p>
              </w:tc>
              <w:tc>
                <w:tcPr>
                  <w:tcW w:w="1418" w:type="dxa"/>
                  <w:tcBorders>
                    <w:top w:val="single" w:color="auto" w:sz="8" w:space="0"/>
                    <w:left w:val="nil"/>
                    <w:bottom w:val="single" w:color="auto" w:sz="8" w:space="0"/>
                    <w:right w:val="single" w:color="auto" w:sz="8" w:space="0"/>
                  </w:tcBorders>
                  <w:shd w:val="clear" w:color="auto" w:fill="DEEAF6"/>
                  <w:noWrap/>
                  <w:tcMar>
                    <w:top w:w="0" w:type="dxa"/>
                    <w:left w:w="108" w:type="dxa"/>
                    <w:bottom w:w="0" w:type="dxa"/>
                    <w:right w:w="108" w:type="dxa"/>
                  </w:tcMar>
                  <w:hideMark/>
                </w:tcPr>
                <w:p w:rsidRPr="00F11423" w:rsidR="00C53341" w:rsidP="00724485" w:rsidRDefault="00C53341" w14:paraId="30A709FF" w14:textId="77777777">
                  <w:pPr>
                    <w:spacing w:after="0" w:line="276" w:lineRule="auto"/>
                    <w:rPr>
                      <w:rFonts w:ascii="Verdana" w:hAnsi="Verdana"/>
                      <w:sz w:val="18"/>
                      <w:szCs w:val="18"/>
                    </w:rPr>
                  </w:pPr>
                  <w:r w:rsidRPr="00F11423">
                    <w:rPr>
                      <w:rFonts w:ascii="Verdana" w:hAnsi="Verdana"/>
                      <w:color w:val="000000"/>
                      <w:sz w:val="18"/>
                      <w:szCs w:val="18"/>
                    </w:rPr>
                    <w:t xml:space="preserve">Structureel </w:t>
                  </w:r>
                </w:p>
              </w:tc>
            </w:tr>
            <w:tr w:rsidRPr="00F11423" w:rsidR="00C53341" w:rsidTr="00724485" w14:paraId="4FC5DF07" w14:textId="77777777">
              <w:trPr>
                <w:trHeight w:val="300"/>
              </w:trPr>
              <w:tc>
                <w:tcPr>
                  <w:tcW w:w="2405"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11423" w:rsidR="00C53341" w:rsidP="00724485" w:rsidRDefault="00C53341" w14:paraId="4C753F64" w14:textId="77777777">
                  <w:pPr>
                    <w:spacing w:after="0" w:line="276" w:lineRule="auto"/>
                    <w:rPr>
                      <w:rFonts w:ascii="Verdana" w:hAnsi="Verdana"/>
                      <w:sz w:val="18"/>
                      <w:szCs w:val="18"/>
                    </w:rPr>
                  </w:pPr>
                  <w:r w:rsidRPr="00F11423">
                    <w:rPr>
                      <w:rFonts w:ascii="Verdana" w:hAnsi="Verdana"/>
                      <w:sz w:val="18"/>
                      <w:szCs w:val="18"/>
                    </w:rPr>
                    <w:t>Tariefverlaging OV</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C53341" w:rsidP="00724485" w:rsidRDefault="00C53341" w14:paraId="490DAB61" w14:textId="77777777">
                  <w:pPr>
                    <w:spacing w:after="0" w:line="276" w:lineRule="auto"/>
                    <w:rPr>
                      <w:rFonts w:ascii="Verdana" w:hAnsi="Verdana"/>
                      <w:sz w:val="18"/>
                      <w:szCs w:val="18"/>
                    </w:rPr>
                  </w:pPr>
                  <w:r w:rsidRPr="00F11423">
                    <w:rPr>
                      <w:rFonts w:ascii="Verdana" w:hAnsi="Verdana"/>
                      <w:sz w:val="18"/>
                      <w:szCs w:val="18"/>
                    </w:rPr>
                    <w:t>-392</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C53341" w:rsidP="00724485" w:rsidRDefault="00C53341" w14:paraId="2C749017" w14:textId="77777777">
                  <w:pPr>
                    <w:spacing w:after="0" w:line="276" w:lineRule="auto"/>
                    <w:rPr>
                      <w:rFonts w:ascii="Verdana" w:hAnsi="Verdana"/>
                      <w:sz w:val="18"/>
                      <w:szCs w:val="18"/>
                    </w:rPr>
                  </w:pPr>
                  <w:r w:rsidRPr="00F11423">
                    <w:rPr>
                      <w:rFonts w:ascii="Verdana" w:hAnsi="Verdana"/>
                      <w:sz w:val="18"/>
                      <w:szCs w:val="18"/>
                    </w:rPr>
                    <w:t>-392</w:t>
                  </w:r>
                </w:p>
              </w:tc>
              <w:tc>
                <w:tcPr>
                  <w:tcW w:w="70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C53341" w:rsidP="00724485" w:rsidRDefault="00C53341" w14:paraId="0EC892C2" w14:textId="77777777">
                  <w:pPr>
                    <w:spacing w:after="0" w:line="276" w:lineRule="auto"/>
                    <w:rPr>
                      <w:rFonts w:ascii="Verdana" w:hAnsi="Verdana"/>
                      <w:sz w:val="18"/>
                      <w:szCs w:val="18"/>
                    </w:rPr>
                  </w:pPr>
                  <w:r w:rsidRPr="00F11423">
                    <w:rPr>
                      <w:rFonts w:ascii="Verdana" w:hAnsi="Verdana"/>
                      <w:sz w:val="18"/>
                      <w:szCs w:val="18"/>
                    </w:rPr>
                    <w:t>-392</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C53341" w:rsidP="00724485" w:rsidRDefault="00C53341" w14:paraId="3FB2CC22" w14:textId="77777777">
                  <w:pPr>
                    <w:spacing w:after="0" w:line="276" w:lineRule="auto"/>
                    <w:rPr>
                      <w:rFonts w:ascii="Verdana" w:hAnsi="Verdana"/>
                      <w:sz w:val="18"/>
                      <w:szCs w:val="18"/>
                    </w:rPr>
                  </w:pPr>
                  <w:r w:rsidRPr="00F11423">
                    <w:rPr>
                      <w:rFonts w:ascii="Verdana" w:hAnsi="Verdana"/>
                      <w:sz w:val="18"/>
                      <w:szCs w:val="18"/>
                    </w:rPr>
                    <w:t>-392</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hideMark/>
                </w:tcPr>
                <w:p w:rsidRPr="00F11423" w:rsidR="00C53341" w:rsidP="00724485" w:rsidRDefault="00C53341" w14:paraId="494DFBE8" w14:textId="77777777">
                  <w:pPr>
                    <w:spacing w:after="0" w:line="276" w:lineRule="auto"/>
                    <w:rPr>
                      <w:rFonts w:ascii="Verdana" w:hAnsi="Verdana"/>
                      <w:sz w:val="18"/>
                      <w:szCs w:val="18"/>
                    </w:rPr>
                  </w:pPr>
                  <w:r w:rsidRPr="00F11423">
                    <w:rPr>
                      <w:rFonts w:ascii="Verdana" w:hAnsi="Verdana"/>
                      <w:sz w:val="18"/>
                      <w:szCs w:val="18"/>
                    </w:rPr>
                    <w:t>-392</w:t>
                  </w:r>
                </w:p>
              </w:tc>
            </w:tr>
          </w:tbl>
          <w:p w:rsidRPr="00F11423" w:rsidR="00C53341" w:rsidP="00724485" w:rsidRDefault="00C53341" w14:paraId="7509F106" w14:textId="77777777">
            <w:pPr>
              <w:spacing w:after="0" w:line="276" w:lineRule="auto"/>
              <w:rPr>
                <w:rFonts w:ascii="Verdana" w:hAnsi="Verdana"/>
                <w:b/>
                <w:bCs/>
                <w:sz w:val="18"/>
                <w:szCs w:val="18"/>
              </w:rPr>
            </w:pPr>
          </w:p>
        </w:tc>
      </w:tr>
      <w:tr w:rsidRPr="00F11423" w:rsidR="00C53341" w:rsidTr="00724485" w14:paraId="21E14F33" w14:textId="77777777">
        <w:tc>
          <w:tcPr>
            <w:tcW w:w="9629" w:type="dxa"/>
            <w:gridSpan w:val="2"/>
            <w:tcBorders>
              <w:top w:val="nil"/>
              <w:left w:val="single" w:color="auto" w:sz="8" w:space="0"/>
              <w:bottom w:val="nil"/>
              <w:right w:val="single" w:color="auto" w:sz="8" w:space="0"/>
            </w:tcBorders>
            <w:tcMar>
              <w:top w:w="0" w:type="dxa"/>
              <w:left w:w="108" w:type="dxa"/>
              <w:bottom w:w="0" w:type="dxa"/>
              <w:right w:w="108" w:type="dxa"/>
            </w:tcMar>
            <w:hideMark/>
          </w:tcPr>
          <w:p w:rsidRPr="00F11423" w:rsidR="00C53341" w:rsidP="00724485" w:rsidRDefault="00C53341" w14:paraId="061655AC" w14:textId="77777777">
            <w:pPr>
              <w:spacing w:after="0" w:line="276" w:lineRule="auto"/>
              <w:rPr>
                <w:rFonts w:ascii="Verdana" w:hAnsi="Verdana"/>
                <w:b/>
                <w:bCs/>
                <w:sz w:val="18"/>
                <w:szCs w:val="18"/>
              </w:rPr>
            </w:pPr>
            <w:r w:rsidRPr="00F11423">
              <w:rPr>
                <w:rFonts w:ascii="Verdana" w:hAnsi="Verdana"/>
                <w:b/>
                <w:bCs/>
                <w:sz w:val="18"/>
                <w:szCs w:val="18"/>
              </w:rPr>
              <w:t xml:space="preserve">Uitvoeringsgevolgen: </w:t>
            </w:r>
            <w:r>
              <w:rPr>
                <w:rFonts w:ascii="Verdana" w:hAnsi="Verdana"/>
                <w:sz w:val="18"/>
                <w:szCs w:val="18"/>
              </w:rPr>
              <w:t>Uitvoerbaar per 1 januari 2025, mits dit ook uitvoerbaar is voor het bedrijfsleven.</w:t>
            </w:r>
            <w:r w:rsidRPr="00F11423">
              <w:rPr>
                <w:rFonts w:ascii="Verdana" w:hAnsi="Verdana"/>
                <w:sz w:val="18"/>
                <w:szCs w:val="18"/>
              </w:rPr>
              <w:t xml:space="preserve"> Het is hoogst onzeker of inwerkingtreding voor de sector per 1 januari 2025 mogelijk is.</w:t>
            </w:r>
          </w:p>
        </w:tc>
      </w:tr>
      <w:tr w:rsidRPr="00F11423" w:rsidR="00C53341" w:rsidTr="00724485" w14:paraId="5A47A530" w14:textId="77777777">
        <w:trPr>
          <w:trHeight w:val="80"/>
        </w:trPr>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C53341" w:rsidP="00724485" w:rsidRDefault="00C53341" w14:paraId="5BA81558" w14:textId="77777777">
            <w:pPr>
              <w:spacing w:after="0" w:line="276" w:lineRule="auto"/>
              <w:rPr>
                <w:rFonts w:ascii="Verdana" w:hAnsi="Verdana"/>
                <w:b/>
                <w:bCs/>
                <w:sz w:val="18"/>
                <w:szCs w:val="18"/>
              </w:rPr>
            </w:pPr>
          </w:p>
        </w:tc>
      </w:tr>
    </w:tbl>
    <w:p w:rsidR="00C53341" w:rsidP="00F11423" w:rsidRDefault="00C53341" w14:paraId="50BB7C66" w14:textId="77777777">
      <w:pPr>
        <w:spacing w:after="0" w:line="276" w:lineRule="auto"/>
        <w:rPr>
          <w:rFonts w:ascii="Verdana" w:hAnsi="Verdana"/>
          <w:b/>
          <w:bCs/>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237B2B" w:rsidTr="00724485" w14:paraId="41367386"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237B2B" w:rsidP="00724485" w:rsidRDefault="00237B2B" w14:paraId="4A506753" w14:textId="3068A5E4">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36602 0</w:t>
            </w:r>
            <w:r>
              <w:rPr>
                <w:rFonts w:ascii="Verdana" w:hAnsi="Verdana"/>
                <w:color w:val="000000"/>
                <w:sz w:val="18"/>
                <w:szCs w:val="18"/>
              </w:rPr>
              <w:t>82</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237B2B" w:rsidP="00724485" w:rsidRDefault="00237B2B" w14:paraId="0998AD21"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Afschaffen 30%-regeling en de ETK-regeling met als doel daarmee betere arbeidsvoorwaarden voor zorgverleners mee te kunnen financieren</w:t>
            </w:r>
          </w:p>
        </w:tc>
      </w:tr>
      <w:tr w:rsidRPr="00F11423" w:rsidR="00237B2B" w:rsidTr="00724485" w14:paraId="1D99EE53"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237B2B" w:rsidP="00724485" w:rsidRDefault="00237B2B" w14:paraId="60FABFC8"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Dobbe</w:t>
            </w:r>
            <w:r>
              <w:rPr>
                <w:rFonts w:ascii="Verdana" w:hAnsi="Verdana"/>
                <w:sz w:val="18"/>
                <w:szCs w:val="18"/>
              </w:rPr>
              <w:t xml:space="preserve"> en</w:t>
            </w:r>
            <w:r w:rsidRPr="00F11423">
              <w:rPr>
                <w:rFonts w:ascii="Verdana" w:hAnsi="Verdana"/>
                <w:sz w:val="18"/>
                <w:szCs w:val="18"/>
              </w:rPr>
              <w:t xml:space="preserve"> Dijk (SP)</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237B2B" w:rsidP="00724485" w:rsidRDefault="00237B2B" w14:paraId="0E9C4F46" w14:textId="77777777">
            <w:pPr>
              <w:spacing w:after="0" w:line="276" w:lineRule="auto"/>
              <w:rPr>
                <w:rFonts w:ascii="Verdana" w:hAnsi="Verdana"/>
                <w:sz w:val="18"/>
                <w:szCs w:val="18"/>
              </w:rPr>
            </w:pPr>
            <w:r w:rsidRPr="00F11423">
              <w:rPr>
                <w:rFonts w:ascii="Verdana" w:hAnsi="Verdana"/>
                <w:b/>
                <w:bCs/>
                <w:sz w:val="18"/>
                <w:szCs w:val="18"/>
              </w:rPr>
              <w:t xml:space="preserve">Appreciatie: </w:t>
            </w:r>
            <w:r w:rsidRPr="00F11423">
              <w:rPr>
                <w:rFonts w:ascii="Verdana" w:hAnsi="Verdana"/>
                <w:sz w:val="18"/>
                <w:szCs w:val="18"/>
              </w:rPr>
              <w:t xml:space="preserve">Ontraden </w:t>
            </w:r>
          </w:p>
        </w:tc>
      </w:tr>
      <w:tr w:rsidRPr="00F11423" w:rsidR="00237B2B" w:rsidTr="00724485" w14:paraId="233E44D6"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237B2B" w:rsidP="00724485" w:rsidRDefault="00237B2B" w14:paraId="35589AFA" w14:textId="77777777">
            <w:pPr>
              <w:spacing w:after="0" w:line="276" w:lineRule="auto"/>
              <w:rPr>
                <w:rFonts w:ascii="Verdana" w:hAnsi="Verdana" w:cs="Arial"/>
                <w:sz w:val="18"/>
                <w:szCs w:val="18"/>
              </w:rPr>
            </w:pPr>
            <w:r w:rsidRPr="00F11423">
              <w:rPr>
                <w:rFonts w:ascii="Verdana" w:hAnsi="Verdana"/>
                <w:b/>
                <w:bCs/>
                <w:sz w:val="18"/>
                <w:szCs w:val="18"/>
              </w:rPr>
              <w:t xml:space="preserve">Gevolgen: </w:t>
            </w:r>
            <w:r w:rsidRPr="00F11423">
              <w:rPr>
                <w:rFonts w:ascii="Verdana" w:hAnsi="Verdana"/>
                <w:sz w:val="18"/>
                <w:szCs w:val="18"/>
              </w:rPr>
              <w:t xml:space="preserve">Met dit amendement wordt bewerkstelligd dat </w:t>
            </w:r>
            <w:r w:rsidRPr="00F11423">
              <w:rPr>
                <w:rFonts w:ascii="Verdana" w:hAnsi="Verdana"/>
                <w:sz w:val="18"/>
                <w:szCs w:val="18"/>
                <w:u w:val="single"/>
              </w:rPr>
              <w:t>per 2025</w:t>
            </w:r>
            <w:r w:rsidRPr="00F11423">
              <w:rPr>
                <w:rFonts w:ascii="Verdana" w:hAnsi="Verdana"/>
                <w:sz w:val="18"/>
                <w:szCs w:val="18"/>
              </w:rPr>
              <w:t xml:space="preserve"> de ETK-regeling en de 30%-regeling worden afgeschaft. De ETK-regeling is bedoeld om te borgen dat er geen loonbelasting verschuldigd is over bepaalde kostenvergoedingen die werknemers maken in het kader van de dienstbetrekking. Uit een recente evaluatie volgt dat de expatregeling doeltreffend en deels doelmatig is en dat een afschaffing van de 30%-regeling een negatieve invloed heeft op het vestigingsklimaat.</w:t>
            </w:r>
          </w:p>
        </w:tc>
      </w:tr>
      <w:tr w:rsidRPr="002F7ADB" w:rsidR="00237B2B" w:rsidTr="00724485" w14:paraId="6768A6C7"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00237B2B" w:rsidP="00724485" w:rsidRDefault="00237B2B" w14:paraId="26E37B51" w14:textId="77777777">
            <w:pPr>
              <w:spacing w:after="0" w:line="276" w:lineRule="auto"/>
              <w:rPr>
                <w:rFonts w:ascii="Verdana" w:hAnsi="Verdana"/>
                <w:b/>
                <w:bCs/>
                <w:sz w:val="18"/>
                <w:szCs w:val="18"/>
              </w:rPr>
            </w:pPr>
            <w:r w:rsidRPr="00F11423">
              <w:rPr>
                <w:rFonts w:ascii="Verdana" w:hAnsi="Verdana"/>
                <w:b/>
                <w:bCs/>
                <w:sz w:val="18"/>
                <w:szCs w:val="18"/>
              </w:rPr>
              <w:t xml:space="preserve">Budgettaire aspecten: </w:t>
            </w:r>
          </w:p>
          <w:p w:rsidRPr="002F7ADB" w:rsidR="00237B2B" w:rsidP="00724485" w:rsidRDefault="00237B2B" w14:paraId="7FFEA764" w14:textId="77777777">
            <w:pPr>
              <w:spacing w:after="0" w:line="276" w:lineRule="auto"/>
              <w:rPr>
                <w:rFonts w:ascii="Verdana" w:hAnsi="Verdana" w:cs="Calibri"/>
                <w:sz w:val="18"/>
                <w:szCs w:val="18"/>
                <w14:ligatures w14:val="standardContextual"/>
              </w:rPr>
            </w:pPr>
            <w:bookmarkStart w:name="_Hlk182225640" w:id="4"/>
            <w:r w:rsidRPr="002F7ADB">
              <w:rPr>
                <w:rFonts w:ascii="Verdana" w:hAnsi="Verdana" w:cs="Calibri"/>
                <w:sz w:val="18"/>
                <w:szCs w:val="18"/>
              </w:rPr>
              <w:t>Het amendement brengt per 2030 structureel 774 miljoen op.</w:t>
            </w:r>
            <w:bookmarkEnd w:id="4"/>
          </w:p>
        </w:tc>
      </w:tr>
      <w:tr w:rsidRPr="00F11423" w:rsidR="00237B2B" w:rsidTr="00724485" w14:paraId="226A3B9F"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237B2B" w:rsidP="00724485" w:rsidRDefault="00237B2B" w14:paraId="34D31F73" w14:textId="77777777">
            <w:pPr>
              <w:spacing w:after="0" w:line="276" w:lineRule="auto"/>
              <w:rPr>
                <w:rFonts w:ascii="Verdana" w:hAnsi="Verdana"/>
                <w:b/>
                <w:bCs/>
                <w:sz w:val="18"/>
                <w:szCs w:val="18"/>
              </w:rPr>
            </w:pPr>
            <w:r w:rsidRPr="00F11423">
              <w:rPr>
                <w:rFonts w:ascii="Verdana" w:hAnsi="Verdana"/>
                <w:b/>
                <w:bCs/>
                <w:sz w:val="18"/>
                <w:szCs w:val="18"/>
              </w:rPr>
              <w:t xml:space="preserve">Uitvoeringsgevolgen: </w:t>
            </w:r>
            <w:r w:rsidRPr="00DC5B82">
              <w:rPr>
                <w:rFonts w:ascii="Verdana" w:hAnsi="Verdana" w:cs="Calibri"/>
                <w:color w:val="000000"/>
                <w:sz w:val="18"/>
                <w:szCs w:val="18"/>
                <w:lang w:eastAsia="nl-NL"/>
              </w:rPr>
              <w:t>Het voorstel heeft een groot effect op de bestaande en nog af te sluiten arbeidsovereenkomsten voor zowel werkgevers als ingekomen werknemers. Vanuit dat oogpunt is het voor deze werkgevers, maar ook voor de Belastingdienst belangrijk dat tijdig op de aangepaste regelgeving kan worden geanticipeerd. Ook voor de implementatie, zowel in de markt als voor de uitvoering van de Belastingdienst, is voldoende tijd nodig. Het ontbreken van overgangsrecht versterkt dit. De Belastingdienst verwacht daarom dat invoering per 1 januari 2025 niet haalbaar is</w:t>
            </w:r>
            <w:r>
              <w:rPr>
                <w:rFonts w:ascii="Verdana" w:hAnsi="Verdana" w:cs="Calibri"/>
                <w:color w:val="000000"/>
                <w:sz w:val="18"/>
                <w:szCs w:val="18"/>
                <w:lang w:eastAsia="nl-NL"/>
              </w:rPr>
              <w:t>.</w:t>
            </w:r>
          </w:p>
        </w:tc>
      </w:tr>
    </w:tbl>
    <w:p w:rsidRPr="00F11423" w:rsidR="00C53341" w:rsidP="00F11423" w:rsidRDefault="00C53341" w14:paraId="2490884E" w14:textId="77777777">
      <w:pPr>
        <w:spacing w:after="0" w:line="276" w:lineRule="auto"/>
        <w:rPr>
          <w:rFonts w:ascii="Verdana" w:hAnsi="Verdana"/>
          <w:b/>
          <w:bCs/>
          <w:sz w:val="18"/>
          <w:szCs w:val="18"/>
        </w:rPr>
      </w:pPr>
    </w:p>
    <w:p w:rsidRPr="00F11423" w:rsidR="001211E7" w:rsidP="00F11423" w:rsidRDefault="001211E7" w14:paraId="2CACB21D" w14:textId="178887CB">
      <w:pPr>
        <w:spacing w:after="0" w:line="276" w:lineRule="auto"/>
        <w:rPr>
          <w:rFonts w:ascii="Verdana" w:hAnsi="Verdana"/>
          <w:b/>
          <w:bCs/>
          <w:sz w:val="18"/>
          <w:szCs w:val="18"/>
        </w:rPr>
      </w:pPr>
      <w:r w:rsidRPr="00F11423">
        <w:rPr>
          <w:rFonts w:ascii="Verdana" w:hAnsi="Verdana"/>
          <w:b/>
          <w:bCs/>
          <w:sz w:val="18"/>
          <w:szCs w:val="18"/>
        </w:rPr>
        <w:t>Wetsvoorstel Fiscale Bedrijfsopvolgingsfaciliteiten</w:t>
      </w:r>
    </w:p>
    <w:p w:rsidRPr="00F11423" w:rsidR="009A37E0" w:rsidP="00F11423" w:rsidRDefault="009A37E0" w14:paraId="471AB212"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9A37E0" w:rsidTr="008D533C" w14:paraId="6C883478"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9A37E0" w:rsidP="00F11423" w:rsidRDefault="009A37E0" w14:paraId="662E3614" w14:textId="77777777">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36610 010</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9A37E0" w:rsidP="00F11423" w:rsidRDefault="009A37E0" w14:paraId="15DD796E" w14:textId="77777777">
            <w:pPr>
              <w:spacing w:after="0" w:line="276" w:lineRule="auto"/>
              <w:rPr>
                <w:rFonts w:ascii="Verdana" w:hAnsi="Verdana"/>
                <w:b/>
                <w:bCs/>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overgangsregeling BOR voor bedrijfsopvolgingen vanaf 2023 verkorting voortzettingstermijn</w:t>
            </w:r>
          </w:p>
        </w:tc>
      </w:tr>
      <w:tr w:rsidRPr="00F11423" w:rsidR="009A37E0" w:rsidTr="008D533C" w14:paraId="5B687D2E"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4051D2AF" w14:textId="77777777">
            <w:pPr>
              <w:spacing w:after="0" w:line="276" w:lineRule="auto"/>
              <w:rPr>
                <w:rFonts w:ascii="Verdana" w:hAnsi="Verdana"/>
                <w:b/>
                <w:bCs/>
                <w:sz w:val="18"/>
                <w:szCs w:val="18"/>
              </w:rPr>
            </w:pPr>
            <w:r w:rsidRPr="00F11423">
              <w:rPr>
                <w:rFonts w:ascii="Verdana" w:hAnsi="Verdana"/>
                <w:b/>
                <w:bCs/>
                <w:sz w:val="18"/>
                <w:szCs w:val="18"/>
              </w:rPr>
              <w:t xml:space="preserve">Indiener: </w:t>
            </w:r>
            <w:r w:rsidRPr="00F11423">
              <w:rPr>
                <w:rFonts w:ascii="Verdana" w:hAnsi="Verdana"/>
                <w:sz w:val="18"/>
                <w:szCs w:val="18"/>
              </w:rPr>
              <w:t xml:space="preserve">Van </w:t>
            </w:r>
            <w:proofErr w:type="gramStart"/>
            <w:r w:rsidRPr="00F11423">
              <w:rPr>
                <w:rFonts w:ascii="Verdana" w:hAnsi="Verdana"/>
                <w:sz w:val="18"/>
                <w:szCs w:val="18"/>
              </w:rPr>
              <w:t>Oostenbruggen  (</w:t>
            </w:r>
            <w:proofErr w:type="gramEnd"/>
            <w:r w:rsidRPr="00F11423">
              <w:rPr>
                <w:rFonts w:ascii="Verdana" w:hAnsi="Verdana"/>
                <w:sz w:val="18"/>
                <w:szCs w:val="18"/>
              </w:rPr>
              <w:t>NSC)</w:t>
            </w: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1E0C5D6A" w14:textId="0F911025">
            <w:pPr>
              <w:spacing w:after="0" w:line="276" w:lineRule="auto"/>
              <w:rPr>
                <w:rFonts w:ascii="Verdana" w:hAnsi="Verdana"/>
                <w:sz w:val="18"/>
                <w:szCs w:val="18"/>
              </w:rPr>
            </w:pPr>
            <w:r w:rsidRPr="00F11423">
              <w:rPr>
                <w:rFonts w:ascii="Verdana" w:hAnsi="Verdana"/>
                <w:b/>
                <w:bCs/>
                <w:sz w:val="18"/>
                <w:szCs w:val="18"/>
              </w:rPr>
              <w:t xml:space="preserve">Appreciatie: </w:t>
            </w:r>
            <w:r w:rsidRPr="00393EC1" w:rsidR="00393EC1">
              <w:rPr>
                <w:rFonts w:ascii="Verdana" w:hAnsi="Verdana"/>
                <w:sz w:val="18"/>
                <w:szCs w:val="18"/>
              </w:rPr>
              <w:t>O</w:t>
            </w:r>
            <w:r w:rsidRPr="00F11423">
              <w:rPr>
                <w:rFonts w:ascii="Verdana" w:hAnsi="Verdana"/>
                <w:sz w:val="18"/>
                <w:szCs w:val="18"/>
              </w:rPr>
              <w:t>ordeel Kamer</w:t>
            </w:r>
          </w:p>
        </w:tc>
      </w:tr>
      <w:tr w:rsidRPr="00F11423" w:rsidR="009A37E0" w:rsidTr="008D533C" w14:paraId="0BC3DEAD"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52972719" w14:textId="77777777">
            <w:pPr>
              <w:spacing w:after="0" w:line="276" w:lineRule="auto"/>
              <w:rPr>
                <w:rFonts w:ascii="Verdana" w:hAnsi="Verdana"/>
                <w:sz w:val="18"/>
                <w:szCs w:val="18"/>
              </w:rPr>
            </w:pPr>
            <w:r w:rsidRPr="00F11423">
              <w:rPr>
                <w:rFonts w:ascii="Verdana" w:hAnsi="Verdana"/>
                <w:b/>
                <w:bCs/>
                <w:sz w:val="18"/>
                <w:szCs w:val="18"/>
              </w:rPr>
              <w:t xml:space="preserve">Gevolgen: </w:t>
            </w:r>
            <w:r w:rsidRPr="00F11423">
              <w:rPr>
                <w:rFonts w:ascii="Verdana" w:hAnsi="Verdana"/>
                <w:sz w:val="18"/>
                <w:szCs w:val="18"/>
              </w:rPr>
              <w:t>Wetsvoorstel ziet op toekomstige bedrijfsopvolgingen, er is dus geen sprake van ongelijke behandeling. Deze overgangsregeling is niet nodig maar ook niet bezwaarlijk.</w:t>
            </w:r>
          </w:p>
        </w:tc>
      </w:tr>
      <w:tr w:rsidRPr="00F11423" w:rsidR="009A37E0" w:rsidTr="008D533C" w14:paraId="2B744824"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9A37E0" w:rsidP="00F11423" w:rsidRDefault="009A37E0" w14:paraId="7442383C" w14:textId="77777777">
            <w:pPr>
              <w:spacing w:after="0" w:line="276" w:lineRule="auto"/>
              <w:rPr>
                <w:rFonts w:ascii="Verdana" w:hAnsi="Verdana"/>
                <w:sz w:val="18"/>
                <w:szCs w:val="18"/>
              </w:rPr>
            </w:pPr>
            <w:r w:rsidRPr="00F11423">
              <w:rPr>
                <w:rFonts w:ascii="Verdana" w:hAnsi="Verdana"/>
                <w:b/>
                <w:bCs/>
                <w:sz w:val="18"/>
                <w:szCs w:val="18"/>
              </w:rPr>
              <w:t xml:space="preserve">Budgettaire aspecten: </w:t>
            </w:r>
            <w:r w:rsidRPr="00F11423">
              <w:rPr>
                <w:rFonts w:ascii="Verdana" w:hAnsi="Verdana"/>
                <w:sz w:val="18"/>
                <w:szCs w:val="18"/>
              </w:rPr>
              <w:t>dit amendement heeft geen budgettaire effecten.</w:t>
            </w:r>
          </w:p>
        </w:tc>
      </w:tr>
      <w:tr w:rsidRPr="00F11423" w:rsidR="009A37E0" w:rsidTr="008D533C" w14:paraId="50CD4CD7"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270047C0" w14:textId="61554EED">
            <w:pPr>
              <w:spacing w:after="0" w:line="276" w:lineRule="auto"/>
              <w:rPr>
                <w:rFonts w:ascii="Verdana" w:hAnsi="Verdana"/>
                <w:sz w:val="18"/>
                <w:szCs w:val="18"/>
              </w:rPr>
            </w:pPr>
            <w:r w:rsidRPr="00F11423">
              <w:rPr>
                <w:rFonts w:ascii="Verdana" w:hAnsi="Verdana"/>
                <w:b/>
                <w:bCs/>
                <w:sz w:val="18"/>
                <w:szCs w:val="18"/>
              </w:rPr>
              <w:t xml:space="preserve">Uitvoeringsgevolgen: </w:t>
            </w:r>
            <w:r w:rsidR="00BD72E3">
              <w:rPr>
                <w:rFonts w:ascii="Verdana" w:hAnsi="Verdana"/>
                <w:sz w:val="18"/>
                <w:szCs w:val="18"/>
              </w:rPr>
              <w:t>Uitvoerbaar per 1 januari 2025.</w:t>
            </w:r>
          </w:p>
        </w:tc>
      </w:tr>
    </w:tbl>
    <w:p w:rsidRPr="00F11423" w:rsidR="009A37E0" w:rsidP="00F11423" w:rsidRDefault="009A37E0" w14:paraId="6F09C7DE" w14:textId="77777777">
      <w:pPr>
        <w:spacing w:after="0" w:line="276" w:lineRule="auto"/>
        <w:rPr>
          <w:rFonts w:ascii="Verdana" w:hAnsi="Verdana"/>
          <w:sz w:val="18"/>
          <w:szCs w:val="18"/>
        </w:rPr>
      </w:pPr>
    </w:p>
    <w:tbl>
      <w:tblPr>
        <w:tblW w:w="9629" w:type="dxa"/>
        <w:tblCellMar>
          <w:left w:w="0" w:type="dxa"/>
          <w:right w:w="0" w:type="dxa"/>
        </w:tblCellMar>
        <w:tblLook w:val="04A0" w:firstRow="1" w:lastRow="0" w:firstColumn="1" w:lastColumn="0" w:noHBand="0" w:noVBand="1"/>
      </w:tblPr>
      <w:tblGrid>
        <w:gridCol w:w="3397"/>
        <w:gridCol w:w="6232"/>
      </w:tblGrid>
      <w:tr w:rsidRPr="00F11423" w:rsidR="009A37E0" w:rsidTr="008D533C" w14:paraId="71DF5A51" w14:textId="77777777">
        <w:tc>
          <w:tcPr>
            <w:tcW w:w="3397" w:type="dxa"/>
            <w:tcBorders>
              <w:top w:val="single" w:color="auto" w:sz="8" w:space="0"/>
              <w:left w:val="single" w:color="auto" w:sz="8" w:space="0"/>
              <w:bottom w:val="single" w:color="auto" w:sz="8" w:space="0"/>
              <w:right w:val="single" w:color="auto" w:sz="8" w:space="0"/>
            </w:tcBorders>
            <w:shd w:val="clear" w:color="auto" w:fill="9CC2E5"/>
            <w:tcMar>
              <w:top w:w="0" w:type="dxa"/>
              <w:left w:w="108" w:type="dxa"/>
              <w:bottom w:w="0" w:type="dxa"/>
              <w:right w:w="108" w:type="dxa"/>
            </w:tcMar>
            <w:hideMark/>
          </w:tcPr>
          <w:p w:rsidRPr="00F11423" w:rsidR="009A37E0" w:rsidP="00F11423" w:rsidRDefault="009A37E0" w14:paraId="08DAC4F2" w14:textId="77777777">
            <w:pPr>
              <w:spacing w:after="0" w:line="276" w:lineRule="auto"/>
              <w:rPr>
                <w:rFonts w:ascii="Verdana" w:hAnsi="Verdana"/>
                <w:sz w:val="18"/>
                <w:szCs w:val="18"/>
              </w:rPr>
            </w:pPr>
            <w:r w:rsidRPr="00F11423">
              <w:rPr>
                <w:rFonts w:ascii="Verdana" w:hAnsi="Verdana"/>
                <w:b/>
                <w:bCs/>
                <w:color w:val="000000"/>
                <w:sz w:val="18"/>
                <w:szCs w:val="18"/>
              </w:rPr>
              <w:t xml:space="preserve">Kamernummer: </w:t>
            </w:r>
            <w:r w:rsidRPr="00F11423">
              <w:rPr>
                <w:rFonts w:ascii="Verdana" w:hAnsi="Verdana"/>
                <w:color w:val="000000"/>
                <w:sz w:val="18"/>
                <w:szCs w:val="18"/>
              </w:rPr>
              <w:t xml:space="preserve">36610 011 </w:t>
            </w:r>
          </w:p>
        </w:tc>
        <w:tc>
          <w:tcPr>
            <w:tcW w:w="6232" w:type="dxa"/>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hideMark/>
          </w:tcPr>
          <w:p w:rsidRPr="00F11423" w:rsidR="009A37E0" w:rsidP="00F11423" w:rsidRDefault="009A37E0" w14:paraId="4BC223AC" w14:textId="77777777">
            <w:pPr>
              <w:spacing w:after="0" w:line="276" w:lineRule="auto"/>
              <w:rPr>
                <w:rFonts w:ascii="Verdana" w:hAnsi="Verdana"/>
                <w:sz w:val="18"/>
                <w:szCs w:val="18"/>
              </w:rPr>
            </w:pPr>
            <w:r w:rsidRPr="00F11423">
              <w:rPr>
                <w:rFonts w:ascii="Verdana" w:hAnsi="Verdana"/>
                <w:b/>
                <w:bCs/>
                <w:color w:val="000000"/>
                <w:sz w:val="18"/>
                <w:szCs w:val="18"/>
              </w:rPr>
              <w:t xml:space="preserve">Inhoud amendement: </w:t>
            </w:r>
            <w:r w:rsidRPr="00F11423">
              <w:rPr>
                <w:rFonts w:ascii="Verdana" w:hAnsi="Verdana"/>
                <w:color w:val="000000"/>
                <w:sz w:val="18"/>
                <w:szCs w:val="18"/>
              </w:rPr>
              <w:t>uitstel maatregel gewone aandelen met 5% belang totdat verruiming verwateringsregeling en toegang kleine familiebelangen in werking treden</w:t>
            </w:r>
          </w:p>
        </w:tc>
      </w:tr>
      <w:tr w:rsidRPr="00F11423" w:rsidR="009A37E0" w:rsidTr="008D533C" w14:paraId="355B7900" w14:textId="77777777">
        <w:tc>
          <w:tcPr>
            <w:tcW w:w="3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2098D7A7" w14:textId="77777777">
            <w:pPr>
              <w:spacing w:after="0" w:line="276" w:lineRule="auto"/>
              <w:rPr>
                <w:rFonts w:ascii="Verdana" w:hAnsi="Verdana"/>
                <w:sz w:val="18"/>
                <w:szCs w:val="18"/>
              </w:rPr>
            </w:pPr>
            <w:r w:rsidRPr="00F11423">
              <w:rPr>
                <w:rFonts w:ascii="Verdana" w:hAnsi="Verdana"/>
                <w:b/>
                <w:bCs/>
                <w:sz w:val="18"/>
                <w:szCs w:val="18"/>
              </w:rPr>
              <w:lastRenderedPageBreak/>
              <w:t xml:space="preserve">Indiener: </w:t>
            </w:r>
            <w:r w:rsidRPr="00F11423">
              <w:rPr>
                <w:rFonts w:ascii="Verdana" w:hAnsi="Verdana"/>
                <w:sz w:val="18"/>
                <w:szCs w:val="18"/>
              </w:rPr>
              <w:t>Stoffer (SGP), Van Eijk (VVD), Inge van Dijk (CDA), Vermeer (BBB)</w:t>
            </w:r>
          </w:p>
          <w:p w:rsidRPr="00F11423" w:rsidR="009A37E0" w:rsidP="00F11423" w:rsidRDefault="009A37E0" w14:paraId="2295EFD2" w14:textId="77777777">
            <w:pPr>
              <w:spacing w:after="0" w:line="276" w:lineRule="auto"/>
              <w:rPr>
                <w:rFonts w:ascii="Verdana" w:hAnsi="Verdana"/>
                <w:b/>
                <w:bCs/>
                <w:sz w:val="18"/>
                <w:szCs w:val="18"/>
              </w:rPr>
            </w:pPr>
          </w:p>
        </w:tc>
        <w:tc>
          <w:tcPr>
            <w:tcW w:w="6232" w:type="dxa"/>
            <w:tcBorders>
              <w:top w:val="nil"/>
              <w:left w:val="nil"/>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6D1E1012" w14:textId="7A4705DC">
            <w:pPr>
              <w:spacing w:after="0" w:line="276" w:lineRule="auto"/>
              <w:rPr>
                <w:rFonts w:ascii="Verdana" w:hAnsi="Verdana"/>
                <w:sz w:val="18"/>
                <w:szCs w:val="18"/>
              </w:rPr>
            </w:pPr>
            <w:r w:rsidRPr="00F11423">
              <w:rPr>
                <w:rFonts w:ascii="Verdana" w:hAnsi="Verdana"/>
                <w:b/>
                <w:bCs/>
                <w:sz w:val="18"/>
                <w:szCs w:val="18"/>
              </w:rPr>
              <w:t xml:space="preserve">Appreciatie: </w:t>
            </w:r>
            <w:r w:rsidR="00ED57B5">
              <w:rPr>
                <w:rFonts w:ascii="Verdana" w:hAnsi="Verdana"/>
                <w:sz w:val="18"/>
                <w:szCs w:val="18"/>
              </w:rPr>
              <w:t>O</w:t>
            </w:r>
            <w:r w:rsidRPr="00F11423">
              <w:rPr>
                <w:rFonts w:ascii="Verdana" w:hAnsi="Verdana"/>
                <w:sz w:val="18"/>
                <w:szCs w:val="18"/>
              </w:rPr>
              <w:t>ordeel Kamer</w:t>
            </w:r>
          </w:p>
        </w:tc>
      </w:tr>
      <w:tr w:rsidRPr="00F11423" w:rsidR="009A37E0" w:rsidTr="008D533C" w14:paraId="54EE646F"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113DD596" w14:textId="77777777">
            <w:pPr>
              <w:spacing w:after="0" w:line="276" w:lineRule="auto"/>
              <w:rPr>
                <w:rFonts w:ascii="Verdana" w:hAnsi="Verdana"/>
                <w:b/>
                <w:bCs/>
                <w:sz w:val="18"/>
                <w:szCs w:val="18"/>
              </w:rPr>
            </w:pPr>
            <w:r w:rsidRPr="00F11423">
              <w:rPr>
                <w:rFonts w:ascii="Verdana" w:hAnsi="Verdana"/>
                <w:b/>
                <w:bCs/>
                <w:sz w:val="18"/>
                <w:szCs w:val="18"/>
              </w:rPr>
              <w:t xml:space="preserve">Gevolgen: </w:t>
            </w:r>
          </w:p>
          <w:p w:rsidRPr="00F11423" w:rsidR="009A37E0" w:rsidP="00F11423" w:rsidRDefault="009A37E0" w14:paraId="0C379424" w14:textId="77777777">
            <w:pPr>
              <w:spacing w:after="0" w:line="276" w:lineRule="auto"/>
              <w:rPr>
                <w:rFonts w:ascii="Verdana" w:hAnsi="Verdana" w:cs="Arial"/>
                <w:bCs/>
                <w:sz w:val="18"/>
                <w:szCs w:val="18"/>
                <w:lang w:eastAsia="zh-CN" w:bidi="hi-IN"/>
              </w:rPr>
            </w:pPr>
            <w:r w:rsidRPr="00F11423">
              <w:rPr>
                <w:rFonts w:ascii="Verdana" w:hAnsi="Verdana" w:cs="Arial"/>
                <w:bCs/>
                <w:sz w:val="18"/>
                <w:szCs w:val="18"/>
                <w:lang w:eastAsia="zh-CN" w:bidi="hi-IN"/>
              </w:rPr>
              <w:t xml:space="preserve">De beperking voor de BOR en DSR </w:t>
            </w:r>
            <w:proofErr w:type="spellStart"/>
            <w:r w:rsidRPr="00F11423">
              <w:rPr>
                <w:rFonts w:ascii="Verdana" w:hAnsi="Verdana" w:cs="Arial"/>
                <w:bCs/>
                <w:sz w:val="18"/>
                <w:szCs w:val="18"/>
                <w:lang w:eastAsia="zh-CN" w:bidi="hi-IN"/>
              </w:rPr>
              <w:t>ab</w:t>
            </w:r>
            <w:proofErr w:type="spellEnd"/>
            <w:r w:rsidRPr="00F11423">
              <w:rPr>
                <w:rFonts w:ascii="Verdana" w:hAnsi="Verdana" w:cs="Arial"/>
                <w:bCs/>
                <w:sz w:val="18"/>
                <w:szCs w:val="18"/>
                <w:lang w:eastAsia="zh-CN" w:bidi="hi-IN"/>
              </w:rPr>
              <w:t xml:space="preserve"> tot gewone aandelen met een belang van minimaal 5% gaat pas in zodra de verruiming van de verwateringsregeling </w:t>
            </w:r>
            <w:r w:rsidRPr="00F11423">
              <w:rPr>
                <w:rFonts w:ascii="Verdana" w:hAnsi="Verdana" w:cs="Arial"/>
                <w:sz w:val="18"/>
                <w:szCs w:val="18"/>
              </w:rPr>
              <w:t xml:space="preserve">voor de BOR en DSR </w:t>
            </w:r>
            <w:proofErr w:type="spellStart"/>
            <w:r w:rsidRPr="00F11423">
              <w:rPr>
                <w:rFonts w:ascii="Verdana" w:hAnsi="Verdana" w:cs="Arial"/>
                <w:sz w:val="18"/>
                <w:szCs w:val="18"/>
              </w:rPr>
              <w:t>ab</w:t>
            </w:r>
            <w:proofErr w:type="spellEnd"/>
            <w:r w:rsidRPr="00F11423">
              <w:rPr>
                <w:rFonts w:ascii="Verdana" w:hAnsi="Verdana" w:cs="Arial"/>
                <w:sz w:val="18"/>
                <w:szCs w:val="18"/>
              </w:rPr>
              <w:t xml:space="preserve"> </w:t>
            </w:r>
            <w:r w:rsidRPr="00F11423">
              <w:rPr>
                <w:rFonts w:ascii="Verdana" w:hAnsi="Verdana" w:cs="Arial"/>
                <w:bCs/>
                <w:sz w:val="18"/>
                <w:szCs w:val="18"/>
                <w:lang w:eastAsia="zh-CN" w:bidi="hi-IN"/>
              </w:rPr>
              <w:t xml:space="preserve">en de </w:t>
            </w:r>
            <w:proofErr w:type="spellStart"/>
            <w:r w:rsidRPr="00F11423">
              <w:rPr>
                <w:rFonts w:ascii="Verdana" w:hAnsi="Verdana" w:cs="Arial"/>
                <w:bCs/>
                <w:sz w:val="18"/>
                <w:szCs w:val="18"/>
                <w:lang w:eastAsia="zh-CN" w:bidi="hi-IN"/>
              </w:rPr>
              <w:t>familietoetsmaatregel</w:t>
            </w:r>
            <w:proofErr w:type="spellEnd"/>
            <w:r w:rsidRPr="00F11423">
              <w:rPr>
                <w:rFonts w:ascii="Verdana" w:hAnsi="Verdana" w:cs="Arial"/>
                <w:bCs/>
                <w:sz w:val="18"/>
                <w:szCs w:val="18"/>
                <w:lang w:eastAsia="zh-CN" w:bidi="hi-IN"/>
              </w:rPr>
              <w:t xml:space="preserve"> voor de BOR in werking treden. Dit leidt wel tot </w:t>
            </w:r>
            <w:r w:rsidRPr="00F11423">
              <w:rPr>
                <w:rFonts w:ascii="Verdana" w:hAnsi="Verdana" w:cs="Arial"/>
                <w:sz w:val="18"/>
                <w:szCs w:val="18"/>
              </w:rPr>
              <w:t>enige onzekerheid voor belastingplichtigen, omdat zij niet weten tot welke datum het huidige regime nog geldt en vanaf wanneer die andere twee maatregelen gaan gelden. Dit maakt het plannen van de bedrijfsopvolging lastiger.</w:t>
            </w:r>
            <w:r w:rsidRPr="00F11423">
              <w:rPr>
                <w:rFonts w:ascii="Verdana" w:hAnsi="Verdana" w:cs="Arial"/>
                <w:bCs/>
                <w:sz w:val="18"/>
                <w:szCs w:val="18"/>
                <w:lang w:eastAsia="zh-CN" w:bidi="hi-IN"/>
              </w:rPr>
              <w:t xml:space="preserve"> </w:t>
            </w:r>
          </w:p>
          <w:p w:rsidRPr="00F11423" w:rsidR="009A37E0" w:rsidP="00F11423" w:rsidRDefault="009A37E0" w14:paraId="4B3AE8D7" w14:textId="77777777">
            <w:pPr>
              <w:spacing w:after="0" w:line="276" w:lineRule="auto"/>
              <w:rPr>
                <w:rFonts w:ascii="Verdana" w:hAnsi="Verdana"/>
                <w:sz w:val="18"/>
                <w:szCs w:val="18"/>
              </w:rPr>
            </w:pPr>
            <w:r w:rsidRPr="00F11423">
              <w:rPr>
                <w:rFonts w:ascii="Verdana" w:hAnsi="Verdana" w:cs="Arial"/>
                <w:bCs/>
                <w:sz w:val="18"/>
                <w:szCs w:val="18"/>
                <w:lang w:eastAsia="zh-CN" w:bidi="hi-IN"/>
              </w:rPr>
              <w:t>Het amendement is aanvaardbaar voor het kabinet.</w:t>
            </w:r>
          </w:p>
          <w:p w:rsidRPr="00F11423" w:rsidR="009A37E0" w:rsidP="00F11423" w:rsidRDefault="009A37E0" w14:paraId="2E03700D" w14:textId="77777777">
            <w:pPr>
              <w:spacing w:after="0" w:line="276" w:lineRule="auto"/>
              <w:rPr>
                <w:rFonts w:ascii="Verdana" w:hAnsi="Verdana"/>
                <w:sz w:val="18"/>
                <w:szCs w:val="18"/>
              </w:rPr>
            </w:pPr>
          </w:p>
        </w:tc>
      </w:tr>
      <w:tr w:rsidRPr="00F11423" w:rsidR="009A37E0" w:rsidTr="008D533C" w14:paraId="21E97925"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F11423" w:rsidR="009A37E0" w:rsidP="00ED57B5" w:rsidRDefault="009A37E0" w14:paraId="588FDBA0" w14:textId="2D9D1EC7">
            <w:pPr>
              <w:spacing w:after="0" w:line="276" w:lineRule="auto"/>
              <w:rPr>
                <w:rFonts w:ascii="Verdana" w:hAnsi="Verdana"/>
                <w:sz w:val="18"/>
                <w:szCs w:val="18"/>
              </w:rPr>
            </w:pPr>
            <w:r w:rsidRPr="00F11423">
              <w:rPr>
                <w:rFonts w:ascii="Verdana" w:hAnsi="Verdana"/>
                <w:b/>
                <w:bCs/>
                <w:sz w:val="18"/>
                <w:szCs w:val="18"/>
              </w:rPr>
              <w:t xml:space="preserve">Budgettaire aspecten: </w:t>
            </w:r>
            <w:r w:rsidR="00ED57B5">
              <w:rPr>
                <w:rFonts w:ascii="Verdana" w:hAnsi="Verdana"/>
                <w:sz w:val="18"/>
                <w:szCs w:val="18"/>
              </w:rPr>
              <w:t>Aan het amendement zitten geen budgettaire gevolgen.</w:t>
            </w:r>
            <w:r w:rsidRPr="00F11423">
              <w:rPr>
                <w:rFonts w:ascii="Verdana" w:hAnsi="Verdana"/>
                <w:sz w:val="18"/>
                <w:szCs w:val="18"/>
              </w:rPr>
              <w:t xml:space="preserve"> </w:t>
            </w:r>
          </w:p>
        </w:tc>
      </w:tr>
      <w:tr w:rsidRPr="00F11423" w:rsidR="009A37E0" w:rsidTr="008D533C" w14:paraId="6ED70B71" w14:textId="77777777">
        <w:tc>
          <w:tcPr>
            <w:tcW w:w="9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1423" w:rsidR="009A37E0" w:rsidP="00F11423" w:rsidRDefault="009A37E0" w14:paraId="14D94920" w14:textId="602C0B3F">
            <w:pPr>
              <w:spacing w:after="0" w:line="276" w:lineRule="auto"/>
              <w:rPr>
                <w:rFonts w:ascii="Verdana" w:hAnsi="Verdana"/>
                <w:sz w:val="18"/>
                <w:szCs w:val="18"/>
              </w:rPr>
            </w:pPr>
            <w:r w:rsidRPr="00F11423">
              <w:rPr>
                <w:rFonts w:ascii="Verdana" w:hAnsi="Verdana"/>
                <w:b/>
                <w:bCs/>
                <w:sz w:val="18"/>
                <w:szCs w:val="18"/>
              </w:rPr>
              <w:t xml:space="preserve">Uitvoeringsgevolgen: </w:t>
            </w:r>
            <w:r w:rsidRPr="00F11423" w:rsidR="00BD72E3">
              <w:rPr>
                <w:rFonts w:ascii="Verdana" w:hAnsi="Verdana"/>
                <w:color w:val="000000"/>
                <w:sz w:val="18"/>
                <w:szCs w:val="18"/>
              </w:rPr>
              <w:t xml:space="preserve">Uitvoerbaar per: </w:t>
            </w:r>
            <w:r w:rsidR="00BD72E3">
              <w:rPr>
                <w:rFonts w:ascii="Verdana" w:hAnsi="Verdana"/>
                <w:color w:val="000000"/>
                <w:sz w:val="18"/>
                <w:szCs w:val="18"/>
              </w:rPr>
              <w:t>koninklijk besluit</w:t>
            </w:r>
            <w:r w:rsidRPr="00F11423" w:rsidR="00BD72E3">
              <w:rPr>
                <w:rFonts w:ascii="Verdana" w:hAnsi="Verdana"/>
                <w:color w:val="000000"/>
                <w:sz w:val="18"/>
                <w:szCs w:val="18"/>
              </w:rPr>
              <w:t>, afhankelijk van de inwerkingtreding van het in 2023 aangenomen amendement Van Dijk en Erkens (36421 nr. 11).</w:t>
            </w:r>
          </w:p>
        </w:tc>
      </w:tr>
    </w:tbl>
    <w:p w:rsidRPr="00F11423" w:rsidR="001211E7" w:rsidP="00F11423" w:rsidRDefault="001211E7" w14:paraId="71D8FE9D" w14:textId="77777777">
      <w:pPr>
        <w:spacing w:after="0" w:line="276" w:lineRule="auto"/>
        <w:rPr>
          <w:rFonts w:ascii="Verdana" w:hAnsi="Verdana"/>
          <w:sz w:val="18"/>
          <w:szCs w:val="18"/>
        </w:rPr>
      </w:pPr>
    </w:p>
    <w:sectPr w:rsidRPr="00F11423" w:rsidR="001211E7">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011E" w14:textId="77777777" w:rsidR="00AE4A9C" w:rsidRDefault="00AE4A9C" w:rsidP="00AE4A9C">
      <w:pPr>
        <w:spacing w:after="0" w:line="240" w:lineRule="auto"/>
      </w:pPr>
      <w:r>
        <w:separator/>
      </w:r>
    </w:p>
  </w:endnote>
  <w:endnote w:type="continuationSeparator" w:id="0">
    <w:p w14:paraId="574D68BD" w14:textId="77777777" w:rsidR="00AE4A9C" w:rsidRDefault="00AE4A9C" w:rsidP="00AE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236248"/>
      <w:docPartObj>
        <w:docPartGallery w:val="Page Numbers (Bottom of Page)"/>
        <w:docPartUnique/>
      </w:docPartObj>
    </w:sdtPr>
    <w:sdtEndPr/>
    <w:sdtContent>
      <w:p w14:paraId="32863651" w14:textId="70E7564C" w:rsidR="00AE4A9C" w:rsidRDefault="00AE4A9C">
        <w:pPr>
          <w:pStyle w:val="Voettekst"/>
          <w:jc w:val="right"/>
        </w:pPr>
        <w:r>
          <w:fldChar w:fldCharType="begin"/>
        </w:r>
        <w:r>
          <w:instrText>PAGE   \* MERGEFORMAT</w:instrText>
        </w:r>
        <w:r>
          <w:fldChar w:fldCharType="separate"/>
        </w:r>
        <w:r>
          <w:t>2</w:t>
        </w:r>
        <w:r>
          <w:fldChar w:fldCharType="end"/>
        </w:r>
      </w:p>
    </w:sdtContent>
  </w:sdt>
  <w:p w14:paraId="44127E60" w14:textId="77777777" w:rsidR="00AE4A9C" w:rsidRDefault="00AE4A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8C61" w14:textId="77777777" w:rsidR="00AE4A9C" w:rsidRDefault="00AE4A9C" w:rsidP="00AE4A9C">
      <w:pPr>
        <w:spacing w:after="0" w:line="240" w:lineRule="auto"/>
      </w:pPr>
      <w:r>
        <w:separator/>
      </w:r>
    </w:p>
  </w:footnote>
  <w:footnote w:type="continuationSeparator" w:id="0">
    <w:p w14:paraId="18BC64B5" w14:textId="77777777" w:rsidR="00AE4A9C" w:rsidRDefault="00AE4A9C" w:rsidP="00AE4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12D"/>
    <w:multiLevelType w:val="hybridMultilevel"/>
    <w:tmpl w:val="79FAE80E"/>
    <w:lvl w:ilvl="0" w:tplc="A7921D26">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61025E"/>
    <w:multiLevelType w:val="hybridMultilevel"/>
    <w:tmpl w:val="F2DA4910"/>
    <w:lvl w:ilvl="0" w:tplc="DDA0CE68">
      <w:numFmt w:val="bullet"/>
      <w:lvlText w:val=""/>
      <w:lvlJc w:val="left"/>
      <w:pPr>
        <w:ind w:left="360" w:hanging="360"/>
      </w:pPr>
      <w:rPr>
        <w:rFonts w:ascii="Symbol" w:eastAsiaTheme="minorHAnsi" w:hAnsi="Symbol"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3DB74A3"/>
    <w:multiLevelType w:val="hybridMultilevel"/>
    <w:tmpl w:val="B8E6F7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D410001"/>
    <w:multiLevelType w:val="hybridMultilevel"/>
    <w:tmpl w:val="B76E8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1F0C2F"/>
    <w:multiLevelType w:val="hybridMultilevel"/>
    <w:tmpl w:val="51FEE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75420A"/>
    <w:multiLevelType w:val="hybridMultilevel"/>
    <w:tmpl w:val="BD6082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584306">
    <w:abstractNumId w:val="2"/>
  </w:num>
  <w:num w:numId="2" w16cid:durableId="182325709">
    <w:abstractNumId w:val="4"/>
  </w:num>
  <w:num w:numId="3" w16cid:durableId="36316141">
    <w:abstractNumId w:val="1"/>
  </w:num>
  <w:num w:numId="4" w16cid:durableId="1959951088">
    <w:abstractNumId w:val="5"/>
  </w:num>
  <w:num w:numId="5" w16cid:durableId="461848001">
    <w:abstractNumId w:val="3"/>
  </w:num>
  <w:num w:numId="6" w16cid:durableId="19237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91"/>
    <w:rsid w:val="001114D3"/>
    <w:rsid w:val="00111B00"/>
    <w:rsid w:val="00113757"/>
    <w:rsid w:val="001211E7"/>
    <w:rsid w:val="00137294"/>
    <w:rsid w:val="0017102A"/>
    <w:rsid w:val="001809A9"/>
    <w:rsid w:val="00182F56"/>
    <w:rsid w:val="001837D7"/>
    <w:rsid w:val="001C0E41"/>
    <w:rsid w:val="001E1C57"/>
    <w:rsid w:val="002224C4"/>
    <w:rsid w:val="00227927"/>
    <w:rsid w:val="00237B2B"/>
    <w:rsid w:val="002F2453"/>
    <w:rsid w:val="002F7ADB"/>
    <w:rsid w:val="003249FC"/>
    <w:rsid w:val="00361281"/>
    <w:rsid w:val="00393EC1"/>
    <w:rsid w:val="003C246F"/>
    <w:rsid w:val="00445762"/>
    <w:rsid w:val="00450A0F"/>
    <w:rsid w:val="004526F3"/>
    <w:rsid w:val="004C0691"/>
    <w:rsid w:val="004F7C0D"/>
    <w:rsid w:val="006125C6"/>
    <w:rsid w:val="006D0C4A"/>
    <w:rsid w:val="0071599A"/>
    <w:rsid w:val="007531E7"/>
    <w:rsid w:val="007D3D79"/>
    <w:rsid w:val="00807D83"/>
    <w:rsid w:val="0083713B"/>
    <w:rsid w:val="00886438"/>
    <w:rsid w:val="008D533C"/>
    <w:rsid w:val="00927F0F"/>
    <w:rsid w:val="009A37E0"/>
    <w:rsid w:val="00A4538A"/>
    <w:rsid w:val="00AC155B"/>
    <w:rsid w:val="00AE4A9C"/>
    <w:rsid w:val="00B353CC"/>
    <w:rsid w:val="00B47A98"/>
    <w:rsid w:val="00BA26F9"/>
    <w:rsid w:val="00BD625F"/>
    <w:rsid w:val="00BD72E3"/>
    <w:rsid w:val="00C53341"/>
    <w:rsid w:val="00C86796"/>
    <w:rsid w:val="00D06FA3"/>
    <w:rsid w:val="00D50E85"/>
    <w:rsid w:val="00D5761B"/>
    <w:rsid w:val="00DC5B82"/>
    <w:rsid w:val="00DD5D29"/>
    <w:rsid w:val="00E30D2A"/>
    <w:rsid w:val="00E35960"/>
    <w:rsid w:val="00EC0D04"/>
    <w:rsid w:val="00ED57B5"/>
    <w:rsid w:val="00ED64E9"/>
    <w:rsid w:val="00EE1FA4"/>
    <w:rsid w:val="00EE5A45"/>
    <w:rsid w:val="00F11423"/>
    <w:rsid w:val="00F67E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E92552"/>
  <w15:chartTrackingRefBased/>
  <w15:docId w15:val="{3C655E70-AE1A-46BE-B495-0CBCEA7C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0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f01">
    <w:name w:val="cf01"/>
    <w:basedOn w:val="Standaardalinea-lettertype"/>
    <w:rsid w:val="00BA26F9"/>
    <w:rPr>
      <w:rFonts w:ascii="Segoe UI" w:hAnsi="Segoe UI" w:cs="Segoe UI" w:hint="default"/>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A26F9"/>
    <w:pPr>
      <w:spacing w:after="0" w:line="240" w:lineRule="auto"/>
      <w:ind w:left="720"/>
      <w:contextualSpacing/>
    </w:pPr>
    <w:rPr>
      <w:rFonts w:ascii="Calibri" w:hAnsi="Calibri" w:cs="Calibri"/>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A26F9"/>
    <w:rPr>
      <w:rFonts w:ascii="Calibri" w:hAnsi="Calibri" w:cs="Calibri"/>
      <w:kern w:val="0"/>
    </w:rPr>
  </w:style>
  <w:style w:type="table" w:styleId="Tabelraster">
    <w:name w:val="Table Grid"/>
    <w:basedOn w:val="Standaardtabel"/>
    <w:rsid w:val="00BA26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F7C0D"/>
    <w:rPr>
      <w:sz w:val="16"/>
      <w:szCs w:val="16"/>
    </w:rPr>
  </w:style>
  <w:style w:type="paragraph" w:styleId="Tekstopmerking">
    <w:name w:val="annotation text"/>
    <w:basedOn w:val="Standaard"/>
    <w:link w:val="TekstopmerkingChar"/>
    <w:uiPriority w:val="99"/>
    <w:unhideWhenUsed/>
    <w:rsid w:val="004F7C0D"/>
    <w:pPr>
      <w:spacing w:after="0" w:line="240" w:lineRule="auto"/>
    </w:pPr>
    <w:rPr>
      <w:rFonts w:ascii="Calibri" w:hAnsi="Calibri" w:cs="Calibri"/>
      <w:sz w:val="20"/>
      <w:szCs w:val="20"/>
    </w:rPr>
  </w:style>
  <w:style w:type="character" w:customStyle="1" w:styleId="TekstopmerkingChar">
    <w:name w:val="Tekst opmerking Char"/>
    <w:basedOn w:val="Standaardalinea-lettertype"/>
    <w:link w:val="Tekstopmerking"/>
    <w:uiPriority w:val="99"/>
    <w:rsid w:val="004F7C0D"/>
    <w:rPr>
      <w:rFonts w:ascii="Calibri" w:hAnsi="Calibri" w:cs="Calibri"/>
      <w:kern w:val="0"/>
      <w:sz w:val="20"/>
      <w:szCs w:val="20"/>
      <w14:ligatures w14:val="none"/>
    </w:rPr>
  </w:style>
  <w:style w:type="paragraph" w:styleId="Geenafstand">
    <w:name w:val="No Spacing"/>
    <w:uiPriority w:val="1"/>
    <w:qFormat/>
    <w:rsid w:val="004F7C0D"/>
    <w:pPr>
      <w:spacing w:after="0" w:line="240" w:lineRule="auto"/>
    </w:pPr>
    <w:rPr>
      <w:rFonts w:ascii="Verdana" w:hAnsi="Verdana"/>
      <w:kern w:val="0"/>
      <w:sz w:val="18"/>
      <w14:ligatures w14:val="none"/>
    </w:rPr>
  </w:style>
  <w:style w:type="table" w:customStyle="1" w:styleId="Rastertabel4-Accent51">
    <w:name w:val="Rastertabel 4 - Accent 51"/>
    <w:basedOn w:val="Standaardtabel"/>
    <w:next w:val="Rastertabel4-Accent5"/>
    <w:uiPriority w:val="49"/>
    <w:rsid w:val="00EC0D04"/>
    <w:pPr>
      <w:spacing w:after="0" w:line="240" w:lineRule="auto"/>
    </w:pPr>
    <w:rPr>
      <w:rFonts w:ascii="Calibri" w:eastAsia="Calibri" w:hAnsi="Calibri" w:cs="Times New Roman"/>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EC0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Onderwerpvanopmerking">
    <w:name w:val="annotation subject"/>
    <w:basedOn w:val="Tekstopmerking"/>
    <w:next w:val="Tekstopmerking"/>
    <w:link w:val="OnderwerpvanopmerkingChar"/>
    <w:uiPriority w:val="99"/>
    <w:semiHidden/>
    <w:unhideWhenUsed/>
    <w:rsid w:val="00EE1FA4"/>
    <w:pPr>
      <w:spacing w:after="160"/>
    </w:pPr>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EE1FA4"/>
    <w:rPr>
      <w:rFonts w:ascii="Calibri" w:hAnsi="Calibri" w:cs="Calibri"/>
      <w:b/>
      <w:bCs/>
      <w:kern w:val="0"/>
      <w:sz w:val="20"/>
      <w:szCs w:val="20"/>
      <w14:ligatures w14:val="none"/>
    </w:rPr>
  </w:style>
  <w:style w:type="paragraph" w:styleId="Koptekst">
    <w:name w:val="header"/>
    <w:basedOn w:val="Standaard"/>
    <w:link w:val="KoptekstChar"/>
    <w:uiPriority w:val="99"/>
    <w:unhideWhenUsed/>
    <w:rsid w:val="00AE4A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4A9C"/>
    <w:rPr>
      <w:kern w:val="0"/>
      <w14:ligatures w14:val="none"/>
    </w:rPr>
  </w:style>
  <w:style w:type="paragraph" w:styleId="Voettekst">
    <w:name w:val="footer"/>
    <w:basedOn w:val="Standaard"/>
    <w:link w:val="VoettekstChar"/>
    <w:uiPriority w:val="99"/>
    <w:unhideWhenUsed/>
    <w:rsid w:val="00AE4A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4A9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5720">
      <w:bodyDiv w:val="1"/>
      <w:marLeft w:val="0"/>
      <w:marRight w:val="0"/>
      <w:marTop w:val="0"/>
      <w:marBottom w:val="0"/>
      <w:divBdr>
        <w:top w:val="none" w:sz="0" w:space="0" w:color="auto"/>
        <w:left w:val="none" w:sz="0" w:space="0" w:color="auto"/>
        <w:bottom w:val="none" w:sz="0" w:space="0" w:color="auto"/>
        <w:right w:val="none" w:sz="0" w:space="0" w:color="auto"/>
      </w:divBdr>
    </w:div>
    <w:div w:id="522091137">
      <w:bodyDiv w:val="1"/>
      <w:marLeft w:val="0"/>
      <w:marRight w:val="0"/>
      <w:marTop w:val="0"/>
      <w:marBottom w:val="0"/>
      <w:divBdr>
        <w:top w:val="none" w:sz="0" w:space="0" w:color="auto"/>
        <w:left w:val="none" w:sz="0" w:space="0" w:color="auto"/>
        <w:bottom w:val="none" w:sz="0" w:space="0" w:color="auto"/>
        <w:right w:val="none" w:sz="0" w:space="0" w:color="auto"/>
      </w:divBdr>
    </w:div>
    <w:div w:id="671029443">
      <w:bodyDiv w:val="1"/>
      <w:marLeft w:val="0"/>
      <w:marRight w:val="0"/>
      <w:marTop w:val="0"/>
      <w:marBottom w:val="0"/>
      <w:divBdr>
        <w:top w:val="none" w:sz="0" w:space="0" w:color="auto"/>
        <w:left w:val="none" w:sz="0" w:space="0" w:color="auto"/>
        <w:bottom w:val="none" w:sz="0" w:space="0" w:color="auto"/>
        <w:right w:val="none" w:sz="0" w:space="0" w:color="auto"/>
      </w:divBdr>
    </w:div>
    <w:div w:id="939994388">
      <w:bodyDiv w:val="1"/>
      <w:marLeft w:val="0"/>
      <w:marRight w:val="0"/>
      <w:marTop w:val="0"/>
      <w:marBottom w:val="0"/>
      <w:divBdr>
        <w:top w:val="none" w:sz="0" w:space="0" w:color="auto"/>
        <w:left w:val="none" w:sz="0" w:space="0" w:color="auto"/>
        <w:bottom w:val="none" w:sz="0" w:space="0" w:color="auto"/>
        <w:right w:val="none" w:sz="0" w:space="0" w:color="auto"/>
      </w:divBdr>
    </w:div>
    <w:div w:id="1254634018">
      <w:bodyDiv w:val="1"/>
      <w:marLeft w:val="0"/>
      <w:marRight w:val="0"/>
      <w:marTop w:val="0"/>
      <w:marBottom w:val="0"/>
      <w:divBdr>
        <w:top w:val="none" w:sz="0" w:space="0" w:color="auto"/>
        <w:left w:val="none" w:sz="0" w:space="0" w:color="auto"/>
        <w:bottom w:val="none" w:sz="0" w:space="0" w:color="auto"/>
        <w:right w:val="none" w:sz="0" w:space="0" w:color="auto"/>
      </w:divBdr>
    </w:div>
    <w:div w:id="1636567929">
      <w:bodyDiv w:val="1"/>
      <w:marLeft w:val="0"/>
      <w:marRight w:val="0"/>
      <w:marTop w:val="0"/>
      <w:marBottom w:val="0"/>
      <w:divBdr>
        <w:top w:val="none" w:sz="0" w:space="0" w:color="auto"/>
        <w:left w:val="none" w:sz="0" w:space="0" w:color="auto"/>
        <w:bottom w:val="none" w:sz="0" w:space="0" w:color="auto"/>
        <w:right w:val="none" w:sz="0" w:space="0" w:color="auto"/>
      </w:divBdr>
    </w:div>
    <w:div w:id="205647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5139</ap:Words>
  <ap:Characters>28267</ap:Characters>
  <ap:DocSecurity>0</ap:DocSecurity>
  <ap:Lines>235</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2024-11-11T18:52:00.0000000Z</dcterms:created>
  <dcterms:modified xsi:type="dcterms:W3CDTF">2024-11-11T18:52:00.0000000Z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2024-11-08T17:10:25Z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2b9470a3-da95-4be6-a546-cbaeeb546d70</vt:lpwstr>
  </property>
  <property fmtid="{D5CDD505-2E9C-101B-9397-08002B2CF9AE}" pid="8" name="MSIP_Label_b2aa6e22-2c82-48c6-bf24-1790f4b9c128_ContentBits">
    <vt:lpwstr>0</vt:lpwstr>
  </property>
</Properties>
</file>