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E0A37EB" w14:textId="77777777">
        <w:tc>
          <w:tcPr>
            <w:tcW w:w="6379" w:type="dxa"/>
            <w:gridSpan w:val="2"/>
            <w:tcBorders>
              <w:top w:val="nil"/>
              <w:left w:val="nil"/>
              <w:bottom w:val="nil"/>
              <w:right w:val="nil"/>
            </w:tcBorders>
            <w:vAlign w:val="center"/>
          </w:tcPr>
          <w:p w:rsidR="004330ED" w:rsidP="00EA1CE4" w:rsidRDefault="004330ED" w14:paraId="0336D50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997C26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E9915E8" w14:textId="77777777">
        <w:trPr>
          <w:cantSplit/>
        </w:trPr>
        <w:tc>
          <w:tcPr>
            <w:tcW w:w="10348" w:type="dxa"/>
            <w:gridSpan w:val="3"/>
            <w:tcBorders>
              <w:top w:val="single" w:color="auto" w:sz="4" w:space="0"/>
              <w:left w:val="nil"/>
              <w:bottom w:val="nil"/>
              <w:right w:val="nil"/>
            </w:tcBorders>
          </w:tcPr>
          <w:p w:rsidR="004330ED" w:rsidP="004A1E29" w:rsidRDefault="004330ED" w14:paraId="69103A4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E6B2923" w14:textId="77777777">
        <w:trPr>
          <w:cantSplit/>
        </w:trPr>
        <w:tc>
          <w:tcPr>
            <w:tcW w:w="10348" w:type="dxa"/>
            <w:gridSpan w:val="3"/>
            <w:tcBorders>
              <w:top w:val="nil"/>
              <w:left w:val="nil"/>
              <w:bottom w:val="nil"/>
              <w:right w:val="nil"/>
            </w:tcBorders>
          </w:tcPr>
          <w:p w:rsidR="004330ED" w:rsidP="00BF623B" w:rsidRDefault="004330ED" w14:paraId="41EA23C6" w14:textId="77777777">
            <w:pPr>
              <w:pStyle w:val="Amendement"/>
              <w:tabs>
                <w:tab w:val="clear" w:pos="3310"/>
                <w:tab w:val="clear" w:pos="3600"/>
              </w:tabs>
              <w:rPr>
                <w:rFonts w:ascii="Times New Roman" w:hAnsi="Times New Roman"/>
                <w:b w:val="0"/>
              </w:rPr>
            </w:pPr>
          </w:p>
        </w:tc>
      </w:tr>
      <w:tr w:rsidR="004330ED" w:rsidTr="00EA1CE4" w14:paraId="67CF5532" w14:textId="77777777">
        <w:trPr>
          <w:cantSplit/>
        </w:trPr>
        <w:tc>
          <w:tcPr>
            <w:tcW w:w="10348" w:type="dxa"/>
            <w:gridSpan w:val="3"/>
            <w:tcBorders>
              <w:top w:val="nil"/>
              <w:left w:val="nil"/>
              <w:bottom w:val="single" w:color="auto" w:sz="4" w:space="0"/>
              <w:right w:val="nil"/>
            </w:tcBorders>
          </w:tcPr>
          <w:p w:rsidR="004330ED" w:rsidP="00BF623B" w:rsidRDefault="004330ED" w14:paraId="00160520" w14:textId="77777777">
            <w:pPr>
              <w:pStyle w:val="Amendement"/>
              <w:tabs>
                <w:tab w:val="clear" w:pos="3310"/>
                <w:tab w:val="clear" w:pos="3600"/>
              </w:tabs>
              <w:rPr>
                <w:rFonts w:ascii="Times New Roman" w:hAnsi="Times New Roman"/>
              </w:rPr>
            </w:pPr>
          </w:p>
        </w:tc>
      </w:tr>
      <w:tr w:rsidR="004330ED" w:rsidTr="00EA1CE4" w14:paraId="738C92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8043E5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5D7D17D" w14:textId="77777777">
            <w:pPr>
              <w:suppressAutoHyphens/>
              <w:ind w:left="-70"/>
              <w:rPr>
                <w:b/>
              </w:rPr>
            </w:pPr>
          </w:p>
        </w:tc>
      </w:tr>
      <w:tr w:rsidR="003C21AC" w:rsidTr="00EA1CE4" w14:paraId="5A14D6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017496" w:rsidR="003C21AC" w:rsidP="00EA1CE4" w:rsidRDefault="00017496" w14:paraId="72D7A744" w14:textId="61AEFA43">
            <w:pPr>
              <w:pStyle w:val="Amendement"/>
              <w:tabs>
                <w:tab w:val="clear" w:pos="3310"/>
                <w:tab w:val="clear" w:pos="3600"/>
              </w:tabs>
              <w:rPr>
                <w:rFonts w:ascii="Times New Roman" w:hAnsi="Times New Roman"/>
              </w:rPr>
            </w:pPr>
            <w:r w:rsidRPr="00017496">
              <w:rPr>
                <w:rFonts w:ascii="Times New Roman" w:hAnsi="Times New Roman"/>
              </w:rPr>
              <w:t>36 602</w:t>
            </w:r>
          </w:p>
        </w:tc>
        <w:tc>
          <w:tcPr>
            <w:tcW w:w="7371" w:type="dxa"/>
            <w:gridSpan w:val="2"/>
          </w:tcPr>
          <w:p w:rsidRPr="00017496" w:rsidR="003C21AC" w:rsidP="00017496" w:rsidRDefault="00017496" w14:paraId="5638BF6F" w14:textId="4CED9B89">
            <w:pPr>
              <w:rPr>
                <w:b/>
                <w:szCs w:val="24"/>
              </w:rPr>
            </w:pPr>
            <w:r w:rsidRPr="00017496">
              <w:rPr>
                <w:b/>
                <w:szCs w:val="24"/>
              </w:rPr>
              <w:t>Wijziging van enkele belastingwetten en enige andere wetten (Belastingplan 2025)</w:t>
            </w:r>
          </w:p>
        </w:tc>
      </w:tr>
      <w:tr w:rsidR="003C21AC" w:rsidTr="00EA1CE4" w14:paraId="42C6C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C692F7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A4E23F9" w14:textId="77777777">
            <w:pPr>
              <w:pStyle w:val="Amendement"/>
              <w:tabs>
                <w:tab w:val="clear" w:pos="3310"/>
                <w:tab w:val="clear" w:pos="3600"/>
              </w:tabs>
              <w:ind w:left="-70"/>
              <w:rPr>
                <w:rFonts w:ascii="Times New Roman" w:hAnsi="Times New Roman"/>
              </w:rPr>
            </w:pPr>
          </w:p>
        </w:tc>
      </w:tr>
      <w:tr w:rsidR="003C21AC" w:rsidTr="00EA1CE4" w14:paraId="279331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006519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D747401" w14:textId="77777777">
            <w:pPr>
              <w:pStyle w:val="Amendement"/>
              <w:tabs>
                <w:tab w:val="clear" w:pos="3310"/>
                <w:tab w:val="clear" w:pos="3600"/>
              </w:tabs>
              <w:ind w:left="-70"/>
              <w:rPr>
                <w:rFonts w:ascii="Times New Roman" w:hAnsi="Times New Roman"/>
              </w:rPr>
            </w:pPr>
          </w:p>
        </w:tc>
      </w:tr>
      <w:tr w:rsidR="003C21AC" w:rsidTr="00EA1CE4" w14:paraId="67B7F7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4CC3A99" w14:textId="20B8DB5F">
            <w:pPr>
              <w:pStyle w:val="Amendement"/>
              <w:tabs>
                <w:tab w:val="clear" w:pos="3310"/>
                <w:tab w:val="clear" w:pos="3600"/>
              </w:tabs>
              <w:rPr>
                <w:rFonts w:ascii="Times New Roman" w:hAnsi="Times New Roman"/>
              </w:rPr>
            </w:pPr>
            <w:r w:rsidRPr="00C035D4">
              <w:rPr>
                <w:rFonts w:ascii="Times New Roman" w:hAnsi="Times New Roman"/>
              </w:rPr>
              <w:t xml:space="preserve">Nr. </w:t>
            </w:r>
            <w:r w:rsidR="00CC592A">
              <w:rPr>
                <w:rFonts w:ascii="Times New Roman" w:hAnsi="Times New Roman"/>
                <w:caps/>
              </w:rPr>
              <w:t>87</w:t>
            </w:r>
          </w:p>
        </w:tc>
        <w:tc>
          <w:tcPr>
            <w:tcW w:w="7371" w:type="dxa"/>
            <w:gridSpan w:val="2"/>
          </w:tcPr>
          <w:p w:rsidRPr="00C035D4" w:rsidR="003C21AC" w:rsidP="006E0971" w:rsidRDefault="003C21AC" w14:paraId="39F0D8BF" w14:textId="56450E1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017496">
              <w:rPr>
                <w:rFonts w:ascii="Times New Roman" w:hAnsi="Times New Roman"/>
                <w:caps/>
              </w:rPr>
              <w:t>de leden maatoug en stultiens</w:t>
            </w:r>
          </w:p>
        </w:tc>
      </w:tr>
      <w:tr w:rsidR="003C21AC" w:rsidTr="00EA1CE4" w14:paraId="1D48B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78E45A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81308E2" w14:textId="7F5D6A7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17496">
              <w:rPr>
                <w:rFonts w:ascii="Times New Roman" w:hAnsi="Times New Roman"/>
                <w:b w:val="0"/>
              </w:rPr>
              <w:t>12 november 2024</w:t>
            </w:r>
          </w:p>
        </w:tc>
      </w:tr>
      <w:tr w:rsidR="00B01BA6" w:rsidTr="00EA1CE4" w14:paraId="4C3D42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8D033D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6614267" w14:textId="77777777">
            <w:pPr>
              <w:pStyle w:val="Amendement"/>
              <w:tabs>
                <w:tab w:val="clear" w:pos="3310"/>
                <w:tab w:val="clear" w:pos="3600"/>
              </w:tabs>
              <w:ind w:left="-70"/>
              <w:rPr>
                <w:rFonts w:ascii="Times New Roman" w:hAnsi="Times New Roman"/>
                <w:b w:val="0"/>
              </w:rPr>
            </w:pPr>
          </w:p>
        </w:tc>
      </w:tr>
      <w:tr w:rsidRPr="00EA69AC" w:rsidR="00B01BA6" w:rsidTr="00EA1CE4" w14:paraId="2BBA6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53E8D2A" w14:textId="69239568">
            <w:pPr>
              <w:ind w:firstLine="284"/>
            </w:pPr>
            <w:r w:rsidRPr="00EA69AC">
              <w:t>De ondergetekende</w:t>
            </w:r>
            <w:r w:rsidR="00017496">
              <w:t xml:space="preserve">n stellen </w:t>
            </w:r>
            <w:r w:rsidRPr="00EA69AC">
              <w:t>het volgende amendement voor:</w:t>
            </w:r>
          </w:p>
        </w:tc>
      </w:tr>
    </w:tbl>
    <w:p w:rsidRPr="00EA69AC" w:rsidR="004330ED" w:rsidP="00D774B3" w:rsidRDefault="004330ED" w14:paraId="2A1FDB14" w14:textId="77777777"/>
    <w:p w:rsidRPr="00EA69AC" w:rsidR="005B1DCC" w:rsidP="00017496" w:rsidRDefault="00017496" w14:paraId="016B3914" w14:textId="007DBB1D">
      <w:pPr>
        <w:ind w:firstLine="284"/>
      </w:pPr>
      <w:r>
        <w:t>In artikel X, onderdeel D, wordt “27%” vervangen door “26,4%”.</w:t>
      </w:r>
    </w:p>
    <w:p w:rsidR="00EA1CE4" w:rsidP="00EA1CE4" w:rsidRDefault="00EA1CE4" w14:paraId="09795C22" w14:textId="77777777"/>
    <w:p w:rsidRPr="00EA69AC" w:rsidR="003C21AC" w:rsidP="00EA1CE4" w:rsidRDefault="003C21AC" w14:paraId="0FD029BF" w14:textId="77777777">
      <w:pPr>
        <w:rPr>
          <w:b/>
        </w:rPr>
      </w:pPr>
      <w:r w:rsidRPr="00EA69AC">
        <w:rPr>
          <w:b/>
        </w:rPr>
        <w:t>Toelichting</w:t>
      </w:r>
    </w:p>
    <w:p w:rsidRPr="00EA69AC" w:rsidR="003C21AC" w:rsidP="00BF623B" w:rsidRDefault="003C21AC" w14:paraId="3FDE3581" w14:textId="77777777"/>
    <w:p w:rsidR="00017496" w:rsidP="00017496" w:rsidRDefault="00017496" w14:paraId="38A1BA55" w14:textId="77777777">
      <w:r>
        <w:t>Dit amendement versobert de zogenaamde ‘expatregeling’ zodanig dat er geen sprake is van een budgettaire derving ten opzichte van het plan uit het vorig jaar aangenomen amendement Omtzigt c.s. (Kamerstuknummer 36418-63). Tijdens de augustusbesluitvorming 2024 is besloten voor te stellen om de versobering van de zogenoemde 30%-regeling uit het Belastingplan 2024 (de invoering van de 30-20-10-regeling) terug te draaien met ingang van 1 januari 2025 en om daarbij per 1 januari 2027 de maximale gericht vrijgestelde forfaitaire vergoeding voor extraterritoriale kosten op een constant forfait van 27% te stellen. Het constante forfait gaat gelden voor zowel ingekomen als uitgezonden werknemers. Deze maatregelen zijn opgenomen in de tweede nota van wijziging. Naast een constant forfait van 27% gaat de nieuwe regeling ook hogere salarisnormen bevatten via een wijziging van de relevante lagere regelgeving.</w:t>
      </w:r>
      <w:r>
        <w:rPr>
          <w:rStyle w:val="Voetnootmarkering"/>
        </w:rPr>
        <w:footnoteReference w:id="1"/>
      </w:r>
      <w:r>
        <w:t xml:space="preserve"> </w:t>
      </w:r>
    </w:p>
    <w:p w:rsidR="00017496" w:rsidP="00017496" w:rsidRDefault="00017496" w14:paraId="2F7623ED" w14:textId="77777777"/>
    <w:p w:rsidR="00017496" w:rsidP="00017496" w:rsidRDefault="00017496" w14:paraId="624CF4CA" w14:textId="1336C5A6">
      <w:r>
        <w:t>De invoering van een constant forfait van 27% in combinatie met hogere salarisnormen levert minder op dan de kosten van het terugdraaien van de 30-20-10-regeling (zie voor een cijfermatige toelichting het onderdeel ‘</w:t>
      </w:r>
      <w:r w:rsidRPr="00511F3C">
        <w:rPr>
          <w:i/>
          <w:iCs/>
        </w:rPr>
        <w:t>Budg</w:t>
      </w:r>
      <w:r>
        <w:rPr>
          <w:i/>
          <w:iCs/>
        </w:rPr>
        <w:t>e</w:t>
      </w:r>
      <w:r w:rsidRPr="00511F3C">
        <w:rPr>
          <w:i/>
          <w:iCs/>
        </w:rPr>
        <w:t>ttaire gevolgen</w:t>
      </w:r>
      <w:r>
        <w:t>’ hieronder). Indieners beogen om dit budgettaire verschil binnen de regeling te dekken door het percentage van de gericht vrijgestelde forfaitaire vergoeding voor extraterritoriale kosten verder te verlagen. Dit doel wordt bereikt door het percentage te stellen op 26,4%, waarbij tevens de salarisnormen worden verhoogd naar € 50.850 (prijzen 2024)</w:t>
      </w:r>
      <w:r w:rsidRPr="00EC6EC5">
        <w:t xml:space="preserve"> </w:t>
      </w:r>
      <w:r>
        <w:t xml:space="preserve">in plaats van naar € 50.436 (prijzen 2024) </w:t>
      </w:r>
      <w:r w:rsidRPr="00EC6EC5">
        <w:t>en voor ingekomen werknemer</w:t>
      </w:r>
      <w:r>
        <w:t>s die</w:t>
      </w:r>
      <w:r w:rsidRPr="00EC6EC5">
        <w:t xml:space="preserve"> jonger</w:t>
      </w:r>
      <w:r>
        <w:t xml:space="preserve"> zijn</w:t>
      </w:r>
      <w:r w:rsidRPr="00EC6EC5">
        <w:t xml:space="preserve"> dan 30 jaar met een mastergraad</w:t>
      </w:r>
      <w:r>
        <w:t xml:space="preserve"> </w:t>
      </w:r>
      <w:r w:rsidRPr="00EC6EC5">
        <w:t>naar € 38.</w:t>
      </w:r>
      <w:r>
        <w:t>653</w:t>
      </w:r>
      <w:r w:rsidRPr="00EC6EC5">
        <w:t xml:space="preserve"> (prijzen 2024)</w:t>
      </w:r>
      <w:r>
        <w:t xml:space="preserve"> in plaats van naar </w:t>
      </w:r>
      <w:r w:rsidRPr="00EC6EC5">
        <w:t>€ 38.338 (prijzen 2024)</w:t>
      </w:r>
      <w:r>
        <w:t>, zodat, net als in de tweede nota van wijziging, aangesloten wordt bij de salarisnorm die verbonden is aan de kennismigrantenregeling voor het verkrijgen van een verblijfsvergunning</w:t>
      </w:r>
      <w:r w:rsidRPr="006E1B25">
        <w:t>, maar dan op basis van een percentage van 26,4% in plaats van 27%</w:t>
      </w:r>
      <w:r>
        <w:t>.</w:t>
      </w:r>
    </w:p>
    <w:p w:rsidR="00017496" w:rsidP="00017496" w:rsidRDefault="00017496" w14:paraId="3D57E457" w14:textId="77777777"/>
    <w:p w:rsidR="00017496" w:rsidP="00017496" w:rsidRDefault="00017496" w14:paraId="6FDFBA37" w14:textId="3B61D1B9">
      <w:r>
        <w:t>Indieners zijn van mening dat de expatregeling onnodig veel voordeel biedt aan ingekomen en uitgezonden werknemers ten opzichte van reguliere werknemers. Zij stellen daarom voor om de door het kabinet voorgestelde de facto verruiming terug te draaien middels dit amendement.</w:t>
      </w:r>
    </w:p>
    <w:p w:rsidR="00017496" w:rsidP="00017496" w:rsidRDefault="00017496" w14:paraId="7275A0B9" w14:textId="77777777"/>
    <w:p w:rsidR="00017496" w:rsidP="00017496" w:rsidRDefault="00017496" w14:paraId="74F7BD4C" w14:textId="77777777">
      <w:pPr>
        <w:rPr>
          <w:i/>
          <w:iCs/>
          <w:szCs w:val="24"/>
        </w:rPr>
      </w:pPr>
      <w:r>
        <w:rPr>
          <w:i/>
          <w:iCs/>
          <w:szCs w:val="24"/>
        </w:rPr>
        <w:t>Budgettaire gevolgen</w:t>
      </w:r>
    </w:p>
    <w:p w:rsidR="00017496" w:rsidP="00017496" w:rsidRDefault="00017496" w14:paraId="5F260D69" w14:textId="77777777">
      <w:r>
        <w:t>De opbrengst van de invoering van de 30-20-10-regeling is geraamd op structureel € 194 miljoen. Bij een constant forfait van 27% voor een looptijd van maximaal vijf jaar is ten opzichte van de 30-20-10-regeling sprake van een budgettaire derving van structureel € 51 miljoen. Het per 1 januari 2027 verhogen van de salarisnormen van € 46.107 naar € 50.436 (prijzen 2024)</w:t>
      </w:r>
      <w:r w:rsidRPr="00EC6EC5">
        <w:t xml:space="preserve"> en voor ingekomen werknemer</w:t>
      </w:r>
      <w:r>
        <w:t xml:space="preserve"> die</w:t>
      </w:r>
      <w:r w:rsidRPr="00EC6EC5">
        <w:t xml:space="preserve"> jonger</w:t>
      </w:r>
      <w:r>
        <w:t xml:space="preserve"> zijn</w:t>
      </w:r>
      <w:r w:rsidRPr="00EC6EC5">
        <w:t xml:space="preserve"> dan 30 jaar met een mastergraad van € 35.048 naar € 38.338 (prijzen 2024)</w:t>
      </w:r>
      <w:r>
        <w:t>,</w:t>
      </w:r>
      <w:r w:rsidRPr="00EC6EC5">
        <w:t xml:space="preserve"> leidt tot een opbrengst van </w:t>
      </w:r>
      <w:r w:rsidRPr="00EC6EC5">
        <w:lastRenderedPageBreak/>
        <w:t>structureel € 23 miljoen.</w:t>
      </w:r>
      <w:r>
        <w:t xml:space="preserve"> Dit betekent per saldo dat het terugdraaien van de 30-20-10-regeling en de invoering van een constant forfait van 27% in combinatie met de verhoging van de salarisnormen structureel € 28 miljoen minder oplevert dan de 30-20-10-regeling. Dit verschil kan binnen de regeling worden gedekt door het percentage te stellen op 26,4% in plaats van 27%, waarbij tevens de salarisnormen worden verhoogd naar € 50.850 (prijzen 2024)</w:t>
      </w:r>
      <w:r w:rsidRPr="00EC6EC5">
        <w:t xml:space="preserve"> </w:t>
      </w:r>
      <w:r>
        <w:t xml:space="preserve">in plaats van naar € 50.436 (prijzen 2024) </w:t>
      </w:r>
      <w:r w:rsidRPr="00EC6EC5">
        <w:t>en voor ingekomen werknemer</w:t>
      </w:r>
      <w:r>
        <w:t>s die</w:t>
      </w:r>
      <w:r w:rsidRPr="00EC6EC5">
        <w:t xml:space="preserve"> jonger</w:t>
      </w:r>
      <w:r>
        <w:t xml:space="preserve"> zijn</w:t>
      </w:r>
      <w:r w:rsidRPr="00EC6EC5">
        <w:t xml:space="preserve"> dan 30 jaar met een mastergraad</w:t>
      </w:r>
      <w:r>
        <w:t xml:space="preserve"> </w:t>
      </w:r>
      <w:r w:rsidRPr="00EC6EC5">
        <w:t>naar € 38.</w:t>
      </w:r>
      <w:r>
        <w:t>653</w:t>
      </w:r>
      <w:r w:rsidRPr="00EC6EC5">
        <w:t xml:space="preserve"> (prijzen 2024)</w:t>
      </w:r>
      <w:r>
        <w:t xml:space="preserve"> in plaats van naar </w:t>
      </w:r>
      <w:r w:rsidRPr="00EC6EC5">
        <w:t>€ 38.338 (prijzen 2024</w:t>
      </w:r>
      <w:r w:rsidRPr="009237DC">
        <w:t>), zodat, net als in de tweede nota van wijziging, aangesloten wordt bij de salarisnorm die verbonden is aan de kennismigrantenregeling voor het verkrijgen van een verblijfsvergunning, maar dan op basis van een percentage van 26,4% in plaats van 27%.</w:t>
      </w:r>
      <w:r>
        <w:t xml:space="preserve"> Het amendement levert hiermee structureel € 29 miljoen op. </w:t>
      </w:r>
    </w:p>
    <w:p w:rsidR="00017496" w:rsidP="00017496" w:rsidRDefault="00017496" w14:paraId="51DD5846" w14:textId="77777777">
      <w:pPr>
        <w:rPr>
          <w:i/>
          <w:iCs/>
          <w:szCs w:val="24"/>
        </w:rPr>
      </w:pPr>
    </w:p>
    <w:p w:rsidRPr="00017496" w:rsidR="00017496" w:rsidP="00017496" w:rsidRDefault="00017496" w14:paraId="33905B2F" w14:textId="77777777">
      <w:pPr>
        <w:rPr>
          <w:i/>
          <w:iCs/>
          <w:sz w:val="20"/>
        </w:rPr>
      </w:pPr>
      <w:r w:rsidRPr="00017496">
        <w:rPr>
          <w:i/>
          <w:iCs/>
          <w:sz w:val="20"/>
        </w:rPr>
        <w:t xml:space="preserve">Tabel: Budgettaire effecten, prijspeil lopende jaar (2024). </w:t>
      </w:r>
    </w:p>
    <w:p w:rsidRPr="00017496" w:rsidR="00017496" w:rsidP="00017496" w:rsidRDefault="00017496" w14:paraId="4406E72D" w14:textId="77777777">
      <w:pPr>
        <w:rPr>
          <w:i/>
          <w:iCs/>
          <w:sz w:val="20"/>
        </w:rPr>
      </w:pPr>
      <w:r w:rsidRPr="00017496">
        <w:rPr>
          <w:i/>
          <w:iCs/>
          <w:sz w:val="20"/>
        </w:rPr>
        <w:t xml:space="preserve">Bedragen in mln. euro, ‘+’ = </w:t>
      </w:r>
      <w:proofErr w:type="spellStart"/>
      <w:r w:rsidRPr="00017496">
        <w:rPr>
          <w:i/>
          <w:iCs/>
          <w:sz w:val="20"/>
        </w:rPr>
        <w:t>saldoverbeterend</w:t>
      </w:r>
      <w:proofErr w:type="spellEnd"/>
      <w:r w:rsidRPr="00017496">
        <w:rPr>
          <w:i/>
          <w:iCs/>
          <w:sz w:val="20"/>
        </w:rPr>
        <w:t>/lastenverzwarend.</w:t>
      </w:r>
    </w:p>
    <w:tbl>
      <w:tblPr>
        <w:tblStyle w:val="Rastertabel4-Accent1"/>
        <w:tblW w:w="5000" w:type="pct"/>
        <w:tblLook w:val="04A0" w:firstRow="1" w:lastRow="0" w:firstColumn="1" w:lastColumn="0" w:noHBand="0" w:noVBand="1"/>
      </w:tblPr>
      <w:tblGrid>
        <w:gridCol w:w="5908"/>
        <w:gridCol w:w="616"/>
        <w:gridCol w:w="616"/>
        <w:gridCol w:w="616"/>
        <w:gridCol w:w="616"/>
        <w:gridCol w:w="616"/>
        <w:gridCol w:w="616"/>
        <w:gridCol w:w="733"/>
      </w:tblGrid>
      <w:tr w:rsidRPr="00017496" w:rsidR="00017496" w:rsidTr="00017496" w14:paraId="3AF454DB" w14:textId="7777777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58" w:type="pct"/>
            <w:noWrap/>
            <w:hideMark/>
          </w:tcPr>
          <w:p w:rsidRPr="00017496" w:rsidR="00017496" w:rsidP="00C91AB3" w:rsidRDefault="00017496" w14:paraId="57DF7FAA" w14:textId="77777777">
            <w:pPr>
              <w:widowControl/>
              <w:rPr>
                <w:b w:val="0"/>
                <w:bCs w:val="0"/>
                <w:sz w:val="20"/>
              </w:rPr>
            </w:pPr>
          </w:p>
        </w:tc>
        <w:tc>
          <w:tcPr>
            <w:tcW w:w="298" w:type="pct"/>
            <w:noWrap/>
            <w:hideMark/>
          </w:tcPr>
          <w:p w:rsidRPr="00017496" w:rsidR="00017496" w:rsidP="00C91AB3" w:rsidRDefault="00017496" w14:paraId="34318030" w14:textId="77777777">
            <w:pPr>
              <w:widowControl/>
              <w:jc w:val="right"/>
              <w:cnfStyle w:val="100000000000" w:firstRow="1" w:lastRow="0" w:firstColumn="0" w:lastColumn="0" w:oddVBand="0" w:evenVBand="0" w:oddHBand="0" w:evenHBand="0" w:firstRowFirstColumn="0" w:firstRowLastColumn="0" w:lastRowFirstColumn="0" w:lastRowLastColumn="0"/>
              <w:rPr>
                <w:sz w:val="20"/>
              </w:rPr>
            </w:pPr>
            <w:r w:rsidRPr="00017496">
              <w:rPr>
                <w:color w:val="auto"/>
                <w:sz w:val="20"/>
              </w:rPr>
              <w:t>2025</w:t>
            </w:r>
          </w:p>
        </w:tc>
        <w:tc>
          <w:tcPr>
            <w:tcW w:w="298" w:type="pct"/>
            <w:noWrap/>
            <w:hideMark/>
          </w:tcPr>
          <w:p w:rsidRPr="00017496" w:rsidR="00017496" w:rsidP="00C91AB3" w:rsidRDefault="00017496" w14:paraId="6A0F8CB3" w14:textId="77777777">
            <w:pPr>
              <w:widowControl/>
              <w:jc w:val="right"/>
              <w:cnfStyle w:val="100000000000" w:firstRow="1" w:lastRow="0" w:firstColumn="0" w:lastColumn="0" w:oddVBand="0" w:evenVBand="0" w:oddHBand="0" w:evenHBand="0" w:firstRowFirstColumn="0" w:firstRowLastColumn="0" w:lastRowFirstColumn="0" w:lastRowLastColumn="0"/>
              <w:rPr>
                <w:sz w:val="20"/>
              </w:rPr>
            </w:pPr>
            <w:r w:rsidRPr="00017496">
              <w:rPr>
                <w:color w:val="auto"/>
                <w:sz w:val="20"/>
              </w:rPr>
              <w:t>2026</w:t>
            </w:r>
          </w:p>
        </w:tc>
        <w:tc>
          <w:tcPr>
            <w:tcW w:w="298" w:type="pct"/>
            <w:noWrap/>
            <w:hideMark/>
          </w:tcPr>
          <w:p w:rsidRPr="00017496" w:rsidR="00017496" w:rsidP="00C91AB3" w:rsidRDefault="00017496" w14:paraId="71959201" w14:textId="77777777">
            <w:pPr>
              <w:widowControl/>
              <w:jc w:val="right"/>
              <w:cnfStyle w:val="100000000000" w:firstRow="1" w:lastRow="0" w:firstColumn="0" w:lastColumn="0" w:oddVBand="0" w:evenVBand="0" w:oddHBand="0" w:evenHBand="0" w:firstRowFirstColumn="0" w:firstRowLastColumn="0" w:lastRowFirstColumn="0" w:lastRowLastColumn="0"/>
              <w:rPr>
                <w:sz w:val="20"/>
              </w:rPr>
            </w:pPr>
            <w:r w:rsidRPr="00017496">
              <w:rPr>
                <w:color w:val="auto"/>
                <w:sz w:val="20"/>
              </w:rPr>
              <w:t>2027</w:t>
            </w:r>
          </w:p>
        </w:tc>
        <w:tc>
          <w:tcPr>
            <w:tcW w:w="298" w:type="pct"/>
            <w:noWrap/>
            <w:hideMark/>
          </w:tcPr>
          <w:p w:rsidRPr="00017496" w:rsidR="00017496" w:rsidP="00C91AB3" w:rsidRDefault="00017496" w14:paraId="120F2E8C" w14:textId="77777777">
            <w:pPr>
              <w:widowControl/>
              <w:jc w:val="right"/>
              <w:cnfStyle w:val="100000000000" w:firstRow="1" w:lastRow="0" w:firstColumn="0" w:lastColumn="0" w:oddVBand="0" w:evenVBand="0" w:oddHBand="0" w:evenHBand="0" w:firstRowFirstColumn="0" w:firstRowLastColumn="0" w:lastRowFirstColumn="0" w:lastRowLastColumn="0"/>
              <w:rPr>
                <w:sz w:val="20"/>
              </w:rPr>
            </w:pPr>
            <w:r w:rsidRPr="00017496">
              <w:rPr>
                <w:color w:val="auto"/>
                <w:sz w:val="20"/>
              </w:rPr>
              <w:t>2028</w:t>
            </w:r>
          </w:p>
        </w:tc>
        <w:tc>
          <w:tcPr>
            <w:tcW w:w="298" w:type="pct"/>
            <w:noWrap/>
            <w:hideMark/>
          </w:tcPr>
          <w:p w:rsidRPr="00017496" w:rsidR="00017496" w:rsidP="00C91AB3" w:rsidRDefault="00017496" w14:paraId="6B795FD6" w14:textId="77777777">
            <w:pPr>
              <w:widowControl/>
              <w:jc w:val="right"/>
              <w:cnfStyle w:val="100000000000" w:firstRow="1" w:lastRow="0" w:firstColumn="0" w:lastColumn="0" w:oddVBand="0" w:evenVBand="0" w:oddHBand="0" w:evenHBand="0" w:firstRowFirstColumn="0" w:firstRowLastColumn="0" w:lastRowFirstColumn="0" w:lastRowLastColumn="0"/>
              <w:rPr>
                <w:sz w:val="20"/>
              </w:rPr>
            </w:pPr>
            <w:r w:rsidRPr="00017496">
              <w:rPr>
                <w:color w:val="auto"/>
                <w:sz w:val="20"/>
              </w:rPr>
              <w:t>2029</w:t>
            </w:r>
          </w:p>
        </w:tc>
        <w:tc>
          <w:tcPr>
            <w:tcW w:w="298" w:type="pct"/>
            <w:noWrap/>
            <w:hideMark/>
          </w:tcPr>
          <w:p w:rsidRPr="00017496" w:rsidR="00017496" w:rsidP="00C91AB3" w:rsidRDefault="00017496" w14:paraId="2A5E90AD" w14:textId="77777777">
            <w:pPr>
              <w:widowControl/>
              <w:jc w:val="right"/>
              <w:cnfStyle w:val="100000000000" w:firstRow="1" w:lastRow="0" w:firstColumn="0" w:lastColumn="0" w:oddVBand="0" w:evenVBand="0" w:oddHBand="0" w:evenHBand="0" w:firstRowFirstColumn="0" w:firstRowLastColumn="0" w:lastRowFirstColumn="0" w:lastRowLastColumn="0"/>
              <w:rPr>
                <w:sz w:val="20"/>
              </w:rPr>
            </w:pPr>
            <w:r w:rsidRPr="00017496">
              <w:rPr>
                <w:color w:val="auto"/>
                <w:sz w:val="20"/>
              </w:rPr>
              <w:t>2030</w:t>
            </w:r>
          </w:p>
        </w:tc>
        <w:tc>
          <w:tcPr>
            <w:tcW w:w="355" w:type="pct"/>
            <w:noWrap/>
            <w:hideMark/>
          </w:tcPr>
          <w:p w:rsidRPr="00017496" w:rsidR="00017496" w:rsidP="00C91AB3" w:rsidRDefault="00017496" w14:paraId="08E1011C" w14:textId="77777777">
            <w:pPr>
              <w:widowControl/>
              <w:cnfStyle w:val="100000000000" w:firstRow="1" w:lastRow="0" w:firstColumn="0" w:lastColumn="0" w:oddVBand="0" w:evenVBand="0" w:oddHBand="0" w:evenHBand="0" w:firstRowFirstColumn="0" w:firstRowLastColumn="0" w:lastRowFirstColumn="0" w:lastRowLastColumn="0"/>
              <w:rPr>
                <w:sz w:val="20"/>
              </w:rPr>
            </w:pPr>
            <w:proofErr w:type="spellStart"/>
            <w:r w:rsidRPr="00017496">
              <w:rPr>
                <w:color w:val="auto"/>
                <w:sz w:val="20"/>
              </w:rPr>
              <w:t>Struc</w:t>
            </w:r>
            <w:proofErr w:type="spellEnd"/>
            <w:r w:rsidRPr="00017496">
              <w:rPr>
                <w:color w:val="auto"/>
                <w:sz w:val="20"/>
              </w:rPr>
              <w:t>.</w:t>
            </w:r>
          </w:p>
        </w:tc>
      </w:tr>
      <w:tr w:rsidRPr="00017496" w:rsidR="00017496" w:rsidTr="00017496" w14:paraId="583A8741"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58" w:type="pct"/>
            <w:hideMark/>
          </w:tcPr>
          <w:p w:rsidRPr="00910727" w:rsidR="00017496" w:rsidP="00C91AB3" w:rsidRDefault="00017496" w14:paraId="4A682C8D" w14:textId="77777777">
            <w:pPr>
              <w:widowControl/>
              <w:rPr>
                <w:b w:val="0"/>
                <w:bCs w:val="0"/>
                <w:color w:val="000000"/>
                <w:sz w:val="20"/>
              </w:rPr>
            </w:pPr>
            <w:r w:rsidRPr="00910727">
              <w:rPr>
                <w:b w:val="0"/>
                <w:bCs w:val="0"/>
                <w:color w:val="000000"/>
                <w:sz w:val="20"/>
              </w:rPr>
              <w:t>Tweede nota van wijziging</w:t>
            </w:r>
          </w:p>
        </w:tc>
        <w:tc>
          <w:tcPr>
            <w:tcW w:w="298" w:type="pct"/>
            <w:noWrap/>
            <w:hideMark/>
          </w:tcPr>
          <w:p w:rsidRPr="00017496" w:rsidR="00017496" w:rsidP="00C91AB3" w:rsidRDefault="00017496" w14:paraId="1981F2A5" w14:textId="77777777">
            <w:pPr>
              <w:widowControl/>
              <w:cnfStyle w:val="000000100000" w:firstRow="0" w:lastRow="0" w:firstColumn="0" w:lastColumn="0" w:oddVBand="0" w:evenVBand="0" w:oddHBand="1" w:evenHBand="0" w:firstRowFirstColumn="0" w:firstRowLastColumn="0" w:lastRowFirstColumn="0" w:lastRowLastColumn="0"/>
              <w:rPr>
                <w:color w:val="000000"/>
                <w:sz w:val="20"/>
              </w:rPr>
            </w:pPr>
          </w:p>
        </w:tc>
        <w:tc>
          <w:tcPr>
            <w:tcW w:w="298" w:type="pct"/>
            <w:noWrap/>
            <w:hideMark/>
          </w:tcPr>
          <w:p w:rsidRPr="00017496" w:rsidR="00017496" w:rsidP="00C91AB3" w:rsidRDefault="00017496" w14:paraId="29465A1E" w14:textId="77777777">
            <w:pPr>
              <w:widowControl/>
              <w:cnfStyle w:val="000000100000" w:firstRow="0" w:lastRow="0" w:firstColumn="0" w:lastColumn="0" w:oddVBand="0" w:evenVBand="0" w:oddHBand="1" w:evenHBand="0" w:firstRowFirstColumn="0" w:firstRowLastColumn="0" w:lastRowFirstColumn="0" w:lastRowLastColumn="0"/>
              <w:rPr>
                <w:sz w:val="20"/>
              </w:rPr>
            </w:pPr>
          </w:p>
        </w:tc>
        <w:tc>
          <w:tcPr>
            <w:tcW w:w="298" w:type="pct"/>
            <w:noWrap/>
            <w:hideMark/>
          </w:tcPr>
          <w:p w:rsidRPr="00017496" w:rsidR="00017496" w:rsidP="00C91AB3" w:rsidRDefault="00017496" w14:paraId="0AFBF0E4" w14:textId="77777777">
            <w:pPr>
              <w:widowControl/>
              <w:cnfStyle w:val="000000100000" w:firstRow="0" w:lastRow="0" w:firstColumn="0" w:lastColumn="0" w:oddVBand="0" w:evenVBand="0" w:oddHBand="1" w:evenHBand="0" w:firstRowFirstColumn="0" w:firstRowLastColumn="0" w:lastRowFirstColumn="0" w:lastRowLastColumn="0"/>
              <w:rPr>
                <w:sz w:val="20"/>
              </w:rPr>
            </w:pPr>
          </w:p>
        </w:tc>
        <w:tc>
          <w:tcPr>
            <w:tcW w:w="298" w:type="pct"/>
            <w:noWrap/>
            <w:hideMark/>
          </w:tcPr>
          <w:p w:rsidRPr="00017496" w:rsidR="00017496" w:rsidP="00C91AB3" w:rsidRDefault="00017496" w14:paraId="7E5512F2" w14:textId="77777777">
            <w:pPr>
              <w:widowControl/>
              <w:cnfStyle w:val="000000100000" w:firstRow="0" w:lastRow="0" w:firstColumn="0" w:lastColumn="0" w:oddVBand="0" w:evenVBand="0" w:oddHBand="1" w:evenHBand="0" w:firstRowFirstColumn="0" w:firstRowLastColumn="0" w:lastRowFirstColumn="0" w:lastRowLastColumn="0"/>
              <w:rPr>
                <w:sz w:val="20"/>
              </w:rPr>
            </w:pPr>
          </w:p>
        </w:tc>
        <w:tc>
          <w:tcPr>
            <w:tcW w:w="298" w:type="pct"/>
            <w:noWrap/>
            <w:hideMark/>
          </w:tcPr>
          <w:p w:rsidRPr="00017496" w:rsidR="00017496" w:rsidP="00C91AB3" w:rsidRDefault="00017496" w14:paraId="20C4CFFE" w14:textId="77777777">
            <w:pPr>
              <w:widowControl/>
              <w:cnfStyle w:val="000000100000" w:firstRow="0" w:lastRow="0" w:firstColumn="0" w:lastColumn="0" w:oddVBand="0" w:evenVBand="0" w:oddHBand="1" w:evenHBand="0" w:firstRowFirstColumn="0" w:firstRowLastColumn="0" w:lastRowFirstColumn="0" w:lastRowLastColumn="0"/>
              <w:rPr>
                <w:sz w:val="20"/>
              </w:rPr>
            </w:pPr>
          </w:p>
        </w:tc>
        <w:tc>
          <w:tcPr>
            <w:tcW w:w="298" w:type="pct"/>
            <w:noWrap/>
            <w:hideMark/>
          </w:tcPr>
          <w:p w:rsidRPr="00017496" w:rsidR="00017496" w:rsidP="00C91AB3" w:rsidRDefault="00017496" w14:paraId="396C0356" w14:textId="77777777">
            <w:pPr>
              <w:widowControl/>
              <w:cnfStyle w:val="000000100000" w:firstRow="0" w:lastRow="0" w:firstColumn="0" w:lastColumn="0" w:oddVBand="0" w:evenVBand="0" w:oddHBand="1" w:evenHBand="0" w:firstRowFirstColumn="0" w:firstRowLastColumn="0" w:lastRowFirstColumn="0" w:lastRowLastColumn="0"/>
              <w:rPr>
                <w:sz w:val="20"/>
              </w:rPr>
            </w:pPr>
          </w:p>
        </w:tc>
        <w:tc>
          <w:tcPr>
            <w:tcW w:w="355" w:type="pct"/>
            <w:noWrap/>
            <w:hideMark/>
          </w:tcPr>
          <w:p w:rsidRPr="00017496" w:rsidR="00017496" w:rsidP="00C91AB3" w:rsidRDefault="00017496" w14:paraId="7FC8DFB1" w14:textId="77777777">
            <w:pPr>
              <w:widowControl/>
              <w:cnfStyle w:val="000000100000" w:firstRow="0" w:lastRow="0" w:firstColumn="0" w:lastColumn="0" w:oddVBand="0" w:evenVBand="0" w:oddHBand="1" w:evenHBand="0" w:firstRowFirstColumn="0" w:firstRowLastColumn="0" w:lastRowFirstColumn="0" w:lastRowLastColumn="0"/>
              <w:rPr>
                <w:sz w:val="20"/>
              </w:rPr>
            </w:pPr>
          </w:p>
        </w:tc>
      </w:tr>
      <w:tr w:rsidRPr="00017496" w:rsidR="00017496" w:rsidTr="00017496" w14:paraId="1E26064D" w14:textId="77777777">
        <w:trPr>
          <w:trHeight w:val="330"/>
        </w:trPr>
        <w:tc>
          <w:tcPr>
            <w:cnfStyle w:val="001000000000" w:firstRow="0" w:lastRow="0" w:firstColumn="1" w:lastColumn="0" w:oddVBand="0" w:evenVBand="0" w:oddHBand="0" w:evenHBand="0" w:firstRowFirstColumn="0" w:firstRowLastColumn="0" w:lastRowFirstColumn="0" w:lastRowLastColumn="0"/>
            <w:tcW w:w="2858" w:type="pct"/>
            <w:hideMark/>
          </w:tcPr>
          <w:p w:rsidRPr="00910727" w:rsidR="00017496" w:rsidP="00C91AB3" w:rsidRDefault="00017496" w14:paraId="5863AF7D" w14:textId="77777777">
            <w:pPr>
              <w:widowControl/>
              <w:rPr>
                <w:b w:val="0"/>
                <w:bCs w:val="0"/>
                <w:color w:val="000000"/>
                <w:sz w:val="20"/>
              </w:rPr>
            </w:pPr>
            <w:proofErr w:type="spellStart"/>
            <w:r w:rsidRPr="00910727">
              <w:rPr>
                <w:b w:val="0"/>
                <w:bCs w:val="0"/>
                <w:color w:val="000000"/>
                <w:sz w:val="20"/>
                <w:lang w:val="en-US"/>
              </w:rPr>
              <w:t>Terugdraaien</w:t>
            </w:r>
            <w:proofErr w:type="spellEnd"/>
            <w:r w:rsidRPr="00910727">
              <w:rPr>
                <w:b w:val="0"/>
                <w:bCs w:val="0"/>
                <w:color w:val="000000"/>
                <w:sz w:val="20"/>
                <w:lang w:val="en-US"/>
              </w:rPr>
              <w:t xml:space="preserve"> 30-20-10-regeling </w:t>
            </w:r>
          </w:p>
        </w:tc>
        <w:tc>
          <w:tcPr>
            <w:tcW w:w="298" w:type="pct"/>
            <w:noWrap/>
            <w:hideMark/>
          </w:tcPr>
          <w:p w:rsidRPr="00017496" w:rsidR="00017496" w:rsidP="00C91AB3" w:rsidRDefault="00017496" w14:paraId="03503750"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-3</w:t>
            </w:r>
          </w:p>
        </w:tc>
        <w:tc>
          <w:tcPr>
            <w:tcW w:w="298" w:type="pct"/>
            <w:noWrap/>
            <w:hideMark/>
          </w:tcPr>
          <w:p w:rsidRPr="00017496" w:rsidR="00017496" w:rsidP="00C91AB3" w:rsidRDefault="00017496" w14:paraId="3766B6EE"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-43</w:t>
            </w:r>
          </w:p>
        </w:tc>
        <w:tc>
          <w:tcPr>
            <w:tcW w:w="298" w:type="pct"/>
            <w:noWrap/>
            <w:hideMark/>
          </w:tcPr>
          <w:p w:rsidRPr="00017496" w:rsidR="00017496" w:rsidP="00C91AB3" w:rsidRDefault="00017496" w14:paraId="7A848B25"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-98</w:t>
            </w:r>
          </w:p>
        </w:tc>
        <w:tc>
          <w:tcPr>
            <w:tcW w:w="298" w:type="pct"/>
            <w:noWrap/>
            <w:hideMark/>
          </w:tcPr>
          <w:p w:rsidRPr="00017496" w:rsidR="00017496" w:rsidP="00C91AB3" w:rsidRDefault="00017496" w14:paraId="49DB149C"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-166</w:t>
            </w:r>
          </w:p>
        </w:tc>
        <w:tc>
          <w:tcPr>
            <w:tcW w:w="298" w:type="pct"/>
            <w:noWrap/>
            <w:hideMark/>
          </w:tcPr>
          <w:p w:rsidRPr="00017496" w:rsidR="00017496" w:rsidP="00C91AB3" w:rsidRDefault="00017496" w14:paraId="74B27C69"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-194</w:t>
            </w:r>
          </w:p>
        </w:tc>
        <w:tc>
          <w:tcPr>
            <w:tcW w:w="298" w:type="pct"/>
            <w:noWrap/>
            <w:hideMark/>
          </w:tcPr>
          <w:p w:rsidRPr="00017496" w:rsidR="00017496" w:rsidP="00C91AB3" w:rsidRDefault="00017496" w14:paraId="7E5BBCE1"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-194</w:t>
            </w:r>
          </w:p>
        </w:tc>
        <w:tc>
          <w:tcPr>
            <w:tcW w:w="355" w:type="pct"/>
            <w:noWrap/>
            <w:hideMark/>
          </w:tcPr>
          <w:p w:rsidRPr="00017496" w:rsidR="00017496" w:rsidP="00C91AB3" w:rsidRDefault="00017496" w14:paraId="206A03F1"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-194</w:t>
            </w:r>
          </w:p>
        </w:tc>
      </w:tr>
      <w:tr w:rsidRPr="00017496" w:rsidR="00017496" w:rsidTr="00017496" w14:paraId="0BD0782A"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58" w:type="pct"/>
            <w:hideMark/>
          </w:tcPr>
          <w:p w:rsidRPr="00910727" w:rsidR="00017496" w:rsidP="00C91AB3" w:rsidRDefault="00017496" w14:paraId="33CC71F8" w14:textId="77777777">
            <w:pPr>
              <w:widowControl/>
              <w:rPr>
                <w:b w:val="0"/>
                <w:bCs w:val="0"/>
                <w:color w:val="000000"/>
                <w:sz w:val="20"/>
              </w:rPr>
            </w:pPr>
            <w:r w:rsidRPr="00910727">
              <w:rPr>
                <w:b w:val="0"/>
                <w:bCs w:val="0"/>
                <w:color w:val="000000"/>
                <w:sz w:val="20"/>
              </w:rPr>
              <w:t>Expatregeling (constant forfait van 27%), inclusief verhogen salarisnorm</w:t>
            </w:r>
          </w:p>
        </w:tc>
        <w:tc>
          <w:tcPr>
            <w:tcW w:w="298" w:type="pct"/>
            <w:noWrap/>
            <w:hideMark/>
          </w:tcPr>
          <w:p w:rsidRPr="00017496" w:rsidR="00017496" w:rsidP="00C91AB3" w:rsidRDefault="00017496" w14:paraId="453D0133"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0</w:t>
            </w:r>
          </w:p>
        </w:tc>
        <w:tc>
          <w:tcPr>
            <w:tcW w:w="298" w:type="pct"/>
            <w:noWrap/>
            <w:hideMark/>
          </w:tcPr>
          <w:p w:rsidRPr="00017496" w:rsidR="00017496" w:rsidP="00C91AB3" w:rsidRDefault="00017496" w14:paraId="5063CDA7"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0</w:t>
            </w:r>
          </w:p>
        </w:tc>
        <w:tc>
          <w:tcPr>
            <w:tcW w:w="298" w:type="pct"/>
            <w:noWrap/>
            <w:hideMark/>
          </w:tcPr>
          <w:p w:rsidRPr="00017496" w:rsidR="00017496" w:rsidP="00C91AB3" w:rsidRDefault="00017496" w14:paraId="1FD56E7D"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122</w:t>
            </w:r>
          </w:p>
        </w:tc>
        <w:tc>
          <w:tcPr>
            <w:tcW w:w="298" w:type="pct"/>
            <w:noWrap/>
            <w:hideMark/>
          </w:tcPr>
          <w:p w:rsidRPr="00017496" w:rsidR="00017496" w:rsidP="00C91AB3" w:rsidRDefault="00017496" w14:paraId="59FC7DB0"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151</w:t>
            </w:r>
          </w:p>
        </w:tc>
        <w:tc>
          <w:tcPr>
            <w:tcW w:w="298" w:type="pct"/>
            <w:noWrap/>
            <w:hideMark/>
          </w:tcPr>
          <w:p w:rsidRPr="00017496" w:rsidR="00017496" w:rsidP="00C91AB3" w:rsidRDefault="00017496" w14:paraId="466E9F54"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165</w:t>
            </w:r>
          </w:p>
        </w:tc>
        <w:tc>
          <w:tcPr>
            <w:tcW w:w="298" w:type="pct"/>
            <w:noWrap/>
            <w:hideMark/>
          </w:tcPr>
          <w:p w:rsidRPr="00017496" w:rsidR="00017496" w:rsidP="00C91AB3" w:rsidRDefault="00017496" w14:paraId="1CE343EB"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166</w:t>
            </w:r>
          </w:p>
        </w:tc>
        <w:tc>
          <w:tcPr>
            <w:tcW w:w="355" w:type="pct"/>
            <w:noWrap/>
            <w:hideMark/>
          </w:tcPr>
          <w:p w:rsidRPr="00017496" w:rsidR="00017496" w:rsidP="00C91AB3" w:rsidRDefault="00017496" w14:paraId="55B13F26"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166</w:t>
            </w:r>
          </w:p>
        </w:tc>
      </w:tr>
      <w:tr w:rsidRPr="00017496" w:rsidR="00017496" w:rsidTr="00017496" w14:paraId="477EDDE5" w14:textId="77777777">
        <w:trPr>
          <w:trHeight w:val="330"/>
        </w:trPr>
        <w:tc>
          <w:tcPr>
            <w:cnfStyle w:val="001000000000" w:firstRow="0" w:lastRow="0" w:firstColumn="1" w:lastColumn="0" w:oddVBand="0" w:evenVBand="0" w:oddHBand="0" w:evenHBand="0" w:firstRowFirstColumn="0" w:firstRowLastColumn="0" w:lastRowFirstColumn="0" w:lastRowLastColumn="0"/>
            <w:tcW w:w="2858" w:type="pct"/>
          </w:tcPr>
          <w:p w:rsidRPr="00910727" w:rsidR="00017496" w:rsidP="00C91AB3" w:rsidRDefault="00017496" w14:paraId="579E9130" w14:textId="77777777">
            <w:pPr>
              <w:widowControl/>
              <w:rPr>
                <w:b w:val="0"/>
                <w:bCs w:val="0"/>
                <w:color w:val="000000"/>
                <w:sz w:val="20"/>
                <w:lang w:val="fr-FR"/>
              </w:rPr>
            </w:pPr>
            <w:proofErr w:type="spellStart"/>
            <w:r w:rsidRPr="00910727">
              <w:rPr>
                <w:b w:val="0"/>
                <w:bCs w:val="0"/>
                <w:color w:val="000000"/>
                <w:sz w:val="20"/>
                <w:lang w:val="fr-FR"/>
              </w:rPr>
              <w:t>w.v</w:t>
            </w:r>
            <w:proofErr w:type="spellEnd"/>
            <w:r w:rsidRPr="00910727">
              <w:rPr>
                <w:b w:val="0"/>
                <w:bCs w:val="0"/>
                <w:color w:val="000000"/>
                <w:sz w:val="20"/>
                <w:lang w:val="fr-FR"/>
              </w:rPr>
              <w:t>. constant forfait van 27%</w:t>
            </w:r>
          </w:p>
        </w:tc>
        <w:tc>
          <w:tcPr>
            <w:tcW w:w="298" w:type="pct"/>
            <w:noWrap/>
          </w:tcPr>
          <w:p w:rsidRPr="00017496" w:rsidR="00017496" w:rsidP="00C91AB3" w:rsidRDefault="00017496" w14:paraId="7934C589"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0</w:t>
            </w:r>
          </w:p>
        </w:tc>
        <w:tc>
          <w:tcPr>
            <w:tcW w:w="298" w:type="pct"/>
            <w:noWrap/>
          </w:tcPr>
          <w:p w:rsidRPr="00017496" w:rsidR="00017496" w:rsidP="00C91AB3" w:rsidRDefault="00017496" w14:paraId="788B1692"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0</w:t>
            </w:r>
          </w:p>
        </w:tc>
        <w:tc>
          <w:tcPr>
            <w:tcW w:w="298" w:type="pct"/>
            <w:noWrap/>
          </w:tcPr>
          <w:p w:rsidRPr="00017496" w:rsidR="00017496" w:rsidP="00C91AB3" w:rsidRDefault="00017496" w14:paraId="0AEDDE59"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109</w:t>
            </w:r>
          </w:p>
        </w:tc>
        <w:tc>
          <w:tcPr>
            <w:tcW w:w="298" w:type="pct"/>
            <w:noWrap/>
          </w:tcPr>
          <w:p w:rsidRPr="00017496" w:rsidR="00017496" w:rsidP="00C91AB3" w:rsidRDefault="00017496" w14:paraId="6277A0D2"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134</w:t>
            </w:r>
          </w:p>
        </w:tc>
        <w:tc>
          <w:tcPr>
            <w:tcW w:w="298" w:type="pct"/>
            <w:noWrap/>
          </w:tcPr>
          <w:p w:rsidRPr="00017496" w:rsidR="00017496" w:rsidP="00C91AB3" w:rsidRDefault="00017496" w14:paraId="226183BD"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143</w:t>
            </w:r>
          </w:p>
        </w:tc>
        <w:tc>
          <w:tcPr>
            <w:tcW w:w="298" w:type="pct"/>
            <w:noWrap/>
          </w:tcPr>
          <w:p w:rsidRPr="00017496" w:rsidR="00017496" w:rsidP="00C91AB3" w:rsidRDefault="00017496" w14:paraId="1207AF46"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143</w:t>
            </w:r>
          </w:p>
        </w:tc>
        <w:tc>
          <w:tcPr>
            <w:tcW w:w="355" w:type="pct"/>
            <w:noWrap/>
          </w:tcPr>
          <w:p w:rsidRPr="00017496" w:rsidR="00017496" w:rsidP="00C91AB3" w:rsidRDefault="00017496" w14:paraId="4BDBBA17"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143</w:t>
            </w:r>
          </w:p>
        </w:tc>
      </w:tr>
      <w:tr w:rsidRPr="00017496" w:rsidR="00017496" w:rsidTr="00017496" w14:paraId="35CDF198"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58" w:type="pct"/>
          </w:tcPr>
          <w:p w:rsidRPr="00910727" w:rsidR="00017496" w:rsidP="00C91AB3" w:rsidRDefault="00017496" w14:paraId="6913765A" w14:textId="77777777">
            <w:pPr>
              <w:widowControl/>
              <w:rPr>
                <w:b w:val="0"/>
                <w:bCs w:val="0"/>
                <w:color w:val="000000"/>
                <w:sz w:val="20"/>
              </w:rPr>
            </w:pPr>
            <w:proofErr w:type="spellStart"/>
            <w:r w:rsidRPr="00910727">
              <w:rPr>
                <w:b w:val="0"/>
                <w:bCs w:val="0"/>
                <w:color w:val="000000"/>
                <w:sz w:val="20"/>
                <w:lang w:val="en-US"/>
              </w:rPr>
              <w:t>w.v.</w:t>
            </w:r>
            <w:proofErr w:type="spellEnd"/>
            <w:r w:rsidRPr="00910727">
              <w:rPr>
                <w:b w:val="0"/>
                <w:bCs w:val="0"/>
                <w:color w:val="000000"/>
                <w:sz w:val="20"/>
                <w:lang w:val="en-US"/>
              </w:rPr>
              <w:t xml:space="preserve"> </w:t>
            </w:r>
            <w:proofErr w:type="spellStart"/>
            <w:r w:rsidRPr="00910727">
              <w:rPr>
                <w:b w:val="0"/>
                <w:bCs w:val="0"/>
                <w:color w:val="000000"/>
                <w:sz w:val="20"/>
                <w:lang w:val="en-US"/>
              </w:rPr>
              <w:t>verhogen</w:t>
            </w:r>
            <w:proofErr w:type="spellEnd"/>
            <w:r w:rsidRPr="00910727">
              <w:rPr>
                <w:b w:val="0"/>
                <w:bCs w:val="0"/>
                <w:color w:val="000000"/>
                <w:sz w:val="20"/>
                <w:lang w:val="en-US"/>
              </w:rPr>
              <w:t xml:space="preserve"> </w:t>
            </w:r>
            <w:proofErr w:type="spellStart"/>
            <w:r w:rsidRPr="00910727">
              <w:rPr>
                <w:b w:val="0"/>
                <w:bCs w:val="0"/>
                <w:color w:val="000000"/>
                <w:sz w:val="20"/>
                <w:lang w:val="en-US"/>
              </w:rPr>
              <w:t>salarisnorm</w:t>
            </w:r>
            <w:proofErr w:type="spellEnd"/>
          </w:p>
        </w:tc>
        <w:tc>
          <w:tcPr>
            <w:tcW w:w="298" w:type="pct"/>
            <w:noWrap/>
          </w:tcPr>
          <w:p w:rsidRPr="00017496" w:rsidR="00017496" w:rsidP="00C91AB3" w:rsidRDefault="00017496" w14:paraId="2AB04492"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0</w:t>
            </w:r>
          </w:p>
        </w:tc>
        <w:tc>
          <w:tcPr>
            <w:tcW w:w="298" w:type="pct"/>
            <w:noWrap/>
          </w:tcPr>
          <w:p w:rsidRPr="00017496" w:rsidR="00017496" w:rsidP="00C91AB3" w:rsidRDefault="00017496" w14:paraId="474361C4"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0</w:t>
            </w:r>
          </w:p>
        </w:tc>
        <w:tc>
          <w:tcPr>
            <w:tcW w:w="298" w:type="pct"/>
            <w:noWrap/>
          </w:tcPr>
          <w:p w:rsidRPr="00017496" w:rsidR="00017496" w:rsidP="00C91AB3" w:rsidRDefault="00017496" w14:paraId="7F0A760A"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13</w:t>
            </w:r>
          </w:p>
        </w:tc>
        <w:tc>
          <w:tcPr>
            <w:tcW w:w="298" w:type="pct"/>
            <w:noWrap/>
          </w:tcPr>
          <w:p w:rsidRPr="00017496" w:rsidR="00017496" w:rsidP="00C91AB3" w:rsidRDefault="00017496" w14:paraId="4F5F55AB"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17</w:t>
            </w:r>
          </w:p>
        </w:tc>
        <w:tc>
          <w:tcPr>
            <w:tcW w:w="298" w:type="pct"/>
            <w:noWrap/>
          </w:tcPr>
          <w:p w:rsidRPr="00017496" w:rsidR="00017496" w:rsidP="00C91AB3" w:rsidRDefault="00017496" w14:paraId="17665AAA"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21</w:t>
            </w:r>
          </w:p>
        </w:tc>
        <w:tc>
          <w:tcPr>
            <w:tcW w:w="298" w:type="pct"/>
            <w:noWrap/>
          </w:tcPr>
          <w:p w:rsidRPr="00017496" w:rsidR="00017496" w:rsidP="00C91AB3" w:rsidRDefault="00017496" w14:paraId="4CB0E18E"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23</w:t>
            </w:r>
          </w:p>
        </w:tc>
        <w:tc>
          <w:tcPr>
            <w:tcW w:w="355" w:type="pct"/>
            <w:noWrap/>
          </w:tcPr>
          <w:p w:rsidRPr="00017496" w:rsidR="00017496" w:rsidP="00C91AB3" w:rsidRDefault="00017496" w14:paraId="38C9EE76"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23</w:t>
            </w:r>
          </w:p>
        </w:tc>
      </w:tr>
      <w:tr w:rsidRPr="00017496" w:rsidR="00017496" w:rsidTr="00017496" w14:paraId="063563DD" w14:textId="77777777">
        <w:trPr>
          <w:trHeight w:val="330"/>
        </w:trPr>
        <w:tc>
          <w:tcPr>
            <w:cnfStyle w:val="001000000000" w:firstRow="0" w:lastRow="0" w:firstColumn="1" w:lastColumn="0" w:oddVBand="0" w:evenVBand="0" w:oddHBand="0" w:evenHBand="0" w:firstRowFirstColumn="0" w:firstRowLastColumn="0" w:lastRowFirstColumn="0" w:lastRowLastColumn="0"/>
            <w:tcW w:w="2858" w:type="pct"/>
            <w:hideMark/>
          </w:tcPr>
          <w:p w:rsidRPr="00910727" w:rsidR="00017496" w:rsidP="00C91AB3" w:rsidRDefault="00017496" w14:paraId="38BA2E0F" w14:textId="77777777">
            <w:pPr>
              <w:widowControl/>
              <w:rPr>
                <w:b w:val="0"/>
                <w:bCs w:val="0"/>
                <w:color w:val="000000"/>
                <w:sz w:val="20"/>
              </w:rPr>
            </w:pPr>
            <w:r w:rsidRPr="00910727">
              <w:rPr>
                <w:b w:val="0"/>
                <w:bCs w:val="0"/>
                <w:color w:val="000000"/>
                <w:sz w:val="20"/>
              </w:rPr>
              <w:t>Amendement</w:t>
            </w:r>
          </w:p>
        </w:tc>
        <w:tc>
          <w:tcPr>
            <w:tcW w:w="298" w:type="pct"/>
            <w:noWrap/>
            <w:hideMark/>
          </w:tcPr>
          <w:p w:rsidRPr="00017496" w:rsidR="00017496" w:rsidP="00C91AB3" w:rsidRDefault="00017496" w14:paraId="5985C71F" w14:textId="77777777">
            <w:pPr>
              <w:widowControl/>
              <w:cnfStyle w:val="000000000000" w:firstRow="0" w:lastRow="0" w:firstColumn="0" w:lastColumn="0" w:oddVBand="0" w:evenVBand="0" w:oddHBand="0" w:evenHBand="0" w:firstRowFirstColumn="0" w:firstRowLastColumn="0" w:lastRowFirstColumn="0" w:lastRowLastColumn="0"/>
              <w:rPr>
                <w:color w:val="000000"/>
                <w:sz w:val="20"/>
              </w:rPr>
            </w:pPr>
          </w:p>
        </w:tc>
        <w:tc>
          <w:tcPr>
            <w:tcW w:w="298" w:type="pct"/>
            <w:noWrap/>
            <w:hideMark/>
          </w:tcPr>
          <w:p w:rsidRPr="00017496" w:rsidR="00017496" w:rsidP="00C91AB3" w:rsidRDefault="00017496" w14:paraId="7C34C9A6" w14:textId="77777777">
            <w:pPr>
              <w:widowControl/>
              <w:cnfStyle w:val="000000000000" w:firstRow="0" w:lastRow="0" w:firstColumn="0" w:lastColumn="0" w:oddVBand="0" w:evenVBand="0" w:oddHBand="0" w:evenHBand="0" w:firstRowFirstColumn="0" w:firstRowLastColumn="0" w:lastRowFirstColumn="0" w:lastRowLastColumn="0"/>
              <w:rPr>
                <w:sz w:val="20"/>
              </w:rPr>
            </w:pPr>
          </w:p>
        </w:tc>
        <w:tc>
          <w:tcPr>
            <w:tcW w:w="298" w:type="pct"/>
            <w:noWrap/>
            <w:hideMark/>
          </w:tcPr>
          <w:p w:rsidRPr="00017496" w:rsidR="00017496" w:rsidP="00C91AB3" w:rsidRDefault="00017496" w14:paraId="1028D9E5" w14:textId="77777777">
            <w:pPr>
              <w:widowControl/>
              <w:cnfStyle w:val="000000000000" w:firstRow="0" w:lastRow="0" w:firstColumn="0" w:lastColumn="0" w:oddVBand="0" w:evenVBand="0" w:oddHBand="0" w:evenHBand="0" w:firstRowFirstColumn="0" w:firstRowLastColumn="0" w:lastRowFirstColumn="0" w:lastRowLastColumn="0"/>
              <w:rPr>
                <w:sz w:val="20"/>
              </w:rPr>
            </w:pPr>
          </w:p>
        </w:tc>
        <w:tc>
          <w:tcPr>
            <w:tcW w:w="298" w:type="pct"/>
            <w:noWrap/>
            <w:hideMark/>
          </w:tcPr>
          <w:p w:rsidRPr="00017496" w:rsidR="00017496" w:rsidP="00C91AB3" w:rsidRDefault="00017496" w14:paraId="0A3BF1F3" w14:textId="77777777">
            <w:pPr>
              <w:widowControl/>
              <w:cnfStyle w:val="000000000000" w:firstRow="0" w:lastRow="0" w:firstColumn="0" w:lastColumn="0" w:oddVBand="0" w:evenVBand="0" w:oddHBand="0" w:evenHBand="0" w:firstRowFirstColumn="0" w:firstRowLastColumn="0" w:lastRowFirstColumn="0" w:lastRowLastColumn="0"/>
              <w:rPr>
                <w:sz w:val="20"/>
              </w:rPr>
            </w:pPr>
          </w:p>
        </w:tc>
        <w:tc>
          <w:tcPr>
            <w:tcW w:w="298" w:type="pct"/>
            <w:noWrap/>
            <w:hideMark/>
          </w:tcPr>
          <w:p w:rsidRPr="00017496" w:rsidR="00017496" w:rsidP="00C91AB3" w:rsidRDefault="00017496" w14:paraId="38BD9CE4" w14:textId="77777777">
            <w:pPr>
              <w:widowControl/>
              <w:cnfStyle w:val="000000000000" w:firstRow="0" w:lastRow="0" w:firstColumn="0" w:lastColumn="0" w:oddVBand="0" w:evenVBand="0" w:oddHBand="0" w:evenHBand="0" w:firstRowFirstColumn="0" w:firstRowLastColumn="0" w:lastRowFirstColumn="0" w:lastRowLastColumn="0"/>
              <w:rPr>
                <w:sz w:val="20"/>
              </w:rPr>
            </w:pPr>
          </w:p>
        </w:tc>
        <w:tc>
          <w:tcPr>
            <w:tcW w:w="298" w:type="pct"/>
            <w:noWrap/>
            <w:hideMark/>
          </w:tcPr>
          <w:p w:rsidRPr="00017496" w:rsidR="00017496" w:rsidP="00C91AB3" w:rsidRDefault="00017496" w14:paraId="5D38B7B5" w14:textId="77777777">
            <w:pPr>
              <w:widowControl/>
              <w:cnfStyle w:val="000000000000" w:firstRow="0" w:lastRow="0" w:firstColumn="0" w:lastColumn="0" w:oddVBand="0" w:evenVBand="0" w:oddHBand="0" w:evenHBand="0" w:firstRowFirstColumn="0" w:firstRowLastColumn="0" w:lastRowFirstColumn="0" w:lastRowLastColumn="0"/>
              <w:rPr>
                <w:sz w:val="20"/>
              </w:rPr>
            </w:pPr>
          </w:p>
        </w:tc>
        <w:tc>
          <w:tcPr>
            <w:tcW w:w="355" w:type="pct"/>
            <w:noWrap/>
            <w:hideMark/>
          </w:tcPr>
          <w:p w:rsidRPr="00017496" w:rsidR="00017496" w:rsidP="00C91AB3" w:rsidRDefault="00017496" w14:paraId="63EC95A2" w14:textId="77777777">
            <w:pPr>
              <w:widowControl/>
              <w:cnfStyle w:val="000000000000" w:firstRow="0" w:lastRow="0" w:firstColumn="0" w:lastColumn="0" w:oddVBand="0" w:evenVBand="0" w:oddHBand="0" w:evenHBand="0" w:firstRowFirstColumn="0" w:firstRowLastColumn="0" w:lastRowFirstColumn="0" w:lastRowLastColumn="0"/>
              <w:rPr>
                <w:sz w:val="20"/>
              </w:rPr>
            </w:pPr>
          </w:p>
        </w:tc>
      </w:tr>
      <w:tr w:rsidRPr="00017496" w:rsidR="00017496" w:rsidTr="00017496" w14:paraId="34FFB8E4"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58" w:type="pct"/>
            <w:hideMark/>
          </w:tcPr>
          <w:p w:rsidRPr="00910727" w:rsidR="00017496" w:rsidP="00C91AB3" w:rsidRDefault="00017496" w14:paraId="4944BA00" w14:textId="77777777">
            <w:pPr>
              <w:widowControl/>
              <w:rPr>
                <w:b w:val="0"/>
                <w:bCs w:val="0"/>
                <w:color w:val="000000"/>
                <w:sz w:val="20"/>
              </w:rPr>
            </w:pPr>
            <w:r w:rsidRPr="00910727">
              <w:rPr>
                <w:b w:val="0"/>
                <w:bCs w:val="0"/>
                <w:color w:val="000000"/>
                <w:sz w:val="20"/>
              </w:rPr>
              <w:t>Expatregeling (constant forfait van 26,4%), inclusief verhogen salarisnorm</w:t>
            </w:r>
          </w:p>
        </w:tc>
        <w:tc>
          <w:tcPr>
            <w:tcW w:w="298" w:type="pct"/>
            <w:noWrap/>
            <w:hideMark/>
          </w:tcPr>
          <w:p w:rsidRPr="00017496" w:rsidR="00017496" w:rsidP="00C91AB3" w:rsidRDefault="00017496" w14:paraId="6CA06BFD"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0</w:t>
            </w:r>
          </w:p>
        </w:tc>
        <w:tc>
          <w:tcPr>
            <w:tcW w:w="298" w:type="pct"/>
            <w:noWrap/>
            <w:hideMark/>
          </w:tcPr>
          <w:p w:rsidRPr="00017496" w:rsidR="00017496" w:rsidP="00C91AB3" w:rsidRDefault="00017496" w14:paraId="615BA884"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0</w:t>
            </w:r>
          </w:p>
        </w:tc>
        <w:tc>
          <w:tcPr>
            <w:tcW w:w="298" w:type="pct"/>
            <w:noWrap/>
            <w:hideMark/>
          </w:tcPr>
          <w:p w:rsidRPr="00017496" w:rsidR="00017496" w:rsidP="00C91AB3" w:rsidRDefault="00017496" w14:paraId="145CC777"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144</w:t>
            </w:r>
          </w:p>
        </w:tc>
        <w:tc>
          <w:tcPr>
            <w:tcW w:w="298" w:type="pct"/>
            <w:noWrap/>
            <w:hideMark/>
          </w:tcPr>
          <w:p w:rsidRPr="00017496" w:rsidR="00017496" w:rsidP="00C91AB3" w:rsidRDefault="00017496" w14:paraId="465CEF34"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177</w:t>
            </w:r>
          </w:p>
        </w:tc>
        <w:tc>
          <w:tcPr>
            <w:tcW w:w="298" w:type="pct"/>
            <w:noWrap/>
            <w:hideMark/>
          </w:tcPr>
          <w:p w:rsidRPr="00017496" w:rsidR="00017496" w:rsidP="00C91AB3" w:rsidRDefault="00017496" w14:paraId="765188F6"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193</w:t>
            </w:r>
          </w:p>
        </w:tc>
        <w:tc>
          <w:tcPr>
            <w:tcW w:w="298" w:type="pct"/>
            <w:noWrap/>
            <w:hideMark/>
          </w:tcPr>
          <w:p w:rsidRPr="00017496" w:rsidR="00017496" w:rsidP="00C91AB3" w:rsidRDefault="00017496" w14:paraId="310034DD"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195</w:t>
            </w:r>
          </w:p>
        </w:tc>
        <w:tc>
          <w:tcPr>
            <w:tcW w:w="355" w:type="pct"/>
            <w:noWrap/>
            <w:hideMark/>
          </w:tcPr>
          <w:p w:rsidRPr="00017496" w:rsidR="00017496" w:rsidP="00C91AB3" w:rsidRDefault="00017496" w14:paraId="6FF8C08C"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195</w:t>
            </w:r>
          </w:p>
        </w:tc>
      </w:tr>
      <w:tr w:rsidRPr="00017496" w:rsidR="00017496" w:rsidTr="00017496" w14:paraId="6FDE1D7F" w14:textId="77777777">
        <w:trPr>
          <w:trHeight w:val="330"/>
        </w:trPr>
        <w:tc>
          <w:tcPr>
            <w:cnfStyle w:val="001000000000" w:firstRow="0" w:lastRow="0" w:firstColumn="1" w:lastColumn="0" w:oddVBand="0" w:evenVBand="0" w:oddHBand="0" w:evenHBand="0" w:firstRowFirstColumn="0" w:firstRowLastColumn="0" w:lastRowFirstColumn="0" w:lastRowLastColumn="0"/>
            <w:tcW w:w="2858" w:type="pct"/>
            <w:hideMark/>
          </w:tcPr>
          <w:p w:rsidRPr="00910727" w:rsidR="00017496" w:rsidP="00C91AB3" w:rsidRDefault="00017496" w14:paraId="5164CA62" w14:textId="77777777">
            <w:pPr>
              <w:widowControl/>
              <w:rPr>
                <w:b w:val="0"/>
                <w:bCs w:val="0"/>
                <w:color w:val="000000"/>
                <w:sz w:val="20"/>
                <w:lang w:val="fr-FR"/>
              </w:rPr>
            </w:pPr>
            <w:proofErr w:type="spellStart"/>
            <w:r w:rsidRPr="00910727">
              <w:rPr>
                <w:b w:val="0"/>
                <w:bCs w:val="0"/>
                <w:color w:val="000000"/>
                <w:sz w:val="20"/>
                <w:lang w:val="fr-FR"/>
              </w:rPr>
              <w:t>w.v</w:t>
            </w:r>
            <w:proofErr w:type="spellEnd"/>
            <w:r w:rsidRPr="00910727">
              <w:rPr>
                <w:b w:val="0"/>
                <w:bCs w:val="0"/>
                <w:color w:val="000000"/>
                <w:sz w:val="20"/>
                <w:lang w:val="fr-FR"/>
              </w:rPr>
              <w:t>. constant forfait van 26,4%</w:t>
            </w:r>
          </w:p>
        </w:tc>
        <w:tc>
          <w:tcPr>
            <w:tcW w:w="298" w:type="pct"/>
            <w:noWrap/>
            <w:hideMark/>
          </w:tcPr>
          <w:p w:rsidRPr="00017496" w:rsidR="00017496" w:rsidP="00C91AB3" w:rsidRDefault="00017496" w14:paraId="22B4FD5A"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0</w:t>
            </w:r>
          </w:p>
        </w:tc>
        <w:tc>
          <w:tcPr>
            <w:tcW w:w="298" w:type="pct"/>
            <w:noWrap/>
            <w:hideMark/>
          </w:tcPr>
          <w:p w:rsidRPr="00017496" w:rsidR="00017496" w:rsidP="00C91AB3" w:rsidRDefault="00017496" w14:paraId="146820D1"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0</w:t>
            </w:r>
          </w:p>
        </w:tc>
        <w:tc>
          <w:tcPr>
            <w:tcW w:w="298" w:type="pct"/>
            <w:noWrap/>
            <w:hideMark/>
          </w:tcPr>
          <w:p w:rsidRPr="00017496" w:rsidR="00017496" w:rsidP="00C91AB3" w:rsidRDefault="00017496" w14:paraId="79BFB176"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131</w:t>
            </w:r>
          </w:p>
        </w:tc>
        <w:tc>
          <w:tcPr>
            <w:tcW w:w="298" w:type="pct"/>
            <w:noWrap/>
            <w:hideMark/>
          </w:tcPr>
          <w:p w:rsidRPr="00017496" w:rsidR="00017496" w:rsidP="00C91AB3" w:rsidRDefault="00017496" w14:paraId="4A07FD45"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159</w:t>
            </w:r>
          </w:p>
        </w:tc>
        <w:tc>
          <w:tcPr>
            <w:tcW w:w="298" w:type="pct"/>
            <w:noWrap/>
            <w:hideMark/>
          </w:tcPr>
          <w:p w:rsidRPr="00017496" w:rsidR="00017496" w:rsidP="00C91AB3" w:rsidRDefault="00017496" w14:paraId="2F8C0E38"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171</w:t>
            </w:r>
          </w:p>
        </w:tc>
        <w:tc>
          <w:tcPr>
            <w:tcW w:w="298" w:type="pct"/>
            <w:noWrap/>
            <w:hideMark/>
          </w:tcPr>
          <w:p w:rsidRPr="00017496" w:rsidR="00017496" w:rsidP="00C91AB3" w:rsidRDefault="00017496" w14:paraId="2B0A3F21"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171</w:t>
            </w:r>
          </w:p>
        </w:tc>
        <w:tc>
          <w:tcPr>
            <w:tcW w:w="355" w:type="pct"/>
            <w:noWrap/>
            <w:hideMark/>
          </w:tcPr>
          <w:p w:rsidRPr="00017496" w:rsidR="00017496" w:rsidP="00C91AB3" w:rsidRDefault="00017496" w14:paraId="4324A516"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171</w:t>
            </w:r>
          </w:p>
        </w:tc>
      </w:tr>
      <w:tr w:rsidRPr="00017496" w:rsidR="00017496" w:rsidTr="00017496" w14:paraId="7C226D27"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58" w:type="pct"/>
            <w:hideMark/>
          </w:tcPr>
          <w:p w:rsidRPr="00910727" w:rsidR="00017496" w:rsidP="00C91AB3" w:rsidRDefault="00017496" w14:paraId="371E8F8B" w14:textId="77777777">
            <w:pPr>
              <w:widowControl/>
              <w:rPr>
                <w:b w:val="0"/>
                <w:bCs w:val="0"/>
                <w:color w:val="000000"/>
                <w:sz w:val="20"/>
              </w:rPr>
            </w:pPr>
            <w:proofErr w:type="spellStart"/>
            <w:r w:rsidRPr="00910727">
              <w:rPr>
                <w:b w:val="0"/>
                <w:bCs w:val="0"/>
                <w:color w:val="000000"/>
                <w:sz w:val="20"/>
                <w:lang w:val="en-US"/>
              </w:rPr>
              <w:t>w.v.</w:t>
            </w:r>
            <w:proofErr w:type="spellEnd"/>
            <w:r w:rsidRPr="00910727">
              <w:rPr>
                <w:b w:val="0"/>
                <w:bCs w:val="0"/>
                <w:color w:val="000000"/>
                <w:sz w:val="20"/>
                <w:lang w:val="en-US"/>
              </w:rPr>
              <w:t xml:space="preserve"> </w:t>
            </w:r>
            <w:proofErr w:type="spellStart"/>
            <w:r w:rsidRPr="00910727">
              <w:rPr>
                <w:b w:val="0"/>
                <w:bCs w:val="0"/>
                <w:color w:val="000000"/>
                <w:sz w:val="20"/>
                <w:lang w:val="en-US"/>
              </w:rPr>
              <w:t>verhogen</w:t>
            </w:r>
            <w:proofErr w:type="spellEnd"/>
            <w:r w:rsidRPr="00910727">
              <w:rPr>
                <w:b w:val="0"/>
                <w:bCs w:val="0"/>
                <w:color w:val="000000"/>
                <w:sz w:val="20"/>
                <w:lang w:val="en-US"/>
              </w:rPr>
              <w:t xml:space="preserve"> </w:t>
            </w:r>
            <w:proofErr w:type="spellStart"/>
            <w:r w:rsidRPr="00910727">
              <w:rPr>
                <w:b w:val="0"/>
                <w:bCs w:val="0"/>
                <w:color w:val="000000"/>
                <w:sz w:val="20"/>
                <w:lang w:val="en-US"/>
              </w:rPr>
              <w:t>salarisnorm</w:t>
            </w:r>
            <w:proofErr w:type="spellEnd"/>
          </w:p>
        </w:tc>
        <w:tc>
          <w:tcPr>
            <w:tcW w:w="298" w:type="pct"/>
            <w:noWrap/>
            <w:hideMark/>
          </w:tcPr>
          <w:p w:rsidRPr="00017496" w:rsidR="00017496" w:rsidP="00C91AB3" w:rsidRDefault="00017496" w14:paraId="2A758B75"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0</w:t>
            </w:r>
          </w:p>
        </w:tc>
        <w:tc>
          <w:tcPr>
            <w:tcW w:w="298" w:type="pct"/>
            <w:noWrap/>
            <w:hideMark/>
          </w:tcPr>
          <w:p w:rsidRPr="00017496" w:rsidR="00017496" w:rsidP="00C91AB3" w:rsidRDefault="00017496" w14:paraId="7A73D7AD"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0</w:t>
            </w:r>
          </w:p>
        </w:tc>
        <w:tc>
          <w:tcPr>
            <w:tcW w:w="298" w:type="pct"/>
            <w:noWrap/>
            <w:hideMark/>
          </w:tcPr>
          <w:p w:rsidRPr="00017496" w:rsidR="00017496" w:rsidP="00C91AB3" w:rsidRDefault="00017496" w14:paraId="4925EF53"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13</w:t>
            </w:r>
          </w:p>
        </w:tc>
        <w:tc>
          <w:tcPr>
            <w:tcW w:w="298" w:type="pct"/>
            <w:noWrap/>
            <w:hideMark/>
          </w:tcPr>
          <w:p w:rsidRPr="00017496" w:rsidR="00017496" w:rsidP="00C91AB3" w:rsidRDefault="00017496" w14:paraId="4F5B1725"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18</w:t>
            </w:r>
          </w:p>
        </w:tc>
        <w:tc>
          <w:tcPr>
            <w:tcW w:w="298" w:type="pct"/>
            <w:noWrap/>
            <w:hideMark/>
          </w:tcPr>
          <w:p w:rsidRPr="00017496" w:rsidR="00017496" w:rsidP="00C91AB3" w:rsidRDefault="00017496" w14:paraId="7493D808"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22</w:t>
            </w:r>
          </w:p>
        </w:tc>
        <w:tc>
          <w:tcPr>
            <w:tcW w:w="298" w:type="pct"/>
            <w:noWrap/>
            <w:hideMark/>
          </w:tcPr>
          <w:p w:rsidRPr="00017496" w:rsidR="00017496" w:rsidP="00C91AB3" w:rsidRDefault="00017496" w14:paraId="66D392D4"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24</w:t>
            </w:r>
          </w:p>
        </w:tc>
        <w:tc>
          <w:tcPr>
            <w:tcW w:w="355" w:type="pct"/>
            <w:noWrap/>
            <w:hideMark/>
          </w:tcPr>
          <w:p w:rsidRPr="00017496" w:rsidR="00017496" w:rsidP="00C91AB3" w:rsidRDefault="00017496" w14:paraId="5DB4CCD2" w14:textId="77777777">
            <w:pPr>
              <w:widowControl/>
              <w:jc w:val="right"/>
              <w:cnfStyle w:val="000000100000" w:firstRow="0" w:lastRow="0" w:firstColumn="0" w:lastColumn="0" w:oddVBand="0" w:evenVBand="0" w:oddHBand="1" w:evenHBand="0" w:firstRowFirstColumn="0" w:firstRowLastColumn="0" w:lastRowFirstColumn="0" w:lastRowLastColumn="0"/>
              <w:rPr>
                <w:color w:val="000000"/>
                <w:sz w:val="20"/>
              </w:rPr>
            </w:pPr>
            <w:r w:rsidRPr="00017496">
              <w:rPr>
                <w:color w:val="000000"/>
                <w:sz w:val="20"/>
              </w:rPr>
              <w:t>24</w:t>
            </w:r>
          </w:p>
        </w:tc>
      </w:tr>
      <w:tr w:rsidRPr="00017496" w:rsidR="00017496" w:rsidTr="00017496" w14:paraId="6262FD9B" w14:textId="77777777">
        <w:trPr>
          <w:trHeight w:val="330"/>
        </w:trPr>
        <w:tc>
          <w:tcPr>
            <w:cnfStyle w:val="001000000000" w:firstRow="0" w:lastRow="0" w:firstColumn="1" w:lastColumn="0" w:oddVBand="0" w:evenVBand="0" w:oddHBand="0" w:evenHBand="0" w:firstRowFirstColumn="0" w:firstRowLastColumn="0" w:lastRowFirstColumn="0" w:lastRowLastColumn="0"/>
            <w:tcW w:w="2858" w:type="pct"/>
            <w:hideMark/>
          </w:tcPr>
          <w:p w:rsidRPr="00910727" w:rsidR="00017496" w:rsidP="00C91AB3" w:rsidRDefault="00017496" w14:paraId="4FC25B57" w14:textId="77777777">
            <w:pPr>
              <w:widowControl/>
              <w:rPr>
                <w:b w:val="0"/>
                <w:bCs w:val="0"/>
                <w:color w:val="000000"/>
                <w:sz w:val="20"/>
              </w:rPr>
            </w:pPr>
            <w:r w:rsidRPr="00910727">
              <w:rPr>
                <w:b w:val="0"/>
                <w:bCs w:val="0"/>
                <w:color w:val="000000"/>
                <w:sz w:val="20"/>
              </w:rPr>
              <w:t xml:space="preserve">Budgettaire opbrengst amendement </w:t>
            </w:r>
          </w:p>
        </w:tc>
        <w:tc>
          <w:tcPr>
            <w:tcW w:w="298" w:type="pct"/>
            <w:noWrap/>
            <w:hideMark/>
          </w:tcPr>
          <w:p w:rsidRPr="00017496" w:rsidR="00017496" w:rsidP="00C91AB3" w:rsidRDefault="00017496" w14:paraId="6E370147"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0</w:t>
            </w:r>
          </w:p>
        </w:tc>
        <w:tc>
          <w:tcPr>
            <w:tcW w:w="298" w:type="pct"/>
            <w:noWrap/>
            <w:hideMark/>
          </w:tcPr>
          <w:p w:rsidRPr="00017496" w:rsidR="00017496" w:rsidP="00C91AB3" w:rsidRDefault="00017496" w14:paraId="4F38F77B"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rPr>
              <w:t>0</w:t>
            </w:r>
          </w:p>
        </w:tc>
        <w:tc>
          <w:tcPr>
            <w:tcW w:w="298" w:type="pct"/>
            <w:noWrap/>
            <w:hideMark/>
          </w:tcPr>
          <w:p w:rsidRPr="00017496" w:rsidR="00017496" w:rsidP="00C91AB3" w:rsidRDefault="00017496" w14:paraId="577AF8BB"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lang w:val="en-US"/>
              </w:rPr>
              <w:t>22</w:t>
            </w:r>
          </w:p>
        </w:tc>
        <w:tc>
          <w:tcPr>
            <w:tcW w:w="298" w:type="pct"/>
            <w:noWrap/>
            <w:hideMark/>
          </w:tcPr>
          <w:p w:rsidRPr="00017496" w:rsidR="00017496" w:rsidP="00C91AB3" w:rsidRDefault="00017496" w14:paraId="23A50FFA"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lang w:val="en-US"/>
              </w:rPr>
              <w:t>27</w:t>
            </w:r>
          </w:p>
        </w:tc>
        <w:tc>
          <w:tcPr>
            <w:tcW w:w="298" w:type="pct"/>
            <w:noWrap/>
            <w:hideMark/>
          </w:tcPr>
          <w:p w:rsidRPr="00017496" w:rsidR="00017496" w:rsidP="00C91AB3" w:rsidRDefault="00017496" w14:paraId="0E62AED5"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lang w:val="en-US"/>
              </w:rPr>
              <w:t>29</w:t>
            </w:r>
          </w:p>
        </w:tc>
        <w:tc>
          <w:tcPr>
            <w:tcW w:w="298" w:type="pct"/>
            <w:noWrap/>
            <w:hideMark/>
          </w:tcPr>
          <w:p w:rsidRPr="00017496" w:rsidR="00017496" w:rsidP="00C91AB3" w:rsidRDefault="00017496" w14:paraId="7AD9E004"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lang w:val="en-US"/>
              </w:rPr>
              <w:t>29</w:t>
            </w:r>
          </w:p>
        </w:tc>
        <w:tc>
          <w:tcPr>
            <w:tcW w:w="355" w:type="pct"/>
            <w:noWrap/>
            <w:hideMark/>
          </w:tcPr>
          <w:p w:rsidRPr="00017496" w:rsidR="00017496" w:rsidP="00C91AB3" w:rsidRDefault="00017496" w14:paraId="1373F3F7" w14:textId="77777777">
            <w:pPr>
              <w:widowControl/>
              <w:jc w:val="right"/>
              <w:cnfStyle w:val="000000000000" w:firstRow="0" w:lastRow="0" w:firstColumn="0" w:lastColumn="0" w:oddVBand="0" w:evenVBand="0" w:oddHBand="0" w:evenHBand="0" w:firstRowFirstColumn="0" w:firstRowLastColumn="0" w:lastRowFirstColumn="0" w:lastRowLastColumn="0"/>
              <w:rPr>
                <w:color w:val="000000"/>
                <w:sz w:val="20"/>
              </w:rPr>
            </w:pPr>
            <w:r w:rsidRPr="00017496">
              <w:rPr>
                <w:color w:val="000000"/>
                <w:sz w:val="20"/>
                <w:lang w:val="en-US"/>
              </w:rPr>
              <w:t>29</w:t>
            </w:r>
          </w:p>
        </w:tc>
      </w:tr>
    </w:tbl>
    <w:p w:rsidRPr="00511F3C" w:rsidR="00017496" w:rsidP="00017496" w:rsidRDefault="00017496" w14:paraId="0AA809F7" w14:textId="77777777">
      <w:pPr>
        <w:spacing w:line="360" w:lineRule="auto"/>
        <w:rPr>
          <w:sz w:val="20"/>
        </w:rPr>
      </w:pPr>
      <w:r w:rsidRPr="00511F3C">
        <w:rPr>
          <w:sz w:val="20"/>
        </w:rPr>
        <w:t>Bevat mogelijk afrondingsverschillen in optellingen</w:t>
      </w:r>
    </w:p>
    <w:p w:rsidR="00017496" w:rsidP="00017496" w:rsidRDefault="00017496" w14:paraId="6B92F65C" w14:textId="77777777"/>
    <w:p w:rsidR="00017496" w:rsidP="00017496" w:rsidRDefault="00017496" w14:paraId="00021904" w14:textId="77777777">
      <w:r>
        <w:t>Maatoug</w:t>
      </w:r>
    </w:p>
    <w:p w:rsidRPr="00EA69AC" w:rsidR="00B4708A" w:rsidP="00EA1CE4" w:rsidRDefault="00017496" w14:paraId="706D8C76" w14:textId="5EAAFE20">
      <w:r>
        <w:t>Stultiens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9F6F" w14:textId="77777777" w:rsidR="00017496" w:rsidRDefault="00017496">
      <w:pPr>
        <w:spacing w:line="20" w:lineRule="exact"/>
      </w:pPr>
    </w:p>
  </w:endnote>
  <w:endnote w:type="continuationSeparator" w:id="0">
    <w:p w14:paraId="20DEFDC0" w14:textId="77777777" w:rsidR="00017496" w:rsidRDefault="00017496">
      <w:pPr>
        <w:pStyle w:val="Amendement"/>
      </w:pPr>
      <w:r>
        <w:rPr>
          <w:b w:val="0"/>
        </w:rPr>
        <w:t xml:space="preserve"> </w:t>
      </w:r>
    </w:p>
  </w:endnote>
  <w:endnote w:type="continuationNotice" w:id="1">
    <w:p w14:paraId="55E8867F" w14:textId="77777777" w:rsidR="00017496" w:rsidRDefault="000174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8A05" w14:textId="77777777" w:rsidR="00017496" w:rsidRDefault="00017496">
      <w:pPr>
        <w:pStyle w:val="Amendement"/>
      </w:pPr>
      <w:r>
        <w:rPr>
          <w:b w:val="0"/>
        </w:rPr>
        <w:separator/>
      </w:r>
    </w:p>
  </w:footnote>
  <w:footnote w:type="continuationSeparator" w:id="0">
    <w:p w14:paraId="64471D68" w14:textId="77777777" w:rsidR="00017496" w:rsidRDefault="00017496">
      <w:r>
        <w:continuationSeparator/>
      </w:r>
    </w:p>
  </w:footnote>
  <w:footnote w:id="1">
    <w:p w14:paraId="1F8420D3" w14:textId="77777777" w:rsidR="00017496" w:rsidRPr="005E7E58" w:rsidRDefault="00017496" w:rsidP="00017496">
      <w:pPr>
        <w:pStyle w:val="Voetnoottekst"/>
        <w:rPr>
          <w:sz w:val="16"/>
          <w:szCs w:val="16"/>
        </w:rPr>
      </w:pPr>
      <w:r w:rsidRPr="005E7E58">
        <w:rPr>
          <w:rStyle w:val="Voetnootmarkering"/>
          <w:sz w:val="16"/>
          <w:szCs w:val="16"/>
        </w:rPr>
        <w:footnoteRef/>
      </w:r>
      <w:r w:rsidRPr="005E7E58">
        <w:rPr>
          <w:sz w:val="16"/>
          <w:szCs w:val="16"/>
        </w:rPr>
        <w:t xml:space="preserve"> Artikel 10eb, eerste en tweede lid, van het Uitvoeringsbesluit loonbelasting 1965</w:t>
      </w:r>
      <w:r>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96"/>
    <w:rsid w:val="00017496"/>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652F1"/>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10727"/>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90B1C"/>
    <w:rsid w:val="00CC592A"/>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F709C"/>
  <w15:docId w15:val="{5D8AA651-8B9B-434B-A3A8-ECAF1680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017496"/>
    <w:rPr>
      <w:vertAlign w:val="superscript"/>
    </w:rPr>
  </w:style>
  <w:style w:type="table" w:styleId="Rastertabel4-Accent1">
    <w:name w:val="Grid Table 4 Accent 1"/>
    <w:basedOn w:val="Standaardtabel"/>
    <w:uiPriority w:val="49"/>
    <w:rsid w:val="0001749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745</ap:Words>
  <ap:Characters>4153</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2024-11-12T09:34:00.0000000Z</dcterms:created>
  <dcterms:modified xsi:type="dcterms:W3CDTF">2024-11-12T09:34:00.0000000Z</dcterms:modified>
  <dc:description>------------------------</dc:description>
  <dc:subject/>
  <keywords/>
  <version/>
  <category/>
</coreProperties>
</file>