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C8396B9" w14:textId="77777777">
        <w:tc>
          <w:tcPr>
            <w:tcW w:w="6379" w:type="dxa"/>
            <w:gridSpan w:val="2"/>
            <w:tcBorders>
              <w:top w:val="nil"/>
              <w:left w:val="nil"/>
              <w:bottom w:val="nil"/>
              <w:right w:val="nil"/>
            </w:tcBorders>
            <w:vAlign w:val="center"/>
          </w:tcPr>
          <w:p w:rsidR="004330ED" w:rsidP="00EA1CE4" w:rsidRDefault="004330ED" w14:paraId="494CAAD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D421DF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B7172CE" w14:textId="77777777">
        <w:trPr>
          <w:cantSplit/>
        </w:trPr>
        <w:tc>
          <w:tcPr>
            <w:tcW w:w="10348" w:type="dxa"/>
            <w:gridSpan w:val="3"/>
            <w:tcBorders>
              <w:top w:val="single" w:color="auto" w:sz="4" w:space="0"/>
              <w:left w:val="nil"/>
              <w:bottom w:val="nil"/>
              <w:right w:val="nil"/>
            </w:tcBorders>
          </w:tcPr>
          <w:p w:rsidR="004330ED" w:rsidP="004A1E29" w:rsidRDefault="004330ED" w14:paraId="2F39E77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613104D" w14:textId="77777777">
        <w:trPr>
          <w:cantSplit/>
        </w:trPr>
        <w:tc>
          <w:tcPr>
            <w:tcW w:w="10348" w:type="dxa"/>
            <w:gridSpan w:val="3"/>
            <w:tcBorders>
              <w:top w:val="nil"/>
              <w:left w:val="nil"/>
              <w:bottom w:val="nil"/>
              <w:right w:val="nil"/>
            </w:tcBorders>
          </w:tcPr>
          <w:p w:rsidR="004330ED" w:rsidP="00BF623B" w:rsidRDefault="004330ED" w14:paraId="2A4E39FB" w14:textId="77777777">
            <w:pPr>
              <w:pStyle w:val="Amendement"/>
              <w:tabs>
                <w:tab w:val="clear" w:pos="3310"/>
                <w:tab w:val="clear" w:pos="3600"/>
              </w:tabs>
              <w:rPr>
                <w:rFonts w:ascii="Times New Roman" w:hAnsi="Times New Roman"/>
                <w:b w:val="0"/>
              </w:rPr>
            </w:pPr>
          </w:p>
        </w:tc>
      </w:tr>
      <w:tr w:rsidR="004330ED" w:rsidTr="00EA1CE4" w14:paraId="6717800A" w14:textId="77777777">
        <w:trPr>
          <w:cantSplit/>
        </w:trPr>
        <w:tc>
          <w:tcPr>
            <w:tcW w:w="10348" w:type="dxa"/>
            <w:gridSpan w:val="3"/>
            <w:tcBorders>
              <w:top w:val="nil"/>
              <w:left w:val="nil"/>
              <w:bottom w:val="single" w:color="auto" w:sz="4" w:space="0"/>
              <w:right w:val="nil"/>
            </w:tcBorders>
          </w:tcPr>
          <w:p w:rsidR="004330ED" w:rsidP="00BF623B" w:rsidRDefault="004330ED" w14:paraId="746523B3" w14:textId="77777777">
            <w:pPr>
              <w:pStyle w:val="Amendement"/>
              <w:tabs>
                <w:tab w:val="clear" w:pos="3310"/>
                <w:tab w:val="clear" w:pos="3600"/>
              </w:tabs>
              <w:rPr>
                <w:rFonts w:ascii="Times New Roman" w:hAnsi="Times New Roman"/>
              </w:rPr>
            </w:pPr>
          </w:p>
        </w:tc>
      </w:tr>
      <w:tr w:rsidR="004330ED" w:rsidTr="00EA1CE4" w14:paraId="1DFDD5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B97DCC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BFD42F0" w14:textId="77777777">
            <w:pPr>
              <w:suppressAutoHyphens/>
              <w:ind w:left="-70"/>
              <w:rPr>
                <w:b/>
              </w:rPr>
            </w:pPr>
          </w:p>
        </w:tc>
      </w:tr>
      <w:tr w:rsidR="003C21AC" w:rsidTr="00EA1CE4" w14:paraId="1776A5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B4862" w14:paraId="2DE3CBE3" w14:textId="6E8E536C">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7B4862" w:rsidR="003C21AC" w:rsidP="007B4862" w:rsidRDefault="007B4862" w14:paraId="17118DB9" w14:textId="0AD41ECD">
            <w:pPr>
              <w:rPr>
                <w:b/>
                <w:bCs/>
                <w:szCs w:val="24"/>
              </w:rPr>
            </w:pPr>
            <w:r w:rsidRPr="007B4862">
              <w:rPr>
                <w:b/>
                <w:bCs/>
                <w:szCs w:val="24"/>
              </w:rPr>
              <w:t>Wijziging van enkele belastingwetten en enige andere wetten (Belastingplan 2025)</w:t>
            </w:r>
          </w:p>
        </w:tc>
      </w:tr>
      <w:tr w:rsidR="003C21AC" w:rsidTr="00EA1CE4" w14:paraId="4A1120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DC79BD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DB313F3" w14:textId="77777777">
            <w:pPr>
              <w:pStyle w:val="Amendement"/>
              <w:tabs>
                <w:tab w:val="clear" w:pos="3310"/>
                <w:tab w:val="clear" w:pos="3600"/>
              </w:tabs>
              <w:ind w:left="-70"/>
              <w:rPr>
                <w:rFonts w:ascii="Times New Roman" w:hAnsi="Times New Roman"/>
              </w:rPr>
            </w:pPr>
          </w:p>
        </w:tc>
      </w:tr>
      <w:tr w:rsidR="003C21AC" w:rsidTr="00EA1CE4" w14:paraId="5630A6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E1D81A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D04A4BD" w14:textId="77777777">
            <w:pPr>
              <w:pStyle w:val="Amendement"/>
              <w:tabs>
                <w:tab w:val="clear" w:pos="3310"/>
                <w:tab w:val="clear" w:pos="3600"/>
              </w:tabs>
              <w:ind w:left="-70"/>
              <w:rPr>
                <w:rFonts w:ascii="Times New Roman" w:hAnsi="Times New Roman"/>
              </w:rPr>
            </w:pPr>
          </w:p>
        </w:tc>
      </w:tr>
      <w:tr w:rsidR="003C21AC" w:rsidTr="00EA1CE4" w14:paraId="59C588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37BCC88" w14:textId="7FBD518B">
            <w:pPr>
              <w:pStyle w:val="Amendement"/>
              <w:tabs>
                <w:tab w:val="clear" w:pos="3310"/>
                <w:tab w:val="clear" w:pos="3600"/>
              </w:tabs>
              <w:rPr>
                <w:rFonts w:ascii="Times New Roman" w:hAnsi="Times New Roman"/>
              </w:rPr>
            </w:pPr>
            <w:r w:rsidRPr="00C035D4">
              <w:rPr>
                <w:rFonts w:ascii="Times New Roman" w:hAnsi="Times New Roman"/>
              </w:rPr>
              <w:t xml:space="preserve">Nr. </w:t>
            </w:r>
            <w:r w:rsidR="00467400">
              <w:rPr>
                <w:rFonts w:ascii="Times New Roman" w:hAnsi="Times New Roman"/>
                <w:caps/>
              </w:rPr>
              <w:t>90</w:t>
            </w:r>
          </w:p>
        </w:tc>
        <w:tc>
          <w:tcPr>
            <w:tcW w:w="7371" w:type="dxa"/>
            <w:gridSpan w:val="2"/>
          </w:tcPr>
          <w:p w:rsidRPr="00C035D4" w:rsidR="003C21AC" w:rsidP="006E0971" w:rsidRDefault="003C21AC" w14:paraId="5F6250E0" w14:textId="332269E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7B4862">
              <w:rPr>
                <w:rFonts w:ascii="Times New Roman" w:hAnsi="Times New Roman"/>
                <w:caps/>
              </w:rPr>
              <w:t>grinwis c.s.</w:t>
            </w:r>
          </w:p>
        </w:tc>
      </w:tr>
      <w:tr w:rsidR="003C21AC" w:rsidTr="00EA1CE4" w14:paraId="4CB05F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A1467A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D88698" w14:textId="58C8D71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0697E">
              <w:rPr>
                <w:rFonts w:ascii="Times New Roman" w:hAnsi="Times New Roman"/>
                <w:b w:val="0"/>
              </w:rPr>
              <w:t>12 november 2024</w:t>
            </w:r>
          </w:p>
        </w:tc>
      </w:tr>
      <w:tr w:rsidR="00B01BA6" w:rsidTr="00EA1CE4" w14:paraId="50395C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556C74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D27F046" w14:textId="77777777">
            <w:pPr>
              <w:pStyle w:val="Amendement"/>
              <w:tabs>
                <w:tab w:val="clear" w:pos="3310"/>
                <w:tab w:val="clear" w:pos="3600"/>
              </w:tabs>
              <w:ind w:left="-70"/>
              <w:rPr>
                <w:rFonts w:ascii="Times New Roman" w:hAnsi="Times New Roman"/>
                <w:b w:val="0"/>
              </w:rPr>
            </w:pPr>
          </w:p>
        </w:tc>
      </w:tr>
      <w:tr w:rsidRPr="00EA69AC" w:rsidR="00B01BA6" w:rsidTr="00EA1CE4" w14:paraId="72EA72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38F7E3B" w14:textId="77777777">
            <w:pPr>
              <w:ind w:firstLine="284"/>
            </w:pPr>
            <w:r w:rsidRPr="00EA69AC">
              <w:t>De ondergetekende stelt het volgende amendement voor:</w:t>
            </w:r>
          </w:p>
        </w:tc>
      </w:tr>
    </w:tbl>
    <w:p w:rsidRPr="00EA69AC" w:rsidR="005B1DCC" w:rsidP="00BF623B" w:rsidRDefault="005B1DCC" w14:paraId="71C451C5" w14:textId="77777777"/>
    <w:p w:rsidRPr="007B4862" w:rsidR="007B4862" w:rsidP="007B4862" w:rsidRDefault="007B4862" w14:paraId="511BCCAC" w14:textId="77777777">
      <w:r w:rsidRPr="007B4862">
        <w:t>I</w:t>
      </w:r>
    </w:p>
    <w:p w:rsidRPr="007B4862" w:rsidR="007B4862" w:rsidP="007B4862" w:rsidRDefault="007B4862" w14:paraId="3287CAA3" w14:textId="77777777"/>
    <w:p w:rsidRPr="007B4862" w:rsidR="007B4862" w:rsidP="007B4862" w:rsidRDefault="007B4862" w14:paraId="1E759520" w14:textId="62543988">
      <w:r w:rsidRPr="007B4862">
        <w:tab/>
      </w:r>
      <w:r>
        <w:t>In</w:t>
      </w:r>
      <w:r w:rsidRPr="007B4862">
        <w:t xml:space="preserve"> artikel I</w:t>
      </w:r>
      <w:r>
        <w:t xml:space="preserve"> wordt na </w:t>
      </w:r>
      <w:r w:rsidRPr="007B4862">
        <w:t xml:space="preserve">onderdeel N een onderdeel ingevoegd, luidende: </w:t>
      </w:r>
    </w:p>
    <w:p w:rsidRPr="007B4862" w:rsidR="007B4862" w:rsidP="007B4862" w:rsidRDefault="007B4862" w14:paraId="1FE6B229" w14:textId="77777777"/>
    <w:p w:rsidRPr="007B4862" w:rsidR="007B4862" w:rsidP="007B4862" w:rsidRDefault="007B4862" w14:paraId="704D97F2" w14:textId="46D8C31D">
      <w:r w:rsidRPr="007B4862">
        <w:t>Na</w:t>
      </w:r>
    </w:p>
    <w:p w:rsidRPr="007B4862" w:rsidR="007B4862" w:rsidP="007B4862" w:rsidRDefault="007B4862" w14:paraId="6BCB22EF" w14:textId="77777777"/>
    <w:p w:rsidRPr="007B4862" w:rsidR="007B4862" w:rsidP="007B4862" w:rsidRDefault="007B4862" w14:paraId="6B082D1F" w14:textId="77777777">
      <w:pPr>
        <w:ind w:firstLine="284"/>
      </w:pPr>
      <w:r w:rsidRPr="007B4862">
        <w:t>In artikel 6.38, vierde lid, wordt “€ 250.000” vervangen door “€ 1.500.000”.</w:t>
      </w:r>
    </w:p>
    <w:p w:rsidRPr="007B4862" w:rsidR="007B4862" w:rsidP="007B4862" w:rsidRDefault="007B4862" w14:paraId="33F1F541" w14:textId="77777777"/>
    <w:p w:rsidRPr="007B4862" w:rsidR="007B4862" w:rsidP="007B4862" w:rsidRDefault="007B4862" w14:paraId="645A9A2C" w14:textId="77777777">
      <w:r w:rsidRPr="007B4862">
        <w:t>II</w:t>
      </w:r>
    </w:p>
    <w:p w:rsidRPr="007B4862" w:rsidR="007B4862" w:rsidP="007B4862" w:rsidRDefault="007B4862" w14:paraId="02D988D8" w14:textId="77777777"/>
    <w:p w:rsidRPr="007B4862" w:rsidR="007B4862" w:rsidP="007B4862" w:rsidRDefault="007B4862" w14:paraId="76840A87" w14:textId="50D25385">
      <w:r w:rsidRPr="007B4862">
        <w:tab/>
        <w:t>Artikel XV, onderdeel D, vervalt.</w:t>
      </w:r>
    </w:p>
    <w:p w:rsidRPr="007B4862" w:rsidR="007B4862" w:rsidP="007B4862" w:rsidRDefault="007B4862" w14:paraId="4294E1E4" w14:textId="77777777"/>
    <w:p w:rsidRPr="007B4862" w:rsidR="007B4862" w:rsidP="007B4862" w:rsidRDefault="007B4862" w14:paraId="64AAC39D" w14:textId="77777777">
      <w:r w:rsidRPr="007B4862">
        <w:t>III</w:t>
      </w:r>
    </w:p>
    <w:p w:rsidRPr="007B4862" w:rsidR="007B4862" w:rsidP="007B4862" w:rsidRDefault="007B4862" w14:paraId="061F4B6F" w14:textId="77777777"/>
    <w:p w:rsidRPr="007B4862" w:rsidR="007B4862" w:rsidP="007B4862" w:rsidRDefault="007B4862" w14:paraId="799D9C4A" w14:textId="77777777">
      <w:r w:rsidRPr="007B4862">
        <w:tab/>
        <w:t>Artikel XV, onderdeel L, vervalt.</w:t>
      </w:r>
    </w:p>
    <w:p w:rsidRPr="007B4862" w:rsidR="007B4862" w:rsidP="007B4862" w:rsidRDefault="007B4862" w14:paraId="2E81C137" w14:textId="77777777"/>
    <w:p w:rsidRPr="007B4862" w:rsidR="007B4862" w:rsidP="007B4862" w:rsidRDefault="007B4862" w14:paraId="42DE180C" w14:textId="77777777">
      <w:r w:rsidRPr="007B4862">
        <w:t>IV</w:t>
      </w:r>
    </w:p>
    <w:p w:rsidRPr="007B4862" w:rsidR="007B4862" w:rsidP="007B4862" w:rsidRDefault="007B4862" w14:paraId="5D4D5F9F" w14:textId="77777777"/>
    <w:p w:rsidRPr="007B4862" w:rsidR="007B4862" w:rsidP="007B4862" w:rsidRDefault="007B4862" w14:paraId="7C5A39BD" w14:textId="77777777">
      <w:r w:rsidRPr="007B4862">
        <w:tab/>
        <w:t>Artikel XV, onderdeel N, vervalt.</w:t>
      </w:r>
    </w:p>
    <w:p w:rsidRPr="007B4862" w:rsidR="007B4862" w:rsidP="007B4862" w:rsidRDefault="007B4862" w14:paraId="2C6605D7" w14:textId="77777777"/>
    <w:p w:rsidRPr="007B4862" w:rsidR="007B4862" w:rsidP="007B4862" w:rsidRDefault="007B4862" w14:paraId="60FADE72" w14:textId="77777777">
      <w:r w:rsidRPr="007B4862">
        <w:t>V</w:t>
      </w:r>
    </w:p>
    <w:p w:rsidRPr="007B4862" w:rsidR="007B4862" w:rsidP="007B4862" w:rsidRDefault="007B4862" w14:paraId="1334B759" w14:textId="77777777"/>
    <w:p w:rsidRPr="007B4862" w:rsidR="007B4862" w:rsidP="007B4862" w:rsidRDefault="007B4862" w14:paraId="686A9571" w14:textId="77777777">
      <w:pPr>
        <w:ind w:firstLine="284"/>
      </w:pPr>
      <w:r w:rsidRPr="007B4862">
        <w:t>Na artikel LVIII wordt een artikel ingevoegd, luidende:</w:t>
      </w:r>
    </w:p>
    <w:p w:rsidRPr="007B4862" w:rsidR="007B4862" w:rsidP="007B4862" w:rsidRDefault="007B4862" w14:paraId="5BF3EE29" w14:textId="77777777"/>
    <w:p w:rsidRPr="007B4862" w:rsidR="007B4862" w:rsidP="007B4862" w:rsidRDefault="007B4862" w14:paraId="38047A21" w14:textId="7E46557E">
      <w:pPr>
        <w:rPr>
          <w:b/>
          <w:bCs/>
        </w:rPr>
      </w:pPr>
      <w:r w:rsidRPr="007B4862">
        <w:rPr>
          <w:b/>
          <w:bCs/>
        </w:rPr>
        <w:t>ARTIKEL LVIIIA</w:t>
      </w:r>
    </w:p>
    <w:p w:rsidRPr="007B4862" w:rsidR="007B4862" w:rsidP="007B4862" w:rsidRDefault="007B4862" w14:paraId="1ECE18A9" w14:textId="77777777"/>
    <w:p w:rsidRPr="007B4862" w:rsidR="007B4862" w:rsidP="007B4862" w:rsidRDefault="007B4862" w14:paraId="6394C89C" w14:textId="77777777">
      <w:pPr>
        <w:ind w:firstLine="284"/>
      </w:pPr>
      <w:r w:rsidRPr="007B4862">
        <w:t>Artikel 10.2b, vierde lid, van de Wet inkomstenbelasting 2001 en artikel 18ga, tweede lid, van de Wet op de loonbelasting 1964 vinden geen toepassing bij het begin van de kalenderjaren 2025 en 2026.</w:t>
      </w:r>
    </w:p>
    <w:p w:rsidRPr="007B4862" w:rsidR="007B4862" w:rsidP="007B4862" w:rsidRDefault="007B4862" w14:paraId="5DE0F1DF" w14:textId="77777777"/>
    <w:p w:rsidRPr="007B4862" w:rsidR="007B4862" w:rsidP="007B4862" w:rsidRDefault="007B4862" w14:paraId="19ABD2C1" w14:textId="77777777">
      <w:r w:rsidRPr="007B4862">
        <w:t>VI</w:t>
      </w:r>
    </w:p>
    <w:p w:rsidRPr="007B4862" w:rsidR="007B4862" w:rsidP="007B4862" w:rsidRDefault="007B4862" w14:paraId="6FC0E850" w14:textId="77777777"/>
    <w:p w:rsidRPr="007B4862" w:rsidR="007B4862" w:rsidP="007B4862" w:rsidRDefault="007B4862" w14:paraId="569D39BA" w14:textId="77777777">
      <w:pPr>
        <w:ind w:firstLine="284"/>
      </w:pPr>
      <w:r w:rsidRPr="007B4862">
        <w:t>In artikel LXV, eerste lid, onderdeel e, vervallen “D,” en “L, N,”.</w:t>
      </w:r>
    </w:p>
    <w:p w:rsidRPr="007B4862" w:rsidR="007B4862" w:rsidP="007B4862" w:rsidRDefault="007B4862" w14:paraId="1ED64FFA" w14:textId="77777777"/>
    <w:p w:rsidRPr="007B4862" w:rsidR="007B4862" w:rsidP="007B4862" w:rsidRDefault="007B4862" w14:paraId="1EC6E098" w14:textId="77777777">
      <w:pPr>
        <w:rPr>
          <w:b/>
        </w:rPr>
      </w:pPr>
      <w:r w:rsidRPr="007B4862">
        <w:rPr>
          <w:b/>
        </w:rPr>
        <w:t>Toelichting</w:t>
      </w:r>
    </w:p>
    <w:p w:rsidR="007B4862" w:rsidP="007B4862" w:rsidRDefault="007B4862" w14:paraId="27C8F0CC" w14:textId="77777777"/>
    <w:p w:rsidRPr="00E0697E" w:rsidR="00E0697E" w:rsidP="00E0697E" w:rsidRDefault="00E0697E" w14:paraId="7C115C6E" w14:textId="77777777">
      <w:r w:rsidRPr="00E0697E">
        <w:t xml:space="preserve">Dit amendement regelt dat de giftenaftrek in de winstbelasting (vpb) in stand blijft én regelt dat de periodieke giftenaftrek in de inkomstenbelasting verruimd wordt van 250.000 euro naar 1,5 miljoen euro. </w:t>
      </w:r>
      <w:r w:rsidRPr="00E0697E">
        <w:lastRenderedPageBreak/>
        <w:t>Indieners zijn van mening dat geefgedrag van ondernemers en particulieren niet fiscaal afgestraft, maar juist mogelijk gemaakt moet worden. Om deze reden draaien zij het beoogde schrappen van de giftenaftrek in de Vpb (die met name door MKB-ondernemers gebruikt wordt) terug. Ook draaien zij de beperking van de periodieke giftenaftrek van twee jaar geleden voor een deel terug, door de toen geïmplementeerde drempel te verzesvoudigen.</w:t>
      </w:r>
    </w:p>
    <w:p w:rsidRPr="00E0697E" w:rsidR="00E0697E" w:rsidP="00E0697E" w:rsidRDefault="00E0697E" w14:paraId="4113F354" w14:textId="77777777"/>
    <w:p w:rsidRPr="00E0697E" w:rsidR="00E0697E" w:rsidP="00E0697E" w:rsidRDefault="00E0697E" w14:paraId="356AB1A9" w14:textId="77777777">
      <w:r w:rsidRPr="00E0697E">
        <w:t>Ter dekking van deze maatregel beogen de indieners fiscale constructies in de samenloop van de MIA en de Vamil af te schaffen. Dit levert naar schatting 10 miljoen euro op. Tevens wordt ter dekking voorgesteld bij het begin van de kalenderjaren 2025 en 2026 geen indexatie toe te passen met betrekking tot de maximale premiegrondslag van artikel 3.127, derde lid, Wet IB 2001 voor het bepalen van de zogenoemde jaarruimte, bedoeld in artikel 3.127, eerste lid, Wet IB 2001, voor inleg van premies voor lijfrenten vanwege een pensioentekort; en de aftoppingsgrens van het pensioengevend loon, bedoeld in artikel 18ga, eerste lid, Wet LB 1964. Hiermee wordt de indexatie van de aftoppingsgrens, die de afgelopen twee jaar is gestegen met ca. 23.000 euro tot 137.800 euro voor de duur van twee jaar gepauzeerd.</w:t>
      </w:r>
    </w:p>
    <w:p w:rsidRPr="00E0697E" w:rsidR="00E0697E" w:rsidP="00E0697E" w:rsidRDefault="00E0697E" w14:paraId="592E798F" w14:textId="77777777"/>
    <w:p w:rsidRPr="00E0697E" w:rsidR="00E0697E" w:rsidP="00E0697E" w:rsidRDefault="00E0697E" w14:paraId="66FA42A1" w14:textId="77777777">
      <w:pPr>
        <w:rPr>
          <w:i/>
          <w:iCs/>
        </w:rPr>
      </w:pPr>
      <w:r w:rsidRPr="00E0697E">
        <w:rPr>
          <w:i/>
          <w:iCs/>
        </w:rPr>
        <w:t>Technische toelichting</w:t>
      </w:r>
    </w:p>
    <w:p w:rsidRPr="00E0697E" w:rsidR="00E0697E" w:rsidP="00E0697E" w:rsidRDefault="00E0697E" w14:paraId="29DB18F8" w14:textId="77777777">
      <w:r w:rsidRPr="00E0697E">
        <w:t xml:space="preserve">In verband met de beoogde verhoging van het plafond van € 250.000 tot € 1,5 miljoen per huishouden voor de aftrek van periodieke giften in de giftenaftrek in de inkomstenbelasting met ingang van 1 januari 2025 wordt artikel 6.38 van de Wet inkomstenbelasting 2001 (Wet IB 2001) aangepast. </w:t>
      </w:r>
    </w:p>
    <w:p w:rsidRPr="00E0697E" w:rsidR="00E0697E" w:rsidP="00E0697E" w:rsidRDefault="00E0697E" w14:paraId="5559ACF2" w14:textId="77777777">
      <w:r w:rsidRPr="00E0697E">
        <w:t xml:space="preserve">In verband met de beoogde instandhouding van de giftenaftrek in de vennootschapsbelasting (Vpb) wordt voorgesteld artikel XV, onderdelen D, L en N, te laten vervallen. Dit maakt het tevens noodzakelijk artikel LXV, eerste lid, onderdeel e, aan te passen. </w:t>
      </w:r>
    </w:p>
    <w:p w:rsidRPr="00E0697E" w:rsidR="00E0697E" w:rsidP="00E0697E" w:rsidRDefault="00E0697E" w14:paraId="6C4CAB5C" w14:textId="77777777">
      <w:r w:rsidRPr="00E0697E">
        <w:t xml:space="preserve">Ter dekking wordt voorgesteld om de budgetten van de willekeurige afschrijving milieu-bedrijfsmiddelen (Vamil) en de milieu-investeringsaftrek (MIA) te verlagen per 2025. Omdat de budgetten niet in een wet zijn geregeld, kan dit overigens niet via een wijzigingsopdracht in het amendement worden geregeld. </w:t>
      </w:r>
      <w:r w:rsidRPr="00E0697E">
        <w:br/>
        <w:t>Voorts wordt ter dekking voorgesteld bij het begin van de kalenderjaren 2025 en 2026 geen indexatie toe te passen met betrekking tot:</w:t>
      </w:r>
    </w:p>
    <w:p w:rsidRPr="00E0697E" w:rsidR="00E0697E" w:rsidP="00E0697E" w:rsidRDefault="00E0697E" w14:paraId="5456D465" w14:textId="3C5336E8">
      <w:r>
        <w:t xml:space="preserve">- </w:t>
      </w:r>
      <w:r w:rsidRPr="00E0697E">
        <w:t>de maximale premiegrondslag van artikel 3.127, derde lid, Wet IB 2001 voor het bepalen van de zogenoemde jaarruimte, bedoeld in artikel 3.127, eerste lid, Wet IB 2001, voor inleg van premies voor lijfrenten vanwege een pensioentekort (derde pijler);</w:t>
      </w:r>
    </w:p>
    <w:p w:rsidRPr="00E0697E" w:rsidR="00E0697E" w:rsidP="00E0697E" w:rsidRDefault="00E0697E" w14:paraId="221EF6CB" w14:textId="7CFD6A45">
      <w:r>
        <w:t xml:space="preserve">- </w:t>
      </w:r>
      <w:r w:rsidRPr="00E0697E">
        <w:t xml:space="preserve">de aftoppingsgrens van het pensioengevend loon, bedoeld in artikel 18ga, eerste lid, Wet op de loonbelasting 1964 (tweede pijler).  </w:t>
      </w:r>
    </w:p>
    <w:p w:rsidRPr="00E0697E" w:rsidR="00E0697E" w:rsidP="00E0697E" w:rsidRDefault="00E0697E" w14:paraId="18EE83E5" w14:textId="77777777"/>
    <w:p w:rsidRPr="00E0697E" w:rsidR="00E0697E" w:rsidP="00E0697E" w:rsidRDefault="00E0697E" w14:paraId="114699DF" w14:textId="77777777">
      <w:pPr>
        <w:rPr>
          <w:i/>
          <w:iCs/>
        </w:rPr>
      </w:pPr>
      <w:r w:rsidRPr="00E0697E">
        <w:rPr>
          <w:i/>
          <w:iCs/>
        </w:rPr>
        <w:t>Budgettaire gevolgen</w:t>
      </w:r>
    </w:p>
    <w:p w:rsidRPr="00E0697E" w:rsidR="00E0697E" w:rsidP="00E0697E" w:rsidRDefault="00E0697E" w14:paraId="5C89C3E5" w14:textId="77777777">
      <w:r w:rsidRPr="00E0697E">
        <w:t>De verhoging van het plafond voor de aftrek van periodieke giften van € 250.000 tot € 1,5 miljoen per 1 januari 2025 kost € 4 miljoen in 2025 en loopt op naar structureel € 19 miljoen in 2029.</w:t>
      </w:r>
    </w:p>
    <w:p w:rsidRPr="00E0697E" w:rsidR="00E0697E" w:rsidP="00E0697E" w:rsidRDefault="00E0697E" w14:paraId="2C2D17C3" w14:textId="77777777">
      <w:r w:rsidRPr="00E0697E">
        <w:t>De instandhouding van de giftenaftrek in de Vpb kost € 24 miljoen per jaar.</w:t>
      </w:r>
    </w:p>
    <w:p w:rsidRPr="00E0697E" w:rsidR="00E0697E" w:rsidP="00E0697E" w:rsidRDefault="00E0697E" w14:paraId="58F55913" w14:textId="77777777">
      <w:r w:rsidRPr="00E0697E">
        <w:t>Dekking van deze twee maatregelen vindt plaats door het verlagen van de budgetten van de Vamil en de MIA en het twee jaar niet indexeren van de aftoppingsgrens voor pensioenopbouw in de tweede en derde pijler. De Vamil en de MIA zijn gebudgetteerde fiscale regelingen. Als onderdeel van de dekking van dit amendement wordt het budget van zowel de Vamil als de MIA met € 5 miljoen verlaagd. De verlaging van deze budgetten met in totaal € 10 miljoen wordt ingevuld via een aanpassing van de Milieulijst, die jaarlijks wordt vastgesteld. De opbrengst van het niet indexeren van de aftoppingsgrens voor pensioenopbouw bedraagt € 18 miljoen in 2025 en € 33 miljoen in 2026 en in de daaropvolgende jaren.</w:t>
      </w:r>
    </w:p>
    <w:tbl>
      <w:tblPr>
        <w:tblW w:w="12236" w:type="dxa"/>
        <w:tblInd w:w="-168" w:type="dxa"/>
        <w:tblBorders>
          <w:top w:val="none" w:color="auto" w:sz="6" w:space="0"/>
          <w:left w:val="none" w:color="auto" w:sz="6" w:space="0"/>
          <w:bottom w:val="none" w:color="auto" w:sz="6" w:space="0"/>
          <w:right w:val="none" w:color="auto" w:sz="6" w:space="0"/>
        </w:tblBorders>
        <w:tblLayout w:type="fixed"/>
        <w:tblLook w:val="0000" w:firstRow="0" w:lastRow="0" w:firstColumn="0" w:lastColumn="0" w:noHBand="0" w:noVBand="0"/>
      </w:tblPr>
      <w:tblGrid>
        <w:gridCol w:w="1748"/>
        <w:gridCol w:w="1748"/>
        <w:gridCol w:w="1748"/>
        <w:gridCol w:w="1748"/>
        <w:gridCol w:w="1748"/>
        <w:gridCol w:w="1748"/>
        <w:gridCol w:w="1748"/>
      </w:tblGrid>
      <w:tr w:rsidRPr="00E0697E" w:rsidR="00E0697E" w:rsidTr="00DD10E7" w14:paraId="7CA2B473" w14:textId="77777777">
        <w:trPr>
          <w:trHeight w:val="206"/>
        </w:trPr>
        <w:tc>
          <w:tcPr>
            <w:tcW w:w="1748" w:type="dxa"/>
            <w:tcBorders>
              <w:top w:val="none" w:color="auto" w:sz="6" w:space="0"/>
              <w:bottom w:val="none" w:color="auto" w:sz="6" w:space="0"/>
              <w:right w:val="none" w:color="auto" w:sz="6" w:space="0"/>
            </w:tcBorders>
          </w:tcPr>
          <w:p w:rsidRPr="00E0697E" w:rsidR="00E0697E" w:rsidP="00E0697E" w:rsidRDefault="00E0697E" w14:paraId="57670172" w14:textId="77777777"/>
        </w:tc>
        <w:tc>
          <w:tcPr>
            <w:tcW w:w="1748" w:type="dxa"/>
            <w:tcBorders>
              <w:top w:val="none" w:color="auto" w:sz="6" w:space="0"/>
              <w:left w:val="none" w:color="auto" w:sz="6" w:space="0"/>
              <w:bottom w:val="none" w:color="auto" w:sz="6" w:space="0"/>
              <w:right w:val="none" w:color="auto" w:sz="6" w:space="0"/>
            </w:tcBorders>
          </w:tcPr>
          <w:p w:rsidRPr="00E0697E" w:rsidR="00E0697E" w:rsidP="00E0697E" w:rsidRDefault="00E0697E" w14:paraId="25AF6090" w14:textId="77777777"/>
        </w:tc>
        <w:tc>
          <w:tcPr>
            <w:tcW w:w="1748" w:type="dxa"/>
            <w:tcBorders>
              <w:top w:val="none" w:color="auto" w:sz="6" w:space="0"/>
              <w:left w:val="none" w:color="auto" w:sz="6" w:space="0"/>
              <w:bottom w:val="none" w:color="auto" w:sz="6" w:space="0"/>
              <w:right w:val="none" w:color="auto" w:sz="6" w:space="0"/>
            </w:tcBorders>
          </w:tcPr>
          <w:p w:rsidRPr="00E0697E" w:rsidR="00E0697E" w:rsidP="00E0697E" w:rsidRDefault="00E0697E" w14:paraId="5418283D" w14:textId="77777777"/>
        </w:tc>
        <w:tc>
          <w:tcPr>
            <w:tcW w:w="1748" w:type="dxa"/>
            <w:tcBorders>
              <w:top w:val="none" w:color="auto" w:sz="6" w:space="0"/>
              <w:left w:val="none" w:color="auto" w:sz="6" w:space="0"/>
              <w:bottom w:val="none" w:color="auto" w:sz="6" w:space="0"/>
              <w:right w:val="none" w:color="auto" w:sz="6" w:space="0"/>
            </w:tcBorders>
          </w:tcPr>
          <w:p w:rsidRPr="00E0697E" w:rsidR="00E0697E" w:rsidP="00E0697E" w:rsidRDefault="00E0697E" w14:paraId="3DCC8147" w14:textId="77777777"/>
        </w:tc>
        <w:tc>
          <w:tcPr>
            <w:tcW w:w="1748" w:type="dxa"/>
            <w:tcBorders>
              <w:top w:val="none" w:color="auto" w:sz="6" w:space="0"/>
              <w:left w:val="none" w:color="auto" w:sz="6" w:space="0"/>
              <w:bottom w:val="none" w:color="auto" w:sz="6" w:space="0"/>
              <w:right w:val="none" w:color="auto" w:sz="6" w:space="0"/>
            </w:tcBorders>
          </w:tcPr>
          <w:p w:rsidRPr="00E0697E" w:rsidR="00E0697E" w:rsidP="00E0697E" w:rsidRDefault="00E0697E" w14:paraId="698867D1" w14:textId="77777777"/>
        </w:tc>
        <w:tc>
          <w:tcPr>
            <w:tcW w:w="1748" w:type="dxa"/>
            <w:tcBorders>
              <w:top w:val="none" w:color="auto" w:sz="6" w:space="0"/>
              <w:left w:val="none" w:color="auto" w:sz="6" w:space="0"/>
              <w:bottom w:val="none" w:color="auto" w:sz="6" w:space="0"/>
              <w:right w:val="none" w:color="auto" w:sz="6" w:space="0"/>
            </w:tcBorders>
          </w:tcPr>
          <w:p w:rsidRPr="00E0697E" w:rsidR="00E0697E" w:rsidP="00E0697E" w:rsidRDefault="00E0697E" w14:paraId="3103B3C3" w14:textId="77777777"/>
        </w:tc>
        <w:tc>
          <w:tcPr>
            <w:tcW w:w="1748" w:type="dxa"/>
            <w:tcBorders>
              <w:top w:val="none" w:color="auto" w:sz="6" w:space="0"/>
              <w:left w:val="none" w:color="auto" w:sz="6" w:space="0"/>
              <w:bottom w:val="none" w:color="auto" w:sz="6" w:space="0"/>
            </w:tcBorders>
          </w:tcPr>
          <w:p w:rsidRPr="00E0697E" w:rsidR="00E0697E" w:rsidP="00E0697E" w:rsidRDefault="00E0697E" w14:paraId="76141CD3" w14:textId="77777777"/>
        </w:tc>
      </w:tr>
    </w:tbl>
    <w:tbl>
      <w:tblPr>
        <w:tblStyle w:val="Tabelraster"/>
        <w:tblW w:w="5000" w:type="pct"/>
        <w:tblLook w:val="04A0" w:firstRow="1" w:lastRow="0" w:firstColumn="1" w:lastColumn="0" w:noHBand="0" w:noVBand="1"/>
      </w:tblPr>
      <w:tblGrid>
        <w:gridCol w:w="5918"/>
        <w:gridCol w:w="684"/>
        <w:gridCol w:w="684"/>
        <w:gridCol w:w="684"/>
        <w:gridCol w:w="684"/>
        <w:gridCol w:w="1683"/>
      </w:tblGrid>
      <w:tr w:rsidRPr="00E0697E" w:rsidR="00E0697E" w:rsidTr="00E0697E" w14:paraId="3D4C7AC2" w14:textId="77777777">
        <w:tc>
          <w:tcPr>
            <w:tcW w:w="2862" w:type="pct"/>
          </w:tcPr>
          <w:p w:rsidRPr="00E0697E" w:rsidR="00E0697E" w:rsidP="00E0697E" w:rsidRDefault="00E0697E" w14:paraId="3590D497" w14:textId="77777777">
            <w:pPr>
              <w:rPr>
                <w:sz w:val="20"/>
              </w:rPr>
            </w:pPr>
          </w:p>
        </w:tc>
        <w:tc>
          <w:tcPr>
            <w:tcW w:w="331" w:type="pct"/>
          </w:tcPr>
          <w:p w:rsidRPr="00E0697E" w:rsidR="00E0697E" w:rsidP="00E0697E" w:rsidRDefault="00E0697E" w14:paraId="10387D20" w14:textId="77777777">
            <w:pPr>
              <w:rPr>
                <w:sz w:val="20"/>
              </w:rPr>
            </w:pPr>
            <w:r w:rsidRPr="00E0697E">
              <w:rPr>
                <w:sz w:val="20"/>
              </w:rPr>
              <w:t>2025</w:t>
            </w:r>
          </w:p>
        </w:tc>
        <w:tc>
          <w:tcPr>
            <w:tcW w:w="331" w:type="pct"/>
          </w:tcPr>
          <w:p w:rsidRPr="00E0697E" w:rsidR="00E0697E" w:rsidP="00E0697E" w:rsidRDefault="00E0697E" w14:paraId="6224E70D" w14:textId="77777777">
            <w:pPr>
              <w:rPr>
                <w:sz w:val="20"/>
              </w:rPr>
            </w:pPr>
            <w:r w:rsidRPr="00E0697E">
              <w:rPr>
                <w:sz w:val="20"/>
              </w:rPr>
              <w:t>2026</w:t>
            </w:r>
          </w:p>
        </w:tc>
        <w:tc>
          <w:tcPr>
            <w:tcW w:w="331" w:type="pct"/>
          </w:tcPr>
          <w:p w:rsidRPr="00E0697E" w:rsidR="00E0697E" w:rsidP="00E0697E" w:rsidRDefault="00E0697E" w14:paraId="3CC0C0EE" w14:textId="77777777">
            <w:pPr>
              <w:rPr>
                <w:sz w:val="20"/>
              </w:rPr>
            </w:pPr>
            <w:r w:rsidRPr="00E0697E">
              <w:rPr>
                <w:sz w:val="20"/>
              </w:rPr>
              <w:t>2027</w:t>
            </w:r>
          </w:p>
        </w:tc>
        <w:tc>
          <w:tcPr>
            <w:tcW w:w="331" w:type="pct"/>
          </w:tcPr>
          <w:p w:rsidRPr="00E0697E" w:rsidR="00E0697E" w:rsidP="00E0697E" w:rsidRDefault="00E0697E" w14:paraId="49B630D1" w14:textId="77777777">
            <w:pPr>
              <w:rPr>
                <w:sz w:val="20"/>
              </w:rPr>
            </w:pPr>
            <w:r w:rsidRPr="00E0697E">
              <w:rPr>
                <w:sz w:val="20"/>
              </w:rPr>
              <w:t>2028</w:t>
            </w:r>
          </w:p>
        </w:tc>
        <w:tc>
          <w:tcPr>
            <w:tcW w:w="815" w:type="pct"/>
          </w:tcPr>
          <w:p w:rsidRPr="00E0697E" w:rsidR="00E0697E" w:rsidP="00E0697E" w:rsidRDefault="00E0697E" w14:paraId="6D7BB144" w14:textId="77777777">
            <w:pPr>
              <w:rPr>
                <w:sz w:val="20"/>
              </w:rPr>
            </w:pPr>
            <w:r w:rsidRPr="00E0697E">
              <w:rPr>
                <w:sz w:val="20"/>
              </w:rPr>
              <w:t>2029/structureel</w:t>
            </w:r>
          </w:p>
        </w:tc>
      </w:tr>
      <w:tr w:rsidRPr="00E0697E" w:rsidR="00E0697E" w:rsidTr="00E0697E" w14:paraId="42937AD2" w14:textId="77777777">
        <w:tc>
          <w:tcPr>
            <w:tcW w:w="2862" w:type="pct"/>
          </w:tcPr>
          <w:p w:rsidRPr="00E0697E" w:rsidR="00E0697E" w:rsidP="00E0697E" w:rsidRDefault="00E0697E" w14:paraId="3A0E4476" w14:textId="77777777">
            <w:pPr>
              <w:rPr>
                <w:sz w:val="20"/>
              </w:rPr>
            </w:pPr>
            <w:r w:rsidRPr="00E0697E">
              <w:rPr>
                <w:sz w:val="20"/>
              </w:rPr>
              <w:t>Verhoging plafond periodieke giftenaftrek naar € 1,5 miljoen</w:t>
            </w:r>
          </w:p>
        </w:tc>
        <w:tc>
          <w:tcPr>
            <w:tcW w:w="331" w:type="pct"/>
          </w:tcPr>
          <w:p w:rsidRPr="00E0697E" w:rsidR="00E0697E" w:rsidP="00E0697E" w:rsidRDefault="00E0697E" w14:paraId="5065307E" w14:textId="77777777">
            <w:pPr>
              <w:rPr>
                <w:sz w:val="20"/>
              </w:rPr>
            </w:pPr>
            <w:r w:rsidRPr="00E0697E">
              <w:rPr>
                <w:sz w:val="20"/>
              </w:rPr>
              <w:t>-4</w:t>
            </w:r>
          </w:p>
        </w:tc>
        <w:tc>
          <w:tcPr>
            <w:tcW w:w="331" w:type="pct"/>
          </w:tcPr>
          <w:p w:rsidRPr="00E0697E" w:rsidR="00E0697E" w:rsidP="00E0697E" w:rsidRDefault="00E0697E" w14:paraId="55023281" w14:textId="77777777">
            <w:pPr>
              <w:rPr>
                <w:sz w:val="20"/>
              </w:rPr>
            </w:pPr>
            <w:r w:rsidRPr="00E0697E">
              <w:rPr>
                <w:sz w:val="20"/>
              </w:rPr>
              <w:t>-8</w:t>
            </w:r>
          </w:p>
        </w:tc>
        <w:tc>
          <w:tcPr>
            <w:tcW w:w="331" w:type="pct"/>
          </w:tcPr>
          <w:p w:rsidRPr="00E0697E" w:rsidR="00E0697E" w:rsidP="00E0697E" w:rsidRDefault="00E0697E" w14:paraId="50586BCF" w14:textId="77777777">
            <w:pPr>
              <w:rPr>
                <w:sz w:val="20"/>
              </w:rPr>
            </w:pPr>
            <w:r w:rsidRPr="00E0697E">
              <w:rPr>
                <w:sz w:val="20"/>
              </w:rPr>
              <w:t>-11</w:t>
            </w:r>
          </w:p>
        </w:tc>
        <w:tc>
          <w:tcPr>
            <w:tcW w:w="331" w:type="pct"/>
          </w:tcPr>
          <w:p w:rsidRPr="00E0697E" w:rsidR="00E0697E" w:rsidP="00E0697E" w:rsidRDefault="00E0697E" w14:paraId="6B2CC215" w14:textId="77777777">
            <w:pPr>
              <w:rPr>
                <w:sz w:val="20"/>
              </w:rPr>
            </w:pPr>
            <w:r w:rsidRPr="00E0697E">
              <w:rPr>
                <w:sz w:val="20"/>
              </w:rPr>
              <w:t>-15</w:t>
            </w:r>
          </w:p>
        </w:tc>
        <w:tc>
          <w:tcPr>
            <w:tcW w:w="815" w:type="pct"/>
          </w:tcPr>
          <w:p w:rsidRPr="00E0697E" w:rsidR="00E0697E" w:rsidP="00E0697E" w:rsidRDefault="00E0697E" w14:paraId="2F1E9053" w14:textId="77777777">
            <w:pPr>
              <w:rPr>
                <w:sz w:val="20"/>
              </w:rPr>
            </w:pPr>
            <w:r w:rsidRPr="00E0697E">
              <w:rPr>
                <w:sz w:val="20"/>
              </w:rPr>
              <w:t>-19</w:t>
            </w:r>
          </w:p>
        </w:tc>
      </w:tr>
      <w:tr w:rsidRPr="00E0697E" w:rsidR="00E0697E" w:rsidTr="00E0697E" w14:paraId="7E5E9B1E" w14:textId="77777777">
        <w:tc>
          <w:tcPr>
            <w:tcW w:w="2862" w:type="pct"/>
          </w:tcPr>
          <w:p w:rsidRPr="00E0697E" w:rsidR="00E0697E" w:rsidP="00E0697E" w:rsidRDefault="00E0697E" w14:paraId="2EDBACBF" w14:textId="77777777">
            <w:pPr>
              <w:rPr>
                <w:sz w:val="20"/>
              </w:rPr>
            </w:pPr>
            <w:r w:rsidRPr="00E0697E">
              <w:rPr>
                <w:sz w:val="20"/>
              </w:rPr>
              <w:t xml:space="preserve">Niet beperken giftenaftrek Vpb </w:t>
            </w:r>
          </w:p>
        </w:tc>
        <w:tc>
          <w:tcPr>
            <w:tcW w:w="331" w:type="pct"/>
          </w:tcPr>
          <w:p w:rsidRPr="00E0697E" w:rsidR="00E0697E" w:rsidP="00E0697E" w:rsidRDefault="00E0697E" w14:paraId="3C7EE8CA" w14:textId="77777777">
            <w:pPr>
              <w:rPr>
                <w:sz w:val="20"/>
              </w:rPr>
            </w:pPr>
            <w:r w:rsidRPr="00E0697E">
              <w:rPr>
                <w:sz w:val="20"/>
              </w:rPr>
              <w:t>-24</w:t>
            </w:r>
          </w:p>
        </w:tc>
        <w:tc>
          <w:tcPr>
            <w:tcW w:w="331" w:type="pct"/>
          </w:tcPr>
          <w:p w:rsidRPr="00E0697E" w:rsidR="00E0697E" w:rsidP="00E0697E" w:rsidRDefault="00E0697E" w14:paraId="6BB55935" w14:textId="77777777">
            <w:pPr>
              <w:rPr>
                <w:sz w:val="20"/>
              </w:rPr>
            </w:pPr>
            <w:r w:rsidRPr="00E0697E">
              <w:rPr>
                <w:sz w:val="20"/>
              </w:rPr>
              <w:t>-24</w:t>
            </w:r>
          </w:p>
        </w:tc>
        <w:tc>
          <w:tcPr>
            <w:tcW w:w="331" w:type="pct"/>
          </w:tcPr>
          <w:p w:rsidRPr="00E0697E" w:rsidR="00E0697E" w:rsidP="00E0697E" w:rsidRDefault="00E0697E" w14:paraId="272C3F91" w14:textId="77777777">
            <w:pPr>
              <w:rPr>
                <w:sz w:val="20"/>
              </w:rPr>
            </w:pPr>
            <w:r w:rsidRPr="00E0697E">
              <w:rPr>
                <w:sz w:val="20"/>
              </w:rPr>
              <w:t>-24</w:t>
            </w:r>
          </w:p>
        </w:tc>
        <w:tc>
          <w:tcPr>
            <w:tcW w:w="331" w:type="pct"/>
          </w:tcPr>
          <w:p w:rsidRPr="00E0697E" w:rsidR="00E0697E" w:rsidP="00E0697E" w:rsidRDefault="00E0697E" w14:paraId="678F5426" w14:textId="77777777">
            <w:pPr>
              <w:rPr>
                <w:sz w:val="20"/>
              </w:rPr>
            </w:pPr>
            <w:r w:rsidRPr="00E0697E">
              <w:rPr>
                <w:sz w:val="20"/>
              </w:rPr>
              <w:t>-24</w:t>
            </w:r>
          </w:p>
        </w:tc>
        <w:tc>
          <w:tcPr>
            <w:tcW w:w="815" w:type="pct"/>
          </w:tcPr>
          <w:p w:rsidRPr="00E0697E" w:rsidR="00E0697E" w:rsidP="00E0697E" w:rsidRDefault="00E0697E" w14:paraId="009C11AC" w14:textId="77777777">
            <w:pPr>
              <w:rPr>
                <w:sz w:val="20"/>
              </w:rPr>
            </w:pPr>
            <w:r w:rsidRPr="00E0697E">
              <w:rPr>
                <w:sz w:val="20"/>
              </w:rPr>
              <w:t>-24</w:t>
            </w:r>
          </w:p>
        </w:tc>
      </w:tr>
      <w:tr w:rsidRPr="00E0697E" w:rsidR="00E0697E" w:rsidTr="00E0697E" w14:paraId="08114F55" w14:textId="77777777">
        <w:tc>
          <w:tcPr>
            <w:tcW w:w="2862" w:type="pct"/>
          </w:tcPr>
          <w:p w:rsidRPr="00E0697E" w:rsidR="00E0697E" w:rsidP="00E0697E" w:rsidRDefault="00E0697E" w14:paraId="0E71D17A" w14:textId="77777777">
            <w:pPr>
              <w:rPr>
                <w:sz w:val="20"/>
              </w:rPr>
            </w:pPr>
            <w:r w:rsidRPr="00E0697E">
              <w:rPr>
                <w:sz w:val="20"/>
              </w:rPr>
              <w:t>Verlagen budgetten Vamil en MIA (via versobering Milieulijst)</w:t>
            </w:r>
          </w:p>
        </w:tc>
        <w:tc>
          <w:tcPr>
            <w:tcW w:w="331" w:type="pct"/>
          </w:tcPr>
          <w:p w:rsidRPr="00E0697E" w:rsidR="00E0697E" w:rsidP="00E0697E" w:rsidRDefault="00E0697E" w14:paraId="3F7DF2D6" w14:textId="77777777">
            <w:pPr>
              <w:rPr>
                <w:sz w:val="20"/>
              </w:rPr>
            </w:pPr>
            <w:r w:rsidRPr="00E0697E">
              <w:rPr>
                <w:sz w:val="20"/>
              </w:rPr>
              <w:t>10</w:t>
            </w:r>
          </w:p>
        </w:tc>
        <w:tc>
          <w:tcPr>
            <w:tcW w:w="331" w:type="pct"/>
          </w:tcPr>
          <w:p w:rsidRPr="00E0697E" w:rsidR="00E0697E" w:rsidP="00E0697E" w:rsidRDefault="00E0697E" w14:paraId="5DD9DA73" w14:textId="77777777">
            <w:pPr>
              <w:rPr>
                <w:sz w:val="20"/>
              </w:rPr>
            </w:pPr>
            <w:r w:rsidRPr="00E0697E">
              <w:rPr>
                <w:sz w:val="20"/>
              </w:rPr>
              <w:t>10</w:t>
            </w:r>
          </w:p>
        </w:tc>
        <w:tc>
          <w:tcPr>
            <w:tcW w:w="331" w:type="pct"/>
          </w:tcPr>
          <w:p w:rsidRPr="00E0697E" w:rsidR="00E0697E" w:rsidP="00E0697E" w:rsidRDefault="00E0697E" w14:paraId="099E5E66" w14:textId="77777777">
            <w:pPr>
              <w:rPr>
                <w:sz w:val="20"/>
              </w:rPr>
            </w:pPr>
            <w:r w:rsidRPr="00E0697E">
              <w:rPr>
                <w:sz w:val="20"/>
              </w:rPr>
              <w:t>10</w:t>
            </w:r>
          </w:p>
        </w:tc>
        <w:tc>
          <w:tcPr>
            <w:tcW w:w="331" w:type="pct"/>
          </w:tcPr>
          <w:p w:rsidRPr="00E0697E" w:rsidR="00E0697E" w:rsidP="00E0697E" w:rsidRDefault="00E0697E" w14:paraId="1B9822C2" w14:textId="77777777">
            <w:pPr>
              <w:rPr>
                <w:sz w:val="20"/>
              </w:rPr>
            </w:pPr>
            <w:r w:rsidRPr="00E0697E">
              <w:rPr>
                <w:sz w:val="20"/>
              </w:rPr>
              <w:t>10</w:t>
            </w:r>
          </w:p>
        </w:tc>
        <w:tc>
          <w:tcPr>
            <w:tcW w:w="815" w:type="pct"/>
          </w:tcPr>
          <w:p w:rsidRPr="00E0697E" w:rsidR="00E0697E" w:rsidP="00E0697E" w:rsidRDefault="00E0697E" w14:paraId="367A2CB1" w14:textId="77777777">
            <w:pPr>
              <w:rPr>
                <w:sz w:val="20"/>
              </w:rPr>
            </w:pPr>
            <w:r w:rsidRPr="00E0697E">
              <w:rPr>
                <w:sz w:val="20"/>
              </w:rPr>
              <w:t>10</w:t>
            </w:r>
          </w:p>
        </w:tc>
      </w:tr>
      <w:tr w:rsidRPr="00E0697E" w:rsidR="00E0697E" w:rsidTr="00E0697E" w14:paraId="115356A9" w14:textId="77777777">
        <w:tc>
          <w:tcPr>
            <w:tcW w:w="2862" w:type="pct"/>
          </w:tcPr>
          <w:p w:rsidRPr="00E0697E" w:rsidR="00E0697E" w:rsidP="00E0697E" w:rsidRDefault="00E0697E" w14:paraId="1B1D18DE" w14:textId="77777777">
            <w:pPr>
              <w:rPr>
                <w:sz w:val="20"/>
              </w:rPr>
            </w:pPr>
            <w:r w:rsidRPr="00E0697E">
              <w:rPr>
                <w:sz w:val="20"/>
              </w:rPr>
              <w:t>2 jaar geen indexatie aftoppingsgrens pensioenopbouw</w:t>
            </w:r>
          </w:p>
        </w:tc>
        <w:tc>
          <w:tcPr>
            <w:tcW w:w="331" w:type="pct"/>
          </w:tcPr>
          <w:p w:rsidRPr="00E0697E" w:rsidR="00E0697E" w:rsidP="00E0697E" w:rsidRDefault="00E0697E" w14:paraId="464FBDD6" w14:textId="77777777">
            <w:pPr>
              <w:rPr>
                <w:sz w:val="20"/>
              </w:rPr>
            </w:pPr>
            <w:r w:rsidRPr="00E0697E">
              <w:rPr>
                <w:sz w:val="20"/>
              </w:rPr>
              <w:t>18</w:t>
            </w:r>
          </w:p>
        </w:tc>
        <w:tc>
          <w:tcPr>
            <w:tcW w:w="331" w:type="pct"/>
          </w:tcPr>
          <w:p w:rsidRPr="00E0697E" w:rsidR="00E0697E" w:rsidP="00E0697E" w:rsidRDefault="00E0697E" w14:paraId="7C3295A0" w14:textId="77777777">
            <w:pPr>
              <w:rPr>
                <w:sz w:val="20"/>
              </w:rPr>
            </w:pPr>
            <w:r w:rsidRPr="00E0697E">
              <w:rPr>
                <w:sz w:val="20"/>
              </w:rPr>
              <w:t>33</w:t>
            </w:r>
          </w:p>
        </w:tc>
        <w:tc>
          <w:tcPr>
            <w:tcW w:w="331" w:type="pct"/>
          </w:tcPr>
          <w:p w:rsidRPr="00E0697E" w:rsidR="00E0697E" w:rsidP="00E0697E" w:rsidRDefault="00E0697E" w14:paraId="3BA327FE" w14:textId="77777777">
            <w:pPr>
              <w:rPr>
                <w:sz w:val="20"/>
              </w:rPr>
            </w:pPr>
            <w:r w:rsidRPr="00E0697E">
              <w:rPr>
                <w:sz w:val="20"/>
              </w:rPr>
              <w:t>33</w:t>
            </w:r>
          </w:p>
        </w:tc>
        <w:tc>
          <w:tcPr>
            <w:tcW w:w="331" w:type="pct"/>
          </w:tcPr>
          <w:p w:rsidRPr="00E0697E" w:rsidR="00E0697E" w:rsidP="00E0697E" w:rsidRDefault="00E0697E" w14:paraId="7D420154" w14:textId="77777777">
            <w:pPr>
              <w:rPr>
                <w:sz w:val="20"/>
              </w:rPr>
            </w:pPr>
            <w:r w:rsidRPr="00E0697E">
              <w:rPr>
                <w:sz w:val="20"/>
              </w:rPr>
              <w:t>33</w:t>
            </w:r>
          </w:p>
        </w:tc>
        <w:tc>
          <w:tcPr>
            <w:tcW w:w="815" w:type="pct"/>
          </w:tcPr>
          <w:p w:rsidRPr="00E0697E" w:rsidR="00E0697E" w:rsidP="00E0697E" w:rsidRDefault="00E0697E" w14:paraId="6839ED59" w14:textId="77777777">
            <w:pPr>
              <w:rPr>
                <w:sz w:val="20"/>
              </w:rPr>
            </w:pPr>
            <w:r w:rsidRPr="00E0697E">
              <w:rPr>
                <w:sz w:val="20"/>
              </w:rPr>
              <w:t>33</w:t>
            </w:r>
          </w:p>
        </w:tc>
      </w:tr>
    </w:tbl>
    <w:tbl>
      <w:tblPr>
        <w:tblW w:w="1748" w:type="dxa"/>
        <w:tblInd w:w="-168" w:type="dxa"/>
        <w:tblBorders>
          <w:top w:val="none" w:color="auto" w:sz="6" w:space="0"/>
          <w:left w:val="none" w:color="auto" w:sz="6" w:space="0"/>
          <w:bottom w:val="none" w:color="auto" w:sz="6" w:space="0"/>
          <w:right w:val="none" w:color="auto" w:sz="6" w:space="0"/>
        </w:tblBorders>
        <w:tblLayout w:type="fixed"/>
        <w:tblLook w:val="0000" w:firstRow="0" w:lastRow="0" w:firstColumn="0" w:lastColumn="0" w:noHBand="0" w:noVBand="0"/>
      </w:tblPr>
      <w:tblGrid>
        <w:gridCol w:w="1748"/>
      </w:tblGrid>
      <w:tr w:rsidRPr="00E0697E" w:rsidR="00E0697E" w:rsidTr="00E0697E" w14:paraId="146A5CC6" w14:textId="77777777">
        <w:trPr>
          <w:trHeight w:val="206"/>
        </w:trPr>
        <w:tc>
          <w:tcPr>
            <w:tcW w:w="1748" w:type="dxa"/>
            <w:tcBorders>
              <w:top w:val="none" w:color="auto" w:sz="6" w:space="0"/>
              <w:left w:val="none" w:color="auto" w:sz="6" w:space="0"/>
              <w:bottom w:val="none" w:color="auto" w:sz="6" w:space="0"/>
            </w:tcBorders>
          </w:tcPr>
          <w:p w:rsidRPr="00E0697E" w:rsidR="00E0697E" w:rsidP="00E0697E" w:rsidRDefault="00E0697E" w14:paraId="2CE2D0A0" w14:textId="77777777"/>
        </w:tc>
      </w:tr>
    </w:tbl>
    <w:p w:rsidRPr="00E0697E" w:rsidR="00E0697E" w:rsidP="00E0697E" w:rsidRDefault="00E0697E" w14:paraId="4F75D8D1" w14:textId="77777777">
      <w:r w:rsidRPr="00E0697E">
        <w:t>Grinwis</w:t>
      </w:r>
    </w:p>
    <w:p w:rsidRPr="00E0697E" w:rsidR="00E0697E" w:rsidP="00E0697E" w:rsidRDefault="00E0697E" w14:paraId="770BAF4D" w14:textId="77777777">
      <w:r w:rsidRPr="00E0697E">
        <w:t>Stoffer</w:t>
      </w:r>
    </w:p>
    <w:p w:rsidRPr="00E0697E" w:rsidR="00E0697E" w:rsidP="00E0697E" w:rsidRDefault="00E0697E" w14:paraId="165113F6" w14:textId="77777777">
      <w:r w:rsidRPr="00E0697E">
        <w:t>Inge van Dijk</w:t>
      </w:r>
    </w:p>
    <w:p w:rsidRPr="00EA69AC" w:rsidR="007B4862" w:rsidP="00E0697E" w:rsidRDefault="007B4862" w14:paraId="7C7F6F18" w14:textId="3DEB0451"/>
    <w:sectPr w:rsidRPr="00EA69AC" w:rsidR="007B4862"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F4645" w14:textId="77777777" w:rsidR="007B4862" w:rsidRDefault="007B4862">
      <w:pPr>
        <w:spacing w:line="20" w:lineRule="exact"/>
      </w:pPr>
    </w:p>
  </w:endnote>
  <w:endnote w:type="continuationSeparator" w:id="0">
    <w:p w14:paraId="0A45E969" w14:textId="77777777" w:rsidR="007B4862" w:rsidRDefault="007B4862">
      <w:pPr>
        <w:pStyle w:val="Amendement"/>
      </w:pPr>
      <w:r>
        <w:rPr>
          <w:b w:val="0"/>
        </w:rPr>
        <w:t xml:space="preserve"> </w:t>
      </w:r>
    </w:p>
  </w:endnote>
  <w:endnote w:type="continuationNotice" w:id="1">
    <w:p w14:paraId="30241D39" w14:textId="77777777" w:rsidR="007B4862" w:rsidRDefault="007B486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B369E" w14:textId="77777777" w:rsidR="007B4862" w:rsidRDefault="007B4862">
      <w:pPr>
        <w:pStyle w:val="Amendement"/>
      </w:pPr>
      <w:r>
        <w:rPr>
          <w:b w:val="0"/>
        </w:rPr>
        <w:separator/>
      </w:r>
    </w:p>
  </w:footnote>
  <w:footnote w:type="continuationSeparator" w:id="0">
    <w:p w14:paraId="5072F5D5" w14:textId="77777777" w:rsidR="007B4862" w:rsidRDefault="007B4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20A81"/>
    <w:multiLevelType w:val="hybridMultilevel"/>
    <w:tmpl w:val="63D67244"/>
    <w:lvl w:ilvl="0" w:tplc="F66AD614">
      <w:numFmt w:val="bullet"/>
      <w:lvlText w:val="-"/>
      <w:lvlJc w:val="left"/>
      <w:pPr>
        <w:ind w:left="1080" w:hanging="360"/>
      </w:pPr>
      <w:rPr>
        <w:rFonts w:ascii="Verdana" w:eastAsia="Times New Roman" w:hAnsi="Verdana" w:cs="Segoe U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2064207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62"/>
    <w:rsid w:val="0007471A"/>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67400"/>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B4862"/>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0697E"/>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2B364"/>
  <w15:docId w15:val="{1965D05D-246D-4335-9E3A-327D2D31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table" w:styleId="Tabelraster">
    <w:name w:val="Table Grid"/>
    <w:basedOn w:val="Standaardtabel"/>
    <w:rsid w:val="007B4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06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789</ap:Words>
  <ap:Characters>4345</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5124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2024-11-12T10:47:00.0000000Z</dcterms:created>
  <dcterms:modified xsi:type="dcterms:W3CDTF">2024-11-12T10:47:00.0000000Z</dcterms:modified>
  <dc:description>------------------------</dc:description>
  <dc:subject/>
  <keywords/>
  <version/>
  <category/>
</coreProperties>
</file>