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FB4E553" w14:textId="77777777">
        <w:tc>
          <w:tcPr>
            <w:tcW w:w="6379" w:type="dxa"/>
            <w:gridSpan w:val="2"/>
            <w:tcBorders>
              <w:top w:val="nil"/>
              <w:left w:val="nil"/>
              <w:bottom w:val="nil"/>
              <w:right w:val="nil"/>
            </w:tcBorders>
            <w:vAlign w:val="center"/>
          </w:tcPr>
          <w:p w:rsidR="004330ED" w:rsidP="00EA1CE4" w:rsidRDefault="004330ED" w14:paraId="2A4216C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4710AB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E90F3A2" w14:textId="77777777">
        <w:trPr>
          <w:cantSplit/>
        </w:trPr>
        <w:tc>
          <w:tcPr>
            <w:tcW w:w="10348" w:type="dxa"/>
            <w:gridSpan w:val="3"/>
            <w:tcBorders>
              <w:top w:val="single" w:color="auto" w:sz="4" w:space="0"/>
              <w:left w:val="nil"/>
              <w:bottom w:val="nil"/>
              <w:right w:val="nil"/>
            </w:tcBorders>
          </w:tcPr>
          <w:p w:rsidR="004330ED" w:rsidP="004A1E29" w:rsidRDefault="004330ED" w14:paraId="19CE68A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69D50E2" w14:textId="77777777">
        <w:trPr>
          <w:cantSplit/>
        </w:trPr>
        <w:tc>
          <w:tcPr>
            <w:tcW w:w="10348" w:type="dxa"/>
            <w:gridSpan w:val="3"/>
            <w:tcBorders>
              <w:top w:val="nil"/>
              <w:left w:val="nil"/>
              <w:bottom w:val="nil"/>
              <w:right w:val="nil"/>
            </w:tcBorders>
          </w:tcPr>
          <w:p w:rsidR="004330ED" w:rsidP="00BF623B" w:rsidRDefault="004330ED" w14:paraId="39DF4D17" w14:textId="77777777">
            <w:pPr>
              <w:pStyle w:val="Amendement"/>
              <w:tabs>
                <w:tab w:val="clear" w:pos="3310"/>
                <w:tab w:val="clear" w:pos="3600"/>
              </w:tabs>
              <w:rPr>
                <w:rFonts w:ascii="Times New Roman" w:hAnsi="Times New Roman"/>
                <w:b w:val="0"/>
              </w:rPr>
            </w:pPr>
          </w:p>
        </w:tc>
      </w:tr>
      <w:tr w:rsidR="004330ED" w:rsidTr="00EA1CE4" w14:paraId="309C5214" w14:textId="77777777">
        <w:trPr>
          <w:cantSplit/>
        </w:trPr>
        <w:tc>
          <w:tcPr>
            <w:tcW w:w="10348" w:type="dxa"/>
            <w:gridSpan w:val="3"/>
            <w:tcBorders>
              <w:top w:val="nil"/>
              <w:left w:val="nil"/>
              <w:bottom w:val="single" w:color="auto" w:sz="4" w:space="0"/>
              <w:right w:val="nil"/>
            </w:tcBorders>
          </w:tcPr>
          <w:p w:rsidR="004330ED" w:rsidP="00BF623B" w:rsidRDefault="004330ED" w14:paraId="1C34CCAA" w14:textId="77777777">
            <w:pPr>
              <w:pStyle w:val="Amendement"/>
              <w:tabs>
                <w:tab w:val="clear" w:pos="3310"/>
                <w:tab w:val="clear" w:pos="3600"/>
              </w:tabs>
              <w:rPr>
                <w:rFonts w:ascii="Times New Roman" w:hAnsi="Times New Roman"/>
              </w:rPr>
            </w:pPr>
          </w:p>
        </w:tc>
      </w:tr>
      <w:tr w:rsidR="004330ED" w:rsidTr="00EA1CE4" w14:paraId="141281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805853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6D42816" w14:textId="77777777">
            <w:pPr>
              <w:suppressAutoHyphens/>
              <w:ind w:left="-70"/>
              <w:rPr>
                <w:b/>
              </w:rPr>
            </w:pPr>
          </w:p>
        </w:tc>
      </w:tr>
      <w:tr w:rsidR="003C21AC" w:rsidTr="00EA1CE4" w14:paraId="019FD1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D058E" w14:paraId="25096219" w14:textId="05B1DE9F">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3D058E" w:rsidR="003C21AC" w:rsidP="003D058E" w:rsidRDefault="003D058E" w14:paraId="74051266" w14:textId="3DC086C6">
            <w:pPr>
              <w:rPr>
                <w:b/>
                <w:bCs/>
                <w:szCs w:val="24"/>
              </w:rPr>
            </w:pPr>
            <w:r w:rsidRPr="003D058E">
              <w:rPr>
                <w:b/>
                <w:bCs/>
                <w:szCs w:val="24"/>
              </w:rPr>
              <w:t>Wijziging van enkele belastingwetten en enige andere wetten (Belastingplan 2025)</w:t>
            </w:r>
          </w:p>
        </w:tc>
      </w:tr>
      <w:tr w:rsidR="003C21AC" w:rsidTr="00EA1CE4" w14:paraId="26E2C2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B363F9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B33A236" w14:textId="77777777">
            <w:pPr>
              <w:pStyle w:val="Amendement"/>
              <w:tabs>
                <w:tab w:val="clear" w:pos="3310"/>
                <w:tab w:val="clear" w:pos="3600"/>
              </w:tabs>
              <w:ind w:left="-70"/>
              <w:rPr>
                <w:rFonts w:ascii="Times New Roman" w:hAnsi="Times New Roman"/>
              </w:rPr>
            </w:pPr>
          </w:p>
        </w:tc>
      </w:tr>
      <w:tr w:rsidR="003C21AC" w:rsidTr="00EA1CE4" w14:paraId="766945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456A82D"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B7EB16B" w14:textId="77777777">
            <w:pPr>
              <w:pStyle w:val="Amendement"/>
              <w:tabs>
                <w:tab w:val="clear" w:pos="3310"/>
                <w:tab w:val="clear" w:pos="3600"/>
              </w:tabs>
              <w:ind w:left="-70"/>
              <w:rPr>
                <w:rFonts w:ascii="Times New Roman" w:hAnsi="Times New Roman"/>
              </w:rPr>
            </w:pPr>
          </w:p>
        </w:tc>
      </w:tr>
      <w:tr w:rsidR="003C21AC" w:rsidTr="00EA1CE4" w14:paraId="67ACC4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F96E56A" w14:textId="21BA091A">
            <w:pPr>
              <w:pStyle w:val="Amendement"/>
              <w:tabs>
                <w:tab w:val="clear" w:pos="3310"/>
                <w:tab w:val="clear" w:pos="3600"/>
              </w:tabs>
              <w:rPr>
                <w:rFonts w:ascii="Times New Roman" w:hAnsi="Times New Roman"/>
              </w:rPr>
            </w:pPr>
            <w:r w:rsidRPr="00C035D4">
              <w:rPr>
                <w:rFonts w:ascii="Times New Roman" w:hAnsi="Times New Roman"/>
              </w:rPr>
              <w:t xml:space="preserve">Nr. </w:t>
            </w:r>
            <w:r w:rsidR="00F409B8">
              <w:rPr>
                <w:rFonts w:ascii="Times New Roman" w:hAnsi="Times New Roman"/>
                <w:caps/>
              </w:rPr>
              <w:t>91</w:t>
            </w:r>
          </w:p>
        </w:tc>
        <w:tc>
          <w:tcPr>
            <w:tcW w:w="7371" w:type="dxa"/>
            <w:gridSpan w:val="2"/>
          </w:tcPr>
          <w:p w:rsidRPr="00C035D4" w:rsidR="003C21AC" w:rsidP="006E0971" w:rsidRDefault="003C21AC" w14:paraId="1AEBEB40" w14:textId="460A573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3D058E">
              <w:rPr>
                <w:rFonts w:ascii="Times New Roman" w:hAnsi="Times New Roman"/>
                <w:caps/>
              </w:rPr>
              <w:t>DE LEDEN</w:t>
            </w:r>
            <w:r w:rsidRPr="009345C0" w:rsidR="003D058E">
              <w:rPr>
                <w:rFonts w:ascii="Times New Roman" w:hAnsi="Times New Roman"/>
                <w:caps/>
              </w:rPr>
              <w:t xml:space="preserve"> </w:t>
            </w:r>
            <w:r w:rsidRPr="009345C0" w:rsidR="003D058E">
              <w:rPr>
                <w:rFonts w:ascii="Times New Roman" w:hAnsi="Times New Roman"/>
                <w:caps/>
              </w:rPr>
              <w:fldChar w:fldCharType="begin"/>
            </w:r>
            <w:r w:rsidRPr="009345C0" w:rsidR="003D058E">
              <w:rPr>
                <w:rFonts w:ascii="Times New Roman" w:hAnsi="Times New Roman"/>
                <w:caps/>
              </w:rPr>
              <w:instrText xml:space="preserve"> =  \* MERGEFORMAT </w:instrText>
            </w:r>
            <w:r w:rsidRPr="009345C0" w:rsidR="003D058E">
              <w:rPr>
                <w:rFonts w:ascii="Times New Roman" w:hAnsi="Times New Roman"/>
                <w:caps/>
              </w:rPr>
              <w:fldChar w:fldCharType="separate"/>
            </w:r>
            <w:r w:rsidR="003D058E">
              <w:rPr>
                <w:rFonts w:ascii="Times New Roman" w:hAnsi="Times New Roman"/>
                <w:caps/>
                <w:noProof/>
              </w:rPr>
              <w:t xml:space="preserve">VIJLBRIEF </w:t>
            </w:r>
            <w:r w:rsidRPr="009345C0" w:rsidR="003D058E">
              <w:rPr>
                <w:rFonts w:ascii="Times New Roman" w:hAnsi="Times New Roman"/>
                <w:caps/>
              </w:rPr>
              <w:fldChar w:fldCharType="end"/>
            </w:r>
            <w:r w:rsidR="003D058E">
              <w:rPr>
                <w:rFonts w:ascii="Times New Roman" w:hAnsi="Times New Roman"/>
                <w:caps/>
              </w:rPr>
              <w:t>EN ROODERKERK</w:t>
            </w:r>
          </w:p>
        </w:tc>
      </w:tr>
      <w:tr w:rsidR="003C21AC" w:rsidTr="00EA1CE4" w14:paraId="7D7855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A0007D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E38A0AA" w14:textId="05B4C25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97A49">
              <w:rPr>
                <w:rFonts w:ascii="Times New Roman" w:hAnsi="Times New Roman"/>
                <w:b w:val="0"/>
              </w:rPr>
              <w:t>12 november 2024</w:t>
            </w:r>
          </w:p>
        </w:tc>
      </w:tr>
      <w:tr w:rsidR="00B01BA6" w:rsidTr="00EA1CE4" w14:paraId="1557F2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C62BB0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2AD81C3" w14:textId="77777777">
            <w:pPr>
              <w:pStyle w:val="Amendement"/>
              <w:tabs>
                <w:tab w:val="clear" w:pos="3310"/>
                <w:tab w:val="clear" w:pos="3600"/>
              </w:tabs>
              <w:ind w:left="-70"/>
              <w:rPr>
                <w:rFonts w:ascii="Times New Roman" w:hAnsi="Times New Roman"/>
                <w:b w:val="0"/>
              </w:rPr>
            </w:pPr>
          </w:p>
        </w:tc>
      </w:tr>
      <w:tr w:rsidRPr="00EA69AC" w:rsidR="00B01BA6" w:rsidTr="00EA1CE4" w14:paraId="095F54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A02D2D6" w14:textId="3962FFF3">
            <w:pPr>
              <w:ind w:firstLine="284"/>
            </w:pPr>
            <w:r w:rsidRPr="00EA69AC">
              <w:t>De ondergetekende</w:t>
            </w:r>
            <w:r w:rsidR="002D3EED">
              <w:t>n</w:t>
            </w:r>
            <w:r w:rsidRPr="00EA69AC">
              <w:t xml:space="preserve"> </w:t>
            </w:r>
            <w:r w:rsidR="003D058E">
              <w:t>stellen</w:t>
            </w:r>
            <w:r w:rsidRPr="00EA69AC">
              <w:t xml:space="preserve"> het volgende amendement voor:</w:t>
            </w:r>
          </w:p>
        </w:tc>
      </w:tr>
    </w:tbl>
    <w:p w:rsidRPr="00EA69AC" w:rsidR="004330ED" w:rsidP="00D774B3" w:rsidRDefault="004330ED" w14:paraId="292F11E8" w14:textId="77777777"/>
    <w:p w:rsidRPr="003D058E" w:rsidR="003D058E" w:rsidP="003D058E" w:rsidRDefault="003D058E" w14:paraId="62845EDB" w14:textId="77777777">
      <w:bookmarkStart w:name="_Hlk178258884" w:id="0"/>
      <w:r w:rsidRPr="003D058E">
        <w:t xml:space="preserve">I </w:t>
      </w:r>
    </w:p>
    <w:p w:rsidRPr="003D058E" w:rsidR="003D058E" w:rsidP="003D058E" w:rsidRDefault="003D058E" w14:paraId="0B37E123" w14:textId="343332F3"/>
    <w:p w:rsidRPr="003D058E" w:rsidR="003D058E" w:rsidP="003D058E" w:rsidRDefault="003D058E" w14:paraId="79C4AC91" w14:textId="77777777">
      <w:r w:rsidRPr="003D058E">
        <w:tab/>
        <w:t>Artikel XXIX, onderdeel A, vervalt.</w:t>
      </w:r>
    </w:p>
    <w:p w:rsidRPr="003D058E" w:rsidR="003D058E" w:rsidP="003D058E" w:rsidRDefault="003D058E" w14:paraId="091D2101" w14:textId="77777777"/>
    <w:p w:rsidRPr="003D058E" w:rsidR="003D058E" w:rsidP="003D058E" w:rsidRDefault="003D058E" w14:paraId="3D87CD40" w14:textId="77777777">
      <w:r w:rsidRPr="003D058E">
        <w:t xml:space="preserve">II </w:t>
      </w:r>
    </w:p>
    <w:p w:rsidRPr="003D058E" w:rsidR="003D058E" w:rsidP="003D058E" w:rsidRDefault="003D058E" w14:paraId="1DD9D855" w14:textId="77777777"/>
    <w:p w:rsidRPr="003D058E" w:rsidR="003D058E" w:rsidP="003D058E" w:rsidRDefault="003D058E" w14:paraId="494D04AD" w14:textId="77777777">
      <w:pPr>
        <w:ind w:firstLine="284"/>
      </w:pPr>
      <w:r w:rsidRPr="003D058E">
        <w:t>In artikel XXX wordt “€ 0,04” vervangen door “€ 25,85”.</w:t>
      </w:r>
    </w:p>
    <w:p w:rsidRPr="003D058E" w:rsidR="003D058E" w:rsidP="003D058E" w:rsidRDefault="003D058E" w14:paraId="2AB94BD9" w14:textId="77777777"/>
    <w:p w:rsidRPr="003D058E" w:rsidR="003D058E" w:rsidP="003D058E" w:rsidRDefault="003D058E" w14:paraId="219F85FF" w14:textId="77777777">
      <w:r w:rsidRPr="003D058E">
        <w:t xml:space="preserve">III </w:t>
      </w:r>
    </w:p>
    <w:p w:rsidRPr="003D058E" w:rsidR="003D058E" w:rsidP="003D058E" w:rsidRDefault="003D058E" w14:paraId="7FE44A05" w14:textId="77777777"/>
    <w:p w:rsidRPr="003D058E" w:rsidR="003D058E" w:rsidP="003D058E" w:rsidRDefault="003D058E" w14:paraId="73F89F78" w14:textId="77777777">
      <w:pPr>
        <w:ind w:firstLine="284"/>
      </w:pPr>
      <w:r w:rsidRPr="003D058E">
        <w:t>Artikel XXXI, onderdeel E, onder 1, onderdeel a, onder 1° en 2°, vervalt.</w:t>
      </w:r>
    </w:p>
    <w:p w:rsidRPr="003D058E" w:rsidR="003D058E" w:rsidP="003D058E" w:rsidRDefault="003D058E" w14:paraId="240AAFF6" w14:textId="77777777"/>
    <w:p w:rsidRPr="003D058E" w:rsidR="003D058E" w:rsidP="003D058E" w:rsidRDefault="003D058E" w14:paraId="490D4376" w14:textId="77777777">
      <w:r w:rsidRPr="003D058E">
        <w:t xml:space="preserve">IV </w:t>
      </w:r>
    </w:p>
    <w:p w:rsidRPr="003D058E" w:rsidR="003D058E" w:rsidP="003D058E" w:rsidRDefault="003D058E" w14:paraId="1CE1F091" w14:textId="77777777"/>
    <w:p w:rsidRPr="003D058E" w:rsidR="003D058E" w:rsidP="003D058E" w:rsidRDefault="003D058E" w14:paraId="22D6B754" w14:textId="77777777">
      <w:r w:rsidRPr="003D058E">
        <w:tab/>
        <w:t>In artikel XXXI, onderdeel F, wordt “verhoogd met € 0,03” vervangen door “verlaagd met € 0,64”.</w:t>
      </w:r>
    </w:p>
    <w:p w:rsidRPr="003D058E" w:rsidR="003D058E" w:rsidP="003D058E" w:rsidRDefault="003D058E" w14:paraId="2243E463" w14:textId="77777777"/>
    <w:p w:rsidRPr="003D058E" w:rsidR="003D058E" w:rsidP="003D058E" w:rsidRDefault="003D058E" w14:paraId="219D7FC3" w14:textId="77777777">
      <w:r w:rsidRPr="003D058E">
        <w:t>V</w:t>
      </w:r>
    </w:p>
    <w:p w:rsidRPr="003D058E" w:rsidR="003D058E" w:rsidP="003D058E" w:rsidRDefault="003D058E" w14:paraId="323B0E7E" w14:textId="77777777"/>
    <w:p w:rsidRPr="003D058E" w:rsidR="003D058E" w:rsidP="003D058E" w:rsidRDefault="003D058E" w14:paraId="1EA7C986" w14:textId="77777777">
      <w:pPr>
        <w:ind w:firstLine="284"/>
      </w:pPr>
      <w:r w:rsidRPr="003D058E">
        <w:t>In artikel XXXII, onderdeel E, wordt “€ 0,08” vervangen door “€ 1,97”.</w:t>
      </w:r>
    </w:p>
    <w:p w:rsidRPr="003D058E" w:rsidR="003D058E" w:rsidP="003D058E" w:rsidRDefault="003D058E" w14:paraId="25EAD3AD" w14:textId="77777777"/>
    <w:p w:rsidRPr="003D058E" w:rsidR="003D058E" w:rsidP="003D058E" w:rsidRDefault="003D058E" w14:paraId="3CC75DF4" w14:textId="77777777">
      <w:r w:rsidRPr="003D058E">
        <w:t>VI</w:t>
      </w:r>
    </w:p>
    <w:p w:rsidRPr="003D058E" w:rsidR="003D058E" w:rsidP="003D058E" w:rsidRDefault="003D058E" w14:paraId="476C25C5" w14:textId="77777777"/>
    <w:p w:rsidRPr="003D058E" w:rsidR="003D058E" w:rsidP="003D058E" w:rsidRDefault="003D058E" w14:paraId="1AF1BF06" w14:textId="77777777">
      <w:pPr>
        <w:ind w:firstLine="284"/>
      </w:pPr>
      <w:r w:rsidRPr="003D058E">
        <w:t>In artikel XXXIII, onderdeel B, wordt “€ 0,11” vervangen door “€ 2,59”.</w:t>
      </w:r>
    </w:p>
    <w:p w:rsidRPr="003D058E" w:rsidR="003D058E" w:rsidP="003D058E" w:rsidRDefault="003D058E" w14:paraId="473A1575" w14:textId="77777777"/>
    <w:p w:rsidRPr="003D058E" w:rsidR="003D058E" w:rsidP="003D058E" w:rsidRDefault="003D058E" w14:paraId="1A55FFE6" w14:textId="77777777">
      <w:r w:rsidRPr="003D058E">
        <w:t>VII</w:t>
      </w:r>
    </w:p>
    <w:p w:rsidRPr="003D058E" w:rsidR="003D058E" w:rsidP="003D058E" w:rsidRDefault="003D058E" w14:paraId="7046DE96" w14:textId="77777777"/>
    <w:p w:rsidRPr="003D058E" w:rsidR="003D058E" w:rsidP="003D058E" w:rsidRDefault="003D058E" w14:paraId="69D61DFF" w14:textId="77777777">
      <w:r w:rsidRPr="003D058E">
        <w:tab/>
        <w:t>In artikel XXXIV, onderdeel B, wordt “€ 0,11” vervangen door “€ 9,22”.</w:t>
      </w:r>
    </w:p>
    <w:p w:rsidRPr="003D058E" w:rsidR="003D058E" w:rsidP="003D058E" w:rsidRDefault="003D058E" w14:paraId="5649A311" w14:textId="77777777"/>
    <w:p w:rsidRPr="003D058E" w:rsidR="003D058E" w:rsidP="003D058E" w:rsidRDefault="003D058E" w14:paraId="62019E70" w14:textId="77777777">
      <w:r w:rsidRPr="003D058E">
        <w:t>VIII</w:t>
      </w:r>
    </w:p>
    <w:p w:rsidRPr="003D058E" w:rsidR="003D058E" w:rsidP="003D058E" w:rsidRDefault="003D058E" w14:paraId="732811AA" w14:textId="77777777"/>
    <w:p w:rsidRPr="003D058E" w:rsidR="003D058E" w:rsidP="003D058E" w:rsidRDefault="003D058E" w14:paraId="633AA4EF" w14:textId="77777777">
      <w:r w:rsidRPr="003D058E">
        <w:tab/>
        <w:t>In artikel XXXV, onderdeel B, wordt “€ 0,41” vervangen door “€ 1,97”.</w:t>
      </w:r>
      <w:bookmarkEnd w:id="0"/>
    </w:p>
    <w:p w:rsidRPr="003D058E" w:rsidR="003D058E" w:rsidP="003D058E" w:rsidRDefault="003D058E" w14:paraId="5BD66088" w14:textId="77777777"/>
    <w:p w:rsidRPr="003D058E" w:rsidR="003D058E" w:rsidP="003D058E" w:rsidRDefault="003D058E" w14:paraId="4A4216F9" w14:textId="77777777">
      <w:r w:rsidRPr="003D058E">
        <w:t>IX</w:t>
      </w:r>
    </w:p>
    <w:p w:rsidRPr="003D058E" w:rsidR="003D058E" w:rsidP="003D058E" w:rsidRDefault="003D058E" w14:paraId="647838EE" w14:textId="77777777"/>
    <w:p w:rsidRPr="003D058E" w:rsidR="003D058E" w:rsidP="003D058E" w:rsidRDefault="003D058E" w14:paraId="732CE091" w14:textId="77777777">
      <w:pPr>
        <w:ind w:firstLine="284"/>
      </w:pPr>
      <w:r w:rsidRPr="003D058E">
        <w:t>In artikel XXXVI wordt “verhoogd met € 0,19” vervangen door “verlaagd met € 0,07”.</w:t>
      </w:r>
    </w:p>
    <w:p w:rsidRPr="003D058E" w:rsidR="003D058E" w:rsidP="003D058E" w:rsidRDefault="003D058E" w14:paraId="1BB02047" w14:textId="77777777"/>
    <w:p w:rsidRPr="003D058E" w:rsidR="003D058E" w:rsidP="003D058E" w:rsidRDefault="003D058E" w14:paraId="4ED2F22C" w14:textId="77777777">
      <w:r w:rsidRPr="003D058E">
        <w:t>X</w:t>
      </w:r>
    </w:p>
    <w:p w:rsidRPr="003D058E" w:rsidR="003D058E" w:rsidP="003D058E" w:rsidRDefault="003D058E" w14:paraId="0DA16C89" w14:textId="77777777"/>
    <w:p w:rsidRPr="003D058E" w:rsidR="003D058E" w:rsidP="003D058E" w:rsidRDefault="003D058E" w14:paraId="04CD827D" w14:textId="1B8BC225">
      <w:pPr>
        <w:ind w:firstLine="284"/>
      </w:pPr>
      <w:r w:rsidRPr="003D058E">
        <w:t>In artikel XXXVIII wordt “verhoogd met € 0,20” vervangen door “verlaagd met € 0,14”.</w:t>
      </w:r>
    </w:p>
    <w:p w:rsidRPr="003D058E" w:rsidR="003D058E" w:rsidP="003D058E" w:rsidRDefault="003D058E" w14:paraId="5B13AA29" w14:textId="77777777"/>
    <w:p w:rsidRPr="003D058E" w:rsidR="003D058E" w:rsidP="003D058E" w:rsidRDefault="003D058E" w14:paraId="1C73BBF1" w14:textId="77777777">
      <w:r w:rsidRPr="003D058E">
        <w:t>XI</w:t>
      </w:r>
    </w:p>
    <w:p w:rsidRPr="003D058E" w:rsidR="003D058E" w:rsidP="003D058E" w:rsidRDefault="003D058E" w14:paraId="1EFDC63F" w14:textId="77777777">
      <w:pPr>
        <w:rPr>
          <w:bCs/>
        </w:rPr>
      </w:pPr>
    </w:p>
    <w:p w:rsidRPr="003D058E" w:rsidR="003D058E" w:rsidP="003D058E" w:rsidRDefault="003D058E" w14:paraId="08AB337C" w14:textId="77777777">
      <w:r w:rsidRPr="003D058E">
        <w:rPr>
          <w:bCs/>
        </w:rPr>
        <w:tab/>
        <w:t xml:space="preserve">In artikel XL wordt </w:t>
      </w:r>
      <w:r w:rsidRPr="003D058E">
        <w:t>“verhoogd met € 0,06” vervangen door “verlaagd met € 0,09”.</w:t>
      </w:r>
    </w:p>
    <w:p w:rsidRPr="003D058E" w:rsidR="003D058E" w:rsidP="003D058E" w:rsidRDefault="003D058E" w14:paraId="2AE2D24C" w14:textId="77777777"/>
    <w:p w:rsidRPr="003D058E" w:rsidR="003D058E" w:rsidP="003D058E" w:rsidRDefault="003D058E" w14:paraId="5AAA7491" w14:textId="77777777">
      <w:r w:rsidRPr="003D058E">
        <w:t>XII</w:t>
      </w:r>
    </w:p>
    <w:p w:rsidRPr="003D058E" w:rsidR="003D058E" w:rsidP="003D058E" w:rsidRDefault="003D058E" w14:paraId="5846B90A" w14:textId="77777777"/>
    <w:p w:rsidRPr="003D058E" w:rsidR="003D058E" w:rsidP="003D058E" w:rsidRDefault="003D058E" w14:paraId="2C3590B9" w14:textId="77777777">
      <w:r w:rsidRPr="003D058E">
        <w:tab/>
        <w:t>Na artikel XL wordt een artikel ingevoegd, luidende:</w:t>
      </w:r>
    </w:p>
    <w:p w:rsidRPr="003D058E" w:rsidR="003D058E" w:rsidP="003D058E" w:rsidRDefault="003D058E" w14:paraId="1DFDC5C0" w14:textId="77777777"/>
    <w:p w:rsidRPr="003D058E" w:rsidR="003D058E" w:rsidP="003D058E" w:rsidRDefault="003D058E" w14:paraId="2B982799" w14:textId="77777777"/>
    <w:p w:rsidRPr="003D058E" w:rsidR="003D058E" w:rsidP="003D058E" w:rsidRDefault="003D058E" w14:paraId="0733F20D" w14:textId="43B4333A">
      <w:pPr>
        <w:rPr>
          <w:b/>
          <w:bCs/>
        </w:rPr>
      </w:pPr>
      <w:r w:rsidRPr="003D058E">
        <w:rPr>
          <w:b/>
          <w:bCs/>
        </w:rPr>
        <w:t>ARTIKEL XLA</w:t>
      </w:r>
    </w:p>
    <w:p w:rsidRPr="003D058E" w:rsidR="003D058E" w:rsidP="003D058E" w:rsidRDefault="003D058E" w14:paraId="6ED98B8D" w14:textId="77777777">
      <w:pPr>
        <w:rPr>
          <w:b/>
          <w:bCs/>
        </w:rPr>
      </w:pPr>
    </w:p>
    <w:p w:rsidRPr="003D058E" w:rsidR="003D058E" w:rsidP="003D058E" w:rsidRDefault="003D058E" w14:paraId="2ACB8E38" w14:textId="77777777">
      <w:r w:rsidRPr="003D058E">
        <w:tab/>
        <w:t>In de Wet belastingen op milieugrondslag wordt met ingang van 1 januari 2035 in artikel 63, eerste lid, het bedrag verlaagd met € 0,20.</w:t>
      </w:r>
    </w:p>
    <w:p w:rsidR="00EA1CE4" w:rsidP="00EA1CE4" w:rsidRDefault="00EA1CE4" w14:paraId="6180E0AE" w14:textId="77777777"/>
    <w:p w:rsidRPr="00EA69AC" w:rsidR="003C21AC" w:rsidP="00EA1CE4" w:rsidRDefault="003C21AC" w14:paraId="283852F9" w14:textId="77777777">
      <w:pPr>
        <w:rPr>
          <w:b/>
        </w:rPr>
      </w:pPr>
      <w:r w:rsidRPr="00EA69AC">
        <w:rPr>
          <w:b/>
        </w:rPr>
        <w:t>Toelichting</w:t>
      </w:r>
    </w:p>
    <w:p w:rsidR="00B4708A" w:rsidP="00EA1CE4" w:rsidRDefault="00B4708A" w14:paraId="090DE777" w14:textId="1CFBC626"/>
    <w:p w:rsidR="003D058E" w:rsidP="003D058E" w:rsidRDefault="003D058E" w14:paraId="57084DE2" w14:textId="77777777">
      <w:r>
        <w:t xml:space="preserve">Nederland werkt aan groene groei. </w:t>
      </w:r>
      <w:r w:rsidRPr="00B83A1A">
        <w:t>Daar past een maatregel om het gebruik van fossiele brandstoffen aantrekkelijker te maken niet bij</w:t>
      </w:r>
      <w:r>
        <w:t xml:space="preserve">. We zouden het groene alternatief – schone energie en energiebesparing – juist moeten stimuleren. De belasting op aardgas is, omgerekend naar energetische waarde, veel lager dan de energiebelasting op elektriciteit. Gecorrigeerd naar energie-inhoud is de belasting op elektriciteit 71% hoger dan op aardgas. Dat is vreemd, omdat elektriciteit steeds vaker uit schone bronnen komt: inmiddels wordt 50% van de Nederlandse elektriciteit schoon opgewekt! Indieners vinden het daarom niet passend om de belasting op aardgas te verlagen en het verschil met de belasting op (veel schonere) elektriciteit daarmee nog groter te maken. Wel begrijpen indieners de wens om de energierekening te verlagen. Zij stellen daarom voor om de middelen die zijn gereserveerd voor de korting op de aardgasbelasting toe te voegen aan de belastingvermindering in de energiebelasting. Dit levert ieder huishouden extra voordeel op, terwijl we blijven werken aan groene groei. </w:t>
      </w:r>
    </w:p>
    <w:p w:rsidR="003D058E" w:rsidP="003D058E" w:rsidRDefault="003D058E" w14:paraId="74A0BCC4" w14:textId="77777777"/>
    <w:p w:rsidR="003D058E" w:rsidP="003D058E" w:rsidRDefault="003D058E" w14:paraId="5576AEC7" w14:textId="77777777">
      <w:r>
        <w:t>In het wetsvoorstel wordt geregeld dat</w:t>
      </w:r>
      <w:r w:rsidRPr="002C30AD">
        <w:t xml:space="preserve"> </w:t>
      </w:r>
      <w:r>
        <w:t>de</w:t>
      </w:r>
      <w:r w:rsidRPr="002C30AD">
        <w:t xml:space="preserve"> energiebelasting op aardgas tot een verbruik van 170.000 m</w:t>
      </w:r>
      <w:r w:rsidRPr="002C30AD">
        <w:rPr>
          <w:vertAlign w:val="superscript"/>
        </w:rPr>
        <w:t>3</w:t>
      </w:r>
      <w:r w:rsidRPr="002C30AD">
        <w:t xml:space="preserve"> </w:t>
      </w:r>
      <w:r>
        <w:t>wordt verlaagd</w:t>
      </w:r>
      <w:r w:rsidRPr="002C30AD">
        <w:t>.</w:t>
      </w:r>
      <w:r>
        <w:t xml:space="preserve"> De verlaging krijgt haar beslag in de periode 2025-2030. Het amendement regelt op budget neutrale wijze dat het voordeel niet wordt gegeven via een verlaging van de energiebelasting op aardgas, maar via een verhoging van de belastingvermindering in de energiebelasting. </w:t>
      </w:r>
    </w:p>
    <w:p w:rsidR="003D058E" w:rsidP="003D058E" w:rsidRDefault="003D058E" w14:paraId="451BE0A2" w14:textId="77777777"/>
    <w:p w:rsidR="003D058E" w:rsidP="003D058E" w:rsidRDefault="003D058E" w14:paraId="5985869C" w14:textId="77777777">
      <w:r w:rsidRPr="00D17CBD">
        <w:rPr>
          <w:b/>
          <w:bCs/>
        </w:rPr>
        <w:t>Budgettaire gevolgen</w:t>
      </w:r>
    </w:p>
    <w:p w:rsidR="003D058E" w:rsidP="003D058E" w:rsidRDefault="003D058E" w14:paraId="7289EDC1" w14:textId="77777777">
      <w:pPr>
        <w:rPr>
          <w:i/>
          <w:iCs/>
        </w:rPr>
      </w:pPr>
    </w:p>
    <w:p w:rsidR="003D058E" w:rsidP="003D058E" w:rsidRDefault="003D058E" w14:paraId="3072F236" w14:textId="77777777">
      <w:r>
        <w:t>Met het</w:t>
      </w:r>
      <w:r w:rsidRPr="002C30AD">
        <w:t xml:space="preserve"> </w:t>
      </w:r>
      <w:r>
        <w:t>niet doorvoeren</w:t>
      </w:r>
      <w:r w:rsidRPr="002C30AD">
        <w:t xml:space="preserve"> van de verlaging van de </w:t>
      </w:r>
      <w:r>
        <w:t>energiebelasting</w:t>
      </w:r>
      <w:r w:rsidRPr="002C30AD">
        <w:t xml:space="preserve">tarieven in de eerste en tweede schijf aardgas </w:t>
      </w:r>
      <w:r>
        <w:t>is</w:t>
      </w:r>
      <w:r w:rsidRPr="002C30AD">
        <w:t xml:space="preserve"> een budgettaire opbrengst </w:t>
      </w:r>
      <w:r>
        <w:t xml:space="preserve">gemoeid </w:t>
      </w:r>
      <w:r w:rsidRPr="002C30AD">
        <w:t>van €</w:t>
      </w:r>
      <w:r>
        <w:t xml:space="preserve"> </w:t>
      </w:r>
      <w:r w:rsidRPr="00C75185">
        <w:t xml:space="preserve">271 miljoen in 2025, oplopend tot € 357 </w:t>
      </w:r>
      <w:r w:rsidRPr="002C30AD">
        <w:t xml:space="preserve">miljoen structureel. </w:t>
      </w:r>
      <w:r>
        <w:t xml:space="preserve">Het aanwenden van de opbrengst voor een verhoging van de belastingvermindering leidt in 2025 tot een verhoging van de belastingvermindering </w:t>
      </w:r>
      <w:r w:rsidRPr="00C75185">
        <w:t>met € 25,81 in 2025, oplopend tot € 39,22</w:t>
      </w:r>
      <w:r w:rsidRPr="002C30AD">
        <w:t xml:space="preserve"> </w:t>
      </w:r>
      <w:r w:rsidRPr="00C75185">
        <w:t>structureel. De verhoging ten opzichte van het basispad is hieronder weergegeven (in euro’s, exclusief btw).</w:t>
      </w:r>
    </w:p>
    <w:p w:rsidR="003D058E" w:rsidP="003D058E" w:rsidRDefault="003D058E" w14:paraId="44C2C713" w14:textId="77777777"/>
    <w:tbl>
      <w:tblPr>
        <w:tblStyle w:val="Tabelraster"/>
        <w:tblW w:w="5000" w:type="pct"/>
        <w:tblLook w:val="04A0" w:firstRow="1" w:lastRow="0" w:firstColumn="1" w:lastColumn="0" w:noHBand="0" w:noVBand="1"/>
      </w:tblPr>
      <w:tblGrid>
        <w:gridCol w:w="3733"/>
        <w:gridCol w:w="1100"/>
        <w:gridCol w:w="1100"/>
        <w:gridCol w:w="1102"/>
        <w:gridCol w:w="1100"/>
        <w:gridCol w:w="1100"/>
        <w:gridCol w:w="1102"/>
      </w:tblGrid>
      <w:tr w:rsidRPr="003D058E" w:rsidR="003D058E" w:rsidTr="003D058E" w14:paraId="72265AA4" w14:textId="77777777">
        <w:trPr>
          <w:trHeight w:val="254"/>
        </w:trPr>
        <w:tc>
          <w:tcPr>
            <w:tcW w:w="1468" w:type="pct"/>
            <w:noWrap/>
            <w:hideMark/>
          </w:tcPr>
          <w:p w:rsidRPr="003D058E" w:rsidR="003D058E" w:rsidP="00E0210F" w:rsidRDefault="003D058E" w14:paraId="7F5C0C59" w14:textId="77777777">
            <w:pPr>
              <w:rPr>
                <w:sz w:val="20"/>
              </w:rPr>
            </w:pPr>
          </w:p>
        </w:tc>
        <w:tc>
          <w:tcPr>
            <w:tcW w:w="588" w:type="pct"/>
            <w:noWrap/>
            <w:hideMark/>
          </w:tcPr>
          <w:p w:rsidRPr="003D058E" w:rsidR="003D058E" w:rsidP="00E0210F" w:rsidRDefault="003D058E" w14:paraId="0952BA7B" w14:textId="77777777">
            <w:pPr>
              <w:jc w:val="right"/>
              <w:rPr>
                <w:b/>
                <w:bCs/>
                <w:color w:val="000000"/>
                <w:sz w:val="20"/>
              </w:rPr>
            </w:pPr>
            <w:r w:rsidRPr="003D058E">
              <w:rPr>
                <w:b/>
                <w:bCs/>
                <w:color w:val="000000"/>
                <w:sz w:val="20"/>
              </w:rPr>
              <w:t>2024</w:t>
            </w:r>
          </w:p>
        </w:tc>
        <w:tc>
          <w:tcPr>
            <w:tcW w:w="588" w:type="pct"/>
            <w:noWrap/>
            <w:hideMark/>
          </w:tcPr>
          <w:p w:rsidRPr="003D058E" w:rsidR="003D058E" w:rsidP="00E0210F" w:rsidRDefault="003D058E" w14:paraId="45C8B5CF" w14:textId="77777777">
            <w:pPr>
              <w:jc w:val="right"/>
              <w:rPr>
                <w:b/>
                <w:bCs/>
                <w:color w:val="000000"/>
                <w:sz w:val="20"/>
              </w:rPr>
            </w:pPr>
            <w:r w:rsidRPr="003D058E">
              <w:rPr>
                <w:b/>
                <w:bCs/>
                <w:color w:val="000000"/>
                <w:sz w:val="20"/>
              </w:rPr>
              <w:t>2025</w:t>
            </w:r>
          </w:p>
        </w:tc>
        <w:tc>
          <w:tcPr>
            <w:tcW w:w="589" w:type="pct"/>
            <w:noWrap/>
            <w:hideMark/>
          </w:tcPr>
          <w:p w:rsidRPr="003D058E" w:rsidR="003D058E" w:rsidP="00E0210F" w:rsidRDefault="003D058E" w14:paraId="3FF397B9" w14:textId="77777777">
            <w:pPr>
              <w:jc w:val="right"/>
              <w:rPr>
                <w:b/>
                <w:bCs/>
                <w:color w:val="000000"/>
                <w:sz w:val="20"/>
              </w:rPr>
            </w:pPr>
            <w:r w:rsidRPr="003D058E">
              <w:rPr>
                <w:b/>
                <w:bCs/>
                <w:color w:val="000000"/>
                <w:sz w:val="20"/>
              </w:rPr>
              <w:t>2026</w:t>
            </w:r>
          </w:p>
        </w:tc>
        <w:tc>
          <w:tcPr>
            <w:tcW w:w="588" w:type="pct"/>
            <w:noWrap/>
            <w:hideMark/>
          </w:tcPr>
          <w:p w:rsidRPr="003D058E" w:rsidR="003D058E" w:rsidP="00E0210F" w:rsidRDefault="003D058E" w14:paraId="7F105FA8" w14:textId="77777777">
            <w:pPr>
              <w:jc w:val="right"/>
              <w:rPr>
                <w:b/>
                <w:bCs/>
                <w:color w:val="000000"/>
                <w:sz w:val="20"/>
              </w:rPr>
            </w:pPr>
            <w:r w:rsidRPr="003D058E">
              <w:rPr>
                <w:b/>
                <w:bCs/>
                <w:color w:val="000000"/>
                <w:sz w:val="20"/>
              </w:rPr>
              <w:t>2027</w:t>
            </w:r>
          </w:p>
        </w:tc>
        <w:tc>
          <w:tcPr>
            <w:tcW w:w="588" w:type="pct"/>
            <w:noWrap/>
            <w:hideMark/>
          </w:tcPr>
          <w:p w:rsidRPr="003D058E" w:rsidR="003D058E" w:rsidP="00E0210F" w:rsidRDefault="003D058E" w14:paraId="3232ACDD" w14:textId="77777777">
            <w:pPr>
              <w:jc w:val="right"/>
              <w:rPr>
                <w:b/>
                <w:bCs/>
                <w:color w:val="000000"/>
                <w:sz w:val="20"/>
              </w:rPr>
            </w:pPr>
            <w:r w:rsidRPr="003D058E">
              <w:rPr>
                <w:b/>
                <w:bCs/>
                <w:color w:val="000000"/>
                <w:sz w:val="20"/>
              </w:rPr>
              <w:t>2028</w:t>
            </w:r>
          </w:p>
        </w:tc>
        <w:tc>
          <w:tcPr>
            <w:tcW w:w="589" w:type="pct"/>
            <w:noWrap/>
            <w:hideMark/>
          </w:tcPr>
          <w:p w:rsidRPr="003D058E" w:rsidR="003D058E" w:rsidP="00E0210F" w:rsidRDefault="003D058E" w14:paraId="5D1E6570" w14:textId="77777777">
            <w:pPr>
              <w:jc w:val="right"/>
              <w:rPr>
                <w:b/>
                <w:bCs/>
                <w:color w:val="000000"/>
                <w:sz w:val="20"/>
              </w:rPr>
            </w:pPr>
            <w:r w:rsidRPr="003D058E">
              <w:rPr>
                <w:b/>
                <w:bCs/>
                <w:color w:val="000000"/>
                <w:sz w:val="20"/>
              </w:rPr>
              <w:t>2029</w:t>
            </w:r>
          </w:p>
        </w:tc>
      </w:tr>
      <w:tr w:rsidRPr="003D058E" w:rsidR="003D058E" w:rsidTr="003D058E" w14:paraId="53A90F0E" w14:textId="77777777">
        <w:trPr>
          <w:trHeight w:val="254"/>
        </w:trPr>
        <w:tc>
          <w:tcPr>
            <w:tcW w:w="1468" w:type="pct"/>
            <w:noWrap/>
            <w:hideMark/>
          </w:tcPr>
          <w:p w:rsidRPr="003D058E" w:rsidR="003D058E" w:rsidP="00E0210F" w:rsidRDefault="003D058E" w14:paraId="4470476E" w14:textId="77777777">
            <w:pPr>
              <w:rPr>
                <w:b/>
                <w:bCs/>
                <w:color w:val="000000"/>
                <w:sz w:val="20"/>
              </w:rPr>
            </w:pPr>
            <w:r w:rsidRPr="003D058E">
              <w:rPr>
                <w:b/>
                <w:bCs/>
                <w:color w:val="000000"/>
                <w:sz w:val="20"/>
              </w:rPr>
              <w:t>Basispad</w:t>
            </w:r>
          </w:p>
        </w:tc>
        <w:tc>
          <w:tcPr>
            <w:tcW w:w="588" w:type="pct"/>
            <w:noWrap/>
            <w:hideMark/>
          </w:tcPr>
          <w:p w:rsidRPr="003D058E" w:rsidR="003D058E" w:rsidP="00E0210F" w:rsidRDefault="003D058E" w14:paraId="2271188F" w14:textId="77777777">
            <w:pPr>
              <w:jc w:val="right"/>
              <w:rPr>
                <w:color w:val="000000"/>
                <w:sz w:val="20"/>
              </w:rPr>
            </w:pPr>
            <w:r w:rsidRPr="003D058E">
              <w:rPr>
                <w:color w:val="000000"/>
                <w:sz w:val="20"/>
              </w:rPr>
              <w:t>521,81</w:t>
            </w:r>
          </w:p>
        </w:tc>
        <w:tc>
          <w:tcPr>
            <w:tcW w:w="588" w:type="pct"/>
            <w:noWrap/>
            <w:hideMark/>
          </w:tcPr>
          <w:p w:rsidRPr="003D058E" w:rsidR="003D058E" w:rsidP="00E0210F" w:rsidRDefault="003D058E" w14:paraId="67C7F85E" w14:textId="77777777">
            <w:pPr>
              <w:jc w:val="right"/>
              <w:rPr>
                <w:color w:val="000000"/>
                <w:sz w:val="20"/>
              </w:rPr>
            </w:pPr>
            <w:r w:rsidRPr="003D058E">
              <w:rPr>
                <w:color w:val="000000"/>
                <w:sz w:val="20"/>
              </w:rPr>
              <w:t>524,91</w:t>
            </w:r>
          </w:p>
        </w:tc>
        <w:tc>
          <w:tcPr>
            <w:tcW w:w="589" w:type="pct"/>
            <w:noWrap/>
            <w:hideMark/>
          </w:tcPr>
          <w:p w:rsidRPr="003D058E" w:rsidR="003D058E" w:rsidP="00E0210F" w:rsidRDefault="003D058E" w14:paraId="7D9026DB" w14:textId="77777777">
            <w:pPr>
              <w:jc w:val="right"/>
              <w:rPr>
                <w:color w:val="000000"/>
                <w:sz w:val="20"/>
              </w:rPr>
            </w:pPr>
            <w:r w:rsidRPr="003D058E">
              <w:rPr>
                <w:color w:val="000000"/>
                <w:sz w:val="20"/>
              </w:rPr>
              <w:t>510,43</w:t>
            </w:r>
          </w:p>
        </w:tc>
        <w:tc>
          <w:tcPr>
            <w:tcW w:w="588" w:type="pct"/>
            <w:noWrap/>
            <w:hideMark/>
          </w:tcPr>
          <w:p w:rsidRPr="003D058E" w:rsidR="003D058E" w:rsidP="00E0210F" w:rsidRDefault="003D058E" w14:paraId="1E2F914D" w14:textId="77777777">
            <w:pPr>
              <w:jc w:val="right"/>
              <w:rPr>
                <w:color w:val="000000"/>
                <w:sz w:val="20"/>
              </w:rPr>
            </w:pPr>
            <w:r w:rsidRPr="003D058E">
              <w:rPr>
                <w:color w:val="000000"/>
                <w:sz w:val="20"/>
              </w:rPr>
              <w:t>510,13</w:t>
            </w:r>
          </w:p>
        </w:tc>
        <w:tc>
          <w:tcPr>
            <w:tcW w:w="588" w:type="pct"/>
            <w:noWrap/>
            <w:hideMark/>
          </w:tcPr>
          <w:p w:rsidRPr="003D058E" w:rsidR="003D058E" w:rsidP="00E0210F" w:rsidRDefault="003D058E" w14:paraId="21E606A0" w14:textId="77777777">
            <w:pPr>
              <w:jc w:val="right"/>
              <w:rPr>
                <w:color w:val="000000"/>
                <w:sz w:val="20"/>
              </w:rPr>
            </w:pPr>
            <w:r w:rsidRPr="003D058E">
              <w:rPr>
                <w:color w:val="000000"/>
                <w:sz w:val="20"/>
              </w:rPr>
              <w:t>510,59</w:t>
            </w:r>
          </w:p>
        </w:tc>
        <w:tc>
          <w:tcPr>
            <w:tcW w:w="589" w:type="pct"/>
            <w:noWrap/>
            <w:hideMark/>
          </w:tcPr>
          <w:p w:rsidRPr="003D058E" w:rsidR="003D058E" w:rsidP="00E0210F" w:rsidRDefault="003D058E" w14:paraId="1098DED3" w14:textId="77777777">
            <w:pPr>
              <w:jc w:val="right"/>
              <w:rPr>
                <w:color w:val="000000"/>
                <w:sz w:val="20"/>
              </w:rPr>
            </w:pPr>
            <w:r w:rsidRPr="003D058E">
              <w:rPr>
                <w:color w:val="000000"/>
                <w:sz w:val="20"/>
              </w:rPr>
              <w:t>515,97</w:t>
            </w:r>
          </w:p>
        </w:tc>
      </w:tr>
      <w:tr w:rsidRPr="003D058E" w:rsidR="003D058E" w:rsidTr="003D058E" w14:paraId="04EFFFC3" w14:textId="77777777">
        <w:trPr>
          <w:trHeight w:val="254"/>
        </w:trPr>
        <w:tc>
          <w:tcPr>
            <w:tcW w:w="1468" w:type="pct"/>
            <w:noWrap/>
            <w:hideMark/>
          </w:tcPr>
          <w:p w:rsidRPr="003D058E" w:rsidR="003D058E" w:rsidP="00E0210F" w:rsidRDefault="003D058E" w14:paraId="17B37417" w14:textId="77777777">
            <w:pPr>
              <w:rPr>
                <w:b/>
                <w:bCs/>
                <w:color w:val="000000"/>
                <w:sz w:val="20"/>
              </w:rPr>
            </w:pPr>
            <w:r w:rsidRPr="003D058E">
              <w:rPr>
                <w:b/>
                <w:bCs/>
                <w:color w:val="000000"/>
                <w:sz w:val="20"/>
              </w:rPr>
              <w:t>Mutaties Belastingplan 2025 (cumulatief)</w:t>
            </w:r>
          </w:p>
        </w:tc>
        <w:tc>
          <w:tcPr>
            <w:tcW w:w="588" w:type="pct"/>
            <w:noWrap/>
            <w:hideMark/>
          </w:tcPr>
          <w:p w:rsidRPr="003D058E" w:rsidR="003D058E" w:rsidP="00E0210F" w:rsidRDefault="003D058E" w14:paraId="5A794E53" w14:textId="77777777">
            <w:pPr>
              <w:jc w:val="right"/>
              <w:rPr>
                <w:color w:val="000000"/>
                <w:sz w:val="20"/>
              </w:rPr>
            </w:pPr>
          </w:p>
        </w:tc>
        <w:tc>
          <w:tcPr>
            <w:tcW w:w="588" w:type="pct"/>
            <w:noWrap/>
            <w:hideMark/>
          </w:tcPr>
          <w:p w:rsidRPr="003D058E" w:rsidR="003D058E" w:rsidP="00E0210F" w:rsidRDefault="003D058E" w14:paraId="7ABEBA4A" w14:textId="77777777">
            <w:pPr>
              <w:jc w:val="right"/>
              <w:rPr>
                <w:color w:val="000000"/>
                <w:sz w:val="20"/>
              </w:rPr>
            </w:pPr>
            <w:r w:rsidRPr="003D058E">
              <w:rPr>
                <w:color w:val="000000"/>
                <w:sz w:val="20"/>
              </w:rPr>
              <w:t>0,04</w:t>
            </w:r>
          </w:p>
        </w:tc>
        <w:tc>
          <w:tcPr>
            <w:tcW w:w="589" w:type="pct"/>
            <w:noWrap/>
            <w:hideMark/>
          </w:tcPr>
          <w:p w:rsidRPr="003D058E" w:rsidR="003D058E" w:rsidP="00E0210F" w:rsidRDefault="003D058E" w14:paraId="01FD978E" w14:textId="77777777">
            <w:pPr>
              <w:jc w:val="right"/>
              <w:rPr>
                <w:color w:val="000000"/>
                <w:sz w:val="20"/>
              </w:rPr>
            </w:pPr>
            <w:r w:rsidRPr="003D058E">
              <w:rPr>
                <w:color w:val="000000"/>
                <w:sz w:val="20"/>
              </w:rPr>
              <w:t>0,07</w:t>
            </w:r>
          </w:p>
        </w:tc>
        <w:tc>
          <w:tcPr>
            <w:tcW w:w="588" w:type="pct"/>
            <w:noWrap/>
            <w:hideMark/>
          </w:tcPr>
          <w:p w:rsidRPr="003D058E" w:rsidR="003D058E" w:rsidP="00E0210F" w:rsidRDefault="003D058E" w14:paraId="78ABE100" w14:textId="77777777">
            <w:pPr>
              <w:jc w:val="right"/>
              <w:rPr>
                <w:color w:val="000000"/>
                <w:sz w:val="20"/>
              </w:rPr>
            </w:pPr>
            <w:r w:rsidRPr="003D058E">
              <w:rPr>
                <w:color w:val="000000"/>
                <w:sz w:val="20"/>
              </w:rPr>
              <w:t>0,15</w:t>
            </w:r>
          </w:p>
        </w:tc>
        <w:tc>
          <w:tcPr>
            <w:tcW w:w="588" w:type="pct"/>
            <w:noWrap/>
            <w:hideMark/>
          </w:tcPr>
          <w:p w:rsidRPr="003D058E" w:rsidR="003D058E" w:rsidP="00E0210F" w:rsidRDefault="003D058E" w14:paraId="74E3A29A" w14:textId="77777777">
            <w:pPr>
              <w:jc w:val="right"/>
              <w:rPr>
                <w:color w:val="000000"/>
                <w:sz w:val="20"/>
              </w:rPr>
            </w:pPr>
            <w:r w:rsidRPr="003D058E">
              <w:rPr>
                <w:color w:val="000000"/>
                <w:sz w:val="20"/>
              </w:rPr>
              <w:t>0,26</w:t>
            </w:r>
          </w:p>
        </w:tc>
        <w:tc>
          <w:tcPr>
            <w:tcW w:w="589" w:type="pct"/>
            <w:noWrap/>
            <w:hideMark/>
          </w:tcPr>
          <w:p w:rsidRPr="003D058E" w:rsidR="003D058E" w:rsidP="00E0210F" w:rsidRDefault="003D058E" w14:paraId="5BE1EA8D" w14:textId="77777777">
            <w:pPr>
              <w:jc w:val="right"/>
              <w:rPr>
                <w:color w:val="000000"/>
                <w:sz w:val="20"/>
              </w:rPr>
            </w:pPr>
            <w:r w:rsidRPr="003D058E">
              <w:rPr>
                <w:color w:val="000000"/>
                <w:sz w:val="20"/>
              </w:rPr>
              <w:t>0,37</w:t>
            </w:r>
          </w:p>
        </w:tc>
      </w:tr>
      <w:tr w:rsidRPr="003D058E" w:rsidR="003D058E" w:rsidTr="003D058E" w14:paraId="5E219C14" w14:textId="77777777">
        <w:trPr>
          <w:trHeight w:val="254"/>
        </w:trPr>
        <w:tc>
          <w:tcPr>
            <w:tcW w:w="1468" w:type="pct"/>
            <w:noWrap/>
            <w:hideMark/>
          </w:tcPr>
          <w:p w:rsidRPr="003D058E" w:rsidR="003D058E" w:rsidP="00E0210F" w:rsidRDefault="003D058E" w14:paraId="06339BD5" w14:textId="77777777">
            <w:pPr>
              <w:rPr>
                <w:b/>
                <w:bCs/>
                <w:color w:val="000000"/>
                <w:sz w:val="20"/>
              </w:rPr>
            </w:pPr>
            <w:r w:rsidRPr="003D058E">
              <w:rPr>
                <w:b/>
                <w:bCs/>
                <w:color w:val="000000"/>
                <w:sz w:val="20"/>
              </w:rPr>
              <w:t>Na Belastingplan 2025</w:t>
            </w:r>
          </w:p>
        </w:tc>
        <w:tc>
          <w:tcPr>
            <w:tcW w:w="588" w:type="pct"/>
            <w:noWrap/>
            <w:hideMark/>
          </w:tcPr>
          <w:p w:rsidRPr="003D058E" w:rsidR="003D058E" w:rsidP="00E0210F" w:rsidRDefault="003D058E" w14:paraId="04EDF281" w14:textId="77777777">
            <w:pPr>
              <w:jc w:val="right"/>
              <w:rPr>
                <w:color w:val="000000"/>
                <w:sz w:val="20"/>
              </w:rPr>
            </w:pPr>
          </w:p>
        </w:tc>
        <w:tc>
          <w:tcPr>
            <w:tcW w:w="588" w:type="pct"/>
            <w:noWrap/>
            <w:hideMark/>
          </w:tcPr>
          <w:p w:rsidRPr="003D058E" w:rsidR="003D058E" w:rsidP="00E0210F" w:rsidRDefault="003D058E" w14:paraId="377CF437" w14:textId="77777777">
            <w:pPr>
              <w:jc w:val="right"/>
              <w:rPr>
                <w:color w:val="000000"/>
                <w:sz w:val="20"/>
              </w:rPr>
            </w:pPr>
            <w:r w:rsidRPr="003D058E">
              <w:rPr>
                <w:color w:val="000000"/>
                <w:sz w:val="20"/>
              </w:rPr>
              <w:t>524,95</w:t>
            </w:r>
          </w:p>
        </w:tc>
        <w:tc>
          <w:tcPr>
            <w:tcW w:w="589" w:type="pct"/>
            <w:noWrap/>
            <w:hideMark/>
          </w:tcPr>
          <w:p w:rsidRPr="003D058E" w:rsidR="003D058E" w:rsidP="00E0210F" w:rsidRDefault="003D058E" w14:paraId="4FB1A20B" w14:textId="77777777">
            <w:pPr>
              <w:jc w:val="right"/>
              <w:rPr>
                <w:color w:val="000000"/>
                <w:sz w:val="20"/>
              </w:rPr>
            </w:pPr>
            <w:r w:rsidRPr="003D058E">
              <w:rPr>
                <w:color w:val="000000"/>
                <w:sz w:val="20"/>
              </w:rPr>
              <w:t>510,5</w:t>
            </w:r>
          </w:p>
        </w:tc>
        <w:tc>
          <w:tcPr>
            <w:tcW w:w="588" w:type="pct"/>
            <w:noWrap/>
            <w:hideMark/>
          </w:tcPr>
          <w:p w:rsidRPr="003D058E" w:rsidR="003D058E" w:rsidP="00E0210F" w:rsidRDefault="003D058E" w14:paraId="6CA26572" w14:textId="77777777">
            <w:pPr>
              <w:jc w:val="right"/>
              <w:rPr>
                <w:color w:val="000000"/>
                <w:sz w:val="20"/>
              </w:rPr>
            </w:pPr>
            <w:r w:rsidRPr="003D058E">
              <w:rPr>
                <w:color w:val="000000"/>
                <w:sz w:val="20"/>
              </w:rPr>
              <w:t>510,28</w:t>
            </w:r>
          </w:p>
        </w:tc>
        <w:tc>
          <w:tcPr>
            <w:tcW w:w="588" w:type="pct"/>
            <w:noWrap/>
            <w:hideMark/>
          </w:tcPr>
          <w:p w:rsidRPr="003D058E" w:rsidR="003D058E" w:rsidP="00E0210F" w:rsidRDefault="003D058E" w14:paraId="2D1AC45F" w14:textId="77777777">
            <w:pPr>
              <w:jc w:val="right"/>
              <w:rPr>
                <w:color w:val="000000"/>
                <w:sz w:val="20"/>
              </w:rPr>
            </w:pPr>
            <w:r w:rsidRPr="003D058E">
              <w:rPr>
                <w:color w:val="000000"/>
                <w:sz w:val="20"/>
              </w:rPr>
              <w:t>510,85</w:t>
            </w:r>
          </w:p>
        </w:tc>
        <w:tc>
          <w:tcPr>
            <w:tcW w:w="589" w:type="pct"/>
            <w:noWrap/>
            <w:hideMark/>
          </w:tcPr>
          <w:p w:rsidRPr="003D058E" w:rsidR="003D058E" w:rsidP="00E0210F" w:rsidRDefault="003D058E" w14:paraId="76EC3106" w14:textId="77777777">
            <w:pPr>
              <w:jc w:val="right"/>
              <w:rPr>
                <w:color w:val="000000"/>
                <w:sz w:val="20"/>
              </w:rPr>
            </w:pPr>
            <w:r w:rsidRPr="003D058E">
              <w:rPr>
                <w:color w:val="000000"/>
                <w:sz w:val="20"/>
              </w:rPr>
              <w:t>516,34</w:t>
            </w:r>
          </w:p>
        </w:tc>
      </w:tr>
      <w:tr w:rsidRPr="003D058E" w:rsidR="003D058E" w:rsidTr="003D058E" w14:paraId="27C5CAAE" w14:textId="77777777">
        <w:trPr>
          <w:trHeight w:val="254"/>
        </w:trPr>
        <w:tc>
          <w:tcPr>
            <w:tcW w:w="1468" w:type="pct"/>
            <w:noWrap/>
            <w:hideMark/>
          </w:tcPr>
          <w:p w:rsidRPr="003D058E" w:rsidR="003D058E" w:rsidP="00E0210F" w:rsidRDefault="003D058E" w14:paraId="4A6D907E" w14:textId="77777777">
            <w:pPr>
              <w:rPr>
                <w:b/>
                <w:bCs/>
                <w:color w:val="000000"/>
                <w:sz w:val="20"/>
              </w:rPr>
            </w:pPr>
            <w:r w:rsidRPr="003D058E">
              <w:rPr>
                <w:b/>
                <w:bCs/>
                <w:color w:val="000000"/>
                <w:sz w:val="20"/>
              </w:rPr>
              <w:t>Mutaties amendement</w:t>
            </w:r>
          </w:p>
          <w:p w:rsidRPr="003D058E" w:rsidR="003D058E" w:rsidP="00E0210F" w:rsidRDefault="003D058E" w14:paraId="684D1AD2" w14:textId="77777777">
            <w:pPr>
              <w:rPr>
                <w:b/>
                <w:bCs/>
                <w:color w:val="000000"/>
                <w:sz w:val="20"/>
              </w:rPr>
            </w:pPr>
            <w:r w:rsidRPr="003D058E">
              <w:rPr>
                <w:b/>
                <w:bCs/>
                <w:color w:val="000000"/>
                <w:sz w:val="20"/>
              </w:rPr>
              <w:t>(cumulatief)</w:t>
            </w:r>
          </w:p>
        </w:tc>
        <w:tc>
          <w:tcPr>
            <w:tcW w:w="588" w:type="pct"/>
            <w:noWrap/>
            <w:hideMark/>
          </w:tcPr>
          <w:p w:rsidRPr="003D058E" w:rsidR="003D058E" w:rsidP="00E0210F" w:rsidRDefault="003D058E" w14:paraId="710ADD74" w14:textId="77777777">
            <w:pPr>
              <w:jc w:val="right"/>
              <w:rPr>
                <w:color w:val="000000"/>
                <w:sz w:val="20"/>
              </w:rPr>
            </w:pPr>
          </w:p>
        </w:tc>
        <w:tc>
          <w:tcPr>
            <w:tcW w:w="588" w:type="pct"/>
            <w:noWrap/>
            <w:hideMark/>
          </w:tcPr>
          <w:p w:rsidRPr="003D058E" w:rsidR="003D058E" w:rsidP="00E0210F" w:rsidRDefault="003D058E" w14:paraId="48DE8BF3" w14:textId="77777777">
            <w:pPr>
              <w:jc w:val="right"/>
              <w:rPr>
                <w:color w:val="000000"/>
                <w:sz w:val="20"/>
              </w:rPr>
            </w:pPr>
            <w:r w:rsidRPr="003D058E">
              <w:rPr>
                <w:color w:val="000000"/>
                <w:sz w:val="20"/>
              </w:rPr>
              <w:t xml:space="preserve">    25,81 </w:t>
            </w:r>
          </w:p>
        </w:tc>
        <w:tc>
          <w:tcPr>
            <w:tcW w:w="589" w:type="pct"/>
            <w:noWrap/>
            <w:hideMark/>
          </w:tcPr>
          <w:p w:rsidRPr="003D058E" w:rsidR="003D058E" w:rsidP="00E0210F" w:rsidRDefault="003D058E" w14:paraId="1CABB6D5" w14:textId="77777777">
            <w:pPr>
              <w:jc w:val="right"/>
              <w:rPr>
                <w:color w:val="000000"/>
                <w:sz w:val="20"/>
              </w:rPr>
            </w:pPr>
            <w:r w:rsidRPr="003D058E">
              <w:rPr>
                <w:color w:val="000000"/>
                <w:sz w:val="20"/>
              </w:rPr>
              <w:t xml:space="preserve">    25,14 </w:t>
            </w:r>
          </w:p>
        </w:tc>
        <w:tc>
          <w:tcPr>
            <w:tcW w:w="588" w:type="pct"/>
            <w:noWrap/>
            <w:hideMark/>
          </w:tcPr>
          <w:p w:rsidRPr="003D058E" w:rsidR="003D058E" w:rsidP="00E0210F" w:rsidRDefault="003D058E" w14:paraId="0291BCC9" w14:textId="77777777">
            <w:pPr>
              <w:jc w:val="right"/>
              <w:rPr>
                <w:color w:val="000000"/>
                <w:sz w:val="20"/>
              </w:rPr>
            </w:pPr>
            <w:r w:rsidRPr="003D058E">
              <w:rPr>
                <w:color w:val="000000"/>
                <w:sz w:val="20"/>
              </w:rPr>
              <w:t xml:space="preserve">    27,03 </w:t>
            </w:r>
          </w:p>
        </w:tc>
        <w:tc>
          <w:tcPr>
            <w:tcW w:w="588" w:type="pct"/>
            <w:noWrap/>
            <w:hideMark/>
          </w:tcPr>
          <w:p w:rsidRPr="003D058E" w:rsidR="003D058E" w:rsidP="00E0210F" w:rsidRDefault="003D058E" w14:paraId="2C040F5C" w14:textId="77777777">
            <w:pPr>
              <w:jc w:val="right"/>
              <w:rPr>
                <w:color w:val="000000"/>
                <w:sz w:val="20"/>
              </w:rPr>
            </w:pPr>
            <w:r w:rsidRPr="003D058E">
              <w:rPr>
                <w:color w:val="000000"/>
                <w:sz w:val="20"/>
              </w:rPr>
              <w:t xml:space="preserve">    29,51 </w:t>
            </w:r>
          </w:p>
        </w:tc>
        <w:tc>
          <w:tcPr>
            <w:tcW w:w="589" w:type="pct"/>
            <w:noWrap/>
            <w:hideMark/>
          </w:tcPr>
          <w:p w:rsidRPr="003D058E" w:rsidR="003D058E" w:rsidP="00E0210F" w:rsidRDefault="003D058E" w14:paraId="32CE19F0" w14:textId="77777777">
            <w:pPr>
              <w:jc w:val="right"/>
              <w:rPr>
                <w:color w:val="000000"/>
                <w:sz w:val="20"/>
              </w:rPr>
            </w:pPr>
            <w:r w:rsidRPr="003D058E">
              <w:rPr>
                <w:color w:val="000000"/>
                <w:sz w:val="20"/>
              </w:rPr>
              <w:t xml:space="preserve">    38,62 </w:t>
            </w:r>
          </w:p>
        </w:tc>
      </w:tr>
      <w:tr w:rsidRPr="003D058E" w:rsidR="003D058E" w:rsidTr="003D058E" w14:paraId="072A531A" w14:textId="77777777">
        <w:trPr>
          <w:trHeight w:val="254"/>
        </w:trPr>
        <w:tc>
          <w:tcPr>
            <w:tcW w:w="1468" w:type="pct"/>
            <w:noWrap/>
            <w:hideMark/>
          </w:tcPr>
          <w:p w:rsidRPr="003D058E" w:rsidR="003D058E" w:rsidP="00E0210F" w:rsidRDefault="003D058E" w14:paraId="69FD3B6B" w14:textId="77777777">
            <w:pPr>
              <w:rPr>
                <w:b/>
                <w:bCs/>
                <w:color w:val="000000"/>
                <w:sz w:val="20"/>
              </w:rPr>
            </w:pPr>
            <w:r w:rsidRPr="003D058E">
              <w:rPr>
                <w:b/>
                <w:bCs/>
                <w:color w:val="000000"/>
                <w:sz w:val="20"/>
              </w:rPr>
              <w:t>Na amendement</w:t>
            </w:r>
          </w:p>
        </w:tc>
        <w:tc>
          <w:tcPr>
            <w:tcW w:w="588" w:type="pct"/>
            <w:noWrap/>
            <w:hideMark/>
          </w:tcPr>
          <w:p w:rsidRPr="003D058E" w:rsidR="003D058E" w:rsidP="00E0210F" w:rsidRDefault="003D058E" w14:paraId="32DD5947" w14:textId="77777777">
            <w:pPr>
              <w:jc w:val="right"/>
              <w:rPr>
                <w:color w:val="000000"/>
                <w:sz w:val="20"/>
              </w:rPr>
            </w:pPr>
          </w:p>
        </w:tc>
        <w:tc>
          <w:tcPr>
            <w:tcW w:w="588" w:type="pct"/>
            <w:noWrap/>
            <w:hideMark/>
          </w:tcPr>
          <w:p w:rsidRPr="003D058E" w:rsidR="003D058E" w:rsidP="00E0210F" w:rsidRDefault="003D058E" w14:paraId="70B6D7B9" w14:textId="77777777">
            <w:pPr>
              <w:jc w:val="right"/>
              <w:rPr>
                <w:color w:val="000000"/>
                <w:sz w:val="20"/>
              </w:rPr>
            </w:pPr>
            <w:r w:rsidRPr="003D058E">
              <w:rPr>
                <w:color w:val="000000"/>
                <w:sz w:val="20"/>
              </w:rPr>
              <w:t xml:space="preserve">  550,76 </w:t>
            </w:r>
          </w:p>
        </w:tc>
        <w:tc>
          <w:tcPr>
            <w:tcW w:w="589" w:type="pct"/>
            <w:noWrap/>
            <w:hideMark/>
          </w:tcPr>
          <w:p w:rsidRPr="003D058E" w:rsidR="003D058E" w:rsidP="00E0210F" w:rsidRDefault="003D058E" w14:paraId="317ED9BB" w14:textId="77777777">
            <w:pPr>
              <w:jc w:val="right"/>
              <w:rPr>
                <w:color w:val="000000"/>
                <w:sz w:val="20"/>
              </w:rPr>
            </w:pPr>
            <w:r w:rsidRPr="003D058E">
              <w:rPr>
                <w:color w:val="000000"/>
                <w:sz w:val="20"/>
              </w:rPr>
              <w:t xml:space="preserve">  535,64 </w:t>
            </w:r>
          </w:p>
        </w:tc>
        <w:tc>
          <w:tcPr>
            <w:tcW w:w="588" w:type="pct"/>
            <w:noWrap/>
            <w:hideMark/>
          </w:tcPr>
          <w:p w:rsidRPr="003D058E" w:rsidR="003D058E" w:rsidP="00E0210F" w:rsidRDefault="003D058E" w14:paraId="6A73A8C8" w14:textId="77777777">
            <w:pPr>
              <w:jc w:val="right"/>
              <w:rPr>
                <w:color w:val="000000"/>
                <w:sz w:val="20"/>
              </w:rPr>
            </w:pPr>
            <w:r w:rsidRPr="003D058E">
              <w:rPr>
                <w:color w:val="000000"/>
                <w:sz w:val="20"/>
              </w:rPr>
              <w:t xml:space="preserve">  537,31 </w:t>
            </w:r>
          </w:p>
        </w:tc>
        <w:tc>
          <w:tcPr>
            <w:tcW w:w="588" w:type="pct"/>
            <w:noWrap/>
            <w:hideMark/>
          </w:tcPr>
          <w:p w:rsidRPr="003D058E" w:rsidR="003D058E" w:rsidP="00E0210F" w:rsidRDefault="003D058E" w14:paraId="721EF64A" w14:textId="77777777">
            <w:pPr>
              <w:jc w:val="right"/>
              <w:rPr>
                <w:color w:val="000000"/>
                <w:sz w:val="20"/>
              </w:rPr>
            </w:pPr>
            <w:r w:rsidRPr="003D058E">
              <w:rPr>
                <w:color w:val="000000"/>
                <w:sz w:val="20"/>
              </w:rPr>
              <w:t xml:space="preserve">  540,36 </w:t>
            </w:r>
          </w:p>
        </w:tc>
        <w:tc>
          <w:tcPr>
            <w:tcW w:w="589" w:type="pct"/>
            <w:noWrap/>
            <w:hideMark/>
          </w:tcPr>
          <w:p w:rsidRPr="003D058E" w:rsidR="003D058E" w:rsidP="00E0210F" w:rsidRDefault="003D058E" w14:paraId="28DB7BD5" w14:textId="77777777">
            <w:pPr>
              <w:jc w:val="right"/>
              <w:rPr>
                <w:color w:val="000000"/>
                <w:sz w:val="20"/>
              </w:rPr>
            </w:pPr>
            <w:r w:rsidRPr="003D058E">
              <w:rPr>
                <w:color w:val="000000"/>
                <w:sz w:val="20"/>
              </w:rPr>
              <w:t xml:space="preserve">  554,96 </w:t>
            </w:r>
          </w:p>
        </w:tc>
      </w:tr>
    </w:tbl>
    <w:p w:rsidR="003D058E" w:rsidP="003D058E" w:rsidRDefault="003D058E" w14:paraId="7DC2D32D" w14:textId="77777777"/>
    <w:p w:rsidR="003D058E" w:rsidP="003D058E" w:rsidRDefault="003D058E" w14:paraId="2A194783" w14:textId="77777777"/>
    <w:tbl>
      <w:tblPr>
        <w:tblStyle w:val="Tabelraster"/>
        <w:tblW w:w="5000" w:type="pct"/>
        <w:tblLook w:val="04A0" w:firstRow="1" w:lastRow="0" w:firstColumn="1" w:lastColumn="0" w:noHBand="0" w:noVBand="1"/>
      </w:tblPr>
      <w:tblGrid>
        <w:gridCol w:w="3644"/>
        <w:gridCol w:w="1126"/>
        <w:gridCol w:w="1127"/>
        <w:gridCol w:w="1059"/>
        <w:gridCol w:w="1059"/>
        <w:gridCol w:w="1195"/>
        <w:gridCol w:w="1127"/>
      </w:tblGrid>
      <w:tr w:rsidRPr="003D058E" w:rsidR="003D058E" w:rsidTr="003D058E" w14:paraId="7AE75224" w14:textId="77777777">
        <w:trPr>
          <w:trHeight w:val="254"/>
        </w:trPr>
        <w:tc>
          <w:tcPr>
            <w:tcW w:w="1763" w:type="pct"/>
            <w:noWrap/>
            <w:hideMark/>
          </w:tcPr>
          <w:p w:rsidRPr="003D058E" w:rsidR="003D058E" w:rsidP="00E0210F" w:rsidRDefault="003D058E" w14:paraId="362C512C" w14:textId="77777777">
            <w:pPr>
              <w:rPr>
                <w:sz w:val="20"/>
              </w:rPr>
            </w:pPr>
            <w:bookmarkStart w:name="_Hlk180612091" w:id="1"/>
          </w:p>
        </w:tc>
        <w:tc>
          <w:tcPr>
            <w:tcW w:w="545" w:type="pct"/>
            <w:noWrap/>
            <w:hideMark/>
          </w:tcPr>
          <w:p w:rsidRPr="003D058E" w:rsidR="003D058E" w:rsidP="00E0210F" w:rsidRDefault="003D058E" w14:paraId="5D32C725" w14:textId="77777777">
            <w:pPr>
              <w:jc w:val="right"/>
              <w:rPr>
                <w:b/>
                <w:bCs/>
                <w:color w:val="000000"/>
                <w:sz w:val="20"/>
              </w:rPr>
            </w:pPr>
            <w:r w:rsidRPr="003D058E">
              <w:rPr>
                <w:b/>
                <w:bCs/>
                <w:color w:val="000000"/>
                <w:sz w:val="20"/>
              </w:rPr>
              <w:t>2030</w:t>
            </w:r>
          </w:p>
        </w:tc>
        <w:tc>
          <w:tcPr>
            <w:tcW w:w="545" w:type="pct"/>
            <w:noWrap/>
            <w:hideMark/>
          </w:tcPr>
          <w:p w:rsidRPr="003D058E" w:rsidR="003D058E" w:rsidP="00E0210F" w:rsidRDefault="003D058E" w14:paraId="000EBF32" w14:textId="77777777">
            <w:pPr>
              <w:jc w:val="right"/>
              <w:rPr>
                <w:b/>
                <w:bCs/>
                <w:color w:val="000000"/>
                <w:sz w:val="20"/>
              </w:rPr>
            </w:pPr>
            <w:r w:rsidRPr="003D058E">
              <w:rPr>
                <w:b/>
                <w:bCs/>
                <w:color w:val="000000"/>
                <w:sz w:val="20"/>
              </w:rPr>
              <w:t>2031</w:t>
            </w:r>
          </w:p>
        </w:tc>
        <w:tc>
          <w:tcPr>
            <w:tcW w:w="512" w:type="pct"/>
            <w:noWrap/>
            <w:hideMark/>
          </w:tcPr>
          <w:p w:rsidRPr="003D058E" w:rsidR="003D058E" w:rsidP="00E0210F" w:rsidRDefault="003D058E" w14:paraId="50C99217" w14:textId="77777777">
            <w:pPr>
              <w:jc w:val="right"/>
              <w:rPr>
                <w:b/>
                <w:bCs/>
                <w:color w:val="000000"/>
                <w:sz w:val="20"/>
              </w:rPr>
            </w:pPr>
            <w:r w:rsidRPr="003D058E">
              <w:rPr>
                <w:b/>
                <w:bCs/>
                <w:color w:val="000000"/>
                <w:sz w:val="20"/>
              </w:rPr>
              <w:t>2032</w:t>
            </w:r>
          </w:p>
        </w:tc>
        <w:tc>
          <w:tcPr>
            <w:tcW w:w="512" w:type="pct"/>
            <w:noWrap/>
            <w:hideMark/>
          </w:tcPr>
          <w:p w:rsidRPr="003D058E" w:rsidR="003D058E" w:rsidP="00E0210F" w:rsidRDefault="003D058E" w14:paraId="5FF66DA6" w14:textId="77777777">
            <w:pPr>
              <w:jc w:val="right"/>
              <w:rPr>
                <w:b/>
                <w:bCs/>
                <w:color w:val="000000"/>
                <w:sz w:val="20"/>
              </w:rPr>
            </w:pPr>
            <w:r w:rsidRPr="003D058E">
              <w:rPr>
                <w:b/>
                <w:bCs/>
                <w:color w:val="000000"/>
                <w:sz w:val="20"/>
              </w:rPr>
              <w:t>2033</w:t>
            </w:r>
          </w:p>
        </w:tc>
        <w:tc>
          <w:tcPr>
            <w:tcW w:w="578" w:type="pct"/>
            <w:noWrap/>
            <w:hideMark/>
          </w:tcPr>
          <w:p w:rsidRPr="003D058E" w:rsidR="003D058E" w:rsidP="00E0210F" w:rsidRDefault="003D058E" w14:paraId="0BD952FF" w14:textId="77777777">
            <w:pPr>
              <w:jc w:val="right"/>
              <w:rPr>
                <w:b/>
                <w:bCs/>
                <w:color w:val="000000"/>
                <w:sz w:val="20"/>
              </w:rPr>
            </w:pPr>
            <w:r w:rsidRPr="003D058E">
              <w:rPr>
                <w:b/>
                <w:bCs/>
                <w:color w:val="000000"/>
                <w:sz w:val="20"/>
              </w:rPr>
              <w:t>2034</w:t>
            </w:r>
          </w:p>
        </w:tc>
        <w:tc>
          <w:tcPr>
            <w:tcW w:w="545" w:type="pct"/>
            <w:noWrap/>
            <w:hideMark/>
          </w:tcPr>
          <w:p w:rsidRPr="003D058E" w:rsidR="003D058E" w:rsidP="00E0210F" w:rsidRDefault="003D058E" w14:paraId="2B51C460" w14:textId="77777777">
            <w:pPr>
              <w:jc w:val="right"/>
              <w:rPr>
                <w:b/>
                <w:bCs/>
                <w:color w:val="000000"/>
                <w:sz w:val="20"/>
              </w:rPr>
            </w:pPr>
            <w:r w:rsidRPr="003D058E">
              <w:rPr>
                <w:b/>
                <w:bCs/>
                <w:color w:val="000000"/>
                <w:sz w:val="20"/>
              </w:rPr>
              <w:t>2035</w:t>
            </w:r>
          </w:p>
        </w:tc>
      </w:tr>
      <w:tr w:rsidRPr="003D058E" w:rsidR="003D058E" w:rsidTr="003D058E" w14:paraId="7B6D5275" w14:textId="77777777">
        <w:trPr>
          <w:trHeight w:val="254"/>
        </w:trPr>
        <w:tc>
          <w:tcPr>
            <w:tcW w:w="1763" w:type="pct"/>
            <w:noWrap/>
            <w:hideMark/>
          </w:tcPr>
          <w:p w:rsidRPr="003D058E" w:rsidR="003D058E" w:rsidP="00E0210F" w:rsidRDefault="003D058E" w14:paraId="174722EC" w14:textId="77777777">
            <w:pPr>
              <w:rPr>
                <w:b/>
                <w:bCs/>
                <w:color w:val="000000"/>
                <w:sz w:val="20"/>
              </w:rPr>
            </w:pPr>
            <w:r w:rsidRPr="003D058E">
              <w:rPr>
                <w:b/>
                <w:bCs/>
                <w:color w:val="000000"/>
                <w:sz w:val="20"/>
              </w:rPr>
              <w:lastRenderedPageBreak/>
              <w:t>Basispad</w:t>
            </w:r>
          </w:p>
        </w:tc>
        <w:tc>
          <w:tcPr>
            <w:tcW w:w="545" w:type="pct"/>
            <w:noWrap/>
            <w:hideMark/>
          </w:tcPr>
          <w:p w:rsidRPr="003D058E" w:rsidR="003D058E" w:rsidP="00E0210F" w:rsidRDefault="003D058E" w14:paraId="1F136452" w14:textId="77777777">
            <w:pPr>
              <w:jc w:val="right"/>
              <w:rPr>
                <w:color w:val="000000"/>
                <w:sz w:val="20"/>
              </w:rPr>
            </w:pPr>
            <w:r w:rsidRPr="003D058E">
              <w:rPr>
                <w:color w:val="000000"/>
                <w:sz w:val="20"/>
              </w:rPr>
              <w:t>520,39</w:t>
            </w:r>
          </w:p>
        </w:tc>
        <w:tc>
          <w:tcPr>
            <w:tcW w:w="545" w:type="pct"/>
            <w:noWrap/>
            <w:hideMark/>
          </w:tcPr>
          <w:p w:rsidRPr="003D058E" w:rsidR="003D058E" w:rsidP="00E0210F" w:rsidRDefault="003D058E" w14:paraId="45FC5430" w14:textId="77777777">
            <w:pPr>
              <w:jc w:val="right"/>
              <w:rPr>
                <w:color w:val="000000"/>
                <w:sz w:val="20"/>
              </w:rPr>
            </w:pPr>
            <w:r w:rsidRPr="003D058E">
              <w:rPr>
                <w:color w:val="000000"/>
                <w:sz w:val="20"/>
              </w:rPr>
              <w:t>520,39</w:t>
            </w:r>
          </w:p>
        </w:tc>
        <w:tc>
          <w:tcPr>
            <w:tcW w:w="512" w:type="pct"/>
            <w:noWrap/>
            <w:hideMark/>
          </w:tcPr>
          <w:p w:rsidRPr="003D058E" w:rsidR="003D058E" w:rsidP="00E0210F" w:rsidRDefault="003D058E" w14:paraId="7C368A54" w14:textId="77777777">
            <w:pPr>
              <w:jc w:val="right"/>
              <w:rPr>
                <w:color w:val="000000"/>
                <w:sz w:val="20"/>
              </w:rPr>
            </w:pPr>
            <w:r w:rsidRPr="003D058E">
              <w:rPr>
                <w:color w:val="000000"/>
                <w:sz w:val="20"/>
              </w:rPr>
              <w:t>520,39</w:t>
            </w:r>
          </w:p>
        </w:tc>
        <w:tc>
          <w:tcPr>
            <w:tcW w:w="512" w:type="pct"/>
            <w:noWrap/>
            <w:hideMark/>
          </w:tcPr>
          <w:p w:rsidRPr="003D058E" w:rsidR="003D058E" w:rsidP="00E0210F" w:rsidRDefault="003D058E" w14:paraId="5365B100" w14:textId="77777777">
            <w:pPr>
              <w:jc w:val="right"/>
              <w:rPr>
                <w:color w:val="000000"/>
                <w:sz w:val="20"/>
              </w:rPr>
            </w:pPr>
            <w:r w:rsidRPr="003D058E">
              <w:rPr>
                <w:color w:val="000000"/>
                <w:sz w:val="20"/>
              </w:rPr>
              <w:t>520,39</w:t>
            </w:r>
          </w:p>
        </w:tc>
        <w:tc>
          <w:tcPr>
            <w:tcW w:w="578" w:type="pct"/>
            <w:noWrap/>
            <w:hideMark/>
          </w:tcPr>
          <w:p w:rsidRPr="003D058E" w:rsidR="003D058E" w:rsidP="00E0210F" w:rsidRDefault="003D058E" w14:paraId="7F4429D5" w14:textId="77777777">
            <w:pPr>
              <w:jc w:val="right"/>
              <w:rPr>
                <w:color w:val="000000"/>
                <w:sz w:val="20"/>
              </w:rPr>
            </w:pPr>
            <w:r w:rsidRPr="003D058E">
              <w:rPr>
                <w:color w:val="000000"/>
                <w:sz w:val="20"/>
              </w:rPr>
              <w:t>520,39</w:t>
            </w:r>
          </w:p>
        </w:tc>
        <w:tc>
          <w:tcPr>
            <w:tcW w:w="545" w:type="pct"/>
            <w:noWrap/>
            <w:hideMark/>
          </w:tcPr>
          <w:p w:rsidRPr="003D058E" w:rsidR="003D058E" w:rsidP="00E0210F" w:rsidRDefault="003D058E" w14:paraId="7505D29A" w14:textId="77777777">
            <w:pPr>
              <w:jc w:val="right"/>
              <w:rPr>
                <w:color w:val="000000"/>
                <w:sz w:val="20"/>
              </w:rPr>
            </w:pPr>
            <w:r w:rsidRPr="003D058E">
              <w:rPr>
                <w:color w:val="000000"/>
                <w:sz w:val="20"/>
              </w:rPr>
              <w:t>520,39</w:t>
            </w:r>
          </w:p>
        </w:tc>
      </w:tr>
      <w:tr w:rsidRPr="003D058E" w:rsidR="003D058E" w:rsidTr="003D058E" w14:paraId="141D2575" w14:textId="77777777">
        <w:trPr>
          <w:trHeight w:val="254"/>
        </w:trPr>
        <w:tc>
          <w:tcPr>
            <w:tcW w:w="1763" w:type="pct"/>
            <w:noWrap/>
            <w:hideMark/>
          </w:tcPr>
          <w:p w:rsidRPr="003D058E" w:rsidR="003D058E" w:rsidP="00E0210F" w:rsidRDefault="003D058E" w14:paraId="2C013DBA" w14:textId="77777777">
            <w:pPr>
              <w:rPr>
                <w:b/>
                <w:bCs/>
                <w:color w:val="000000"/>
                <w:sz w:val="20"/>
              </w:rPr>
            </w:pPr>
            <w:r w:rsidRPr="003D058E">
              <w:rPr>
                <w:b/>
                <w:bCs/>
                <w:color w:val="000000"/>
                <w:sz w:val="20"/>
              </w:rPr>
              <w:t>Mutaties Belastingplan 2025</w:t>
            </w:r>
          </w:p>
          <w:p w:rsidRPr="003D058E" w:rsidR="003D058E" w:rsidP="00E0210F" w:rsidRDefault="003D058E" w14:paraId="46A9DFB6" w14:textId="77777777">
            <w:pPr>
              <w:rPr>
                <w:b/>
                <w:bCs/>
                <w:color w:val="000000"/>
                <w:sz w:val="20"/>
              </w:rPr>
            </w:pPr>
            <w:r w:rsidRPr="003D058E">
              <w:rPr>
                <w:b/>
                <w:bCs/>
                <w:color w:val="000000"/>
                <w:sz w:val="20"/>
              </w:rPr>
              <w:t>(cumulatief)</w:t>
            </w:r>
          </w:p>
        </w:tc>
        <w:tc>
          <w:tcPr>
            <w:tcW w:w="545" w:type="pct"/>
            <w:noWrap/>
            <w:hideMark/>
          </w:tcPr>
          <w:p w:rsidRPr="003D058E" w:rsidR="003D058E" w:rsidP="00E0210F" w:rsidRDefault="003D058E" w14:paraId="7DF82C78" w14:textId="77777777">
            <w:pPr>
              <w:jc w:val="right"/>
              <w:rPr>
                <w:color w:val="000000"/>
                <w:sz w:val="20"/>
              </w:rPr>
            </w:pPr>
            <w:r w:rsidRPr="003D058E">
              <w:rPr>
                <w:color w:val="000000"/>
                <w:sz w:val="20"/>
              </w:rPr>
              <w:t>0,78</w:t>
            </w:r>
          </w:p>
        </w:tc>
        <w:tc>
          <w:tcPr>
            <w:tcW w:w="545" w:type="pct"/>
            <w:noWrap/>
            <w:hideMark/>
          </w:tcPr>
          <w:p w:rsidRPr="003D058E" w:rsidR="003D058E" w:rsidP="00E0210F" w:rsidRDefault="003D058E" w14:paraId="34CEF241" w14:textId="77777777">
            <w:pPr>
              <w:jc w:val="right"/>
              <w:rPr>
                <w:color w:val="000000"/>
                <w:sz w:val="20"/>
              </w:rPr>
            </w:pPr>
            <w:r w:rsidRPr="003D058E">
              <w:rPr>
                <w:color w:val="000000"/>
                <w:sz w:val="20"/>
              </w:rPr>
              <w:t>0,97</w:t>
            </w:r>
          </w:p>
        </w:tc>
        <w:tc>
          <w:tcPr>
            <w:tcW w:w="512" w:type="pct"/>
            <w:noWrap/>
            <w:hideMark/>
          </w:tcPr>
          <w:p w:rsidRPr="003D058E" w:rsidR="003D058E" w:rsidP="00E0210F" w:rsidRDefault="003D058E" w14:paraId="0230686E" w14:textId="77777777">
            <w:pPr>
              <w:jc w:val="right"/>
              <w:rPr>
                <w:color w:val="000000"/>
                <w:sz w:val="20"/>
              </w:rPr>
            </w:pPr>
            <w:r w:rsidRPr="003D058E">
              <w:rPr>
                <w:color w:val="000000"/>
                <w:sz w:val="20"/>
              </w:rPr>
              <w:t>1,17</w:t>
            </w:r>
          </w:p>
        </w:tc>
        <w:tc>
          <w:tcPr>
            <w:tcW w:w="512" w:type="pct"/>
            <w:noWrap/>
            <w:hideMark/>
          </w:tcPr>
          <w:p w:rsidRPr="003D058E" w:rsidR="003D058E" w:rsidP="00E0210F" w:rsidRDefault="003D058E" w14:paraId="1622FC03" w14:textId="77777777">
            <w:pPr>
              <w:jc w:val="right"/>
              <w:rPr>
                <w:color w:val="000000"/>
                <w:sz w:val="20"/>
              </w:rPr>
            </w:pPr>
            <w:r w:rsidRPr="003D058E">
              <w:rPr>
                <w:color w:val="000000"/>
                <w:sz w:val="20"/>
              </w:rPr>
              <w:t>1,39</w:t>
            </w:r>
          </w:p>
        </w:tc>
        <w:tc>
          <w:tcPr>
            <w:tcW w:w="578" w:type="pct"/>
            <w:noWrap/>
            <w:hideMark/>
          </w:tcPr>
          <w:p w:rsidRPr="003D058E" w:rsidR="003D058E" w:rsidP="00E0210F" w:rsidRDefault="003D058E" w14:paraId="572AAD79" w14:textId="77777777">
            <w:pPr>
              <w:jc w:val="right"/>
              <w:rPr>
                <w:color w:val="000000"/>
                <w:sz w:val="20"/>
              </w:rPr>
            </w:pPr>
            <w:r w:rsidRPr="003D058E">
              <w:rPr>
                <w:color w:val="000000"/>
                <w:sz w:val="20"/>
              </w:rPr>
              <w:t>1,45</w:t>
            </w:r>
          </w:p>
        </w:tc>
        <w:tc>
          <w:tcPr>
            <w:tcW w:w="545" w:type="pct"/>
            <w:noWrap/>
            <w:hideMark/>
          </w:tcPr>
          <w:p w:rsidRPr="003D058E" w:rsidR="003D058E" w:rsidP="00E0210F" w:rsidRDefault="003D058E" w14:paraId="1B4DD626" w14:textId="77777777">
            <w:pPr>
              <w:jc w:val="right"/>
              <w:rPr>
                <w:color w:val="000000"/>
                <w:sz w:val="20"/>
              </w:rPr>
            </w:pPr>
            <w:r w:rsidRPr="003D058E">
              <w:rPr>
                <w:color w:val="000000"/>
                <w:sz w:val="20"/>
              </w:rPr>
              <w:t>1,45</w:t>
            </w:r>
          </w:p>
        </w:tc>
      </w:tr>
      <w:tr w:rsidRPr="003D058E" w:rsidR="003D058E" w:rsidTr="003D058E" w14:paraId="68B0BCEA" w14:textId="77777777">
        <w:trPr>
          <w:trHeight w:val="254"/>
        </w:trPr>
        <w:tc>
          <w:tcPr>
            <w:tcW w:w="1763" w:type="pct"/>
            <w:noWrap/>
            <w:hideMark/>
          </w:tcPr>
          <w:p w:rsidRPr="003D058E" w:rsidR="003D058E" w:rsidP="00E0210F" w:rsidRDefault="003D058E" w14:paraId="3D32AF14" w14:textId="77777777">
            <w:pPr>
              <w:rPr>
                <w:b/>
                <w:bCs/>
                <w:color w:val="000000"/>
                <w:sz w:val="20"/>
              </w:rPr>
            </w:pPr>
            <w:r w:rsidRPr="003D058E">
              <w:rPr>
                <w:b/>
                <w:bCs/>
                <w:color w:val="000000"/>
                <w:sz w:val="20"/>
              </w:rPr>
              <w:t>Na Belastingplan 2025</w:t>
            </w:r>
          </w:p>
        </w:tc>
        <w:tc>
          <w:tcPr>
            <w:tcW w:w="545" w:type="pct"/>
            <w:noWrap/>
            <w:hideMark/>
          </w:tcPr>
          <w:p w:rsidRPr="003D058E" w:rsidR="003D058E" w:rsidP="00E0210F" w:rsidRDefault="003D058E" w14:paraId="5C73673C" w14:textId="77777777">
            <w:pPr>
              <w:jc w:val="right"/>
              <w:rPr>
                <w:color w:val="000000"/>
                <w:sz w:val="20"/>
              </w:rPr>
            </w:pPr>
            <w:r w:rsidRPr="003D058E">
              <w:rPr>
                <w:color w:val="000000"/>
                <w:sz w:val="20"/>
              </w:rPr>
              <w:t>521,17</w:t>
            </w:r>
          </w:p>
        </w:tc>
        <w:tc>
          <w:tcPr>
            <w:tcW w:w="545" w:type="pct"/>
            <w:noWrap/>
            <w:hideMark/>
          </w:tcPr>
          <w:p w:rsidRPr="003D058E" w:rsidR="003D058E" w:rsidP="00E0210F" w:rsidRDefault="003D058E" w14:paraId="524C41E3" w14:textId="77777777">
            <w:pPr>
              <w:jc w:val="right"/>
              <w:rPr>
                <w:color w:val="000000"/>
                <w:sz w:val="20"/>
              </w:rPr>
            </w:pPr>
            <w:r w:rsidRPr="003D058E">
              <w:rPr>
                <w:color w:val="000000"/>
                <w:sz w:val="20"/>
              </w:rPr>
              <w:t>521,36</w:t>
            </w:r>
          </w:p>
        </w:tc>
        <w:tc>
          <w:tcPr>
            <w:tcW w:w="512" w:type="pct"/>
            <w:noWrap/>
            <w:hideMark/>
          </w:tcPr>
          <w:p w:rsidRPr="003D058E" w:rsidR="003D058E" w:rsidP="00E0210F" w:rsidRDefault="003D058E" w14:paraId="52887A2E" w14:textId="77777777">
            <w:pPr>
              <w:jc w:val="right"/>
              <w:rPr>
                <w:color w:val="000000"/>
                <w:sz w:val="20"/>
              </w:rPr>
            </w:pPr>
            <w:r w:rsidRPr="003D058E">
              <w:rPr>
                <w:color w:val="000000"/>
                <w:sz w:val="20"/>
              </w:rPr>
              <w:t>521,56</w:t>
            </w:r>
          </w:p>
        </w:tc>
        <w:tc>
          <w:tcPr>
            <w:tcW w:w="512" w:type="pct"/>
            <w:noWrap/>
            <w:hideMark/>
          </w:tcPr>
          <w:p w:rsidRPr="003D058E" w:rsidR="003D058E" w:rsidP="00E0210F" w:rsidRDefault="003D058E" w14:paraId="58C412F2" w14:textId="77777777">
            <w:pPr>
              <w:jc w:val="right"/>
              <w:rPr>
                <w:color w:val="000000"/>
                <w:sz w:val="20"/>
              </w:rPr>
            </w:pPr>
            <w:r w:rsidRPr="003D058E">
              <w:rPr>
                <w:color w:val="000000"/>
                <w:sz w:val="20"/>
              </w:rPr>
              <w:t>521,78</w:t>
            </w:r>
          </w:p>
        </w:tc>
        <w:tc>
          <w:tcPr>
            <w:tcW w:w="578" w:type="pct"/>
            <w:noWrap/>
            <w:hideMark/>
          </w:tcPr>
          <w:p w:rsidRPr="003D058E" w:rsidR="003D058E" w:rsidP="00E0210F" w:rsidRDefault="003D058E" w14:paraId="7517BEC1" w14:textId="77777777">
            <w:pPr>
              <w:jc w:val="right"/>
              <w:rPr>
                <w:color w:val="000000"/>
                <w:sz w:val="20"/>
              </w:rPr>
            </w:pPr>
            <w:r w:rsidRPr="003D058E">
              <w:rPr>
                <w:color w:val="000000"/>
                <w:sz w:val="20"/>
              </w:rPr>
              <w:t>521,84</w:t>
            </w:r>
          </w:p>
        </w:tc>
        <w:tc>
          <w:tcPr>
            <w:tcW w:w="545" w:type="pct"/>
            <w:noWrap/>
            <w:hideMark/>
          </w:tcPr>
          <w:p w:rsidRPr="003D058E" w:rsidR="003D058E" w:rsidP="00E0210F" w:rsidRDefault="003D058E" w14:paraId="2AFDE115" w14:textId="77777777">
            <w:pPr>
              <w:jc w:val="right"/>
              <w:rPr>
                <w:color w:val="000000"/>
                <w:sz w:val="20"/>
              </w:rPr>
            </w:pPr>
            <w:r w:rsidRPr="003D058E">
              <w:rPr>
                <w:color w:val="000000"/>
                <w:sz w:val="20"/>
              </w:rPr>
              <w:t>521,84</w:t>
            </w:r>
          </w:p>
        </w:tc>
      </w:tr>
      <w:tr w:rsidRPr="003D058E" w:rsidR="003D058E" w:rsidTr="003D058E" w14:paraId="45441D5D" w14:textId="77777777">
        <w:trPr>
          <w:trHeight w:val="254"/>
        </w:trPr>
        <w:tc>
          <w:tcPr>
            <w:tcW w:w="1763" w:type="pct"/>
            <w:noWrap/>
            <w:hideMark/>
          </w:tcPr>
          <w:p w:rsidRPr="003D058E" w:rsidR="003D058E" w:rsidP="00E0210F" w:rsidRDefault="003D058E" w14:paraId="5F4C587D" w14:textId="77777777">
            <w:pPr>
              <w:rPr>
                <w:b/>
                <w:bCs/>
                <w:color w:val="000000"/>
                <w:sz w:val="20"/>
              </w:rPr>
            </w:pPr>
            <w:r w:rsidRPr="003D058E">
              <w:rPr>
                <w:b/>
                <w:bCs/>
                <w:color w:val="000000"/>
                <w:sz w:val="20"/>
              </w:rPr>
              <w:t>Mutaties amendement</w:t>
            </w:r>
          </w:p>
          <w:p w:rsidRPr="003D058E" w:rsidR="003D058E" w:rsidP="00E0210F" w:rsidRDefault="003D058E" w14:paraId="0EEB9A71" w14:textId="77777777">
            <w:pPr>
              <w:rPr>
                <w:b/>
                <w:bCs/>
                <w:color w:val="000000"/>
                <w:sz w:val="20"/>
              </w:rPr>
            </w:pPr>
            <w:r w:rsidRPr="003D058E">
              <w:rPr>
                <w:b/>
                <w:bCs/>
                <w:color w:val="000000"/>
                <w:sz w:val="20"/>
              </w:rPr>
              <w:t>(cumulatief)</w:t>
            </w:r>
          </w:p>
        </w:tc>
        <w:tc>
          <w:tcPr>
            <w:tcW w:w="545" w:type="pct"/>
            <w:noWrap/>
            <w:hideMark/>
          </w:tcPr>
          <w:p w:rsidRPr="003D058E" w:rsidR="003D058E" w:rsidP="00E0210F" w:rsidRDefault="003D058E" w14:paraId="7F908B28" w14:textId="77777777">
            <w:pPr>
              <w:jc w:val="right"/>
              <w:rPr>
                <w:color w:val="000000"/>
                <w:sz w:val="20"/>
              </w:rPr>
            </w:pPr>
            <w:r w:rsidRPr="003D058E">
              <w:rPr>
                <w:color w:val="000000"/>
                <w:sz w:val="20"/>
              </w:rPr>
              <w:t xml:space="preserve">  40,18 </w:t>
            </w:r>
          </w:p>
        </w:tc>
        <w:tc>
          <w:tcPr>
            <w:tcW w:w="545" w:type="pct"/>
            <w:noWrap/>
            <w:hideMark/>
          </w:tcPr>
          <w:p w:rsidRPr="003D058E" w:rsidR="003D058E" w:rsidP="00E0210F" w:rsidRDefault="003D058E" w14:paraId="673780E1" w14:textId="77777777">
            <w:pPr>
              <w:jc w:val="right"/>
              <w:rPr>
                <w:color w:val="000000"/>
                <w:sz w:val="20"/>
              </w:rPr>
            </w:pPr>
            <w:r w:rsidRPr="003D058E">
              <w:rPr>
                <w:color w:val="000000"/>
                <w:sz w:val="20"/>
              </w:rPr>
              <w:t xml:space="preserve">   39,92 </w:t>
            </w:r>
          </w:p>
        </w:tc>
        <w:tc>
          <w:tcPr>
            <w:tcW w:w="512" w:type="pct"/>
            <w:noWrap/>
            <w:hideMark/>
          </w:tcPr>
          <w:p w:rsidRPr="003D058E" w:rsidR="003D058E" w:rsidP="00E0210F" w:rsidRDefault="003D058E" w14:paraId="5758219C" w14:textId="77777777">
            <w:pPr>
              <w:jc w:val="right"/>
              <w:rPr>
                <w:color w:val="000000"/>
                <w:sz w:val="20"/>
              </w:rPr>
            </w:pPr>
            <w:r w:rsidRPr="003D058E">
              <w:rPr>
                <w:color w:val="000000"/>
                <w:sz w:val="20"/>
              </w:rPr>
              <w:t xml:space="preserve">39,58 </w:t>
            </w:r>
          </w:p>
        </w:tc>
        <w:tc>
          <w:tcPr>
            <w:tcW w:w="512" w:type="pct"/>
            <w:noWrap/>
            <w:hideMark/>
          </w:tcPr>
          <w:p w:rsidRPr="003D058E" w:rsidR="003D058E" w:rsidP="00E0210F" w:rsidRDefault="003D058E" w14:paraId="6B0E50C2" w14:textId="77777777">
            <w:pPr>
              <w:jc w:val="right"/>
              <w:rPr>
                <w:color w:val="000000"/>
                <w:sz w:val="20"/>
              </w:rPr>
            </w:pPr>
            <w:r w:rsidRPr="003D058E">
              <w:rPr>
                <w:color w:val="000000"/>
                <w:sz w:val="20"/>
              </w:rPr>
              <w:t xml:space="preserve">  39,57 </w:t>
            </w:r>
          </w:p>
        </w:tc>
        <w:tc>
          <w:tcPr>
            <w:tcW w:w="578" w:type="pct"/>
            <w:noWrap/>
            <w:hideMark/>
          </w:tcPr>
          <w:p w:rsidRPr="003D058E" w:rsidR="003D058E" w:rsidP="00E0210F" w:rsidRDefault="003D058E" w14:paraId="1F3D22AE" w14:textId="77777777">
            <w:pPr>
              <w:jc w:val="right"/>
              <w:rPr>
                <w:color w:val="000000"/>
                <w:sz w:val="20"/>
              </w:rPr>
            </w:pPr>
            <w:r w:rsidRPr="003D058E">
              <w:rPr>
                <w:color w:val="000000"/>
                <w:sz w:val="20"/>
              </w:rPr>
              <w:t xml:space="preserve">    39,43 </w:t>
            </w:r>
          </w:p>
        </w:tc>
        <w:tc>
          <w:tcPr>
            <w:tcW w:w="545" w:type="pct"/>
            <w:noWrap/>
            <w:hideMark/>
          </w:tcPr>
          <w:p w:rsidRPr="003D058E" w:rsidR="003D058E" w:rsidP="00E0210F" w:rsidRDefault="003D058E" w14:paraId="07683EF6" w14:textId="77777777">
            <w:pPr>
              <w:jc w:val="right"/>
              <w:rPr>
                <w:color w:val="000000"/>
                <w:sz w:val="20"/>
              </w:rPr>
            </w:pPr>
            <w:r w:rsidRPr="003D058E">
              <w:rPr>
                <w:color w:val="000000"/>
                <w:sz w:val="20"/>
              </w:rPr>
              <w:t xml:space="preserve">   39,22 </w:t>
            </w:r>
          </w:p>
        </w:tc>
      </w:tr>
      <w:tr w:rsidRPr="003D058E" w:rsidR="003D058E" w:rsidTr="003D058E" w14:paraId="586BDAD3" w14:textId="77777777">
        <w:trPr>
          <w:trHeight w:val="254"/>
        </w:trPr>
        <w:tc>
          <w:tcPr>
            <w:tcW w:w="1763" w:type="pct"/>
            <w:noWrap/>
            <w:hideMark/>
          </w:tcPr>
          <w:p w:rsidRPr="003D058E" w:rsidR="003D058E" w:rsidP="00E0210F" w:rsidRDefault="003D058E" w14:paraId="612742E3" w14:textId="77777777">
            <w:pPr>
              <w:rPr>
                <w:b/>
                <w:bCs/>
                <w:color w:val="000000"/>
                <w:sz w:val="20"/>
              </w:rPr>
            </w:pPr>
            <w:r w:rsidRPr="003D058E">
              <w:rPr>
                <w:b/>
                <w:bCs/>
                <w:color w:val="000000"/>
                <w:sz w:val="20"/>
              </w:rPr>
              <w:t>Na amendement</w:t>
            </w:r>
          </w:p>
        </w:tc>
        <w:tc>
          <w:tcPr>
            <w:tcW w:w="545" w:type="pct"/>
            <w:noWrap/>
            <w:hideMark/>
          </w:tcPr>
          <w:p w:rsidRPr="003D058E" w:rsidR="003D058E" w:rsidP="00E0210F" w:rsidRDefault="003D058E" w14:paraId="3A3DF0F5" w14:textId="77777777">
            <w:pPr>
              <w:jc w:val="right"/>
              <w:rPr>
                <w:color w:val="000000"/>
                <w:sz w:val="20"/>
              </w:rPr>
            </w:pPr>
            <w:r w:rsidRPr="003D058E">
              <w:rPr>
                <w:color w:val="000000"/>
                <w:sz w:val="20"/>
              </w:rPr>
              <w:t xml:space="preserve"> 561,35</w:t>
            </w:r>
          </w:p>
        </w:tc>
        <w:tc>
          <w:tcPr>
            <w:tcW w:w="545" w:type="pct"/>
            <w:noWrap/>
            <w:hideMark/>
          </w:tcPr>
          <w:p w:rsidRPr="003D058E" w:rsidR="003D058E" w:rsidP="00E0210F" w:rsidRDefault="003D058E" w14:paraId="7551AF75" w14:textId="77777777">
            <w:pPr>
              <w:jc w:val="right"/>
              <w:rPr>
                <w:color w:val="000000"/>
                <w:sz w:val="20"/>
              </w:rPr>
            </w:pPr>
            <w:r w:rsidRPr="003D058E">
              <w:rPr>
                <w:color w:val="000000"/>
                <w:sz w:val="20"/>
              </w:rPr>
              <w:t xml:space="preserve"> 561,28 </w:t>
            </w:r>
          </w:p>
        </w:tc>
        <w:tc>
          <w:tcPr>
            <w:tcW w:w="512" w:type="pct"/>
            <w:noWrap/>
            <w:hideMark/>
          </w:tcPr>
          <w:p w:rsidRPr="003D058E" w:rsidR="003D058E" w:rsidP="00E0210F" w:rsidRDefault="003D058E" w14:paraId="59C50E25" w14:textId="77777777">
            <w:pPr>
              <w:jc w:val="right"/>
              <w:rPr>
                <w:color w:val="000000"/>
                <w:sz w:val="20"/>
              </w:rPr>
            </w:pPr>
            <w:r w:rsidRPr="003D058E">
              <w:rPr>
                <w:color w:val="000000"/>
                <w:sz w:val="20"/>
              </w:rPr>
              <w:t xml:space="preserve">561,14 </w:t>
            </w:r>
          </w:p>
        </w:tc>
        <w:tc>
          <w:tcPr>
            <w:tcW w:w="512" w:type="pct"/>
            <w:noWrap/>
            <w:hideMark/>
          </w:tcPr>
          <w:p w:rsidRPr="003D058E" w:rsidR="003D058E" w:rsidP="00E0210F" w:rsidRDefault="003D058E" w14:paraId="77BC77FB" w14:textId="77777777">
            <w:pPr>
              <w:jc w:val="right"/>
              <w:rPr>
                <w:color w:val="000000"/>
                <w:sz w:val="20"/>
              </w:rPr>
            </w:pPr>
            <w:r w:rsidRPr="003D058E">
              <w:rPr>
                <w:color w:val="000000"/>
                <w:sz w:val="20"/>
              </w:rPr>
              <w:t xml:space="preserve">561,35 </w:t>
            </w:r>
          </w:p>
        </w:tc>
        <w:tc>
          <w:tcPr>
            <w:tcW w:w="578" w:type="pct"/>
            <w:noWrap/>
            <w:hideMark/>
          </w:tcPr>
          <w:p w:rsidRPr="003D058E" w:rsidR="003D058E" w:rsidP="00E0210F" w:rsidRDefault="003D058E" w14:paraId="1453D085" w14:textId="77777777">
            <w:pPr>
              <w:jc w:val="right"/>
              <w:rPr>
                <w:color w:val="000000"/>
                <w:sz w:val="20"/>
              </w:rPr>
            </w:pPr>
            <w:r w:rsidRPr="003D058E">
              <w:rPr>
                <w:color w:val="000000"/>
                <w:sz w:val="20"/>
              </w:rPr>
              <w:t xml:space="preserve">  561,27 </w:t>
            </w:r>
          </w:p>
        </w:tc>
        <w:tc>
          <w:tcPr>
            <w:tcW w:w="545" w:type="pct"/>
            <w:noWrap/>
            <w:hideMark/>
          </w:tcPr>
          <w:p w:rsidRPr="003D058E" w:rsidR="003D058E" w:rsidP="00E0210F" w:rsidRDefault="003D058E" w14:paraId="6E734D5D" w14:textId="77777777">
            <w:pPr>
              <w:jc w:val="right"/>
              <w:rPr>
                <w:color w:val="000000"/>
                <w:sz w:val="20"/>
              </w:rPr>
            </w:pPr>
            <w:r w:rsidRPr="003D058E">
              <w:rPr>
                <w:color w:val="000000"/>
                <w:sz w:val="20"/>
              </w:rPr>
              <w:t xml:space="preserve"> 561,06 </w:t>
            </w:r>
          </w:p>
        </w:tc>
      </w:tr>
      <w:bookmarkEnd w:id="1"/>
    </w:tbl>
    <w:p w:rsidR="003D058E" w:rsidP="003D058E" w:rsidRDefault="003D058E" w14:paraId="3CB6BC2D" w14:textId="77777777"/>
    <w:p w:rsidRPr="00D17CBD" w:rsidR="003D058E" w:rsidP="003D058E" w:rsidRDefault="003D058E" w14:paraId="300B0E00" w14:textId="77777777">
      <w:pPr>
        <w:rPr>
          <w:b/>
          <w:bCs/>
        </w:rPr>
      </w:pPr>
      <w:r w:rsidRPr="00D17CBD">
        <w:rPr>
          <w:b/>
          <w:bCs/>
        </w:rPr>
        <w:fldChar w:fldCharType="begin"/>
      </w:r>
      <w:r w:rsidRPr="00D17CBD">
        <w:rPr>
          <w:b/>
          <w:bCs/>
        </w:rPr>
        <w:instrText xml:space="preserve"> =  \* MERGEFORMAT </w:instrText>
      </w:r>
      <w:r w:rsidRPr="00D17CBD">
        <w:rPr>
          <w:b/>
          <w:bCs/>
        </w:rPr>
        <w:fldChar w:fldCharType="separate"/>
      </w:r>
      <w:r w:rsidRPr="00D17CBD">
        <w:rPr>
          <w:b/>
          <w:bCs/>
        </w:rPr>
        <w:t>Toelichting</w:t>
      </w:r>
      <w:r w:rsidRPr="00D17CBD">
        <w:rPr>
          <w:b/>
          <w:bCs/>
        </w:rPr>
        <w:fldChar w:fldCharType="end"/>
      </w:r>
      <w:r>
        <w:rPr>
          <w:b/>
          <w:bCs/>
        </w:rPr>
        <w:t xml:space="preserve"> </w:t>
      </w:r>
      <w:r w:rsidRPr="00D17CBD">
        <w:rPr>
          <w:b/>
          <w:bCs/>
        </w:rPr>
        <w:t>- Onderdeelsgewijs</w:t>
      </w:r>
    </w:p>
    <w:p w:rsidR="003D058E" w:rsidP="003D058E" w:rsidRDefault="003D058E" w14:paraId="3324EFEA" w14:textId="77777777"/>
    <w:p w:rsidR="003D058E" w:rsidP="003D058E" w:rsidRDefault="003D058E" w14:paraId="2B14BCA6" w14:textId="77777777">
      <w:r>
        <w:rPr>
          <w:i/>
          <w:iCs/>
        </w:rPr>
        <w:t>Onderdelen I en III</w:t>
      </w:r>
    </w:p>
    <w:p w:rsidR="003D058E" w:rsidP="003D058E" w:rsidRDefault="003D058E" w14:paraId="55960192" w14:textId="77777777"/>
    <w:p w:rsidR="003D058E" w:rsidP="003D058E" w:rsidRDefault="003D058E" w14:paraId="76C73300" w14:textId="77777777">
      <w:r>
        <w:t>In de onderdelen I en III worden de wijzigingen van de energiebelastingentarieven van de eerste en tweede schijf aardgas in het wetsvoorstel geschrapt.</w:t>
      </w:r>
    </w:p>
    <w:p w:rsidR="003D058E" w:rsidP="003D058E" w:rsidRDefault="003D058E" w14:paraId="52FC7598" w14:textId="77777777"/>
    <w:p w:rsidR="003D058E" w:rsidP="003D058E" w:rsidRDefault="003D058E" w14:paraId="3A3825F4" w14:textId="77777777">
      <w:pPr>
        <w:rPr>
          <w:i/>
          <w:iCs/>
        </w:rPr>
      </w:pPr>
      <w:r>
        <w:rPr>
          <w:i/>
          <w:iCs/>
        </w:rPr>
        <w:t>Onderdelen II, IV, V, VI, VII, VIII, IX, X en XI</w:t>
      </w:r>
    </w:p>
    <w:p w:rsidR="003D058E" w:rsidP="003D058E" w:rsidRDefault="003D058E" w14:paraId="1714E466" w14:textId="77777777">
      <w:pPr>
        <w:rPr>
          <w:i/>
          <w:iCs/>
        </w:rPr>
      </w:pPr>
    </w:p>
    <w:p w:rsidR="003D058E" w:rsidP="003D058E" w:rsidRDefault="003D058E" w14:paraId="178ADFF8" w14:textId="77777777">
      <w:r>
        <w:t xml:space="preserve">In de onderdelen </w:t>
      </w:r>
      <w:r w:rsidRPr="005D6EC8">
        <w:t xml:space="preserve">II, IV, V, VI, </w:t>
      </w:r>
      <w:r>
        <w:t>VII</w:t>
      </w:r>
      <w:r w:rsidRPr="005D6EC8">
        <w:t xml:space="preserve">, </w:t>
      </w:r>
      <w:r>
        <w:t>VI</w:t>
      </w:r>
      <w:r w:rsidRPr="005D6EC8">
        <w:t xml:space="preserve">II, </w:t>
      </w:r>
      <w:r>
        <w:t>I</w:t>
      </w:r>
      <w:r w:rsidRPr="005D6EC8">
        <w:t>X, X en XI</w:t>
      </w:r>
      <w:r>
        <w:t xml:space="preserve"> worden de reeds in het wetsvoorstel opgenomen wijzigingen van de belastingvermindering in de periode 2025-2035 zo aangepast dat het voordeel van een tariefverlaging in de eerste en tweede schijf aardgas wordt vervangen door een verhoging van de belastingvermindering. </w:t>
      </w:r>
    </w:p>
    <w:p w:rsidR="003D058E" w:rsidP="003D058E" w:rsidRDefault="003D058E" w14:paraId="45BEE870" w14:textId="77777777"/>
    <w:p w:rsidR="003D058E" w:rsidP="003D058E" w:rsidRDefault="003D058E" w14:paraId="47E7E522" w14:textId="77777777">
      <w:pPr>
        <w:rPr>
          <w:i/>
          <w:iCs/>
        </w:rPr>
      </w:pPr>
      <w:r>
        <w:rPr>
          <w:i/>
          <w:iCs/>
        </w:rPr>
        <w:t>Onderdeel XII</w:t>
      </w:r>
    </w:p>
    <w:p w:rsidR="003D058E" w:rsidP="003D058E" w:rsidRDefault="003D058E" w14:paraId="264E1807" w14:textId="77777777">
      <w:pPr>
        <w:rPr>
          <w:i/>
          <w:iCs/>
        </w:rPr>
      </w:pPr>
    </w:p>
    <w:p w:rsidRPr="005D6EC8" w:rsidR="003D058E" w:rsidP="003D058E" w:rsidRDefault="003D058E" w14:paraId="1CFC93BF" w14:textId="77777777">
      <w:r>
        <w:t>Het amendement leidt ertoe dat de belastingvermindering ook in het jaar 2035 moet worden aangepast. Het wetsvoorstel bevat geen wijziging van de belastingvermindering in dat jaar. Daarom wordt met onderdeel XII een nieuw artikel XLA in het wetsvoorstel ingevoegd waarin de aanpassing in het jaar 2035 wordt geregeld.</w:t>
      </w:r>
    </w:p>
    <w:p w:rsidR="003D058E" w:rsidP="003D058E" w:rsidRDefault="003D058E" w14:paraId="032A8559" w14:textId="77777777"/>
    <w:p w:rsidR="003D058E" w:rsidP="003D058E" w:rsidRDefault="003D058E" w14:paraId="114A66B9" w14:textId="77777777">
      <w:r>
        <w:t>Vijlbrief</w:t>
      </w:r>
    </w:p>
    <w:p w:rsidRPr="00EA69AC" w:rsidR="003D058E" w:rsidP="00EA1CE4" w:rsidRDefault="003D058E" w14:paraId="0AF0E831" w14:textId="4F7B0581">
      <w:r>
        <w:t>Rooderkerk</w:t>
      </w:r>
    </w:p>
    <w:sectPr w:rsidRPr="00EA69AC" w:rsidR="003D058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EC595" w14:textId="77777777" w:rsidR="003D058E" w:rsidRDefault="003D058E">
      <w:pPr>
        <w:spacing w:line="20" w:lineRule="exact"/>
      </w:pPr>
    </w:p>
  </w:endnote>
  <w:endnote w:type="continuationSeparator" w:id="0">
    <w:p w14:paraId="61EEF54B" w14:textId="77777777" w:rsidR="003D058E" w:rsidRDefault="003D058E">
      <w:pPr>
        <w:pStyle w:val="Amendement"/>
      </w:pPr>
      <w:r>
        <w:rPr>
          <w:b w:val="0"/>
        </w:rPr>
        <w:t xml:space="preserve"> </w:t>
      </w:r>
    </w:p>
  </w:endnote>
  <w:endnote w:type="continuationNotice" w:id="1">
    <w:p w14:paraId="21F047B3" w14:textId="77777777" w:rsidR="003D058E" w:rsidRDefault="003D058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7BA5" w14:textId="77777777" w:rsidR="003D058E" w:rsidRDefault="003D058E">
      <w:pPr>
        <w:pStyle w:val="Amendement"/>
      </w:pPr>
      <w:r>
        <w:rPr>
          <w:b w:val="0"/>
        </w:rPr>
        <w:separator/>
      </w:r>
    </w:p>
  </w:footnote>
  <w:footnote w:type="continuationSeparator" w:id="0">
    <w:p w14:paraId="4BABDF66" w14:textId="77777777" w:rsidR="003D058E" w:rsidRDefault="003D0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58E"/>
    <w:rsid w:val="0007471A"/>
    <w:rsid w:val="000D17BF"/>
    <w:rsid w:val="00157CAF"/>
    <w:rsid w:val="001656EE"/>
    <w:rsid w:val="0016653D"/>
    <w:rsid w:val="001D56AF"/>
    <w:rsid w:val="001E0E21"/>
    <w:rsid w:val="00212E0A"/>
    <w:rsid w:val="002153B0"/>
    <w:rsid w:val="0021777F"/>
    <w:rsid w:val="00241DD0"/>
    <w:rsid w:val="002A0713"/>
    <w:rsid w:val="002D3EED"/>
    <w:rsid w:val="003C21AC"/>
    <w:rsid w:val="003C5218"/>
    <w:rsid w:val="003C7876"/>
    <w:rsid w:val="003D058E"/>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B6E8E"/>
    <w:rsid w:val="006D3E69"/>
    <w:rsid w:val="006E0971"/>
    <w:rsid w:val="007709F6"/>
    <w:rsid w:val="00783215"/>
    <w:rsid w:val="007965FC"/>
    <w:rsid w:val="00797A49"/>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409B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BA344"/>
  <w15:docId w15:val="{076FEB98-9C50-4D0D-AEC0-686E7A43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table" w:styleId="Tabelraster">
    <w:name w:val="Table Grid"/>
    <w:basedOn w:val="Standaardtabel"/>
    <w:uiPriority w:val="39"/>
    <w:rsid w:val="003D05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754</ap:Words>
  <ap:Characters>4370</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2024-11-12T14:14:00.0000000Z</dcterms:created>
  <dcterms:modified xsi:type="dcterms:W3CDTF">2024-11-12T14:14:00.0000000Z</dcterms:modified>
  <dc:description>------------------------</dc:description>
  <dc:subject/>
  <keywords/>
  <version/>
  <category/>
</coreProperties>
</file>