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0C29" w:rsidR="00B236A0" w:rsidP="006B0C29" w:rsidRDefault="0058473F" w14:paraId="78FDE817" w14:textId="268623E3">
      <w:pPr>
        <w:spacing w:line="240" w:lineRule="auto"/>
        <w:rPr>
          <w:rFonts w:ascii="Verdana" w:hAnsi="Verdana"/>
          <w:b/>
          <w:bCs/>
          <w:sz w:val="18"/>
          <w:szCs w:val="18"/>
        </w:rPr>
      </w:pPr>
      <w:bookmarkStart w:name="_GoBack" w:id="0"/>
      <w:bookmarkEnd w:id="0"/>
      <w:r>
        <w:rPr>
          <w:rFonts w:ascii="Verdana" w:hAnsi="Verdana"/>
          <w:i/>
          <w:iCs/>
          <w:sz w:val="18"/>
          <w:szCs w:val="18"/>
        </w:rPr>
        <w:t xml:space="preserve">Belangrijkste </w:t>
      </w:r>
      <w:r w:rsidR="00F70F31">
        <w:rPr>
          <w:rFonts w:ascii="Verdana" w:hAnsi="Verdana"/>
          <w:i/>
          <w:iCs/>
          <w:sz w:val="18"/>
          <w:szCs w:val="18"/>
        </w:rPr>
        <w:t>KRW-</w:t>
      </w:r>
      <w:r>
        <w:rPr>
          <w:rFonts w:ascii="Verdana" w:hAnsi="Verdana"/>
          <w:i/>
          <w:iCs/>
          <w:sz w:val="18"/>
          <w:szCs w:val="18"/>
        </w:rPr>
        <w:t>adviezen en opvolging</w:t>
      </w:r>
    </w:p>
    <w:p w:rsidRPr="00804B64" w:rsidR="00804B64" w:rsidP="00804B64" w:rsidRDefault="0058473F" w14:paraId="06D285B7" w14:textId="77777777">
      <w:pPr>
        <w:tabs>
          <w:tab w:val="left" w:pos="1120"/>
        </w:tabs>
        <w:spacing w:line="240" w:lineRule="auto"/>
        <w:rPr>
          <w:rFonts w:ascii="Verdana" w:hAnsi="Verdana"/>
          <w:sz w:val="18"/>
          <w:szCs w:val="18"/>
        </w:rPr>
      </w:pPr>
      <w:r w:rsidRPr="00804B64">
        <w:rPr>
          <w:rFonts w:ascii="Verdana" w:hAnsi="Verdana"/>
          <w:b/>
          <w:bCs/>
          <w:sz w:val="18"/>
          <w:szCs w:val="18"/>
        </w:rPr>
        <w:t>Maatschappelijk manifest voor schoon en voldoende water voor mens en natuur van de Maatschappelijke Watercoalitie van juli 2024.</w:t>
      </w:r>
    </w:p>
    <w:p w:rsidRPr="00804B64" w:rsidR="0058473F" w:rsidP="00804B64" w:rsidRDefault="0058473F" w14:paraId="60E03847" w14:textId="2373CBE9">
      <w:pPr>
        <w:tabs>
          <w:tab w:val="left" w:pos="1120"/>
        </w:tabs>
        <w:spacing w:line="240" w:lineRule="auto"/>
        <w:rPr>
          <w:rFonts w:ascii="Verdana" w:hAnsi="Verdana"/>
          <w:sz w:val="18"/>
          <w:szCs w:val="18"/>
        </w:rPr>
      </w:pPr>
      <w:r w:rsidRPr="00804B64">
        <w:rPr>
          <w:rFonts w:ascii="Verdana" w:hAnsi="Verdana"/>
          <w:sz w:val="18"/>
          <w:szCs w:val="18"/>
        </w:rPr>
        <w:t>Zie de antwoorden op Kamervragen van september 2024</w:t>
      </w:r>
      <w:r w:rsidRPr="00804B64" w:rsidR="00394B4A">
        <w:rPr>
          <w:rFonts w:ascii="Verdana" w:hAnsi="Verdana"/>
          <w:sz w:val="18"/>
          <w:szCs w:val="18"/>
        </w:rPr>
        <w:t>.</w:t>
      </w:r>
      <w:r w:rsidR="006000F7">
        <w:rPr>
          <w:rStyle w:val="FootnoteReference"/>
          <w:rFonts w:ascii="Verdana" w:hAnsi="Verdana"/>
          <w:sz w:val="18"/>
          <w:szCs w:val="18"/>
        </w:rPr>
        <w:footnoteReference w:id="1"/>
      </w:r>
      <w:r w:rsidRPr="00804B64">
        <w:rPr>
          <w:rFonts w:ascii="Verdana" w:hAnsi="Verdana"/>
          <w:sz w:val="18"/>
          <w:szCs w:val="18"/>
        </w:rPr>
        <w:br/>
        <w:t>De 10 adviezen sluiten aan bij de KRW-koers van het kabinet en de inzet met het impulsprogramma KRW van het kabinet samen met de andere overheden. De coalitie wil snelle maatregelen, wat in de praktijk niet altijd in dat tempo mogelijk is, denk aan de extra inzet op het actualiseren van en KRW-proof maken van vergunningen waar sprake is van tekort aan deskundigen. Voor landbouw is er uiteraard afhankelijkheid van de nadere uitwerking van het beleid voor meststoffen en gewasbeschermingsmiddelen.</w:t>
      </w:r>
    </w:p>
    <w:p w:rsidR="00804B64" w:rsidP="00804B64" w:rsidRDefault="0058473F" w14:paraId="697046F8" w14:textId="51EFEA6B">
      <w:pPr>
        <w:tabs>
          <w:tab w:val="left" w:pos="1120"/>
        </w:tabs>
        <w:spacing w:after="0" w:line="240" w:lineRule="auto"/>
        <w:rPr>
          <w:rFonts w:ascii="Verdana" w:hAnsi="Verdana"/>
          <w:b/>
          <w:bCs/>
          <w:sz w:val="18"/>
          <w:szCs w:val="18"/>
        </w:rPr>
      </w:pPr>
      <w:r w:rsidRPr="00804B64">
        <w:rPr>
          <w:rFonts w:ascii="Verdana" w:hAnsi="Verdana"/>
          <w:b/>
          <w:bCs/>
          <w:sz w:val="18"/>
          <w:szCs w:val="18"/>
        </w:rPr>
        <w:t>KRW-advies van de Raad voor de Leefomgeving en Infrastructuur ‘Goed water, goed</w:t>
      </w:r>
      <w:r w:rsidRPr="00804B64" w:rsidR="00804B64">
        <w:rPr>
          <w:rFonts w:ascii="Verdana" w:hAnsi="Verdana"/>
          <w:b/>
          <w:bCs/>
          <w:sz w:val="18"/>
          <w:szCs w:val="18"/>
        </w:rPr>
        <w:t xml:space="preserve"> </w:t>
      </w:r>
      <w:r w:rsidRPr="00804B64">
        <w:rPr>
          <w:rFonts w:ascii="Verdana" w:hAnsi="Verdana"/>
          <w:b/>
          <w:bCs/>
          <w:sz w:val="18"/>
          <w:szCs w:val="18"/>
        </w:rPr>
        <w:t>geregeld’ van mei 2023.</w:t>
      </w:r>
    </w:p>
    <w:p w:rsidR="0058473F" w:rsidP="00804B64" w:rsidRDefault="0058473F" w14:paraId="14DBE8D1" w14:textId="04EBE9AD">
      <w:pPr>
        <w:tabs>
          <w:tab w:val="left" w:pos="1120"/>
        </w:tabs>
        <w:spacing w:after="0" w:line="240" w:lineRule="auto"/>
        <w:rPr>
          <w:rFonts w:ascii="Verdana" w:hAnsi="Verdana"/>
          <w:sz w:val="18"/>
          <w:szCs w:val="18"/>
        </w:rPr>
      </w:pPr>
      <w:r w:rsidRPr="00804B64">
        <w:rPr>
          <w:rFonts w:ascii="Verdana" w:hAnsi="Verdana"/>
          <w:sz w:val="18"/>
          <w:szCs w:val="18"/>
        </w:rPr>
        <w:br/>
        <w:t>Zie de kabinetsreactie van juni 2023.</w:t>
      </w:r>
      <w:r w:rsidR="00394B4A">
        <w:rPr>
          <w:rStyle w:val="FootnoteReference"/>
          <w:rFonts w:ascii="Verdana" w:hAnsi="Verdana"/>
          <w:sz w:val="18"/>
          <w:szCs w:val="18"/>
        </w:rPr>
        <w:footnoteReference w:id="2"/>
      </w:r>
      <w:r w:rsidRPr="00804B64">
        <w:rPr>
          <w:rFonts w:ascii="Verdana" w:hAnsi="Verdana"/>
          <w:sz w:val="18"/>
          <w:szCs w:val="18"/>
        </w:rPr>
        <w:br/>
        <w:t>De adviezen sluiten aan bij de koers van het kabinet en het impulsprogramma KRW. De aanbevelingen zijn</w:t>
      </w:r>
      <w:r w:rsidRPr="00804B64" w:rsidR="00571131">
        <w:rPr>
          <w:rFonts w:ascii="Verdana" w:hAnsi="Verdana"/>
          <w:sz w:val="18"/>
          <w:szCs w:val="18"/>
        </w:rPr>
        <w:t>,</w:t>
      </w:r>
      <w:r w:rsidRPr="00804B64">
        <w:rPr>
          <w:rFonts w:ascii="Verdana" w:hAnsi="Verdana"/>
          <w:sz w:val="18"/>
          <w:szCs w:val="18"/>
        </w:rPr>
        <w:t xml:space="preserve"> </w:t>
      </w:r>
      <w:r w:rsidRPr="00804B64" w:rsidR="00571131">
        <w:rPr>
          <w:rFonts w:ascii="Verdana" w:hAnsi="Verdana"/>
          <w:sz w:val="18"/>
          <w:szCs w:val="18"/>
        </w:rPr>
        <w:t xml:space="preserve">waar dat nog niet zo was, </w:t>
      </w:r>
      <w:r w:rsidRPr="00804B64">
        <w:rPr>
          <w:rFonts w:ascii="Verdana" w:hAnsi="Verdana"/>
          <w:sz w:val="18"/>
          <w:szCs w:val="18"/>
        </w:rPr>
        <w:t>grotendeels toegevoegd aan het impulsprogramma. De RLI stelt wel verdergaande wijzigingen in regelgeving voor dan wat het kabinet nodig acht.</w:t>
      </w:r>
    </w:p>
    <w:p w:rsidRPr="00804B64" w:rsidR="00804B64" w:rsidP="00804B64" w:rsidRDefault="00804B64" w14:paraId="1725E97A" w14:textId="77777777">
      <w:pPr>
        <w:tabs>
          <w:tab w:val="left" w:pos="1120"/>
        </w:tabs>
        <w:spacing w:after="0" w:line="240" w:lineRule="auto"/>
        <w:rPr>
          <w:rFonts w:ascii="Verdana" w:hAnsi="Verdana"/>
          <w:sz w:val="18"/>
          <w:szCs w:val="18"/>
        </w:rPr>
      </w:pPr>
    </w:p>
    <w:p w:rsidR="00804B64" w:rsidP="00804B64" w:rsidRDefault="0058473F" w14:paraId="2E38BE79" w14:textId="49FC8429">
      <w:pPr>
        <w:tabs>
          <w:tab w:val="left" w:pos="1120"/>
        </w:tabs>
        <w:spacing w:line="240" w:lineRule="auto"/>
        <w:rPr>
          <w:rFonts w:ascii="Verdana" w:hAnsi="Verdana"/>
          <w:sz w:val="18"/>
          <w:szCs w:val="18"/>
        </w:rPr>
      </w:pPr>
      <w:r w:rsidRPr="00804B64">
        <w:rPr>
          <w:rFonts w:ascii="Verdana" w:hAnsi="Verdana"/>
          <w:b/>
          <w:bCs/>
          <w:sz w:val="18"/>
          <w:szCs w:val="18"/>
        </w:rPr>
        <w:t>Rapport van Bouwend Nederland over de risico’s van de KRW voor de bouw- en infrasector van april 2023.</w:t>
      </w:r>
    </w:p>
    <w:p w:rsidRPr="00804B64" w:rsidR="0058473F" w:rsidP="00804B64" w:rsidRDefault="0058473F" w14:paraId="537F586A" w14:textId="4B17D93A">
      <w:pPr>
        <w:tabs>
          <w:tab w:val="left" w:pos="1120"/>
        </w:tabs>
        <w:spacing w:line="240" w:lineRule="auto"/>
        <w:rPr>
          <w:rFonts w:ascii="Verdana" w:hAnsi="Verdana"/>
          <w:sz w:val="18"/>
          <w:szCs w:val="18"/>
        </w:rPr>
      </w:pPr>
      <w:r w:rsidRPr="00804B64">
        <w:rPr>
          <w:rFonts w:ascii="Verdana" w:hAnsi="Verdana"/>
          <w:sz w:val="18"/>
          <w:szCs w:val="18"/>
        </w:rPr>
        <w:t>Zie de antwoorden op Kamervragen van mei 2023.</w:t>
      </w:r>
      <w:r w:rsidR="00394B4A">
        <w:rPr>
          <w:rStyle w:val="FootnoteReference"/>
          <w:rFonts w:ascii="Verdana" w:hAnsi="Verdana"/>
          <w:sz w:val="18"/>
          <w:szCs w:val="18"/>
        </w:rPr>
        <w:footnoteReference w:id="3"/>
      </w:r>
      <w:r w:rsidRPr="00804B64">
        <w:rPr>
          <w:rFonts w:ascii="Verdana" w:hAnsi="Verdana"/>
          <w:sz w:val="18"/>
          <w:szCs w:val="18"/>
        </w:rPr>
        <w:t xml:space="preserve"> De risico’s voor bouwprojecten worden herkend, de genoemde grootte van de omvang wordt niet gedeeld. Binnen het KRW impulsprogramma werkt extra inzet geleverd om de risico’s te verkleinen, door te werken volgens de eisen van de KRW, tijdig de maatregelen uit te voeren en informatie uit te wisselen als er zich rechtszaken voordoen.</w:t>
      </w:r>
    </w:p>
    <w:p w:rsidRPr="00804B64" w:rsidR="00240A77" w:rsidP="00804B64" w:rsidRDefault="00240A77" w14:paraId="2650AB5F" w14:textId="77777777">
      <w:pPr>
        <w:tabs>
          <w:tab w:val="left" w:pos="1120"/>
        </w:tabs>
        <w:spacing w:line="240" w:lineRule="auto"/>
        <w:rPr>
          <w:rFonts w:ascii="Verdana" w:hAnsi="Verdana"/>
          <w:b/>
          <w:bCs/>
          <w:sz w:val="18"/>
          <w:szCs w:val="18"/>
        </w:rPr>
      </w:pPr>
      <w:r w:rsidRPr="00804B64">
        <w:rPr>
          <w:rFonts w:ascii="Verdana" w:hAnsi="Verdana" w:cstheme="minorHAnsi"/>
          <w:b/>
          <w:bCs/>
          <w:sz w:val="18"/>
          <w:szCs w:val="18"/>
        </w:rPr>
        <w:t xml:space="preserve">Ex ante analyse Nationaal Programma Landelijk Gebied (NPLG) op basis van de provinciale gebiedsprogramma’s van 1 juli 2023. </w:t>
      </w:r>
    </w:p>
    <w:p w:rsidRPr="00804B64" w:rsidR="00240A77" w:rsidP="00804B64" w:rsidRDefault="00240A77" w14:paraId="1D238487" w14:textId="6C274E3F">
      <w:pPr>
        <w:spacing w:line="259" w:lineRule="auto"/>
        <w:rPr>
          <w:rFonts w:cstheme="minorHAnsi"/>
        </w:rPr>
      </w:pPr>
      <w:r w:rsidRPr="00804B64">
        <w:rPr>
          <w:rFonts w:ascii="Verdana" w:hAnsi="Verdana" w:cstheme="minorHAnsi"/>
          <w:sz w:val="18"/>
          <w:szCs w:val="18"/>
        </w:rPr>
        <w:t>Zie de kabinetsreactie in de Kamerbrief van 26 februari 2024</w:t>
      </w:r>
      <w:r w:rsidR="00804B64">
        <w:rPr>
          <w:rFonts w:ascii="Verdana" w:hAnsi="Verdana" w:cstheme="minorHAnsi"/>
          <w:sz w:val="18"/>
          <w:szCs w:val="18"/>
        </w:rPr>
        <w:t>, Kamerstukken 34 682, nr. 187</w:t>
      </w:r>
      <w:r w:rsidRPr="00804B64">
        <w:rPr>
          <w:rFonts w:ascii="Verdana" w:hAnsi="Verdana" w:cstheme="minorHAnsi"/>
          <w:sz w:val="18"/>
          <w:szCs w:val="18"/>
        </w:rPr>
        <w:t>. Hieruit blijkt dat d</w:t>
      </w:r>
      <w:r w:rsidRPr="00804B64">
        <w:rPr>
          <w:rFonts w:ascii="Verdana" w:hAnsi="Verdana"/>
          <w:sz w:val="18"/>
          <w:szCs w:val="18"/>
        </w:rPr>
        <w:t xml:space="preserve">e KRW-doelen voor nutriënten en gewasbeschermingsmiddelen in oppervlaktewater met het pakket aan rijksmaatregelen en de provinciale programma’s </w:t>
      </w:r>
      <w:r w:rsidRPr="00804B64" w:rsidR="00A574E7">
        <w:rPr>
          <w:rFonts w:ascii="Verdana" w:hAnsi="Verdana"/>
          <w:sz w:val="18"/>
          <w:szCs w:val="18"/>
        </w:rPr>
        <w:t xml:space="preserve">van 1 juli 2023 </w:t>
      </w:r>
      <w:r w:rsidRPr="00804B64">
        <w:rPr>
          <w:rFonts w:ascii="Verdana" w:hAnsi="Verdana"/>
          <w:sz w:val="18"/>
          <w:szCs w:val="18"/>
        </w:rPr>
        <w:t>nog niet in zicht zijn voor 2027, terwijl de nutriëntendoelen voor grondwater in veel provincies wel binnen bereik zouden komen</w:t>
      </w:r>
      <w:r w:rsidRPr="00804B64">
        <w:rPr>
          <w:rFonts w:ascii="Verdana" w:hAnsi="Verdana" w:cstheme="minorHAnsi"/>
          <w:sz w:val="18"/>
          <w:szCs w:val="18"/>
        </w:rPr>
        <w:t xml:space="preserve">. Het nieuwe kabinet </w:t>
      </w:r>
      <w:r w:rsidRPr="00804B64" w:rsidR="008D06C9">
        <w:rPr>
          <w:rFonts w:ascii="Verdana" w:hAnsi="Verdana" w:cstheme="minorHAnsi"/>
          <w:sz w:val="18"/>
          <w:szCs w:val="18"/>
        </w:rPr>
        <w:t xml:space="preserve">werkt als alternatief voor </w:t>
      </w:r>
      <w:r w:rsidRPr="00804B64">
        <w:rPr>
          <w:rFonts w:ascii="Verdana" w:hAnsi="Verdana" w:cstheme="minorHAnsi"/>
          <w:sz w:val="18"/>
          <w:szCs w:val="18"/>
        </w:rPr>
        <w:t xml:space="preserve">het NPLG aan een nieuwe </w:t>
      </w:r>
      <w:r w:rsidRPr="00804B64">
        <w:rPr>
          <w:rFonts w:ascii="Verdana" w:hAnsi="Verdana"/>
          <w:sz w:val="18"/>
          <w:szCs w:val="18"/>
        </w:rPr>
        <w:t>uitvoeringsgerichte en gebied</w:t>
      </w:r>
      <w:r w:rsidRPr="00804B64" w:rsidR="00327A3D">
        <w:rPr>
          <w:rFonts w:ascii="Verdana" w:hAnsi="Verdana"/>
          <w:sz w:val="18"/>
          <w:szCs w:val="18"/>
        </w:rPr>
        <w:t>s</w:t>
      </w:r>
      <w:r w:rsidRPr="00804B64">
        <w:rPr>
          <w:rFonts w:ascii="Verdana" w:hAnsi="Verdana"/>
          <w:sz w:val="18"/>
          <w:szCs w:val="18"/>
        </w:rPr>
        <w:t>specifieke aanpak voor het landelijk gebied.</w:t>
      </w:r>
      <w:r w:rsidRPr="00804B64">
        <w:rPr>
          <w:rFonts w:ascii="Verdana" w:hAnsi="Verdana" w:cstheme="minorHAnsi"/>
          <w:sz w:val="18"/>
          <w:szCs w:val="18"/>
        </w:rPr>
        <w:t xml:space="preserve">  De minister van LVVN zal de nieuwe aanpak </w:t>
      </w:r>
      <w:r w:rsidRPr="00804B64">
        <w:rPr>
          <w:rFonts w:ascii="Verdana" w:hAnsi="Verdana"/>
          <w:sz w:val="18"/>
          <w:szCs w:val="18"/>
        </w:rPr>
        <w:t>voor</w:t>
      </w:r>
      <w:r w:rsidRPr="00804B64" w:rsidR="008D06C9">
        <w:rPr>
          <w:rFonts w:ascii="Verdana" w:hAnsi="Verdana"/>
          <w:sz w:val="18"/>
          <w:szCs w:val="18"/>
        </w:rPr>
        <w:t>afgaande aan</w:t>
      </w:r>
      <w:r w:rsidRPr="00804B64">
        <w:rPr>
          <w:rFonts w:ascii="Verdana" w:hAnsi="Verdana"/>
          <w:sz w:val="18"/>
          <w:szCs w:val="18"/>
        </w:rPr>
        <w:t xml:space="preserve"> het Commissiedebat Stikstof, NPLG en Natuur van 4 december 2024 met de Kamer delen</w:t>
      </w:r>
      <w:r w:rsidRPr="00804B64">
        <w:rPr>
          <w:rFonts w:ascii="Verdana" w:hAnsi="Verdana" w:cstheme="minorHAnsi"/>
          <w:sz w:val="18"/>
          <w:szCs w:val="18"/>
        </w:rPr>
        <w:t>.</w:t>
      </w:r>
    </w:p>
    <w:p w:rsidR="00804B64" w:rsidP="00804B64" w:rsidRDefault="0058473F" w14:paraId="723ED533" w14:textId="00DF07FB">
      <w:pPr>
        <w:tabs>
          <w:tab w:val="left" w:pos="1120"/>
        </w:tabs>
        <w:spacing w:line="240" w:lineRule="auto"/>
        <w:rPr>
          <w:rFonts w:ascii="Verdana" w:hAnsi="Verdana"/>
          <w:sz w:val="18"/>
          <w:szCs w:val="18"/>
        </w:rPr>
      </w:pPr>
      <w:r w:rsidRPr="00804B64">
        <w:rPr>
          <w:rFonts w:ascii="Verdana" w:hAnsi="Verdana"/>
          <w:b/>
          <w:bCs/>
          <w:sz w:val="18"/>
          <w:szCs w:val="18"/>
        </w:rPr>
        <w:t>Ten behoeve van de totstandkoming van de ontwerp-stroomgebiedbeheerplannen is in 2020 de Nationale analyse waterkwaliteit uitgevoerd (Kamerstuk 27 625, nr. 502)</w:t>
      </w:r>
      <w:r w:rsidR="00804B64">
        <w:rPr>
          <w:rFonts w:ascii="Verdana" w:hAnsi="Verdana"/>
          <w:b/>
          <w:bCs/>
          <w:sz w:val="18"/>
          <w:szCs w:val="18"/>
        </w:rPr>
        <w:t>.</w:t>
      </w:r>
      <w:r w:rsidRPr="00804B64">
        <w:rPr>
          <w:rFonts w:ascii="Verdana" w:hAnsi="Verdana"/>
          <w:sz w:val="18"/>
          <w:szCs w:val="18"/>
        </w:rPr>
        <w:t xml:space="preserve"> </w:t>
      </w:r>
    </w:p>
    <w:p w:rsidRPr="00804B64" w:rsidR="00571131" w:rsidP="00804B64" w:rsidRDefault="0058473F" w14:paraId="5DAE28F7" w14:textId="67C7ACD8">
      <w:pPr>
        <w:tabs>
          <w:tab w:val="left" w:pos="1120"/>
        </w:tabs>
        <w:spacing w:line="240" w:lineRule="auto"/>
        <w:rPr>
          <w:rFonts w:ascii="Verdana" w:hAnsi="Verdana"/>
          <w:sz w:val="18"/>
          <w:szCs w:val="18"/>
        </w:rPr>
      </w:pPr>
      <w:r w:rsidRPr="00804B64">
        <w:rPr>
          <w:rFonts w:ascii="Verdana" w:hAnsi="Verdana"/>
          <w:sz w:val="18"/>
          <w:szCs w:val="18"/>
        </w:rPr>
        <w:t xml:space="preserve">Vervolgens is deze in 2021 geactualiseerd in een ex ante analyse, waarin de bestuurlijk vastgestelde ontwerpplannen van waterschappen, provincies en </w:t>
      </w:r>
      <w:r w:rsidRPr="00804B64" w:rsidR="00590C49">
        <w:rPr>
          <w:rFonts w:ascii="Verdana" w:hAnsi="Verdana"/>
          <w:sz w:val="18"/>
          <w:szCs w:val="18"/>
        </w:rPr>
        <w:t>R</w:t>
      </w:r>
      <w:r w:rsidRPr="00804B64">
        <w:rPr>
          <w:rFonts w:ascii="Verdana" w:hAnsi="Verdana"/>
          <w:sz w:val="18"/>
          <w:szCs w:val="18"/>
        </w:rPr>
        <w:t xml:space="preserve">ijk zijn doorgerekend op grond van geactualiseerde doelen (Kamerstuk 27 625, nr. 555). </w:t>
      </w:r>
      <w:r w:rsidRPr="00804B64">
        <w:rPr>
          <w:rFonts w:ascii="Verdana" w:hAnsi="Verdana"/>
          <w:sz w:val="18"/>
          <w:szCs w:val="18"/>
        </w:rPr>
        <w:br/>
        <w:t xml:space="preserve">De evaluatie heeft geleid tot aanscherping van de inzet ten aanzien van landbouw, rioolwaterzuiveringen en de buitenlandse belasting en vormde de basis voor de stroomgebiedbeheerplannen 2022-2027. </w:t>
      </w:r>
    </w:p>
    <w:p w:rsidR="00804B64" w:rsidP="00804B64" w:rsidRDefault="0058473F" w14:paraId="2B020465" w14:textId="77777777">
      <w:pPr>
        <w:tabs>
          <w:tab w:val="left" w:pos="1120"/>
        </w:tabs>
        <w:spacing w:line="240" w:lineRule="auto"/>
        <w:rPr>
          <w:rFonts w:ascii="Verdana" w:hAnsi="Verdana"/>
          <w:sz w:val="18"/>
          <w:szCs w:val="18"/>
        </w:rPr>
      </w:pPr>
      <w:r w:rsidRPr="00804B64">
        <w:rPr>
          <w:rFonts w:ascii="Verdana" w:hAnsi="Verdana"/>
          <w:b/>
          <w:bCs/>
          <w:sz w:val="18"/>
          <w:szCs w:val="18"/>
        </w:rPr>
        <w:t>In 2023 publiceerde de Algemene Rekenkamer ‘EU-recht in de praktijk’ (https://www.rekenkamer.nl/publicaties/rapporten/2023/06/15/eu-recht-in-de-praktijk).</w:t>
      </w:r>
      <w:r w:rsidRPr="00804B64">
        <w:rPr>
          <w:rFonts w:ascii="Verdana" w:hAnsi="Verdana"/>
          <w:sz w:val="18"/>
          <w:szCs w:val="18"/>
        </w:rPr>
        <w:t xml:space="preserve"> </w:t>
      </w:r>
    </w:p>
    <w:p w:rsidRPr="00804B64" w:rsidR="0058473F" w:rsidP="00804B64" w:rsidRDefault="0058473F" w14:paraId="70D9446A" w14:textId="07BE4FA4">
      <w:pPr>
        <w:tabs>
          <w:tab w:val="left" w:pos="1120"/>
        </w:tabs>
        <w:spacing w:line="240" w:lineRule="auto"/>
        <w:rPr>
          <w:rFonts w:ascii="Verdana" w:hAnsi="Verdana"/>
          <w:sz w:val="18"/>
          <w:szCs w:val="18"/>
        </w:rPr>
      </w:pPr>
      <w:r w:rsidRPr="00804B64">
        <w:rPr>
          <w:rFonts w:ascii="Verdana" w:hAnsi="Verdana"/>
          <w:sz w:val="18"/>
          <w:szCs w:val="18"/>
        </w:rPr>
        <w:lastRenderedPageBreak/>
        <w:t xml:space="preserve">Sindsdien is er toegenomen aandacht voor de mogelijkheid van Europese procedures en binnen het KRW impulsprogramma is er extra inzet op de verantwoording richting Brussel en het voorkomen van en voorbereiden op mogelijke rechtszaken. </w:t>
      </w:r>
    </w:p>
    <w:p w:rsidR="00804B64" w:rsidP="00804B64" w:rsidRDefault="0058473F" w14:paraId="4A88AB5C" w14:textId="77777777">
      <w:pPr>
        <w:tabs>
          <w:tab w:val="left" w:pos="1120"/>
        </w:tabs>
        <w:spacing w:line="240" w:lineRule="auto"/>
        <w:rPr>
          <w:rFonts w:ascii="Verdana" w:hAnsi="Verdana"/>
          <w:sz w:val="18"/>
          <w:szCs w:val="18"/>
        </w:rPr>
      </w:pPr>
      <w:r w:rsidRPr="00804B64">
        <w:rPr>
          <w:rFonts w:ascii="Verdana" w:hAnsi="Verdana"/>
          <w:b/>
          <w:bCs/>
          <w:sz w:val="18"/>
          <w:szCs w:val="18"/>
        </w:rPr>
        <w:t>In brede monitoringsrapportages van de planbureaus, zoals de NOVI monitor 2024</w:t>
      </w:r>
      <w:r w:rsidRPr="00804B64" w:rsidR="004821AF">
        <w:rPr>
          <w:rStyle w:val="FootnoteReference"/>
          <w:rFonts w:ascii="Verdana" w:hAnsi="Verdana"/>
          <w:b/>
          <w:bCs/>
          <w:sz w:val="18"/>
          <w:szCs w:val="18"/>
        </w:rPr>
        <w:footnoteReference w:id="4"/>
      </w:r>
      <w:r w:rsidRPr="00804B64" w:rsidR="00C45508">
        <w:rPr>
          <w:rFonts w:ascii="Verdana" w:hAnsi="Verdana"/>
          <w:b/>
          <w:bCs/>
          <w:sz w:val="18"/>
          <w:szCs w:val="18"/>
        </w:rPr>
        <w:t xml:space="preserve"> </w:t>
      </w:r>
      <w:r w:rsidRPr="00804B64">
        <w:rPr>
          <w:rFonts w:ascii="Verdana" w:hAnsi="Verdana"/>
          <w:b/>
          <w:bCs/>
          <w:sz w:val="18"/>
          <w:szCs w:val="18"/>
        </w:rPr>
        <w:t>staat ook de voortgang bij de waterkwaliteitsdoelen.</w:t>
      </w:r>
      <w:r w:rsidRPr="00804B64">
        <w:rPr>
          <w:rFonts w:ascii="Verdana" w:hAnsi="Verdana"/>
          <w:sz w:val="18"/>
          <w:szCs w:val="18"/>
        </w:rPr>
        <w:t xml:space="preserve"> </w:t>
      </w:r>
    </w:p>
    <w:p w:rsidRPr="00804B64" w:rsidR="0058473F" w:rsidP="00804B64" w:rsidRDefault="0058473F" w14:paraId="5A229C1B" w14:textId="36789213">
      <w:pPr>
        <w:tabs>
          <w:tab w:val="left" w:pos="1120"/>
        </w:tabs>
        <w:spacing w:line="240" w:lineRule="auto"/>
        <w:rPr>
          <w:rFonts w:ascii="Verdana" w:hAnsi="Verdana"/>
          <w:sz w:val="18"/>
          <w:szCs w:val="18"/>
        </w:rPr>
      </w:pPr>
      <w:r w:rsidRPr="00804B64">
        <w:rPr>
          <w:rFonts w:ascii="Verdana" w:hAnsi="Verdana"/>
          <w:sz w:val="18"/>
          <w:szCs w:val="18"/>
        </w:rPr>
        <w:t>Die geven op basis van de bekende KRW-informatie aan dat de doelen in 2027 niet gehaald gaan worden. Daarom zijn we begin 2023 ook met het impulsprogramma KRW aan de slag gegaan om alles-op-alles te zetten om aan de KRW te gaan voldoen.</w:t>
      </w:r>
    </w:p>
    <w:p w:rsidRPr="0058473F" w:rsidR="0058473F" w:rsidP="0058473F" w:rsidRDefault="0058473F" w14:paraId="3F0C95EB" w14:textId="77777777">
      <w:pPr>
        <w:tabs>
          <w:tab w:val="left" w:pos="1120"/>
        </w:tabs>
        <w:rPr>
          <w:rFonts w:ascii="Verdana" w:hAnsi="Verdana"/>
          <w:i/>
          <w:iCs/>
          <w:sz w:val="18"/>
          <w:szCs w:val="18"/>
        </w:rPr>
      </w:pPr>
    </w:p>
    <w:sectPr w:rsidRPr="0058473F" w:rsidR="0058473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32539" w14:textId="77777777" w:rsidR="002C38A7" w:rsidRDefault="002C38A7" w:rsidP="00362F3C">
      <w:pPr>
        <w:spacing w:after="0" w:line="240" w:lineRule="auto"/>
      </w:pPr>
      <w:r>
        <w:separator/>
      </w:r>
    </w:p>
  </w:endnote>
  <w:endnote w:type="continuationSeparator" w:id="0">
    <w:p w14:paraId="263AC2B0" w14:textId="77777777" w:rsidR="002C38A7" w:rsidRDefault="002C38A7" w:rsidP="0036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6FED0" w14:textId="77777777" w:rsidR="002C38A7" w:rsidRDefault="002C38A7" w:rsidP="00362F3C">
      <w:pPr>
        <w:spacing w:after="0" w:line="240" w:lineRule="auto"/>
      </w:pPr>
      <w:r>
        <w:separator/>
      </w:r>
    </w:p>
  </w:footnote>
  <w:footnote w:type="continuationSeparator" w:id="0">
    <w:p w14:paraId="644497D4" w14:textId="77777777" w:rsidR="002C38A7" w:rsidRDefault="002C38A7" w:rsidP="00362F3C">
      <w:pPr>
        <w:spacing w:after="0" w:line="240" w:lineRule="auto"/>
      </w:pPr>
      <w:r>
        <w:continuationSeparator/>
      </w:r>
    </w:p>
  </w:footnote>
  <w:footnote w:id="1">
    <w:p w14:paraId="015BEF73" w14:textId="2D4AE06C" w:rsidR="006000F7" w:rsidRPr="004821AF" w:rsidRDefault="006000F7">
      <w:pPr>
        <w:pStyle w:val="FootnoteText"/>
        <w:rPr>
          <w:rFonts w:ascii="Verdana" w:hAnsi="Verdana"/>
          <w:sz w:val="16"/>
          <w:szCs w:val="16"/>
        </w:rPr>
      </w:pPr>
      <w:r w:rsidRPr="004821AF">
        <w:rPr>
          <w:rStyle w:val="FootnoteReference"/>
          <w:rFonts w:ascii="Verdana" w:hAnsi="Verdana"/>
          <w:sz w:val="16"/>
          <w:szCs w:val="16"/>
        </w:rPr>
        <w:footnoteRef/>
      </w:r>
      <w:r w:rsidRPr="004821AF">
        <w:rPr>
          <w:rFonts w:ascii="Verdana" w:hAnsi="Verdana"/>
          <w:sz w:val="16"/>
          <w:szCs w:val="16"/>
        </w:rPr>
        <w:t xml:space="preserve"> Zie </w:t>
      </w:r>
      <w:hyperlink r:id="rId1" w:history="1">
        <w:r w:rsidR="00394B4A" w:rsidRPr="004821AF">
          <w:rPr>
            <w:rStyle w:val="Hyperlink"/>
            <w:rFonts w:ascii="Verdana" w:hAnsi="Verdana"/>
            <w:sz w:val="16"/>
            <w:szCs w:val="16"/>
          </w:rPr>
          <w:t>https://www.rijksoverheid.nl/documenten/kamerstukken/2024/09/23/beantwoording-kamervragen-maatschappelijk-manifest-voor-schoon-en-voldoende-water-voor-mens-en-natuur</w:t>
        </w:r>
      </w:hyperlink>
      <w:r w:rsidR="00394B4A" w:rsidRPr="004821AF">
        <w:rPr>
          <w:rFonts w:ascii="Verdana" w:hAnsi="Verdana"/>
          <w:sz w:val="16"/>
          <w:szCs w:val="16"/>
        </w:rPr>
        <w:t xml:space="preserve"> </w:t>
      </w:r>
    </w:p>
  </w:footnote>
  <w:footnote w:id="2">
    <w:p w14:paraId="55C21DA7" w14:textId="27AE12BE" w:rsidR="00394B4A" w:rsidRPr="004821AF" w:rsidRDefault="00394B4A">
      <w:pPr>
        <w:pStyle w:val="FootnoteText"/>
        <w:rPr>
          <w:rFonts w:ascii="Verdana" w:hAnsi="Verdana"/>
          <w:sz w:val="16"/>
          <w:szCs w:val="16"/>
        </w:rPr>
      </w:pPr>
      <w:r w:rsidRPr="004821AF">
        <w:rPr>
          <w:rStyle w:val="FootnoteReference"/>
          <w:rFonts w:ascii="Verdana" w:hAnsi="Verdana"/>
          <w:sz w:val="16"/>
          <w:szCs w:val="16"/>
        </w:rPr>
        <w:footnoteRef/>
      </w:r>
      <w:r w:rsidRPr="004821AF">
        <w:rPr>
          <w:rFonts w:ascii="Verdana" w:hAnsi="Verdana"/>
          <w:sz w:val="16"/>
          <w:szCs w:val="16"/>
        </w:rPr>
        <w:t xml:space="preserve"> </w:t>
      </w:r>
      <w:hyperlink r:id="rId2" w:history="1">
        <w:r w:rsidRPr="004821AF">
          <w:rPr>
            <w:rStyle w:val="Hyperlink"/>
            <w:rFonts w:ascii="Verdana" w:hAnsi="Verdana"/>
            <w:sz w:val="16"/>
            <w:szCs w:val="16"/>
          </w:rPr>
          <w:t>https://open.overheid.nl/documenten/ronl-0f18be7300eb763be185b705738074672fdee0a1/pdf</w:t>
        </w:r>
      </w:hyperlink>
      <w:r w:rsidRPr="004821AF">
        <w:rPr>
          <w:rFonts w:ascii="Verdana" w:hAnsi="Verdana"/>
          <w:sz w:val="16"/>
          <w:szCs w:val="16"/>
        </w:rPr>
        <w:t xml:space="preserve"> </w:t>
      </w:r>
    </w:p>
  </w:footnote>
  <w:footnote w:id="3">
    <w:p w14:paraId="76015B9A" w14:textId="4FFABB78" w:rsidR="00394B4A" w:rsidRPr="00394B4A" w:rsidRDefault="00394B4A">
      <w:pPr>
        <w:pStyle w:val="FootnoteText"/>
      </w:pPr>
      <w:r w:rsidRPr="004821AF">
        <w:rPr>
          <w:rStyle w:val="FootnoteReference"/>
          <w:rFonts w:ascii="Verdana" w:hAnsi="Verdana"/>
          <w:sz w:val="16"/>
          <w:szCs w:val="16"/>
        </w:rPr>
        <w:footnoteRef/>
      </w:r>
      <w:r w:rsidRPr="004821AF">
        <w:rPr>
          <w:rFonts w:ascii="Verdana" w:hAnsi="Verdana"/>
          <w:sz w:val="16"/>
          <w:szCs w:val="16"/>
        </w:rPr>
        <w:t xml:space="preserve"> </w:t>
      </w:r>
      <w:hyperlink r:id="rId3" w:history="1">
        <w:r w:rsidRPr="004821AF">
          <w:rPr>
            <w:rStyle w:val="Hyperlink"/>
            <w:rFonts w:ascii="Verdana" w:hAnsi="Verdana"/>
            <w:sz w:val="16"/>
            <w:szCs w:val="16"/>
          </w:rPr>
          <w:t>https://www.rijksoverheid.nl/documenten/kamerstukken/2023/05/30/beantwoording-kamervragen-over-de-kaderrichtlijn-water-krw-en-het-rapport-een-krw-risicoanalyse-voor-de-vergunningverlening-voor-de-bouw-en-infrasector</w:t>
        </w:r>
      </w:hyperlink>
      <w:r w:rsidRPr="004821AF">
        <w:rPr>
          <w:sz w:val="16"/>
          <w:szCs w:val="16"/>
        </w:rPr>
        <w:t xml:space="preserve"> </w:t>
      </w:r>
    </w:p>
  </w:footnote>
  <w:footnote w:id="4">
    <w:p w14:paraId="54A7DDC1" w14:textId="77777777" w:rsidR="004821AF" w:rsidRPr="004821AF" w:rsidRDefault="004821AF" w:rsidP="004821AF">
      <w:pPr>
        <w:pStyle w:val="FootnoteText"/>
        <w:rPr>
          <w:rFonts w:ascii="Verdana" w:hAnsi="Verdana"/>
          <w:sz w:val="16"/>
          <w:szCs w:val="16"/>
        </w:rPr>
      </w:pPr>
      <w:r w:rsidRPr="004821AF">
        <w:rPr>
          <w:rStyle w:val="FootnoteReference"/>
          <w:rFonts w:ascii="Verdana" w:hAnsi="Verdana"/>
          <w:sz w:val="16"/>
          <w:szCs w:val="16"/>
        </w:rPr>
        <w:footnoteRef/>
      </w:r>
      <w:r w:rsidRPr="004821AF">
        <w:rPr>
          <w:rFonts w:ascii="Verdana" w:hAnsi="Verdana"/>
          <w:sz w:val="16"/>
          <w:szCs w:val="16"/>
        </w:rPr>
        <w:t xml:space="preserve"> </w:t>
      </w:r>
      <w:hyperlink r:id="rId4" w:history="1">
        <w:r w:rsidRPr="004821AF">
          <w:rPr>
            <w:rStyle w:val="Hyperlink"/>
            <w:rFonts w:ascii="Verdana" w:hAnsi="Verdana"/>
            <w:sz w:val="16"/>
            <w:szCs w:val="16"/>
          </w:rPr>
          <w:t>https://www.rijksoverheid.nl/documenten/rapporten/2024/09/20/monitor-nationale-omgevingsvisie-2024-tweede-vervolgmeting</w:t>
        </w:r>
      </w:hyperlink>
      <w:r w:rsidRPr="004821AF">
        <w:rPr>
          <w:rFonts w:ascii="Verdana" w:hAnsi="Verdan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3BE3"/>
    <w:multiLevelType w:val="hybridMultilevel"/>
    <w:tmpl w:val="2F820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4A2ED3"/>
    <w:multiLevelType w:val="hybridMultilevel"/>
    <w:tmpl w:val="D5A849C0"/>
    <w:lvl w:ilvl="0" w:tplc="8932DED2">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B572A2A"/>
    <w:multiLevelType w:val="hybridMultilevel"/>
    <w:tmpl w:val="854E7D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876DD0"/>
    <w:multiLevelType w:val="hybridMultilevel"/>
    <w:tmpl w:val="0FE2968C"/>
    <w:lvl w:ilvl="0" w:tplc="0C5EDAA2">
      <w:start w:val="1"/>
      <w:numFmt w:val="decimal"/>
      <w:lvlText w:val="%1."/>
      <w:lvlJc w:val="left"/>
      <w:pPr>
        <w:tabs>
          <w:tab w:val="num" w:pos="360"/>
        </w:tabs>
        <w:ind w:left="360" w:hanging="360"/>
      </w:pPr>
    </w:lvl>
    <w:lvl w:ilvl="1" w:tplc="03AE87AC" w:tentative="1">
      <w:start w:val="1"/>
      <w:numFmt w:val="decimal"/>
      <w:lvlText w:val="%2."/>
      <w:lvlJc w:val="left"/>
      <w:pPr>
        <w:tabs>
          <w:tab w:val="num" w:pos="1080"/>
        </w:tabs>
        <w:ind w:left="1080" w:hanging="360"/>
      </w:pPr>
    </w:lvl>
    <w:lvl w:ilvl="2" w:tplc="3C001E70" w:tentative="1">
      <w:start w:val="1"/>
      <w:numFmt w:val="decimal"/>
      <w:lvlText w:val="%3."/>
      <w:lvlJc w:val="left"/>
      <w:pPr>
        <w:tabs>
          <w:tab w:val="num" w:pos="1800"/>
        </w:tabs>
        <w:ind w:left="1800" w:hanging="360"/>
      </w:pPr>
    </w:lvl>
    <w:lvl w:ilvl="3" w:tplc="0A34C65E" w:tentative="1">
      <w:start w:val="1"/>
      <w:numFmt w:val="decimal"/>
      <w:lvlText w:val="%4."/>
      <w:lvlJc w:val="left"/>
      <w:pPr>
        <w:tabs>
          <w:tab w:val="num" w:pos="2520"/>
        </w:tabs>
        <w:ind w:left="2520" w:hanging="360"/>
      </w:pPr>
    </w:lvl>
    <w:lvl w:ilvl="4" w:tplc="88EA0836" w:tentative="1">
      <w:start w:val="1"/>
      <w:numFmt w:val="decimal"/>
      <w:lvlText w:val="%5."/>
      <w:lvlJc w:val="left"/>
      <w:pPr>
        <w:tabs>
          <w:tab w:val="num" w:pos="3240"/>
        </w:tabs>
        <w:ind w:left="3240" w:hanging="360"/>
      </w:pPr>
    </w:lvl>
    <w:lvl w:ilvl="5" w:tplc="4DA04D8C" w:tentative="1">
      <w:start w:val="1"/>
      <w:numFmt w:val="decimal"/>
      <w:lvlText w:val="%6."/>
      <w:lvlJc w:val="left"/>
      <w:pPr>
        <w:tabs>
          <w:tab w:val="num" w:pos="3960"/>
        </w:tabs>
        <w:ind w:left="3960" w:hanging="360"/>
      </w:pPr>
    </w:lvl>
    <w:lvl w:ilvl="6" w:tplc="6380BEA6" w:tentative="1">
      <w:start w:val="1"/>
      <w:numFmt w:val="decimal"/>
      <w:lvlText w:val="%7."/>
      <w:lvlJc w:val="left"/>
      <w:pPr>
        <w:tabs>
          <w:tab w:val="num" w:pos="4680"/>
        </w:tabs>
        <w:ind w:left="4680" w:hanging="360"/>
      </w:pPr>
    </w:lvl>
    <w:lvl w:ilvl="7" w:tplc="9D38107E" w:tentative="1">
      <w:start w:val="1"/>
      <w:numFmt w:val="decimal"/>
      <w:lvlText w:val="%8."/>
      <w:lvlJc w:val="left"/>
      <w:pPr>
        <w:tabs>
          <w:tab w:val="num" w:pos="5400"/>
        </w:tabs>
        <w:ind w:left="5400" w:hanging="360"/>
      </w:pPr>
    </w:lvl>
    <w:lvl w:ilvl="8" w:tplc="30ACC562" w:tentative="1">
      <w:start w:val="1"/>
      <w:numFmt w:val="decimal"/>
      <w:lvlText w:val="%9."/>
      <w:lvlJc w:val="left"/>
      <w:pPr>
        <w:tabs>
          <w:tab w:val="num" w:pos="6120"/>
        </w:tabs>
        <w:ind w:left="6120" w:hanging="360"/>
      </w:pPr>
    </w:lvl>
  </w:abstractNum>
  <w:abstractNum w:abstractNumId="4" w15:restartNumberingAfterBreak="0">
    <w:nsid w:val="2D886AFE"/>
    <w:multiLevelType w:val="hybridMultilevel"/>
    <w:tmpl w:val="A09E3D2A"/>
    <w:lvl w:ilvl="0" w:tplc="D4B22722">
      <w:start w:val="1"/>
      <w:numFmt w:val="decimal"/>
      <w:lvlText w:val="%1."/>
      <w:lvlJc w:val="left"/>
      <w:pPr>
        <w:tabs>
          <w:tab w:val="num" w:pos="360"/>
        </w:tabs>
        <w:ind w:left="360" w:hanging="360"/>
      </w:pPr>
    </w:lvl>
    <w:lvl w:ilvl="1" w:tplc="95EE4E08" w:tentative="1">
      <w:start w:val="1"/>
      <w:numFmt w:val="decimal"/>
      <w:lvlText w:val="%2."/>
      <w:lvlJc w:val="left"/>
      <w:pPr>
        <w:tabs>
          <w:tab w:val="num" w:pos="1080"/>
        </w:tabs>
        <w:ind w:left="1080" w:hanging="360"/>
      </w:pPr>
    </w:lvl>
    <w:lvl w:ilvl="2" w:tplc="F9AA9804" w:tentative="1">
      <w:start w:val="1"/>
      <w:numFmt w:val="decimal"/>
      <w:lvlText w:val="%3."/>
      <w:lvlJc w:val="left"/>
      <w:pPr>
        <w:tabs>
          <w:tab w:val="num" w:pos="1800"/>
        </w:tabs>
        <w:ind w:left="1800" w:hanging="360"/>
      </w:pPr>
    </w:lvl>
    <w:lvl w:ilvl="3" w:tplc="5DD29DDE" w:tentative="1">
      <w:start w:val="1"/>
      <w:numFmt w:val="decimal"/>
      <w:lvlText w:val="%4."/>
      <w:lvlJc w:val="left"/>
      <w:pPr>
        <w:tabs>
          <w:tab w:val="num" w:pos="2520"/>
        </w:tabs>
        <w:ind w:left="2520" w:hanging="360"/>
      </w:pPr>
    </w:lvl>
    <w:lvl w:ilvl="4" w:tplc="C1A8BEE6" w:tentative="1">
      <w:start w:val="1"/>
      <w:numFmt w:val="decimal"/>
      <w:lvlText w:val="%5."/>
      <w:lvlJc w:val="left"/>
      <w:pPr>
        <w:tabs>
          <w:tab w:val="num" w:pos="3240"/>
        </w:tabs>
        <w:ind w:left="3240" w:hanging="360"/>
      </w:pPr>
    </w:lvl>
    <w:lvl w:ilvl="5" w:tplc="334EB7D8" w:tentative="1">
      <w:start w:val="1"/>
      <w:numFmt w:val="decimal"/>
      <w:lvlText w:val="%6."/>
      <w:lvlJc w:val="left"/>
      <w:pPr>
        <w:tabs>
          <w:tab w:val="num" w:pos="3960"/>
        </w:tabs>
        <w:ind w:left="3960" w:hanging="360"/>
      </w:pPr>
    </w:lvl>
    <w:lvl w:ilvl="6" w:tplc="54BAFD9A" w:tentative="1">
      <w:start w:val="1"/>
      <w:numFmt w:val="decimal"/>
      <w:lvlText w:val="%7."/>
      <w:lvlJc w:val="left"/>
      <w:pPr>
        <w:tabs>
          <w:tab w:val="num" w:pos="4680"/>
        </w:tabs>
        <w:ind w:left="4680" w:hanging="360"/>
      </w:pPr>
    </w:lvl>
    <w:lvl w:ilvl="7" w:tplc="AE1E38BA" w:tentative="1">
      <w:start w:val="1"/>
      <w:numFmt w:val="decimal"/>
      <w:lvlText w:val="%8."/>
      <w:lvlJc w:val="left"/>
      <w:pPr>
        <w:tabs>
          <w:tab w:val="num" w:pos="5400"/>
        </w:tabs>
        <w:ind w:left="5400" w:hanging="360"/>
      </w:pPr>
    </w:lvl>
    <w:lvl w:ilvl="8" w:tplc="A800A772" w:tentative="1">
      <w:start w:val="1"/>
      <w:numFmt w:val="decimal"/>
      <w:lvlText w:val="%9."/>
      <w:lvlJc w:val="left"/>
      <w:pPr>
        <w:tabs>
          <w:tab w:val="num" w:pos="6120"/>
        </w:tabs>
        <w:ind w:left="6120" w:hanging="360"/>
      </w:pPr>
    </w:lvl>
  </w:abstractNum>
  <w:abstractNum w:abstractNumId="5" w15:restartNumberingAfterBreak="0">
    <w:nsid w:val="40194A84"/>
    <w:multiLevelType w:val="hybridMultilevel"/>
    <w:tmpl w:val="CE1493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EB3F84"/>
    <w:multiLevelType w:val="hybridMultilevel"/>
    <w:tmpl w:val="74100104"/>
    <w:lvl w:ilvl="0" w:tplc="E444B98A">
      <w:start w:val="2"/>
      <w:numFmt w:val="bullet"/>
      <w:lvlText w:val=""/>
      <w:lvlJc w:val="left"/>
      <w:pPr>
        <w:ind w:left="1480" w:hanging="360"/>
      </w:pPr>
      <w:rPr>
        <w:rFonts w:ascii="Symbol" w:eastAsiaTheme="minorHAnsi" w:hAnsi="Symbol" w:cstheme="minorBidi" w:hint="default"/>
      </w:rPr>
    </w:lvl>
    <w:lvl w:ilvl="1" w:tplc="04130003" w:tentative="1">
      <w:start w:val="1"/>
      <w:numFmt w:val="bullet"/>
      <w:lvlText w:val="o"/>
      <w:lvlJc w:val="left"/>
      <w:pPr>
        <w:ind w:left="2200" w:hanging="360"/>
      </w:pPr>
      <w:rPr>
        <w:rFonts w:ascii="Courier New" w:hAnsi="Courier New" w:cs="Courier New" w:hint="default"/>
      </w:rPr>
    </w:lvl>
    <w:lvl w:ilvl="2" w:tplc="04130005" w:tentative="1">
      <w:start w:val="1"/>
      <w:numFmt w:val="bullet"/>
      <w:lvlText w:val=""/>
      <w:lvlJc w:val="left"/>
      <w:pPr>
        <w:ind w:left="2920" w:hanging="360"/>
      </w:pPr>
      <w:rPr>
        <w:rFonts w:ascii="Wingdings" w:hAnsi="Wingdings" w:hint="default"/>
      </w:rPr>
    </w:lvl>
    <w:lvl w:ilvl="3" w:tplc="04130001" w:tentative="1">
      <w:start w:val="1"/>
      <w:numFmt w:val="bullet"/>
      <w:lvlText w:val=""/>
      <w:lvlJc w:val="left"/>
      <w:pPr>
        <w:ind w:left="3640" w:hanging="360"/>
      </w:pPr>
      <w:rPr>
        <w:rFonts w:ascii="Symbol" w:hAnsi="Symbol" w:hint="default"/>
      </w:rPr>
    </w:lvl>
    <w:lvl w:ilvl="4" w:tplc="04130003" w:tentative="1">
      <w:start w:val="1"/>
      <w:numFmt w:val="bullet"/>
      <w:lvlText w:val="o"/>
      <w:lvlJc w:val="left"/>
      <w:pPr>
        <w:ind w:left="4360" w:hanging="360"/>
      </w:pPr>
      <w:rPr>
        <w:rFonts w:ascii="Courier New" w:hAnsi="Courier New" w:cs="Courier New" w:hint="default"/>
      </w:rPr>
    </w:lvl>
    <w:lvl w:ilvl="5" w:tplc="04130005" w:tentative="1">
      <w:start w:val="1"/>
      <w:numFmt w:val="bullet"/>
      <w:lvlText w:val=""/>
      <w:lvlJc w:val="left"/>
      <w:pPr>
        <w:ind w:left="5080" w:hanging="360"/>
      </w:pPr>
      <w:rPr>
        <w:rFonts w:ascii="Wingdings" w:hAnsi="Wingdings" w:hint="default"/>
      </w:rPr>
    </w:lvl>
    <w:lvl w:ilvl="6" w:tplc="04130001" w:tentative="1">
      <w:start w:val="1"/>
      <w:numFmt w:val="bullet"/>
      <w:lvlText w:val=""/>
      <w:lvlJc w:val="left"/>
      <w:pPr>
        <w:ind w:left="5800" w:hanging="360"/>
      </w:pPr>
      <w:rPr>
        <w:rFonts w:ascii="Symbol" w:hAnsi="Symbol" w:hint="default"/>
      </w:rPr>
    </w:lvl>
    <w:lvl w:ilvl="7" w:tplc="04130003" w:tentative="1">
      <w:start w:val="1"/>
      <w:numFmt w:val="bullet"/>
      <w:lvlText w:val="o"/>
      <w:lvlJc w:val="left"/>
      <w:pPr>
        <w:ind w:left="6520" w:hanging="360"/>
      </w:pPr>
      <w:rPr>
        <w:rFonts w:ascii="Courier New" w:hAnsi="Courier New" w:cs="Courier New" w:hint="default"/>
      </w:rPr>
    </w:lvl>
    <w:lvl w:ilvl="8" w:tplc="04130005" w:tentative="1">
      <w:start w:val="1"/>
      <w:numFmt w:val="bullet"/>
      <w:lvlText w:val=""/>
      <w:lvlJc w:val="left"/>
      <w:pPr>
        <w:ind w:left="7240" w:hanging="360"/>
      </w:pPr>
      <w:rPr>
        <w:rFonts w:ascii="Wingdings" w:hAnsi="Wingdings" w:hint="default"/>
      </w:rPr>
    </w:lvl>
  </w:abstractNum>
  <w:abstractNum w:abstractNumId="7" w15:restartNumberingAfterBreak="0">
    <w:nsid w:val="4CEA759C"/>
    <w:multiLevelType w:val="hybridMultilevel"/>
    <w:tmpl w:val="67047B48"/>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3F75EF8"/>
    <w:multiLevelType w:val="hybridMultilevel"/>
    <w:tmpl w:val="C5C6EB6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DB6612"/>
    <w:multiLevelType w:val="hybridMultilevel"/>
    <w:tmpl w:val="C922ACDA"/>
    <w:lvl w:ilvl="0" w:tplc="41EA26A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CE103C"/>
    <w:multiLevelType w:val="hybridMultilevel"/>
    <w:tmpl w:val="BC42B68C"/>
    <w:lvl w:ilvl="0" w:tplc="977E346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BC79F8"/>
    <w:multiLevelType w:val="hybridMultilevel"/>
    <w:tmpl w:val="49B64C9C"/>
    <w:lvl w:ilvl="0" w:tplc="53B0E888">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10"/>
  </w:num>
  <w:num w:numId="4">
    <w:abstractNumId w:val="11"/>
  </w:num>
  <w:num w:numId="5">
    <w:abstractNumId w:val="6"/>
  </w:num>
  <w:num w:numId="6">
    <w:abstractNumId w:val="1"/>
  </w:num>
  <w:num w:numId="7">
    <w:abstractNumId w:val="3"/>
  </w:num>
  <w:num w:numId="8">
    <w:abstractNumId w:val="4"/>
  </w:num>
  <w:num w:numId="9">
    <w:abstractNumId w:val="7"/>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4E"/>
    <w:rsid w:val="00001488"/>
    <w:rsid w:val="00046F79"/>
    <w:rsid w:val="00055A8C"/>
    <w:rsid w:val="00074A2F"/>
    <w:rsid w:val="000A589D"/>
    <w:rsid w:val="000B6EB3"/>
    <w:rsid w:val="000C0B9F"/>
    <w:rsid w:val="000C0C76"/>
    <w:rsid w:val="000C245B"/>
    <w:rsid w:val="000D3F73"/>
    <w:rsid w:val="000D5B81"/>
    <w:rsid w:val="000E6029"/>
    <w:rsid w:val="00122D7D"/>
    <w:rsid w:val="001757C2"/>
    <w:rsid w:val="0018236F"/>
    <w:rsid w:val="001A29A9"/>
    <w:rsid w:val="001E5534"/>
    <w:rsid w:val="00223037"/>
    <w:rsid w:val="002337FB"/>
    <w:rsid w:val="00240A77"/>
    <w:rsid w:val="002430A5"/>
    <w:rsid w:val="00265F4D"/>
    <w:rsid w:val="00274135"/>
    <w:rsid w:val="00292547"/>
    <w:rsid w:val="002C38A7"/>
    <w:rsid w:val="002D53A7"/>
    <w:rsid w:val="002E5095"/>
    <w:rsid w:val="002F44E0"/>
    <w:rsid w:val="002F538C"/>
    <w:rsid w:val="003101B0"/>
    <w:rsid w:val="00327A3D"/>
    <w:rsid w:val="0033032D"/>
    <w:rsid w:val="003565DC"/>
    <w:rsid w:val="00362F3C"/>
    <w:rsid w:val="00373A4C"/>
    <w:rsid w:val="003837C9"/>
    <w:rsid w:val="00393734"/>
    <w:rsid w:val="00394B4A"/>
    <w:rsid w:val="003A7A66"/>
    <w:rsid w:val="003D264B"/>
    <w:rsid w:val="003D3E71"/>
    <w:rsid w:val="003E1B0C"/>
    <w:rsid w:val="003E3FBE"/>
    <w:rsid w:val="003E6197"/>
    <w:rsid w:val="003F292F"/>
    <w:rsid w:val="00401DBA"/>
    <w:rsid w:val="00404B72"/>
    <w:rsid w:val="00417826"/>
    <w:rsid w:val="00440999"/>
    <w:rsid w:val="00446FCE"/>
    <w:rsid w:val="00476D5B"/>
    <w:rsid w:val="004821AF"/>
    <w:rsid w:val="00485E61"/>
    <w:rsid w:val="00485E9A"/>
    <w:rsid w:val="004A2C45"/>
    <w:rsid w:val="004A6C96"/>
    <w:rsid w:val="004C123E"/>
    <w:rsid w:val="004D7C76"/>
    <w:rsid w:val="004E1848"/>
    <w:rsid w:val="004F2C69"/>
    <w:rsid w:val="005123C1"/>
    <w:rsid w:val="00514C6E"/>
    <w:rsid w:val="00523DC3"/>
    <w:rsid w:val="00527BCC"/>
    <w:rsid w:val="00535691"/>
    <w:rsid w:val="0053734A"/>
    <w:rsid w:val="00541858"/>
    <w:rsid w:val="005521F7"/>
    <w:rsid w:val="0055237E"/>
    <w:rsid w:val="00556A79"/>
    <w:rsid w:val="00571131"/>
    <w:rsid w:val="0057421D"/>
    <w:rsid w:val="0058473F"/>
    <w:rsid w:val="0058540E"/>
    <w:rsid w:val="00590C49"/>
    <w:rsid w:val="005A6F9A"/>
    <w:rsid w:val="005E08A1"/>
    <w:rsid w:val="005F68ED"/>
    <w:rsid w:val="006000F7"/>
    <w:rsid w:val="00616ABA"/>
    <w:rsid w:val="00631E86"/>
    <w:rsid w:val="0063383F"/>
    <w:rsid w:val="00633C06"/>
    <w:rsid w:val="00652552"/>
    <w:rsid w:val="00666740"/>
    <w:rsid w:val="00667E22"/>
    <w:rsid w:val="006774A8"/>
    <w:rsid w:val="006859C4"/>
    <w:rsid w:val="00685A27"/>
    <w:rsid w:val="00695DC8"/>
    <w:rsid w:val="00697E6B"/>
    <w:rsid w:val="006A53D5"/>
    <w:rsid w:val="006B0C29"/>
    <w:rsid w:val="006C1BC0"/>
    <w:rsid w:val="006C4336"/>
    <w:rsid w:val="006C7417"/>
    <w:rsid w:val="006F5E6D"/>
    <w:rsid w:val="00700326"/>
    <w:rsid w:val="00707675"/>
    <w:rsid w:val="007260A6"/>
    <w:rsid w:val="007410AE"/>
    <w:rsid w:val="00752371"/>
    <w:rsid w:val="0076134E"/>
    <w:rsid w:val="0076404E"/>
    <w:rsid w:val="0078662A"/>
    <w:rsid w:val="007B2619"/>
    <w:rsid w:val="00804B64"/>
    <w:rsid w:val="00825077"/>
    <w:rsid w:val="0083598F"/>
    <w:rsid w:val="008504E3"/>
    <w:rsid w:val="00862925"/>
    <w:rsid w:val="00866B27"/>
    <w:rsid w:val="008B2C13"/>
    <w:rsid w:val="008D06C9"/>
    <w:rsid w:val="008E24DF"/>
    <w:rsid w:val="008E26E0"/>
    <w:rsid w:val="008F5CB5"/>
    <w:rsid w:val="008F7C9C"/>
    <w:rsid w:val="00903412"/>
    <w:rsid w:val="00923239"/>
    <w:rsid w:val="00951545"/>
    <w:rsid w:val="009544DD"/>
    <w:rsid w:val="0095501B"/>
    <w:rsid w:val="00961AFC"/>
    <w:rsid w:val="00964D69"/>
    <w:rsid w:val="00971D36"/>
    <w:rsid w:val="00982617"/>
    <w:rsid w:val="009B4B4D"/>
    <w:rsid w:val="009B64A5"/>
    <w:rsid w:val="009D5C60"/>
    <w:rsid w:val="009E566F"/>
    <w:rsid w:val="009F1E28"/>
    <w:rsid w:val="009F1E65"/>
    <w:rsid w:val="00A00322"/>
    <w:rsid w:val="00A00AD9"/>
    <w:rsid w:val="00A03BA9"/>
    <w:rsid w:val="00A178E7"/>
    <w:rsid w:val="00A272D7"/>
    <w:rsid w:val="00A4167C"/>
    <w:rsid w:val="00A574E7"/>
    <w:rsid w:val="00A65F52"/>
    <w:rsid w:val="00A72380"/>
    <w:rsid w:val="00A75C9C"/>
    <w:rsid w:val="00A83A3B"/>
    <w:rsid w:val="00AB515A"/>
    <w:rsid w:val="00AC61E0"/>
    <w:rsid w:val="00AC7AB9"/>
    <w:rsid w:val="00AD47A8"/>
    <w:rsid w:val="00AE4D1E"/>
    <w:rsid w:val="00AF655B"/>
    <w:rsid w:val="00B236A0"/>
    <w:rsid w:val="00B51744"/>
    <w:rsid w:val="00B51BDA"/>
    <w:rsid w:val="00B86090"/>
    <w:rsid w:val="00B97872"/>
    <w:rsid w:val="00BA036A"/>
    <w:rsid w:val="00BC6F84"/>
    <w:rsid w:val="00BD2AFE"/>
    <w:rsid w:val="00BF247B"/>
    <w:rsid w:val="00C060C8"/>
    <w:rsid w:val="00C11821"/>
    <w:rsid w:val="00C156EB"/>
    <w:rsid w:val="00C236CC"/>
    <w:rsid w:val="00C36420"/>
    <w:rsid w:val="00C45508"/>
    <w:rsid w:val="00C4720D"/>
    <w:rsid w:val="00C703C4"/>
    <w:rsid w:val="00C8337C"/>
    <w:rsid w:val="00C87D0C"/>
    <w:rsid w:val="00CC1A74"/>
    <w:rsid w:val="00CC265D"/>
    <w:rsid w:val="00CD3481"/>
    <w:rsid w:val="00CF1EEE"/>
    <w:rsid w:val="00CF404A"/>
    <w:rsid w:val="00D20120"/>
    <w:rsid w:val="00D20E0B"/>
    <w:rsid w:val="00D43492"/>
    <w:rsid w:val="00D43BBC"/>
    <w:rsid w:val="00D517E0"/>
    <w:rsid w:val="00D52F5D"/>
    <w:rsid w:val="00D76510"/>
    <w:rsid w:val="00D979F2"/>
    <w:rsid w:val="00DC4456"/>
    <w:rsid w:val="00DC479C"/>
    <w:rsid w:val="00DC6B06"/>
    <w:rsid w:val="00DD4E71"/>
    <w:rsid w:val="00DE74F8"/>
    <w:rsid w:val="00E15D2A"/>
    <w:rsid w:val="00E37728"/>
    <w:rsid w:val="00E435D7"/>
    <w:rsid w:val="00E44E36"/>
    <w:rsid w:val="00E724AF"/>
    <w:rsid w:val="00E738BC"/>
    <w:rsid w:val="00E75AD4"/>
    <w:rsid w:val="00E76AB9"/>
    <w:rsid w:val="00E80EEA"/>
    <w:rsid w:val="00E91CBC"/>
    <w:rsid w:val="00EA74D6"/>
    <w:rsid w:val="00EB61E8"/>
    <w:rsid w:val="00EC1900"/>
    <w:rsid w:val="00EE305F"/>
    <w:rsid w:val="00F0692C"/>
    <w:rsid w:val="00F24CDB"/>
    <w:rsid w:val="00F477CC"/>
    <w:rsid w:val="00F6167F"/>
    <w:rsid w:val="00F70F31"/>
    <w:rsid w:val="00F726AC"/>
    <w:rsid w:val="00F8390B"/>
    <w:rsid w:val="00F94F25"/>
    <w:rsid w:val="00FB5C64"/>
    <w:rsid w:val="00FD6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C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4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04E"/>
    <w:rPr>
      <w:rFonts w:eastAsiaTheme="majorEastAsia" w:cstheme="majorBidi"/>
      <w:color w:val="272727" w:themeColor="text1" w:themeTint="D8"/>
    </w:rPr>
  </w:style>
  <w:style w:type="paragraph" w:styleId="Title">
    <w:name w:val="Title"/>
    <w:basedOn w:val="Normal"/>
    <w:next w:val="Normal"/>
    <w:link w:val="TitleChar"/>
    <w:uiPriority w:val="10"/>
    <w:qFormat/>
    <w:rsid w:val="00764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04E"/>
    <w:pPr>
      <w:spacing w:before="160"/>
      <w:jc w:val="center"/>
    </w:pPr>
    <w:rPr>
      <w:i/>
      <w:iCs/>
      <w:color w:val="404040" w:themeColor="text1" w:themeTint="BF"/>
    </w:rPr>
  </w:style>
  <w:style w:type="character" w:customStyle="1" w:styleId="QuoteChar">
    <w:name w:val="Quote Char"/>
    <w:basedOn w:val="DefaultParagraphFont"/>
    <w:link w:val="Quote"/>
    <w:uiPriority w:val="29"/>
    <w:rsid w:val="0076404E"/>
    <w:rPr>
      <w:i/>
      <w:iCs/>
      <w:color w:val="404040" w:themeColor="text1" w:themeTint="BF"/>
    </w:rPr>
  </w:style>
  <w:style w:type="paragraph" w:styleId="ListParagraph">
    <w:name w:val="List Paragraph"/>
    <w:basedOn w:val="Normal"/>
    <w:uiPriority w:val="34"/>
    <w:qFormat/>
    <w:rsid w:val="0076404E"/>
    <w:pPr>
      <w:ind w:left="720"/>
      <w:contextualSpacing/>
    </w:pPr>
  </w:style>
  <w:style w:type="character" w:styleId="IntenseEmphasis">
    <w:name w:val="Intense Emphasis"/>
    <w:basedOn w:val="DefaultParagraphFont"/>
    <w:uiPriority w:val="21"/>
    <w:qFormat/>
    <w:rsid w:val="0076404E"/>
    <w:rPr>
      <w:i/>
      <w:iCs/>
      <w:color w:val="0F4761" w:themeColor="accent1" w:themeShade="BF"/>
    </w:rPr>
  </w:style>
  <w:style w:type="paragraph" w:styleId="IntenseQuote">
    <w:name w:val="Intense Quote"/>
    <w:basedOn w:val="Normal"/>
    <w:next w:val="Normal"/>
    <w:link w:val="IntenseQuoteChar"/>
    <w:uiPriority w:val="30"/>
    <w:qFormat/>
    <w:rsid w:val="00764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04E"/>
    <w:rPr>
      <w:i/>
      <w:iCs/>
      <w:color w:val="0F4761" w:themeColor="accent1" w:themeShade="BF"/>
    </w:rPr>
  </w:style>
  <w:style w:type="character" w:styleId="IntenseReference">
    <w:name w:val="Intense Reference"/>
    <w:basedOn w:val="DefaultParagraphFont"/>
    <w:uiPriority w:val="32"/>
    <w:qFormat/>
    <w:rsid w:val="0076404E"/>
    <w:rPr>
      <w:b/>
      <w:bCs/>
      <w:smallCaps/>
      <w:color w:val="0F4761" w:themeColor="accent1" w:themeShade="BF"/>
      <w:spacing w:val="5"/>
    </w:rPr>
  </w:style>
  <w:style w:type="character" w:styleId="CommentReference">
    <w:name w:val="annotation reference"/>
    <w:basedOn w:val="DefaultParagraphFont"/>
    <w:uiPriority w:val="99"/>
    <w:semiHidden/>
    <w:unhideWhenUsed/>
    <w:rsid w:val="00752371"/>
    <w:rPr>
      <w:sz w:val="16"/>
      <w:szCs w:val="16"/>
    </w:rPr>
  </w:style>
  <w:style w:type="paragraph" w:styleId="CommentText">
    <w:name w:val="annotation text"/>
    <w:basedOn w:val="Normal"/>
    <w:link w:val="CommentTextChar"/>
    <w:uiPriority w:val="99"/>
    <w:unhideWhenUsed/>
    <w:rsid w:val="00752371"/>
    <w:pPr>
      <w:spacing w:line="240" w:lineRule="auto"/>
    </w:pPr>
    <w:rPr>
      <w:sz w:val="20"/>
      <w:szCs w:val="20"/>
    </w:rPr>
  </w:style>
  <w:style w:type="character" w:customStyle="1" w:styleId="CommentTextChar">
    <w:name w:val="Comment Text Char"/>
    <w:basedOn w:val="DefaultParagraphFont"/>
    <w:link w:val="CommentText"/>
    <w:uiPriority w:val="99"/>
    <w:rsid w:val="00752371"/>
    <w:rPr>
      <w:sz w:val="20"/>
      <w:szCs w:val="20"/>
    </w:rPr>
  </w:style>
  <w:style w:type="paragraph" w:styleId="CommentSubject">
    <w:name w:val="annotation subject"/>
    <w:basedOn w:val="CommentText"/>
    <w:next w:val="CommentText"/>
    <w:link w:val="CommentSubjectChar"/>
    <w:uiPriority w:val="99"/>
    <w:semiHidden/>
    <w:unhideWhenUsed/>
    <w:rsid w:val="00752371"/>
    <w:rPr>
      <w:b/>
      <w:bCs/>
    </w:rPr>
  </w:style>
  <w:style w:type="character" w:customStyle="1" w:styleId="CommentSubjectChar">
    <w:name w:val="Comment Subject Char"/>
    <w:basedOn w:val="CommentTextChar"/>
    <w:link w:val="CommentSubject"/>
    <w:uiPriority w:val="99"/>
    <w:semiHidden/>
    <w:rsid w:val="00752371"/>
    <w:rPr>
      <w:b/>
      <w:bCs/>
      <w:sz w:val="20"/>
      <w:szCs w:val="20"/>
    </w:rPr>
  </w:style>
  <w:style w:type="character" w:styleId="Hyperlink">
    <w:name w:val="Hyperlink"/>
    <w:basedOn w:val="DefaultParagraphFont"/>
    <w:uiPriority w:val="99"/>
    <w:unhideWhenUsed/>
    <w:rsid w:val="00685A27"/>
    <w:rPr>
      <w:color w:val="467886" w:themeColor="hyperlink"/>
      <w:u w:val="single"/>
    </w:rPr>
  </w:style>
  <w:style w:type="character" w:customStyle="1" w:styleId="UnresolvedMention">
    <w:name w:val="Unresolved Mention"/>
    <w:basedOn w:val="DefaultParagraphFont"/>
    <w:uiPriority w:val="99"/>
    <w:semiHidden/>
    <w:unhideWhenUsed/>
    <w:rsid w:val="00685A27"/>
    <w:rPr>
      <w:color w:val="605E5C"/>
      <w:shd w:val="clear" w:color="auto" w:fill="E1DFDD"/>
    </w:rPr>
  </w:style>
  <w:style w:type="paragraph" w:styleId="FootnoteText">
    <w:name w:val="footnote text"/>
    <w:basedOn w:val="Normal"/>
    <w:link w:val="FootnoteTextChar"/>
    <w:uiPriority w:val="99"/>
    <w:semiHidden/>
    <w:unhideWhenUsed/>
    <w:rsid w:val="00362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F3C"/>
    <w:rPr>
      <w:sz w:val="20"/>
      <w:szCs w:val="20"/>
    </w:rPr>
  </w:style>
  <w:style w:type="character" w:styleId="FootnoteReference">
    <w:name w:val="footnote reference"/>
    <w:basedOn w:val="DefaultParagraphFont"/>
    <w:uiPriority w:val="99"/>
    <w:semiHidden/>
    <w:unhideWhenUsed/>
    <w:rsid w:val="00362F3C"/>
    <w:rPr>
      <w:vertAlign w:val="superscript"/>
    </w:rPr>
  </w:style>
  <w:style w:type="paragraph" w:styleId="NormalWeb">
    <w:name w:val="Normal (Web)"/>
    <w:basedOn w:val="Normal"/>
    <w:uiPriority w:val="99"/>
    <w:unhideWhenUsed/>
    <w:rsid w:val="00362F3C"/>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Revision">
    <w:name w:val="Revision"/>
    <w:hidden/>
    <w:uiPriority w:val="99"/>
    <w:semiHidden/>
    <w:rsid w:val="00CF404A"/>
    <w:pPr>
      <w:spacing w:after="0" w:line="240" w:lineRule="auto"/>
    </w:pPr>
  </w:style>
  <w:style w:type="character" w:styleId="FollowedHyperlink">
    <w:name w:val="FollowedHyperlink"/>
    <w:basedOn w:val="DefaultParagraphFont"/>
    <w:uiPriority w:val="99"/>
    <w:semiHidden/>
    <w:unhideWhenUsed/>
    <w:rsid w:val="00A003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2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3/05/30/beantwoording-kamervragen-over-de-kaderrichtlijn-water-krw-en-het-rapport-een-krw-risicoanalyse-voor-de-vergunningverlening-voor-de-bouw-en-infrasector" TargetMode="External"/><Relationship Id="rId2" Type="http://schemas.openxmlformats.org/officeDocument/2006/relationships/hyperlink" Target="https://open.overheid.nl/documenten/ronl-0f18be7300eb763be185b705738074672fdee0a1/pdf" TargetMode="External"/><Relationship Id="rId1" Type="http://schemas.openxmlformats.org/officeDocument/2006/relationships/hyperlink" Target="https://www.rijksoverheid.nl/documenten/kamerstukken/2024/09/23/beantwoording-kamervragen-maatschappelijk-manifest-voor-schoon-en-voldoende-water-voor-mens-en-natuur" TargetMode="External"/><Relationship Id="rId4" Type="http://schemas.openxmlformats.org/officeDocument/2006/relationships/hyperlink" Target="https://www.rijksoverheid.nl/documenten/rapporten/2024/09/20/monitor-nationale-omgevingsvisie-2024-tweede-vervolgmet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df998a4-0a8d-4cf0-8b57-1bbd8d13bed2}" enabled="0" method="" siteId="{1df998a4-0a8d-4cf0-8b57-1bbd8d13bed2}" removed="1"/>
</clbl:labelList>
</file>

<file path=docProps/app.xml><?xml version="1.0" encoding="utf-8"?>
<ap:Properties xmlns:vt="http://schemas.openxmlformats.org/officeDocument/2006/docPropsVTypes" xmlns:ap="http://schemas.openxmlformats.org/officeDocument/2006/extended-properties">
  <ap:Pages>2</ap:Pages>
  <ap:Words>567</ap:Words>
  <ap:Characters>3234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2024-11-12T11:27:00.0000000Z</dcterms:created>
  <dcterms:modified xsi:type="dcterms:W3CDTF">2024-11-12T11:27:00.0000000Z</dcterms:modified>
  <version/>
  <category/>
</coreProperties>
</file>