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42DD" w:rsidR="002C4CB3" w:rsidP="002C4CB3" w:rsidRDefault="008E0677" w14:paraId="0FD53854" w14:textId="7631CD10">
      <w:pPr>
        <w:rPr>
          <w:rFonts w:ascii="Verdana" w:hAnsi="Verdana" w:eastAsia="DejaVu Sans" w:cs="Lohit Hindi"/>
          <w:color w:val="000000"/>
          <w:sz w:val="24"/>
          <w:szCs w:val="24"/>
          <w:lang w:eastAsia="nl-NL"/>
        </w:rPr>
      </w:pPr>
      <w:r>
        <w:rPr>
          <w:rFonts w:ascii="Verdana" w:hAnsi="Verdana" w:eastAsia="DejaVu Sans" w:cs="Lohit Hindi"/>
          <w:color w:val="000000"/>
          <w:sz w:val="24"/>
          <w:szCs w:val="24"/>
          <w:lang w:eastAsia="nl-NL"/>
        </w:rPr>
        <w:t xml:space="preserve">Bijlage </w:t>
      </w:r>
      <w:r w:rsidR="00C2267D">
        <w:rPr>
          <w:rFonts w:ascii="Verdana" w:hAnsi="Verdana" w:eastAsia="DejaVu Sans" w:cs="Lohit Hindi"/>
          <w:color w:val="000000"/>
          <w:sz w:val="24"/>
          <w:szCs w:val="24"/>
          <w:lang w:eastAsia="nl-NL"/>
        </w:rPr>
        <w:t>1</w:t>
      </w:r>
      <w:r>
        <w:rPr>
          <w:rFonts w:ascii="Verdana" w:hAnsi="Verdana" w:eastAsia="DejaVu Sans" w:cs="Lohit Hindi"/>
          <w:color w:val="000000"/>
          <w:sz w:val="24"/>
          <w:szCs w:val="24"/>
          <w:lang w:eastAsia="nl-NL"/>
        </w:rPr>
        <w:t xml:space="preserve"> - </w:t>
      </w:r>
      <w:r w:rsidRPr="004142DD" w:rsidR="002C4CB3">
        <w:rPr>
          <w:rFonts w:ascii="Verdana" w:hAnsi="Verdana" w:eastAsia="DejaVu Sans" w:cs="Lohit Hindi"/>
          <w:color w:val="000000"/>
          <w:sz w:val="24"/>
          <w:szCs w:val="24"/>
          <w:lang w:eastAsia="nl-NL"/>
        </w:rPr>
        <w:t>De werking van saldoregulatie</w:t>
      </w:r>
    </w:p>
    <w:p w:rsidRPr="00DF539F" w:rsidR="002C4CB3" w:rsidP="002C4CB3" w:rsidRDefault="002C4CB3" w14:paraId="1F20E804" w14:textId="17A0C954">
      <w:pPr>
        <w:rPr>
          <w:rFonts w:ascii="Verdana" w:hAnsi="Verdana"/>
          <w:sz w:val="18"/>
          <w:szCs w:val="18"/>
        </w:rPr>
      </w:pPr>
      <w:r w:rsidRPr="00DF539F">
        <w:rPr>
          <w:rFonts w:ascii="Verdana" w:hAnsi="Verdana"/>
          <w:sz w:val="18"/>
          <w:szCs w:val="18"/>
        </w:rPr>
        <w:t>Dankzij de zero-</w:t>
      </w:r>
      <w:proofErr w:type="spellStart"/>
      <w:r w:rsidRPr="00DF539F">
        <w:rPr>
          <w:rFonts w:ascii="Verdana" w:hAnsi="Verdana"/>
          <w:sz w:val="18"/>
          <w:szCs w:val="18"/>
        </w:rPr>
        <w:t>balancing</w:t>
      </w:r>
      <w:proofErr w:type="spellEnd"/>
      <w:r w:rsidRPr="00DF539F">
        <w:rPr>
          <w:rFonts w:ascii="Verdana" w:hAnsi="Verdana"/>
          <w:sz w:val="18"/>
          <w:szCs w:val="18"/>
        </w:rPr>
        <w:t xml:space="preserve"> door de bank begint elke bankrekening van elke deelnemer de dag met een saldo van nul. Om betalingen te kunnen doen </w:t>
      </w:r>
      <w:r w:rsidRPr="00DF539F" w:rsidR="008E0677">
        <w:rPr>
          <w:rFonts w:ascii="Verdana" w:hAnsi="Verdana"/>
          <w:sz w:val="18"/>
          <w:szCs w:val="18"/>
        </w:rPr>
        <w:t>staan deelnemers</w:t>
      </w:r>
      <w:r w:rsidRPr="00DF539F">
        <w:rPr>
          <w:rFonts w:ascii="Verdana" w:hAnsi="Verdana"/>
          <w:sz w:val="18"/>
          <w:szCs w:val="18"/>
        </w:rPr>
        <w:t xml:space="preserve"> gedurende de dag rood tot een </w:t>
      </w:r>
      <w:r w:rsidRPr="00DF539F" w:rsidR="008E0677">
        <w:rPr>
          <w:rFonts w:ascii="Verdana" w:hAnsi="Verdana"/>
          <w:sz w:val="18"/>
          <w:szCs w:val="18"/>
        </w:rPr>
        <w:t>vooraf vastgesteld</w:t>
      </w:r>
      <w:r w:rsidRPr="00DF539F">
        <w:rPr>
          <w:rFonts w:ascii="Verdana" w:hAnsi="Verdana"/>
          <w:sz w:val="18"/>
          <w:szCs w:val="18"/>
        </w:rPr>
        <w:t xml:space="preserve"> </w:t>
      </w:r>
      <w:proofErr w:type="spellStart"/>
      <w:r w:rsidRPr="00DF539F" w:rsidR="008E0677">
        <w:rPr>
          <w:rFonts w:ascii="Verdana" w:hAnsi="Verdana"/>
          <w:sz w:val="18"/>
          <w:szCs w:val="18"/>
        </w:rPr>
        <w:t>intradag</w:t>
      </w:r>
      <w:r w:rsidRPr="00DF539F">
        <w:rPr>
          <w:rFonts w:ascii="Verdana" w:hAnsi="Verdana"/>
          <w:sz w:val="18"/>
          <w:szCs w:val="18"/>
        </w:rPr>
        <w:t>limiet</w:t>
      </w:r>
      <w:proofErr w:type="spellEnd"/>
      <w:r w:rsidRPr="00DF539F">
        <w:rPr>
          <w:rFonts w:ascii="Verdana" w:hAnsi="Verdana"/>
          <w:sz w:val="18"/>
          <w:szCs w:val="18"/>
        </w:rPr>
        <w:t>.</w:t>
      </w:r>
      <w:r w:rsidRPr="00DF539F" w:rsidR="008E0677">
        <w:rPr>
          <w:rFonts w:ascii="Verdana" w:hAnsi="Verdana"/>
          <w:sz w:val="18"/>
          <w:szCs w:val="18"/>
        </w:rPr>
        <w:t xml:space="preserve"> Deelnemers kunnen ook een positief saldo hebben indien ze geld ontvangen.</w:t>
      </w:r>
      <w:r w:rsidRPr="00DF539F">
        <w:rPr>
          <w:rFonts w:ascii="Verdana" w:hAnsi="Verdana"/>
          <w:sz w:val="18"/>
          <w:szCs w:val="18"/>
        </w:rPr>
        <w:t xml:space="preserve"> De hoogte van </w:t>
      </w:r>
      <w:r w:rsidRPr="00DF539F" w:rsidR="008E0677">
        <w:rPr>
          <w:rFonts w:ascii="Verdana" w:hAnsi="Verdana"/>
          <w:sz w:val="18"/>
          <w:szCs w:val="18"/>
        </w:rPr>
        <w:t xml:space="preserve">de </w:t>
      </w:r>
      <w:proofErr w:type="spellStart"/>
      <w:r w:rsidRPr="00DF539F" w:rsidR="008E0677">
        <w:rPr>
          <w:rFonts w:ascii="Verdana" w:hAnsi="Verdana"/>
          <w:sz w:val="18"/>
          <w:szCs w:val="18"/>
        </w:rPr>
        <w:t>intradaglimiet</w:t>
      </w:r>
      <w:proofErr w:type="spellEnd"/>
      <w:r w:rsidRPr="00DF539F" w:rsidR="008E0677">
        <w:rPr>
          <w:rFonts w:ascii="Verdana" w:hAnsi="Verdana"/>
          <w:sz w:val="18"/>
          <w:szCs w:val="18"/>
        </w:rPr>
        <w:t xml:space="preserve"> </w:t>
      </w:r>
      <w:r w:rsidRPr="00DF539F">
        <w:rPr>
          <w:rFonts w:ascii="Verdana" w:hAnsi="Verdana"/>
          <w:sz w:val="18"/>
          <w:szCs w:val="18"/>
        </w:rPr>
        <w:t xml:space="preserve">wordt door het Agentschap in overleg met de </w:t>
      </w:r>
      <w:r w:rsidRPr="00DF539F" w:rsidR="00A32CB0">
        <w:rPr>
          <w:rFonts w:ascii="Verdana" w:hAnsi="Verdana"/>
          <w:sz w:val="18"/>
          <w:szCs w:val="18"/>
        </w:rPr>
        <w:t xml:space="preserve">deelnemer </w:t>
      </w:r>
      <w:r w:rsidRPr="00DF539F">
        <w:rPr>
          <w:rFonts w:ascii="Verdana" w:hAnsi="Verdana"/>
          <w:sz w:val="18"/>
          <w:szCs w:val="18"/>
        </w:rPr>
        <w:t>en de betreffende bank afgesproken. Het</w:t>
      </w:r>
      <w:r w:rsidRPr="00DF539F" w:rsidDel="008E0677">
        <w:rPr>
          <w:rFonts w:ascii="Verdana" w:hAnsi="Verdana"/>
          <w:sz w:val="18"/>
          <w:szCs w:val="18"/>
        </w:rPr>
        <w:t xml:space="preserve"> </w:t>
      </w:r>
      <w:r w:rsidRPr="00DF539F" w:rsidR="008E0677">
        <w:rPr>
          <w:rFonts w:ascii="Verdana" w:hAnsi="Verdana"/>
          <w:sz w:val="18"/>
          <w:szCs w:val="18"/>
        </w:rPr>
        <w:t xml:space="preserve">ministerie van Financiën </w:t>
      </w:r>
      <w:r w:rsidRPr="00DF539F">
        <w:rPr>
          <w:rFonts w:ascii="Verdana" w:hAnsi="Verdana"/>
          <w:sz w:val="18"/>
          <w:szCs w:val="18"/>
        </w:rPr>
        <w:t>staat richting de bank</w:t>
      </w:r>
      <w:r w:rsidRPr="00DF539F" w:rsidDel="008E0677">
        <w:rPr>
          <w:rFonts w:ascii="Verdana" w:hAnsi="Verdana"/>
          <w:sz w:val="18"/>
          <w:szCs w:val="18"/>
        </w:rPr>
        <w:t xml:space="preserve"> </w:t>
      </w:r>
      <w:r w:rsidRPr="00DF539F">
        <w:rPr>
          <w:rFonts w:ascii="Verdana" w:hAnsi="Verdana"/>
          <w:sz w:val="18"/>
          <w:szCs w:val="18"/>
        </w:rPr>
        <w:t xml:space="preserve">garant voor het dagelijks aanvullen van </w:t>
      </w:r>
      <w:r w:rsidRPr="00DF539F" w:rsidR="008E0677">
        <w:rPr>
          <w:rFonts w:ascii="Verdana" w:hAnsi="Verdana"/>
          <w:sz w:val="18"/>
          <w:szCs w:val="18"/>
        </w:rPr>
        <w:t xml:space="preserve">de </w:t>
      </w:r>
      <w:r w:rsidRPr="00DF539F">
        <w:rPr>
          <w:rFonts w:ascii="Verdana" w:hAnsi="Verdana"/>
          <w:sz w:val="18"/>
          <w:szCs w:val="18"/>
        </w:rPr>
        <w:t xml:space="preserve">roodstand. Met de garantstelling van het Rijk wordt voorkomen dat banken aan de deelnemers kosten in rekening brengen voor de </w:t>
      </w:r>
      <w:proofErr w:type="spellStart"/>
      <w:r w:rsidRPr="00DF539F">
        <w:rPr>
          <w:rFonts w:ascii="Verdana" w:hAnsi="Verdana"/>
          <w:sz w:val="18"/>
          <w:szCs w:val="18"/>
        </w:rPr>
        <w:t>intradaglimiet</w:t>
      </w:r>
      <w:proofErr w:type="spellEnd"/>
      <w:r w:rsidRPr="00DF539F">
        <w:rPr>
          <w:rFonts w:ascii="Verdana" w:hAnsi="Verdana"/>
          <w:sz w:val="18"/>
          <w:szCs w:val="18"/>
        </w:rPr>
        <w:t xml:space="preserve">. Omdat elke bankrekening aan het einde van de dag een saldo heeft van nul, ontvangt de deelnemer geen rente van </w:t>
      </w:r>
      <w:r w:rsidRPr="00DF539F" w:rsidR="008E0677">
        <w:rPr>
          <w:rFonts w:ascii="Verdana" w:hAnsi="Verdana"/>
          <w:sz w:val="18"/>
          <w:szCs w:val="18"/>
        </w:rPr>
        <w:t>de</w:t>
      </w:r>
      <w:r w:rsidRPr="00DF539F">
        <w:rPr>
          <w:rFonts w:ascii="Verdana" w:hAnsi="Verdana"/>
          <w:sz w:val="18"/>
          <w:szCs w:val="18"/>
        </w:rPr>
        <w:t xml:space="preserve"> bank. In plaats daarvan wordt rente vergoed op de rekening-courant bij de schatkist.</w:t>
      </w:r>
    </w:p>
    <w:p w:rsidRPr="00DF539F" w:rsidR="00753479" w:rsidP="00826EF3" w:rsidRDefault="002C4CB3" w14:paraId="2085734C" w14:textId="6F7F196E">
      <w:pPr>
        <w:rPr>
          <w:rFonts w:ascii="Verdana" w:hAnsi="Verdana"/>
          <w:sz w:val="18"/>
          <w:szCs w:val="18"/>
        </w:rPr>
      </w:pPr>
      <w:r w:rsidRPr="00DF539F">
        <w:rPr>
          <w:rFonts w:ascii="Verdana" w:hAnsi="Verdana"/>
          <w:sz w:val="18"/>
          <w:szCs w:val="18"/>
        </w:rPr>
        <w:t>Voor decentrale overheden is gekozen voor een andere inrichting van het systeem van zero-</w:t>
      </w:r>
      <w:proofErr w:type="spellStart"/>
      <w:r w:rsidRPr="00DF539F">
        <w:rPr>
          <w:rFonts w:ascii="Verdana" w:hAnsi="Verdana"/>
          <w:sz w:val="18"/>
          <w:szCs w:val="18"/>
        </w:rPr>
        <w:t>balancing</w:t>
      </w:r>
      <w:proofErr w:type="spellEnd"/>
      <w:r w:rsidRPr="00DF539F">
        <w:rPr>
          <w:rFonts w:ascii="Verdana" w:hAnsi="Verdana"/>
          <w:sz w:val="18"/>
          <w:szCs w:val="18"/>
        </w:rPr>
        <w:t>. Waar</w:t>
      </w:r>
      <w:r w:rsidRPr="00DF539F" w:rsidDel="008E0677">
        <w:rPr>
          <w:rFonts w:ascii="Verdana" w:hAnsi="Verdana"/>
          <w:sz w:val="18"/>
          <w:szCs w:val="18"/>
        </w:rPr>
        <w:t xml:space="preserve"> </w:t>
      </w:r>
      <w:r w:rsidRPr="00DF539F">
        <w:rPr>
          <w:rFonts w:ascii="Verdana" w:hAnsi="Verdana"/>
          <w:sz w:val="18"/>
          <w:szCs w:val="18"/>
        </w:rPr>
        <w:t>andere deelnemers hun bestaande bankrekeningen rechtstreeks koppelen aan de schatkist</w:t>
      </w:r>
      <w:r w:rsidRPr="00DF539F" w:rsidR="00A32CB0">
        <w:rPr>
          <w:rFonts w:ascii="Verdana" w:hAnsi="Verdana"/>
          <w:sz w:val="18"/>
          <w:szCs w:val="18"/>
        </w:rPr>
        <w:t>,</w:t>
      </w:r>
      <w:r w:rsidRPr="00DF539F">
        <w:rPr>
          <w:rFonts w:ascii="Verdana" w:hAnsi="Verdana"/>
          <w:sz w:val="18"/>
          <w:szCs w:val="18"/>
        </w:rPr>
        <w:t xml:space="preserve"> hebben decentrale overheden een </w:t>
      </w:r>
      <w:r w:rsidRPr="00DF539F" w:rsidDel="008E0677">
        <w:rPr>
          <w:rFonts w:ascii="Verdana" w:hAnsi="Verdana"/>
          <w:sz w:val="18"/>
          <w:szCs w:val="18"/>
        </w:rPr>
        <w:t>tussenrekening</w:t>
      </w:r>
      <w:r w:rsidRPr="00DF539F">
        <w:rPr>
          <w:rFonts w:ascii="Verdana" w:hAnsi="Verdana"/>
          <w:sz w:val="18"/>
          <w:szCs w:val="18"/>
        </w:rPr>
        <w:t xml:space="preserve"> die alleen voor de zero-</w:t>
      </w:r>
      <w:proofErr w:type="spellStart"/>
      <w:r w:rsidRPr="00DF539F">
        <w:rPr>
          <w:rFonts w:ascii="Verdana" w:hAnsi="Verdana"/>
          <w:sz w:val="18"/>
          <w:szCs w:val="18"/>
        </w:rPr>
        <w:t>balancing</w:t>
      </w:r>
      <w:proofErr w:type="spellEnd"/>
      <w:r w:rsidRPr="00DF539F">
        <w:rPr>
          <w:rFonts w:ascii="Verdana" w:hAnsi="Verdana"/>
          <w:sz w:val="18"/>
          <w:szCs w:val="18"/>
        </w:rPr>
        <w:t xml:space="preserve"> wordt gebruikt</w:t>
      </w:r>
      <w:r w:rsidRPr="00DF539F" w:rsidR="00A32CB0">
        <w:rPr>
          <w:rFonts w:ascii="Verdana" w:hAnsi="Verdana"/>
          <w:sz w:val="18"/>
          <w:szCs w:val="18"/>
        </w:rPr>
        <w:t>.</w:t>
      </w:r>
      <w:r w:rsidRPr="00DF539F">
        <w:rPr>
          <w:rStyle w:val="Voetnootmarkering"/>
          <w:rFonts w:ascii="Verdana" w:hAnsi="Verdana"/>
          <w:sz w:val="18"/>
          <w:szCs w:val="18"/>
        </w:rPr>
        <w:footnoteReference w:id="2"/>
      </w:r>
      <w:r w:rsidRPr="00DF539F">
        <w:rPr>
          <w:rFonts w:ascii="Verdana" w:hAnsi="Verdana"/>
          <w:sz w:val="18"/>
          <w:szCs w:val="18"/>
        </w:rPr>
        <w:t xml:space="preserve"> Als een decentrale overheid geld in de schatkist wil </w:t>
      </w:r>
      <w:r w:rsidRPr="00DF539F" w:rsidR="008E0677">
        <w:rPr>
          <w:rFonts w:ascii="Verdana" w:hAnsi="Verdana"/>
          <w:sz w:val="18"/>
          <w:szCs w:val="18"/>
        </w:rPr>
        <w:t xml:space="preserve">opnemen of storten </w:t>
      </w:r>
      <w:r w:rsidRPr="00DF539F">
        <w:rPr>
          <w:rFonts w:ascii="Verdana" w:hAnsi="Verdana"/>
          <w:sz w:val="18"/>
          <w:szCs w:val="18"/>
        </w:rPr>
        <w:t xml:space="preserve">dan boekt </w:t>
      </w:r>
      <w:r w:rsidRPr="00DF539F" w:rsidR="00A32CB0">
        <w:rPr>
          <w:rFonts w:ascii="Verdana" w:hAnsi="Verdana"/>
          <w:sz w:val="18"/>
          <w:szCs w:val="18"/>
        </w:rPr>
        <w:t xml:space="preserve">het </w:t>
      </w:r>
      <w:r w:rsidRPr="00DF539F">
        <w:rPr>
          <w:rFonts w:ascii="Verdana" w:hAnsi="Verdana"/>
          <w:sz w:val="18"/>
          <w:szCs w:val="18"/>
        </w:rPr>
        <w:t>die middelen eerst handmatig over</w:t>
      </w:r>
      <w:r w:rsidRPr="00DF539F" w:rsidDel="008E0677">
        <w:rPr>
          <w:rFonts w:ascii="Verdana" w:hAnsi="Verdana"/>
          <w:sz w:val="18"/>
          <w:szCs w:val="18"/>
        </w:rPr>
        <w:t xml:space="preserve"> </w:t>
      </w:r>
      <w:r w:rsidRPr="00DF539F" w:rsidR="008E0677">
        <w:rPr>
          <w:rFonts w:ascii="Verdana" w:hAnsi="Verdana"/>
          <w:sz w:val="18"/>
          <w:szCs w:val="18"/>
        </w:rPr>
        <w:t>van respectievelijk naar</w:t>
      </w:r>
      <w:r w:rsidRPr="00DF539F">
        <w:rPr>
          <w:rFonts w:ascii="Verdana" w:hAnsi="Verdana"/>
          <w:sz w:val="18"/>
          <w:szCs w:val="18"/>
        </w:rPr>
        <w:t xml:space="preserve"> de tussenrekening. Door het gebruik van een aparte rekening</w:t>
      </w:r>
      <w:r w:rsidRPr="00DF539F" w:rsidR="008E0677">
        <w:rPr>
          <w:rFonts w:ascii="Verdana" w:hAnsi="Verdana"/>
          <w:sz w:val="18"/>
          <w:szCs w:val="18"/>
        </w:rPr>
        <w:t xml:space="preserve"> </w:t>
      </w:r>
      <w:r w:rsidRPr="00DF539F">
        <w:rPr>
          <w:rFonts w:ascii="Verdana" w:hAnsi="Verdana"/>
          <w:sz w:val="18"/>
          <w:szCs w:val="18"/>
        </w:rPr>
        <w:t>met handmatige boekingen houden decentrale overheden zelf de door hen gewenste controle over hoeveel middelen ze in de schatkist aanhouden</w:t>
      </w:r>
      <w:r w:rsidRPr="00DF539F" w:rsidR="00A32CB0">
        <w:rPr>
          <w:rFonts w:ascii="Verdana" w:hAnsi="Verdana"/>
          <w:sz w:val="18"/>
          <w:szCs w:val="18"/>
        </w:rPr>
        <w:t>.</w:t>
      </w:r>
      <w:r w:rsidRPr="00DF539F" w:rsidR="008E0677">
        <w:rPr>
          <w:rStyle w:val="Voetnootmarkering"/>
          <w:rFonts w:ascii="Verdana" w:hAnsi="Verdana"/>
          <w:sz w:val="18"/>
          <w:szCs w:val="18"/>
        </w:rPr>
        <w:footnoteReference w:id="3"/>
      </w:r>
      <w:r w:rsidRPr="00DF539F">
        <w:rPr>
          <w:rFonts w:ascii="Verdana" w:hAnsi="Verdana"/>
          <w:sz w:val="18"/>
          <w:szCs w:val="18"/>
        </w:rPr>
        <w:t xml:space="preserve"> </w:t>
      </w:r>
    </w:p>
    <w:p w:rsidRPr="000F3746" w:rsidR="00563A3A" w:rsidP="002C4CB3" w:rsidRDefault="00563A3A" w14:paraId="106172F6" w14:textId="0B1E3289">
      <w:pPr>
        <w:rPr>
          <w:rFonts w:ascii="Verdana" w:hAnsi="Verdana"/>
          <w:sz w:val="16"/>
          <w:szCs w:val="16"/>
        </w:rPr>
      </w:pPr>
      <w:r w:rsidRPr="000F3746">
        <w:rPr>
          <w:rFonts w:ascii="Verdana" w:hAnsi="Verdana"/>
          <w:sz w:val="16"/>
          <w:szCs w:val="16"/>
        </w:rPr>
        <w:t>Figuur 1: Werking van saldoregulatie</w:t>
      </w:r>
    </w:p>
    <w:p w:rsidR="00563A3A" w:rsidP="002C4CB3" w:rsidRDefault="00563A3A" w14:paraId="7CC17AAD" w14:textId="3927D203">
      <w:r w:rsidRPr="00563A3A">
        <w:rPr>
          <w:noProof/>
        </w:rPr>
        <w:drawing>
          <wp:inline distT="0" distB="0" distL="0" distR="0" wp14:anchorId="0DE16C68" wp14:editId="3D90C864">
            <wp:extent cx="5760000" cy="3751200"/>
            <wp:effectExtent l="0" t="0" r="0" b="190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0" cy="3751200"/>
                    </a:xfrm>
                    <a:prstGeom prst="rect">
                      <a:avLst/>
                    </a:prstGeom>
                    <a:noFill/>
                    <a:ln>
                      <a:noFill/>
                    </a:ln>
                  </pic:spPr>
                </pic:pic>
              </a:graphicData>
            </a:graphic>
          </wp:inline>
        </w:drawing>
      </w:r>
    </w:p>
    <w:sectPr w:rsidR="00563A3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4FE0" w14:textId="77777777" w:rsidR="002C4CB3" w:rsidRDefault="002C4CB3" w:rsidP="002C4CB3">
      <w:pPr>
        <w:spacing w:after="0" w:line="240" w:lineRule="auto"/>
      </w:pPr>
      <w:r>
        <w:separator/>
      </w:r>
    </w:p>
  </w:endnote>
  <w:endnote w:type="continuationSeparator" w:id="0">
    <w:p w14:paraId="00415C41" w14:textId="77777777" w:rsidR="002C4CB3" w:rsidRDefault="002C4CB3" w:rsidP="002C4CB3">
      <w:pPr>
        <w:spacing w:after="0" w:line="240" w:lineRule="auto"/>
      </w:pPr>
      <w:r>
        <w:continuationSeparator/>
      </w:r>
    </w:p>
  </w:endnote>
  <w:endnote w:type="continuationNotice" w:id="1">
    <w:p w14:paraId="5C29D055" w14:textId="77777777" w:rsidR="00DF6CD7" w:rsidRDefault="00DF6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7243" w14:textId="77777777" w:rsidR="002C4CB3" w:rsidRDefault="002C4CB3" w:rsidP="002C4CB3">
      <w:pPr>
        <w:spacing w:after="0" w:line="240" w:lineRule="auto"/>
      </w:pPr>
      <w:r>
        <w:separator/>
      </w:r>
    </w:p>
  </w:footnote>
  <w:footnote w:type="continuationSeparator" w:id="0">
    <w:p w14:paraId="63DD54DC" w14:textId="77777777" w:rsidR="002C4CB3" w:rsidRDefault="002C4CB3" w:rsidP="002C4CB3">
      <w:pPr>
        <w:spacing w:after="0" w:line="240" w:lineRule="auto"/>
      </w:pPr>
      <w:r>
        <w:continuationSeparator/>
      </w:r>
    </w:p>
  </w:footnote>
  <w:footnote w:type="continuationNotice" w:id="1">
    <w:p w14:paraId="4723A308" w14:textId="77777777" w:rsidR="00DF6CD7" w:rsidRDefault="00DF6CD7">
      <w:pPr>
        <w:spacing w:after="0" w:line="240" w:lineRule="auto"/>
      </w:pPr>
    </w:p>
  </w:footnote>
  <w:footnote w:id="2">
    <w:p w14:paraId="46BEDB04" w14:textId="5FE4DA08" w:rsidR="002C4CB3" w:rsidRPr="00DF539F" w:rsidRDefault="002C4CB3">
      <w:pPr>
        <w:pStyle w:val="Voetnoottekst"/>
        <w:rPr>
          <w:rFonts w:ascii="Verdana" w:hAnsi="Verdana"/>
          <w:sz w:val="16"/>
          <w:szCs w:val="16"/>
        </w:rPr>
      </w:pPr>
      <w:r w:rsidRPr="00DF539F">
        <w:rPr>
          <w:rStyle w:val="Voetnootmarkering"/>
          <w:rFonts w:ascii="Verdana" w:hAnsi="Verdana"/>
          <w:sz w:val="16"/>
          <w:szCs w:val="16"/>
        </w:rPr>
        <w:footnoteRef/>
      </w:r>
      <w:r w:rsidRPr="00DF539F">
        <w:rPr>
          <w:rFonts w:ascii="Verdana" w:hAnsi="Verdana"/>
          <w:sz w:val="16"/>
          <w:szCs w:val="16"/>
        </w:rPr>
        <w:t xml:space="preserve"> Een aantal decentrale overheden heeft hierop een uitzondering en heeft bankrekeningen rechtstreeks gekoppeld aan de schatkist.</w:t>
      </w:r>
    </w:p>
  </w:footnote>
  <w:footnote w:id="3">
    <w:p w14:paraId="3A8D9C7E" w14:textId="7FF8BAAC" w:rsidR="008E0677" w:rsidRPr="009E2D82" w:rsidRDefault="008E0677">
      <w:pPr>
        <w:pStyle w:val="Voetnoottekst"/>
        <w:rPr>
          <w:sz w:val="16"/>
          <w:szCs w:val="16"/>
        </w:rPr>
      </w:pPr>
      <w:r w:rsidRPr="009E2D82">
        <w:rPr>
          <w:rFonts w:ascii="Verdana" w:hAnsi="Verdana"/>
          <w:sz w:val="16"/>
          <w:szCs w:val="16"/>
          <w:vertAlign w:val="superscript"/>
        </w:rPr>
        <w:footnoteRef/>
      </w:r>
      <w:r w:rsidRPr="009E2D82">
        <w:rPr>
          <w:rFonts w:ascii="Verdana" w:hAnsi="Verdana"/>
          <w:sz w:val="16"/>
          <w:szCs w:val="16"/>
          <w:vertAlign w:val="superscript"/>
        </w:rPr>
        <w:t xml:space="preserve"> </w:t>
      </w:r>
      <w:r w:rsidRPr="009E2D82">
        <w:rPr>
          <w:rFonts w:ascii="Verdana" w:hAnsi="Verdana"/>
          <w:sz w:val="16"/>
          <w:szCs w:val="16"/>
        </w:rPr>
        <w:t>Om het dagelijkse kasbeheer te vereenvoudigen mag een decentrale overheid gemiddeld over het hele kwartaal maximaal een drempelbedrag buiten de schatkist aanhouden. De hoogte van het drempelbedrag is afhankelijk van de omvang van de begroting van de decentrale overheid.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B3"/>
    <w:rsid w:val="000F3746"/>
    <w:rsid w:val="001F3518"/>
    <w:rsid w:val="002C4CB3"/>
    <w:rsid w:val="004142DD"/>
    <w:rsid w:val="004221AC"/>
    <w:rsid w:val="00444CE2"/>
    <w:rsid w:val="004C1968"/>
    <w:rsid w:val="00563A3A"/>
    <w:rsid w:val="005E33C1"/>
    <w:rsid w:val="00606319"/>
    <w:rsid w:val="007069DC"/>
    <w:rsid w:val="00753479"/>
    <w:rsid w:val="00826EF3"/>
    <w:rsid w:val="00890A72"/>
    <w:rsid w:val="008E0677"/>
    <w:rsid w:val="00985E13"/>
    <w:rsid w:val="009E2D82"/>
    <w:rsid w:val="00A32CB0"/>
    <w:rsid w:val="00A45E22"/>
    <w:rsid w:val="00A63E9D"/>
    <w:rsid w:val="00BB7A57"/>
    <w:rsid w:val="00C2267D"/>
    <w:rsid w:val="00C30C4C"/>
    <w:rsid w:val="00DF539F"/>
    <w:rsid w:val="00DF6CD7"/>
    <w:rsid w:val="00E07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DF5F6"/>
  <w15:chartTrackingRefBased/>
  <w15:docId w15:val="{FBFF87A8-55EA-440E-9D65-B7ED86ED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C4C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4CB3"/>
    <w:rPr>
      <w:sz w:val="20"/>
      <w:szCs w:val="20"/>
    </w:rPr>
  </w:style>
  <w:style w:type="character" w:styleId="Voetnootmarkering">
    <w:name w:val="footnote reference"/>
    <w:basedOn w:val="Standaardalinea-lettertype"/>
    <w:uiPriority w:val="99"/>
    <w:semiHidden/>
    <w:unhideWhenUsed/>
    <w:rsid w:val="002C4CB3"/>
    <w:rPr>
      <w:vertAlign w:val="superscript"/>
    </w:rPr>
  </w:style>
  <w:style w:type="paragraph" w:styleId="Revisie">
    <w:name w:val="Revision"/>
    <w:hidden/>
    <w:uiPriority w:val="99"/>
    <w:semiHidden/>
    <w:rsid w:val="00444CE2"/>
    <w:pPr>
      <w:spacing w:after="0" w:line="240" w:lineRule="auto"/>
    </w:pPr>
  </w:style>
  <w:style w:type="character" w:styleId="Verwijzingopmerking">
    <w:name w:val="annotation reference"/>
    <w:basedOn w:val="Standaardalinea-lettertype"/>
    <w:uiPriority w:val="99"/>
    <w:semiHidden/>
    <w:unhideWhenUsed/>
    <w:rsid w:val="00444CE2"/>
    <w:rPr>
      <w:sz w:val="16"/>
      <w:szCs w:val="16"/>
    </w:rPr>
  </w:style>
  <w:style w:type="paragraph" w:styleId="Tekstopmerking">
    <w:name w:val="annotation text"/>
    <w:basedOn w:val="Standaard"/>
    <w:link w:val="TekstopmerkingChar"/>
    <w:uiPriority w:val="99"/>
    <w:unhideWhenUsed/>
    <w:rsid w:val="00444CE2"/>
    <w:pPr>
      <w:spacing w:line="240" w:lineRule="auto"/>
    </w:pPr>
    <w:rPr>
      <w:sz w:val="20"/>
      <w:szCs w:val="20"/>
    </w:rPr>
  </w:style>
  <w:style w:type="character" w:customStyle="1" w:styleId="TekstopmerkingChar">
    <w:name w:val="Tekst opmerking Char"/>
    <w:basedOn w:val="Standaardalinea-lettertype"/>
    <w:link w:val="Tekstopmerking"/>
    <w:uiPriority w:val="99"/>
    <w:rsid w:val="00444CE2"/>
    <w:rPr>
      <w:sz w:val="20"/>
      <w:szCs w:val="20"/>
    </w:rPr>
  </w:style>
  <w:style w:type="paragraph" w:styleId="Onderwerpvanopmerking">
    <w:name w:val="annotation subject"/>
    <w:basedOn w:val="Tekstopmerking"/>
    <w:next w:val="Tekstopmerking"/>
    <w:link w:val="OnderwerpvanopmerkingChar"/>
    <w:uiPriority w:val="99"/>
    <w:semiHidden/>
    <w:unhideWhenUsed/>
    <w:rsid w:val="00444CE2"/>
    <w:rPr>
      <w:b/>
      <w:bCs/>
    </w:rPr>
  </w:style>
  <w:style w:type="character" w:customStyle="1" w:styleId="OnderwerpvanopmerkingChar">
    <w:name w:val="Onderwerp van opmerking Char"/>
    <w:basedOn w:val="TekstopmerkingChar"/>
    <w:link w:val="Onderwerpvanopmerking"/>
    <w:uiPriority w:val="99"/>
    <w:semiHidden/>
    <w:rsid w:val="00444CE2"/>
    <w:rPr>
      <w:b/>
      <w:bCs/>
      <w:sz w:val="20"/>
      <w:szCs w:val="20"/>
    </w:rPr>
  </w:style>
  <w:style w:type="paragraph" w:styleId="Koptekst">
    <w:name w:val="header"/>
    <w:basedOn w:val="Standaard"/>
    <w:link w:val="KoptekstChar"/>
    <w:uiPriority w:val="99"/>
    <w:semiHidden/>
    <w:unhideWhenUsed/>
    <w:rsid w:val="00DF6C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F6CD7"/>
  </w:style>
  <w:style w:type="paragraph" w:styleId="Voettekst">
    <w:name w:val="footer"/>
    <w:basedOn w:val="Standaard"/>
    <w:link w:val="VoettekstChar"/>
    <w:uiPriority w:val="99"/>
    <w:semiHidden/>
    <w:unhideWhenUsed/>
    <w:rsid w:val="00DF6C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F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242</ap:Words>
  <ap:Characters>1332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2024-11-13T08:43:00.0000000Z</dcterms:created>
  <dcterms:modified xsi:type="dcterms:W3CDTF">2024-11-13T08:43:00.0000000Z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e8e605-886f-40a5-9b36-81111623fe46_Enabled">
    <vt:lpwstr>true</vt:lpwstr>
  </property>
  <property fmtid="{D5CDD505-2E9C-101B-9397-08002B2CF9AE}" pid="3" name="MSIP_Label_cbe8e605-886f-40a5-9b36-81111623fe46_SetDate">
    <vt:lpwstr>2024-04-17T09:54:59Z</vt:lpwstr>
  </property>
  <property fmtid="{D5CDD505-2E9C-101B-9397-08002B2CF9AE}" pid="4" name="MSIP_Label_cbe8e605-886f-40a5-9b36-81111623fe46_Method">
    <vt:lpwstr>Standard</vt:lpwstr>
  </property>
  <property fmtid="{D5CDD505-2E9C-101B-9397-08002B2CF9AE}" pid="5" name="MSIP_Label_cbe8e605-886f-40a5-9b36-81111623fe46_Name">
    <vt:lpwstr>Rijksoverheid (AGT)</vt:lpwstr>
  </property>
  <property fmtid="{D5CDD505-2E9C-101B-9397-08002B2CF9AE}" pid="6" name="MSIP_Label_cbe8e605-886f-40a5-9b36-81111623fe46_SiteId">
    <vt:lpwstr>84712536-f524-40a0-913b-5d25ba502732</vt:lpwstr>
  </property>
  <property fmtid="{D5CDD505-2E9C-101B-9397-08002B2CF9AE}" pid="7" name="MSIP_Label_cbe8e605-886f-40a5-9b36-81111623fe46_ActionId">
    <vt:lpwstr>1d3285a1-8b7d-4cd4-9380-232872f29f31</vt:lpwstr>
  </property>
  <property fmtid="{D5CDD505-2E9C-101B-9397-08002B2CF9AE}" pid="8" name="MSIP_Label_cbe8e605-886f-40a5-9b36-81111623fe46_ContentBits">
    <vt:lpwstr>0</vt:lpwstr>
  </property>
  <property fmtid="{D5CDD505-2E9C-101B-9397-08002B2CF9AE}" pid="9" name="ContentTypeId">
    <vt:lpwstr>0x010100201FF7B0640772429921DE9C105BC35A</vt:lpwstr>
  </property>
</Properties>
</file>