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197854" w14:paraId="2B6F7BDB" w14:textId="77777777">
        <w:tc>
          <w:tcPr>
            <w:tcW w:w="6733" w:type="dxa"/>
            <w:gridSpan w:val="2"/>
            <w:tcBorders>
              <w:top w:val="nil"/>
              <w:left w:val="nil"/>
              <w:bottom w:val="nil"/>
              <w:right w:val="nil"/>
            </w:tcBorders>
            <w:vAlign w:val="center"/>
          </w:tcPr>
          <w:p w:rsidR="00997775" w:rsidP="00710A7A" w:rsidRDefault="00997775" w14:paraId="43C1DB1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EFF83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197854" w14:paraId="6B557BC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EEF3F1F" w14:textId="77777777">
            <w:r w:rsidRPr="008B0CC5">
              <w:t xml:space="preserve">Vergaderjaar </w:t>
            </w:r>
            <w:r w:rsidR="00AC6B87">
              <w:t>2024-2025</w:t>
            </w:r>
          </w:p>
        </w:tc>
      </w:tr>
      <w:tr w:rsidR="00997775" w:rsidTr="00197854" w14:paraId="190F659B" w14:textId="77777777">
        <w:trPr>
          <w:cantSplit/>
        </w:trPr>
        <w:tc>
          <w:tcPr>
            <w:tcW w:w="10985" w:type="dxa"/>
            <w:gridSpan w:val="3"/>
            <w:tcBorders>
              <w:top w:val="nil"/>
              <w:left w:val="nil"/>
              <w:bottom w:val="nil"/>
              <w:right w:val="nil"/>
            </w:tcBorders>
          </w:tcPr>
          <w:p w:rsidR="00997775" w:rsidRDefault="00997775" w14:paraId="497B44E8" w14:textId="77777777"/>
        </w:tc>
      </w:tr>
      <w:tr w:rsidR="00997775" w:rsidTr="00197854" w14:paraId="322175CA" w14:textId="77777777">
        <w:trPr>
          <w:cantSplit/>
        </w:trPr>
        <w:tc>
          <w:tcPr>
            <w:tcW w:w="10985" w:type="dxa"/>
            <w:gridSpan w:val="3"/>
            <w:tcBorders>
              <w:top w:val="nil"/>
              <w:left w:val="nil"/>
              <w:bottom w:val="single" w:color="auto" w:sz="4" w:space="0"/>
              <w:right w:val="nil"/>
            </w:tcBorders>
          </w:tcPr>
          <w:p w:rsidR="00997775" w:rsidRDefault="00997775" w14:paraId="7EB99F4E" w14:textId="77777777"/>
        </w:tc>
      </w:tr>
      <w:tr w:rsidR="00997775" w:rsidTr="00197854" w14:paraId="770E1D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B08300" w14:textId="77777777"/>
        </w:tc>
        <w:tc>
          <w:tcPr>
            <w:tcW w:w="7654" w:type="dxa"/>
            <w:gridSpan w:val="2"/>
          </w:tcPr>
          <w:p w:rsidR="00997775" w:rsidRDefault="00997775" w14:paraId="369E6ED1" w14:textId="77777777"/>
        </w:tc>
      </w:tr>
      <w:tr w:rsidR="00197854" w:rsidTr="00197854" w14:paraId="7283F8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197854" w:rsidP="00197854" w:rsidRDefault="00197854" w14:paraId="7385B5A2" w14:textId="71EF9CCF">
            <w:pPr>
              <w:rPr>
                <w:b/>
                <w:bCs/>
                <w:szCs w:val="24"/>
              </w:rPr>
            </w:pPr>
            <w:r w:rsidRPr="002F2718">
              <w:rPr>
                <w:b/>
                <w:bCs/>
                <w:szCs w:val="24"/>
              </w:rPr>
              <w:t>36 602</w:t>
            </w:r>
          </w:p>
        </w:tc>
        <w:tc>
          <w:tcPr>
            <w:tcW w:w="7654" w:type="dxa"/>
            <w:gridSpan w:val="2"/>
          </w:tcPr>
          <w:p w:rsidRPr="002F2718" w:rsidR="00197854" w:rsidP="00197854" w:rsidRDefault="00197854" w14:paraId="6B95F279" w14:textId="40DAFCF6">
            <w:pPr>
              <w:rPr>
                <w:b/>
                <w:bCs/>
                <w:szCs w:val="24"/>
              </w:rPr>
            </w:pPr>
            <w:r w:rsidRPr="002F2718">
              <w:rPr>
                <w:b/>
                <w:bCs/>
                <w:szCs w:val="24"/>
              </w:rPr>
              <w:t>Wijziging van enkele belastingwetten en enige andere wetten (Belastingplan 2025)</w:t>
            </w:r>
          </w:p>
        </w:tc>
      </w:tr>
      <w:tr w:rsidR="00197854" w:rsidTr="00197854" w14:paraId="2871D3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197854" w:rsidP="00197854" w:rsidRDefault="00197854" w14:paraId="4BD0F54D" w14:textId="77777777">
            <w:pPr>
              <w:rPr>
                <w:b/>
                <w:bCs/>
                <w:szCs w:val="24"/>
              </w:rPr>
            </w:pPr>
          </w:p>
        </w:tc>
        <w:tc>
          <w:tcPr>
            <w:tcW w:w="7654" w:type="dxa"/>
            <w:gridSpan w:val="2"/>
          </w:tcPr>
          <w:p w:rsidRPr="002F2718" w:rsidR="00197854" w:rsidP="00197854" w:rsidRDefault="00197854" w14:paraId="2A5F6351" w14:textId="77777777">
            <w:pPr>
              <w:rPr>
                <w:b/>
                <w:bCs/>
                <w:szCs w:val="24"/>
              </w:rPr>
            </w:pPr>
          </w:p>
        </w:tc>
      </w:tr>
      <w:tr w:rsidR="00197854" w:rsidTr="00197854" w14:paraId="17347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197854" w:rsidP="00197854" w:rsidRDefault="00197854" w14:paraId="31D7FE60" w14:textId="77777777">
            <w:pPr>
              <w:rPr>
                <w:b/>
                <w:bCs/>
                <w:szCs w:val="24"/>
              </w:rPr>
            </w:pPr>
          </w:p>
        </w:tc>
        <w:tc>
          <w:tcPr>
            <w:tcW w:w="7654" w:type="dxa"/>
            <w:gridSpan w:val="2"/>
          </w:tcPr>
          <w:p w:rsidRPr="002F2718" w:rsidR="00197854" w:rsidP="00197854" w:rsidRDefault="00197854" w14:paraId="46466F9B" w14:textId="77777777">
            <w:pPr>
              <w:rPr>
                <w:b/>
                <w:bCs/>
                <w:szCs w:val="24"/>
              </w:rPr>
            </w:pPr>
          </w:p>
        </w:tc>
      </w:tr>
      <w:tr w:rsidR="00197854" w:rsidTr="00197854" w14:paraId="1EA620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197854" w:rsidP="00197854" w:rsidRDefault="00197854" w14:paraId="5317CF70" w14:textId="3EBB9AF9">
            <w:pPr>
              <w:rPr>
                <w:b/>
                <w:bCs/>
                <w:szCs w:val="24"/>
              </w:rPr>
            </w:pPr>
            <w:r w:rsidRPr="002F2718">
              <w:rPr>
                <w:b/>
                <w:bCs/>
                <w:szCs w:val="24"/>
              </w:rPr>
              <w:t xml:space="preserve">Nr. </w:t>
            </w:r>
            <w:r w:rsidRPr="002F2718" w:rsidR="002F2718">
              <w:rPr>
                <w:b/>
                <w:bCs/>
                <w:szCs w:val="24"/>
              </w:rPr>
              <w:t xml:space="preserve">                   GEWIJZIGDE</w:t>
            </w:r>
          </w:p>
        </w:tc>
        <w:tc>
          <w:tcPr>
            <w:tcW w:w="7654" w:type="dxa"/>
            <w:gridSpan w:val="2"/>
          </w:tcPr>
          <w:p w:rsidRPr="002F2718" w:rsidR="00197854" w:rsidP="00197854" w:rsidRDefault="00197854" w14:paraId="537DDD78" w14:textId="6328418D">
            <w:pPr>
              <w:rPr>
                <w:b/>
                <w:bCs/>
                <w:szCs w:val="24"/>
              </w:rPr>
            </w:pPr>
            <w:r w:rsidRPr="002F2718">
              <w:rPr>
                <w:b/>
                <w:bCs/>
                <w:szCs w:val="24"/>
              </w:rPr>
              <w:t>MOTIE VAN HET LID VERMEER</w:t>
            </w:r>
          </w:p>
        </w:tc>
      </w:tr>
      <w:tr w:rsidR="00197854" w:rsidTr="00197854" w14:paraId="45F220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197854" w:rsidP="00197854" w:rsidRDefault="00197854" w14:paraId="6626B747" w14:textId="77777777">
            <w:pPr>
              <w:rPr>
                <w:szCs w:val="24"/>
              </w:rPr>
            </w:pPr>
          </w:p>
        </w:tc>
        <w:tc>
          <w:tcPr>
            <w:tcW w:w="7654" w:type="dxa"/>
            <w:gridSpan w:val="2"/>
          </w:tcPr>
          <w:p w:rsidRPr="002F2718" w:rsidR="002F2718" w:rsidP="00197854" w:rsidRDefault="002F2718" w14:paraId="669A22D1" w14:textId="2A4F99AC">
            <w:pPr>
              <w:rPr>
                <w:szCs w:val="24"/>
              </w:rPr>
            </w:pPr>
            <w:r w:rsidRPr="002F2718">
              <w:rPr>
                <w:szCs w:val="24"/>
              </w:rPr>
              <w:t>Ter vervanging van die gedrukt onder nr. 119</w:t>
            </w:r>
          </w:p>
          <w:p w:rsidRPr="002F2718" w:rsidR="00197854" w:rsidP="00197854" w:rsidRDefault="00197854" w14:paraId="765214BA" w14:textId="4ABD98C2">
            <w:pPr>
              <w:rPr>
                <w:szCs w:val="24"/>
              </w:rPr>
            </w:pPr>
            <w:r w:rsidRPr="002F2718">
              <w:rPr>
                <w:szCs w:val="24"/>
              </w:rPr>
              <w:t xml:space="preserve">Voorgesteld </w:t>
            </w:r>
          </w:p>
        </w:tc>
      </w:tr>
      <w:tr w:rsidR="00997775" w:rsidTr="00197854" w14:paraId="6D6B5E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74C37B24" w14:textId="77777777">
            <w:pPr>
              <w:rPr>
                <w:szCs w:val="24"/>
              </w:rPr>
            </w:pPr>
          </w:p>
        </w:tc>
        <w:tc>
          <w:tcPr>
            <w:tcW w:w="7654" w:type="dxa"/>
            <w:gridSpan w:val="2"/>
          </w:tcPr>
          <w:p w:rsidRPr="002F2718" w:rsidR="00997775" w:rsidRDefault="00997775" w14:paraId="0A5802AD" w14:textId="77777777">
            <w:pPr>
              <w:rPr>
                <w:szCs w:val="24"/>
              </w:rPr>
            </w:pPr>
          </w:p>
        </w:tc>
      </w:tr>
      <w:tr w:rsidR="00997775" w:rsidTr="00197854" w14:paraId="59C5E1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4B0A6D19" w14:textId="77777777">
            <w:pPr>
              <w:rPr>
                <w:szCs w:val="24"/>
              </w:rPr>
            </w:pPr>
          </w:p>
        </w:tc>
        <w:tc>
          <w:tcPr>
            <w:tcW w:w="7654" w:type="dxa"/>
            <w:gridSpan w:val="2"/>
          </w:tcPr>
          <w:p w:rsidRPr="002F2718" w:rsidR="00997775" w:rsidRDefault="00997775" w14:paraId="6A084181" w14:textId="77777777">
            <w:pPr>
              <w:rPr>
                <w:szCs w:val="24"/>
              </w:rPr>
            </w:pPr>
            <w:r w:rsidRPr="002F2718">
              <w:rPr>
                <w:szCs w:val="24"/>
              </w:rPr>
              <w:t>De Kamer,</w:t>
            </w:r>
          </w:p>
        </w:tc>
      </w:tr>
      <w:tr w:rsidR="00997775" w:rsidTr="00197854" w14:paraId="334A0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1769046E" w14:textId="77777777">
            <w:pPr>
              <w:rPr>
                <w:szCs w:val="24"/>
              </w:rPr>
            </w:pPr>
          </w:p>
        </w:tc>
        <w:tc>
          <w:tcPr>
            <w:tcW w:w="7654" w:type="dxa"/>
            <w:gridSpan w:val="2"/>
          </w:tcPr>
          <w:p w:rsidRPr="002F2718" w:rsidR="00997775" w:rsidRDefault="00997775" w14:paraId="32DBBF63" w14:textId="77777777">
            <w:pPr>
              <w:rPr>
                <w:szCs w:val="24"/>
              </w:rPr>
            </w:pPr>
          </w:p>
        </w:tc>
      </w:tr>
      <w:tr w:rsidR="00997775" w:rsidTr="00197854" w14:paraId="52C09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3919D908" w14:textId="77777777">
            <w:pPr>
              <w:rPr>
                <w:szCs w:val="24"/>
              </w:rPr>
            </w:pPr>
          </w:p>
        </w:tc>
        <w:tc>
          <w:tcPr>
            <w:tcW w:w="7654" w:type="dxa"/>
            <w:gridSpan w:val="2"/>
          </w:tcPr>
          <w:p w:rsidRPr="002F2718" w:rsidR="00997775" w:rsidRDefault="00997775" w14:paraId="2FA7C86C" w14:textId="77777777">
            <w:pPr>
              <w:rPr>
                <w:szCs w:val="24"/>
              </w:rPr>
            </w:pPr>
            <w:r w:rsidRPr="002F2718">
              <w:rPr>
                <w:szCs w:val="24"/>
              </w:rPr>
              <w:t>gehoord de beraadslaging,</w:t>
            </w:r>
          </w:p>
        </w:tc>
      </w:tr>
      <w:tr w:rsidR="00997775" w:rsidTr="00197854" w14:paraId="533B1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41D7FFCB" w14:textId="77777777">
            <w:pPr>
              <w:rPr>
                <w:szCs w:val="24"/>
              </w:rPr>
            </w:pPr>
          </w:p>
        </w:tc>
        <w:tc>
          <w:tcPr>
            <w:tcW w:w="7654" w:type="dxa"/>
            <w:gridSpan w:val="2"/>
          </w:tcPr>
          <w:p w:rsidRPr="002F2718" w:rsidR="00997775" w:rsidRDefault="00997775" w14:paraId="167CF7CC" w14:textId="77777777">
            <w:pPr>
              <w:rPr>
                <w:szCs w:val="24"/>
              </w:rPr>
            </w:pPr>
          </w:p>
        </w:tc>
      </w:tr>
      <w:tr w:rsidR="00997775" w:rsidTr="00197854" w14:paraId="6D2D53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2F2718" w:rsidR="00997775" w:rsidRDefault="00997775" w14:paraId="1D5DE074" w14:textId="77777777">
            <w:pPr>
              <w:rPr>
                <w:szCs w:val="24"/>
              </w:rPr>
            </w:pPr>
          </w:p>
        </w:tc>
        <w:tc>
          <w:tcPr>
            <w:tcW w:w="7654" w:type="dxa"/>
            <w:gridSpan w:val="2"/>
          </w:tcPr>
          <w:p w:rsidRPr="002F2718" w:rsidR="002F2718" w:rsidP="002F2718" w:rsidRDefault="002F2718" w14:paraId="3C3BEF2F" w14:textId="78086CF4">
            <w:pPr>
              <w:jc w:val="both"/>
              <w:rPr>
                <w:rFonts w:eastAsia="Calibri"/>
                <w:color w:val="000000" w:themeColor="text1"/>
                <w:szCs w:val="24"/>
              </w:rPr>
            </w:pPr>
            <w:r w:rsidRPr="002F2718">
              <w:rPr>
                <w:rFonts w:eastAsia="Calibri"/>
                <w:color w:val="000000" w:themeColor="text1"/>
                <w:szCs w:val="24"/>
              </w:rPr>
              <w:t>o</w:t>
            </w:r>
            <w:r w:rsidRPr="002F2718">
              <w:rPr>
                <w:rFonts w:eastAsia="Calibri"/>
                <w:color w:val="000000" w:themeColor="text1"/>
                <w:szCs w:val="24"/>
              </w:rPr>
              <w:t>verwegende dat</w:t>
            </w:r>
            <w:r w:rsidRPr="002F2718">
              <w:rPr>
                <w:rFonts w:eastAsia="Calibri"/>
                <w:color w:val="000000" w:themeColor="text1"/>
                <w:szCs w:val="24"/>
              </w:rPr>
              <w:t xml:space="preserve"> </w:t>
            </w:r>
            <w:r w:rsidRPr="002F2718">
              <w:rPr>
                <w:rFonts w:eastAsia="Calibri"/>
                <w:color w:val="000000" w:themeColor="text1"/>
                <w:szCs w:val="24"/>
              </w:rPr>
              <w:t>consumenten en energiebedrijven gebaat zijn bij duidelijkheid en voorspelbaarheid over de kosten van opzegging bij voortijdige beëindiging van energiecontracten;</w:t>
            </w:r>
          </w:p>
          <w:p w:rsidRPr="002F2718" w:rsidR="002F2718" w:rsidP="002F2718" w:rsidRDefault="002F2718" w14:paraId="27B141EE" w14:textId="77777777">
            <w:pPr>
              <w:jc w:val="both"/>
              <w:rPr>
                <w:rFonts w:eastAsia="Calibri"/>
                <w:color w:val="000000" w:themeColor="text1"/>
                <w:szCs w:val="24"/>
              </w:rPr>
            </w:pPr>
          </w:p>
          <w:p w:rsidRPr="002F2718" w:rsidR="002F2718" w:rsidP="002F2718" w:rsidRDefault="002F2718" w14:paraId="6253BDFB" w14:textId="588E8F2B">
            <w:pPr>
              <w:jc w:val="both"/>
              <w:rPr>
                <w:rFonts w:eastAsia="Calibri"/>
                <w:color w:val="000000" w:themeColor="text1"/>
                <w:szCs w:val="24"/>
              </w:rPr>
            </w:pPr>
            <w:r w:rsidRPr="002F2718">
              <w:rPr>
                <w:rFonts w:eastAsia="Calibri"/>
                <w:color w:val="000000" w:themeColor="text1"/>
                <w:szCs w:val="24"/>
              </w:rPr>
              <w:t xml:space="preserve">overwegende </w:t>
            </w:r>
            <w:r w:rsidRPr="002F2718">
              <w:rPr>
                <w:rFonts w:eastAsia="Calibri"/>
                <w:color w:val="000000" w:themeColor="text1"/>
                <w:szCs w:val="24"/>
              </w:rPr>
              <w:t xml:space="preserve">een vaste en </w:t>
            </w:r>
            <w:proofErr w:type="spellStart"/>
            <w:r w:rsidRPr="002F2718">
              <w:rPr>
                <w:rFonts w:eastAsia="Calibri"/>
                <w:color w:val="000000" w:themeColor="text1"/>
                <w:szCs w:val="24"/>
              </w:rPr>
              <w:t>herzienbare</w:t>
            </w:r>
            <w:proofErr w:type="spellEnd"/>
            <w:r w:rsidRPr="002F2718">
              <w:rPr>
                <w:rFonts w:eastAsia="Calibri"/>
                <w:color w:val="000000" w:themeColor="text1"/>
                <w:szCs w:val="24"/>
              </w:rPr>
              <w:t xml:space="preserve"> opzegvergoeding bijdraagt aan transparantie en marktconformiteit en zorgt dat partijen weten welke kosten bij tussentijdse beëindiging gelden. </w:t>
            </w:r>
          </w:p>
          <w:p w:rsidRPr="002F2718" w:rsidR="002F2718" w:rsidP="002F2718" w:rsidRDefault="002F2718" w14:paraId="41AC3334" w14:textId="77777777">
            <w:pPr>
              <w:jc w:val="both"/>
              <w:rPr>
                <w:rFonts w:eastAsia="Calibri"/>
                <w:color w:val="000000" w:themeColor="text1"/>
                <w:szCs w:val="24"/>
              </w:rPr>
            </w:pPr>
            <w:r w:rsidRPr="002F2718">
              <w:rPr>
                <w:rFonts w:eastAsia="Calibri"/>
                <w:color w:val="000000" w:themeColor="text1"/>
                <w:szCs w:val="24"/>
              </w:rPr>
              <w:t xml:space="preserve"> </w:t>
            </w:r>
          </w:p>
          <w:p w:rsidRPr="002F2718" w:rsidR="002F2718" w:rsidP="002F2718" w:rsidRDefault="002F2718" w14:paraId="42820398" w14:textId="32524E98">
            <w:pPr>
              <w:jc w:val="both"/>
              <w:rPr>
                <w:rFonts w:eastAsia="Calibri"/>
                <w:color w:val="000000" w:themeColor="text1"/>
                <w:szCs w:val="24"/>
              </w:rPr>
            </w:pPr>
            <w:r w:rsidRPr="002F2718">
              <w:rPr>
                <w:rFonts w:eastAsia="Calibri"/>
                <w:color w:val="000000" w:themeColor="text1"/>
                <w:szCs w:val="24"/>
              </w:rPr>
              <w:t>v</w:t>
            </w:r>
            <w:r w:rsidRPr="002F2718">
              <w:rPr>
                <w:rFonts w:eastAsia="Calibri"/>
                <w:color w:val="000000" w:themeColor="text1"/>
                <w:szCs w:val="24"/>
              </w:rPr>
              <w:t>erzoekt de regering</w:t>
            </w:r>
            <w:r w:rsidRPr="002F2718">
              <w:rPr>
                <w:rFonts w:eastAsia="Calibri"/>
                <w:color w:val="000000" w:themeColor="text1"/>
                <w:szCs w:val="24"/>
              </w:rPr>
              <w:t xml:space="preserve"> </w:t>
            </w:r>
            <w:r w:rsidRPr="002F2718">
              <w:rPr>
                <w:rFonts w:eastAsia="Calibri"/>
                <w:color w:val="000000" w:themeColor="text1"/>
                <w:szCs w:val="24"/>
              </w:rPr>
              <w:t>om in afstemming met de Autoriteit Consument en Markt (ACM) de werking van de huidige Beleidsregel opzegvergoedingen te evalueren en daarbij in ieder geval in te gaan op de vraag of de hoogte van de vergoeding voldoende duidelijk is voor de consument,</w:t>
            </w:r>
          </w:p>
          <w:p w:rsidRPr="002F2718" w:rsidR="002F2718" w:rsidP="002F2718" w:rsidRDefault="002F2718" w14:paraId="10D0BFA1" w14:textId="77777777">
            <w:pPr>
              <w:jc w:val="both"/>
              <w:rPr>
                <w:rFonts w:eastAsia="Calibri"/>
                <w:color w:val="000000" w:themeColor="text1"/>
                <w:szCs w:val="24"/>
              </w:rPr>
            </w:pPr>
            <w:r w:rsidRPr="002F2718">
              <w:rPr>
                <w:rFonts w:eastAsia="Calibri"/>
                <w:color w:val="000000" w:themeColor="text1"/>
                <w:szCs w:val="24"/>
              </w:rPr>
              <w:t xml:space="preserve">  </w:t>
            </w:r>
          </w:p>
          <w:p w:rsidRPr="002F2718" w:rsidR="002F2718" w:rsidP="002F2718" w:rsidRDefault="002F2718" w14:paraId="33543C0F" w14:textId="388EF275">
            <w:pPr>
              <w:jc w:val="both"/>
              <w:rPr>
                <w:rFonts w:eastAsia="Calibri"/>
                <w:color w:val="000000" w:themeColor="text1"/>
                <w:szCs w:val="24"/>
              </w:rPr>
            </w:pPr>
            <w:r w:rsidRPr="002F2718">
              <w:rPr>
                <w:rFonts w:eastAsia="Calibri"/>
                <w:color w:val="000000" w:themeColor="text1"/>
                <w:szCs w:val="24"/>
              </w:rPr>
              <w:t>e</w:t>
            </w:r>
            <w:r w:rsidRPr="002F2718">
              <w:rPr>
                <w:rFonts w:eastAsia="Calibri"/>
                <w:color w:val="000000" w:themeColor="text1"/>
                <w:szCs w:val="24"/>
              </w:rPr>
              <w:t>n gaat over tot de orde van de dag.</w:t>
            </w:r>
          </w:p>
          <w:p w:rsidRPr="002F2718" w:rsidR="002F2718" w:rsidP="002F2718" w:rsidRDefault="002F2718" w14:paraId="4190EA9C" w14:textId="77777777">
            <w:pPr>
              <w:rPr>
                <w:szCs w:val="24"/>
              </w:rPr>
            </w:pPr>
          </w:p>
          <w:p w:rsidRPr="002F2718" w:rsidR="002F2718" w:rsidP="002F2718" w:rsidRDefault="002F2718" w14:paraId="6F85305F" w14:textId="77777777">
            <w:pPr>
              <w:rPr>
                <w:szCs w:val="24"/>
              </w:rPr>
            </w:pPr>
            <w:r w:rsidRPr="002F2718">
              <w:rPr>
                <w:szCs w:val="24"/>
              </w:rPr>
              <w:t>Vermeer</w:t>
            </w:r>
          </w:p>
          <w:p w:rsidRPr="002F2718" w:rsidR="00997775" w:rsidP="00197854" w:rsidRDefault="00997775" w14:paraId="35788FB1" w14:textId="7320C367">
            <w:pPr>
              <w:rPr>
                <w:szCs w:val="24"/>
              </w:rPr>
            </w:pPr>
          </w:p>
        </w:tc>
      </w:tr>
    </w:tbl>
    <w:p w:rsidR="00997775" w:rsidRDefault="00997775" w14:paraId="7ED87DE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9CE2E" w14:textId="77777777" w:rsidR="00197854" w:rsidRDefault="00197854">
      <w:pPr>
        <w:spacing w:line="20" w:lineRule="exact"/>
      </w:pPr>
    </w:p>
  </w:endnote>
  <w:endnote w:type="continuationSeparator" w:id="0">
    <w:p w14:paraId="44548B54" w14:textId="77777777" w:rsidR="00197854" w:rsidRDefault="00197854">
      <w:pPr>
        <w:pStyle w:val="Amendement"/>
      </w:pPr>
      <w:r>
        <w:rPr>
          <w:b w:val="0"/>
        </w:rPr>
        <w:t xml:space="preserve"> </w:t>
      </w:r>
    </w:p>
  </w:endnote>
  <w:endnote w:type="continuationNotice" w:id="1">
    <w:p w14:paraId="7FBECA50" w14:textId="77777777" w:rsidR="00197854" w:rsidRDefault="001978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FE53" w14:textId="77777777" w:rsidR="00197854" w:rsidRDefault="00197854">
      <w:pPr>
        <w:pStyle w:val="Amendement"/>
      </w:pPr>
      <w:r>
        <w:rPr>
          <w:b w:val="0"/>
        </w:rPr>
        <w:separator/>
      </w:r>
    </w:p>
  </w:footnote>
  <w:footnote w:type="continuationSeparator" w:id="0">
    <w:p w14:paraId="3CF11D7B" w14:textId="77777777" w:rsidR="00197854" w:rsidRDefault="0019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6199D"/>
    <w:multiLevelType w:val="hybridMultilevel"/>
    <w:tmpl w:val="1AC8EEE0"/>
    <w:lvl w:ilvl="0" w:tplc="90D2724A">
      <w:start w:val="1"/>
      <w:numFmt w:val="bullet"/>
      <w:lvlText w:val="-"/>
      <w:lvlJc w:val="left"/>
      <w:pPr>
        <w:ind w:left="720" w:hanging="360"/>
      </w:pPr>
      <w:rPr>
        <w:rFonts w:ascii="Aptos" w:hAnsi="Aptos" w:hint="default"/>
      </w:rPr>
    </w:lvl>
    <w:lvl w:ilvl="1" w:tplc="EDB034A8">
      <w:start w:val="1"/>
      <w:numFmt w:val="bullet"/>
      <w:lvlText w:val="o"/>
      <w:lvlJc w:val="left"/>
      <w:pPr>
        <w:ind w:left="1440" w:hanging="360"/>
      </w:pPr>
      <w:rPr>
        <w:rFonts w:ascii="Courier New" w:hAnsi="Courier New" w:hint="default"/>
      </w:rPr>
    </w:lvl>
    <w:lvl w:ilvl="2" w:tplc="5F22016E">
      <w:start w:val="1"/>
      <w:numFmt w:val="bullet"/>
      <w:lvlText w:val=""/>
      <w:lvlJc w:val="left"/>
      <w:pPr>
        <w:ind w:left="2160" w:hanging="360"/>
      </w:pPr>
      <w:rPr>
        <w:rFonts w:ascii="Wingdings" w:hAnsi="Wingdings" w:hint="default"/>
      </w:rPr>
    </w:lvl>
    <w:lvl w:ilvl="3" w:tplc="110EAAA8">
      <w:start w:val="1"/>
      <w:numFmt w:val="bullet"/>
      <w:lvlText w:val=""/>
      <w:lvlJc w:val="left"/>
      <w:pPr>
        <w:ind w:left="2880" w:hanging="360"/>
      </w:pPr>
      <w:rPr>
        <w:rFonts w:ascii="Symbol" w:hAnsi="Symbol" w:hint="default"/>
      </w:rPr>
    </w:lvl>
    <w:lvl w:ilvl="4" w:tplc="6D247C80">
      <w:start w:val="1"/>
      <w:numFmt w:val="bullet"/>
      <w:lvlText w:val="o"/>
      <w:lvlJc w:val="left"/>
      <w:pPr>
        <w:ind w:left="3600" w:hanging="360"/>
      </w:pPr>
      <w:rPr>
        <w:rFonts w:ascii="Courier New" w:hAnsi="Courier New" w:hint="default"/>
      </w:rPr>
    </w:lvl>
    <w:lvl w:ilvl="5" w:tplc="C1209C5C">
      <w:start w:val="1"/>
      <w:numFmt w:val="bullet"/>
      <w:lvlText w:val=""/>
      <w:lvlJc w:val="left"/>
      <w:pPr>
        <w:ind w:left="4320" w:hanging="360"/>
      </w:pPr>
      <w:rPr>
        <w:rFonts w:ascii="Wingdings" w:hAnsi="Wingdings" w:hint="default"/>
      </w:rPr>
    </w:lvl>
    <w:lvl w:ilvl="6" w:tplc="1AFC91FC">
      <w:start w:val="1"/>
      <w:numFmt w:val="bullet"/>
      <w:lvlText w:val=""/>
      <w:lvlJc w:val="left"/>
      <w:pPr>
        <w:ind w:left="5040" w:hanging="360"/>
      </w:pPr>
      <w:rPr>
        <w:rFonts w:ascii="Symbol" w:hAnsi="Symbol" w:hint="default"/>
      </w:rPr>
    </w:lvl>
    <w:lvl w:ilvl="7" w:tplc="04A483D4">
      <w:start w:val="1"/>
      <w:numFmt w:val="bullet"/>
      <w:lvlText w:val="o"/>
      <w:lvlJc w:val="left"/>
      <w:pPr>
        <w:ind w:left="5760" w:hanging="360"/>
      </w:pPr>
      <w:rPr>
        <w:rFonts w:ascii="Courier New" w:hAnsi="Courier New" w:hint="default"/>
      </w:rPr>
    </w:lvl>
    <w:lvl w:ilvl="8" w:tplc="BF000D6A">
      <w:start w:val="1"/>
      <w:numFmt w:val="bullet"/>
      <w:lvlText w:val=""/>
      <w:lvlJc w:val="left"/>
      <w:pPr>
        <w:ind w:left="6480" w:hanging="360"/>
      </w:pPr>
      <w:rPr>
        <w:rFonts w:ascii="Wingdings" w:hAnsi="Wingdings" w:hint="default"/>
      </w:rPr>
    </w:lvl>
  </w:abstractNum>
  <w:abstractNum w:abstractNumId="1" w15:restartNumberingAfterBreak="0">
    <w:nsid w:val="77D29D28"/>
    <w:multiLevelType w:val="hybridMultilevel"/>
    <w:tmpl w:val="36ACF05C"/>
    <w:lvl w:ilvl="0" w:tplc="7BC49FFC">
      <w:start w:val="1"/>
      <w:numFmt w:val="bullet"/>
      <w:lvlText w:val="-"/>
      <w:lvlJc w:val="left"/>
      <w:pPr>
        <w:ind w:left="720" w:hanging="360"/>
      </w:pPr>
      <w:rPr>
        <w:rFonts w:ascii="Aptos" w:hAnsi="Aptos" w:hint="default"/>
      </w:rPr>
    </w:lvl>
    <w:lvl w:ilvl="1" w:tplc="17C41748">
      <w:start w:val="1"/>
      <w:numFmt w:val="bullet"/>
      <w:lvlText w:val="o"/>
      <w:lvlJc w:val="left"/>
      <w:pPr>
        <w:ind w:left="1440" w:hanging="360"/>
      </w:pPr>
      <w:rPr>
        <w:rFonts w:ascii="Courier New" w:hAnsi="Courier New" w:hint="default"/>
      </w:rPr>
    </w:lvl>
    <w:lvl w:ilvl="2" w:tplc="8792654A">
      <w:start w:val="1"/>
      <w:numFmt w:val="bullet"/>
      <w:lvlText w:val=""/>
      <w:lvlJc w:val="left"/>
      <w:pPr>
        <w:ind w:left="2160" w:hanging="360"/>
      </w:pPr>
      <w:rPr>
        <w:rFonts w:ascii="Wingdings" w:hAnsi="Wingdings" w:hint="default"/>
      </w:rPr>
    </w:lvl>
    <w:lvl w:ilvl="3" w:tplc="54D01DA8">
      <w:start w:val="1"/>
      <w:numFmt w:val="bullet"/>
      <w:lvlText w:val=""/>
      <w:lvlJc w:val="left"/>
      <w:pPr>
        <w:ind w:left="2880" w:hanging="360"/>
      </w:pPr>
      <w:rPr>
        <w:rFonts w:ascii="Symbol" w:hAnsi="Symbol" w:hint="default"/>
      </w:rPr>
    </w:lvl>
    <w:lvl w:ilvl="4" w:tplc="0090FFB6">
      <w:start w:val="1"/>
      <w:numFmt w:val="bullet"/>
      <w:lvlText w:val="o"/>
      <w:lvlJc w:val="left"/>
      <w:pPr>
        <w:ind w:left="3600" w:hanging="360"/>
      </w:pPr>
      <w:rPr>
        <w:rFonts w:ascii="Courier New" w:hAnsi="Courier New" w:hint="default"/>
      </w:rPr>
    </w:lvl>
    <w:lvl w:ilvl="5" w:tplc="83CCB460">
      <w:start w:val="1"/>
      <w:numFmt w:val="bullet"/>
      <w:lvlText w:val=""/>
      <w:lvlJc w:val="left"/>
      <w:pPr>
        <w:ind w:left="4320" w:hanging="360"/>
      </w:pPr>
      <w:rPr>
        <w:rFonts w:ascii="Wingdings" w:hAnsi="Wingdings" w:hint="default"/>
      </w:rPr>
    </w:lvl>
    <w:lvl w:ilvl="6" w:tplc="697C577A">
      <w:start w:val="1"/>
      <w:numFmt w:val="bullet"/>
      <w:lvlText w:val=""/>
      <w:lvlJc w:val="left"/>
      <w:pPr>
        <w:ind w:left="5040" w:hanging="360"/>
      </w:pPr>
      <w:rPr>
        <w:rFonts w:ascii="Symbol" w:hAnsi="Symbol" w:hint="default"/>
      </w:rPr>
    </w:lvl>
    <w:lvl w:ilvl="7" w:tplc="57E6A432">
      <w:start w:val="1"/>
      <w:numFmt w:val="bullet"/>
      <w:lvlText w:val="o"/>
      <w:lvlJc w:val="left"/>
      <w:pPr>
        <w:ind w:left="5760" w:hanging="360"/>
      </w:pPr>
      <w:rPr>
        <w:rFonts w:ascii="Courier New" w:hAnsi="Courier New" w:hint="default"/>
      </w:rPr>
    </w:lvl>
    <w:lvl w:ilvl="8" w:tplc="B33478C4">
      <w:start w:val="1"/>
      <w:numFmt w:val="bullet"/>
      <w:lvlText w:val=""/>
      <w:lvlJc w:val="left"/>
      <w:pPr>
        <w:ind w:left="6480" w:hanging="360"/>
      </w:pPr>
      <w:rPr>
        <w:rFonts w:ascii="Wingdings" w:hAnsi="Wingdings" w:hint="default"/>
      </w:rPr>
    </w:lvl>
  </w:abstractNum>
  <w:num w:numId="1" w16cid:durableId="2131656630">
    <w:abstractNumId w:val="1"/>
  </w:num>
  <w:num w:numId="2" w16cid:durableId="191569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54"/>
    <w:rsid w:val="00133FCE"/>
    <w:rsid w:val="00197854"/>
    <w:rsid w:val="001E482C"/>
    <w:rsid w:val="001E4877"/>
    <w:rsid w:val="0021105A"/>
    <w:rsid w:val="00280D6A"/>
    <w:rsid w:val="002B78E9"/>
    <w:rsid w:val="002C5406"/>
    <w:rsid w:val="002F2718"/>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3107"/>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9306A"/>
  <w15:docId w15:val="{19E7BC34-5BAE-4947-BABE-7B2B20C6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Lijstalinea">
    <w:name w:val="List Paragraph"/>
    <w:basedOn w:val="Standaard"/>
    <w:uiPriority w:val="34"/>
    <w:qFormat/>
    <w:rsid w:val="002F2718"/>
    <w:pPr>
      <w:spacing w:after="160" w:line="279" w:lineRule="auto"/>
      <w:ind w:left="720"/>
      <w:contextualSpacing/>
    </w:pPr>
    <w:rPr>
      <w:rFonts w:asciiTheme="minorHAnsi" w:eastAsiaTheme="minorHAnsi" w:hAnsiTheme="minorHAnsi" w:cstheme="minorBid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882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2024-11-13T14:51:00.0000000Z</dcterms:created>
  <dcterms:modified xsi:type="dcterms:W3CDTF">2024-11-13T14:51:00.0000000Z</dcterms:modified>
  <dc:description>------------------------</dc:description>
  <dc:subject/>
  <keywords/>
  <version/>
  <category/>
</coreProperties>
</file>