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342B" w:rsidR="00FA342B" w:rsidP="00FA342B" w:rsidRDefault="00E54093" w14:paraId="57735536" w14:textId="07897D7E">
      <w:pPr>
        <w:ind w:left="1416" w:hanging="1416"/>
        <w:rPr>
          <w:rFonts w:cstheme="minorHAnsi"/>
        </w:rPr>
      </w:pPr>
      <w:r w:rsidRPr="00FA342B">
        <w:rPr>
          <w:rFonts w:cstheme="minorHAnsi"/>
        </w:rPr>
        <w:t>36600</w:t>
      </w:r>
      <w:r w:rsidRPr="00FA342B" w:rsidR="00FA342B">
        <w:rPr>
          <w:rFonts w:cstheme="minorHAnsi"/>
        </w:rPr>
        <w:t xml:space="preserve"> </w:t>
      </w:r>
      <w:r w:rsidRPr="00FA342B">
        <w:rPr>
          <w:rFonts w:cstheme="minorHAnsi"/>
        </w:rPr>
        <w:t>V</w:t>
      </w:r>
      <w:r w:rsidRPr="00FA342B" w:rsidR="00FA342B">
        <w:rPr>
          <w:rFonts w:cstheme="minorHAnsi"/>
        </w:rPr>
        <w:tab/>
        <w:t>Vaststelling van de begrotingsstaat van het Ministerie van Buitenlandse Zaken (V) voor het jaar 2025</w:t>
      </w:r>
    </w:p>
    <w:p w:rsidRPr="00FA342B" w:rsidR="00FA342B" w:rsidP="00D80872" w:rsidRDefault="00FA342B" w14:paraId="37660F57" w14:textId="77777777">
      <w:pPr>
        <w:rPr>
          <w:rFonts w:cstheme="minorHAnsi"/>
        </w:rPr>
      </w:pPr>
      <w:r w:rsidRPr="00FA342B">
        <w:rPr>
          <w:rFonts w:cstheme="minorHAnsi"/>
        </w:rPr>
        <w:t xml:space="preserve">Nr. </w:t>
      </w:r>
      <w:r w:rsidRPr="00FA342B">
        <w:rPr>
          <w:rFonts w:cstheme="minorHAnsi"/>
        </w:rPr>
        <w:t>11</w:t>
      </w:r>
      <w:r w:rsidRPr="00FA342B">
        <w:rPr>
          <w:rFonts w:cstheme="minorHAnsi"/>
        </w:rPr>
        <w:tab/>
      </w:r>
      <w:r w:rsidRPr="00FA342B">
        <w:rPr>
          <w:rFonts w:cstheme="minorHAnsi"/>
        </w:rPr>
        <w:tab/>
        <w:t>Brief van de minister van Buitenlandse Zaken</w:t>
      </w:r>
    </w:p>
    <w:p w:rsidRPr="00FA342B" w:rsidR="00FA342B" w:rsidP="00E54093" w:rsidRDefault="00FA342B" w14:paraId="0CA7EFFD" w14:textId="77777777">
      <w:pPr>
        <w:spacing w:after="0" w:line="276" w:lineRule="auto"/>
        <w:rPr>
          <w:rFonts w:cstheme="minorHAnsi"/>
        </w:rPr>
      </w:pPr>
      <w:r w:rsidRPr="00FA342B">
        <w:rPr>
          <w:rFonts w:cstheme="minorHAnsi"/>
        </w:rPr>
        <w:t>Aan de Voorzitter van de Tweede Kamer der Staten-Generaal</w:t>
      </w:r>
    </w:p>
    <w:p w:rsidRPr="00FA342B" w:rsidR="00FA342B" w:rsidP="00E54093" w:rsidRDefault="00FA342B" w14:paraId="251561EB" w14:textId="77777777">
      <w:pPr>
        <w:spacing w:after="0" w:line="276" w:lineRule="auto"/>
        <w:rPr>
          <w:rFonts w:cstheme="minorHAnsi"/>
        </w:rPr>
      </w:pPr>
    </w:p>
    <w:p w:rsidRPr="00FA342B" w:rsidR="00FA342B" w:rsidP="00E54093" w:rsidRDefault="00FA342B" w14:paraId="2E9E65E2" w14:textId="661E1EAB">
      <w:pPr>
        <w:spacing w:after="0" w:line="276" w:lineRule="auto"/>
        <w:rPr>
          <w:rFonts w:cstheme="minorHAnsi"/>
        </w:rPr>
      </w:pPr>
      <w:r w:rsidRPr="00FA342B">
        <w:rPr>
          <w:rFonts w:cstheme="minorHAnsi"/>
        </w:rPr>
        <w:t>Den Haag, 18 november 2024</w:t>
      </w:r>
      <w:r w:rsidRPr="00FA342B">
        <w:rPr>
          <w:rFonts w:cstheme="minorHAnsi"/>
        </w:rPr>
        <w:tab/>
      </w:r>
    </w:p>
    <w:p w:rsidRPr="00FA342B" w:rsidR="00FA342B" w:rsidP="00E54093" w:rsidRDefault="00FA342B" w14:paraId="4D0E7C14" w14:textId="77777777">
      <w:pPr>
        <w:spacing w:after="0" w:line="276" w:lineRule="auto"/>
        <w:rPr>
          <w:rFonts w:cstheme="minorHAnsi"/>
        </w:rPr>
      </w:pPr>
    </w:p>
    <w:p w:rsidRPr="00FA342B" w:rsidR="00E54093" w:rsidP="00E54093" w:rsidRDefault="00E54093" w14:paraId="3D384E22" w14:textId="2C8B7983">
      <w:pPr>
        <w:spacing w:after="0" w:line="276" w:lineRule="auto"/>
        <w:rPr>
          <w:rFonts w:cstheme="minorHAnsi"/>
        </w:rPr>
      </w:pPr>
      <w:r w:rsidRPr="00FA342B">
        <w:rPr>
          <w:rFonts w:cstheme="minorHAnsi"/>
        </w:rPr>
        <w:br/>
        <w:t xml:space="preserve">Tijdens de procedurevergadering van 7 november 2024 heeft de vaste commissie voor Buitenlandse Zaken verzocht om vóór aanvang van de begrotingsbehandeling een uitwerking van de bezuinigingen op het postennet te ontvangen. </w:t>
      </w:r>
    </w:p>
    <w:p w:rsidRPr="00FA342B" w:rsidR="00E54093" w:rsidP="00E54093" w:rsidRDefault="00E54093" w14:paraId="341A3FBA" w14:textId="77777777">
      <w:pPr>
        <w:spacing w:after="0" w:line="276" w:lineRule="auto"/>
        <w:rPr>
          <w:rFonts w:cstheme="minorHAnsi"/>
        </w:rPr>
      </w:pPr>
    </w:p>
    <w:p w:rsidRPr="00FA342B" w:rsidR="00E54093" w:rsidP="00E54093" w:rsidRDefault="00E54093" w14:paraId="6E0B8015" w14:textId="77777777">
      <w:pPr>
        <w:spacing w:after="0" w:line="276" w:lineRule="auto"/>
        <w:rPr>
          <w:rFonts w:cstheme="minorHAnsi"/>
        </w:rPr>
      </w:pPr>
      <w:r w:rsidRPr="00FA342B">
        <w:rPr>
          <w:rFonts w:cstheme="minorHAnsi"/>
        </w:rPr>
        <w:t xml:space="preserve">Zoals bij de beantwoording van de feitelijke vragen over de BZ-begroting is benoemd, is het nu nog niet mogelijk om de invulling van de bezuinigingen op het postennet met de Tweede Kamer te delen. De wijze waarop Buitenlandse Zaken deze bezuinigingen vorm gaat geven hangt nauw samen met de structurele beleidskeuzes die gemaakt moeten worden om de ODA en non-ODA taakstelling binnen Buitenlandse Zaken en Buitenlandse Handel en Ontwikkelingshulp, in te vullen. De verwachting is dat komend voorjaar duidelijk wordt, welke keuzes het kabinet hiervoor maakt. Tevens zal breder moeten worden bezien waar en hoe we in de wereld present willen zijn in relatie tot ontwikkelingen in de wereld en beleidskeuzes van het kabinet. De bezuiniging op het postennet vormt onderdeel van de brede taakstelling op het BZ-apparaat, waarbij voor het postennet een lager percentage is afgesproken in het Regeerprogramma. </w:t>
      </w:r>
    </w:p>
    <w:p w:rsidRPr="00FA342B" w:rsidR="00E54093" w:rsidP="00E54093" w:rsidRDefault="00E54093" w14:paraId="4A3DAAB4" w14:textId="77777777">
      <w:pPr>
        <w:spacing w:after="0" w:line="276" w:lineRule="auto"/>
        <w:rPr>
          <w:rFonts w:cstheme="minorHAnsi"/>
        </w:rPr>
      </w:pPr>
    </w:p>
    <w:p w:rsidRPr="00FA342B" w:rsidR="00E54093" w:rsidP="00E54093" w:rsidRDefault="00E54093" w14:paraId="3ACA85A5" w14:textId="77777777">
      <w:pPr>
        <w:spacing w:after="0" w:line="276" w:lineRule="auto"/>
        <w:rPr>
          <w:rFonts w:cstheme="minorHAnsi"/>
        </w:rPr>
      </w:pPr>
      <w:r w:rsidRPr="00FA342B">
        <w:rPr>
          <w:rFonts w:cstheme="minorHAnsi"/>
        </w:rPr>
        <w:t xml:space="preserve">Voor invulling van de apparaatstaakstelling van EUR 27,2 miljoen in 2025 is een aantal maatregelen genomen waarbij gezocht is naar een invulling die beleidsarm is en niet vooruit loopt op latere beleidsinhoudelijke keuzes. Zo zijn de ramingen voor huisvesting in het buitenland verlaagd in lijn met analyses van de uitgaven in eerdere jaren, is de ruimte voor flexibele inzet van personeel teruggebracht en houden we onze bedrijfsvoering voor het komend jaar kritisch onder de loep. </w:t>
      </w:r>
    </w:p>
    <w:p w:rsidRPr="00FA342B" w:rsidR="00E54093" w:rsidP="00E54093" w:rsidRDefault="00E54093" w14:paraId="0675E502" w14:textId="77777777">
      <w:pPr>
        <w:spacing w:after="0" w:line="276" w:lineRule="auto"/>
        <w:rPr>
          <w:rFonts w:cstheme="minorHAnsi"/>
        </w:rPr>
      </w:pPr>
    </w:p>
    <w:p w:rsidRPr="00FA342B" w:rsidR="00E54093" w:rsidP="00E54093" w:rsidRDefault="00E54093" w14:paraId="73DF3DF0" w14:textId="77777777">
      <w:pPr>
        <w:spacing w:after="0" w:line="276" w:lineRule="auto"/>
        <w:rPr>
          <w:rFonts w:cstheme="minorHAnsi"/>
        </w:rPr>
      </w:pPr>
      <w:r w:rsidRPr="00FA342B">
        <w:rPr>
          <w:rFonts w:cstheme="minorHAnsi"/>
        </w:rPr>
        <w:t xml:space="preserve">Bij het invullen van de taakstelling hanteren we een aantal uitgangspunten waarbij rekening gehouden wordt met de toegenomen geopolitieke competitie en de groeiende onvoorspelbaarheid in de wereld. Belangrijk daarbij is dat de publieke dienstverlening aan burgers en bedrijven, inclusief midden- en kleinbedrijf,  centraal blijft staan. Ook doen we de invulling van de taakstelling op het postennet in samenspraak met de andere ministeries, immers het postennet is </w:t>
      </w:r>
      <w:proofErr w:type="spellStart"/>
      <w:r w:rsidRPr="00FA342B">
        <w:rPr>
          <w:rFonts w:cstheme="minorHAnsi"/>
        </w:rPr>
        <w:t>Rijksbreed</w:t>
      </w:r>
      <w:proofErr w:type="spellEnd"/>
      <w:r w:rsidRPr="00FA342B">
        <w:rPr>
          <w:rFonts w:cstheme="minorHAnsi"/>
        </w:rPr>
        <w:t xml:space="preserve">. </w:t>
      </w:r>
    </w:p>
    <w:p w:rsidRPr="00FA342B" w:rsidR="00E54093" w:rsidP="00E54093" w:rsidRDefault="00E54093" w14:paraId="56581393" w14:textId="77777777">
      <w:pPr>
        <w:spacing w:after="0" w:line="276" w:lineRule="auto"/>
        <w:rPr>
          <w:rFonts w:cstheme="minorHAnsi"/>
        </w:rPr>
      </w:pPr>
    </w:p>
    <w:p w:rsidRPr="00FA342B" w:rsidR="00E54093" w:rsidP="00E54093" w:rsidRDefault="00E54093" w14:paraId="0BF3E41E" w14:textId="77777777">
      <w:pPr>
        <w:pStyle w:val="WitregelW1bodytekst"/>
        <w:spacing w:line="276" w:lineRule="auto"/>
        <w:rPr>
          <w:rFonts w:asciiTheme="minorHAnsi" w:hAnsiTheme="minorHAnsi" w:cstheme="minorHAnsi"/>
          <w:sz w:val="22"/>
          <w:szCs w:val="22"/>
        </w:rPr>
      </w:pPr>
    </w:p>
    <w:p w:rsidRPr="00FA342B" w:rsidR="00E54093" w:rsidP="00E54093" w:rsidRDefault="00E54093" w14:paraId="26831417" w14:textId="77777777">
      <w:pPr>
        <w:pStyle w:val="WitregelW1bodytekst"/>
        <w:spacing w:line="276" w:lineRule="auto"/>
        <w:rPr>
          <w:rFonts w:asciiTheme="minorHAnsi" w:hAnsiTheme="minorHAnsi" w:cstheme="minorHAnsi"/>
          <w:sz w:val="22"/>
          <w:szCs w:val="22"/>
        </w:rPr>
      </w:pPr>
      <w:r w:rsidRPr="00FA342B">
        <w:rPr>
          <w:rFonts w:asciiTheme="minorHAnsi" w:hAnsiTheme="minorHAnsi" w:cstheme="minorHAnsi"/>
          <w:sz w:val="22"/>
          <w:szCs w:val="22"/>
        </w:rPr>
        <w:lastRenderedPageBreak/>
        <w:t>De verwachting is dat bij 1</w:t>
      </w:r>
      <w:r w:rsidRPr="00FA342B">
        <w:rPr>
          <w:rFonts w:asciiTheme="minorHAnsi" w:hAnsiTheme="minorHAnsi" w:cstheme="minorHAnsi"/>
          <w:sz w:val="22"/>
          <w:szCs w:val="22"/>
          <w:vertAlign w:val="superscript"/>
        </w:rPr>
        <w:t>ste</w:t>
      </w:r>
      <w:r w:rsidRPr="00FA342B">
        <w:rPr>
          <w:rFonts w:asciiTheme="minorHAnsi" w:hAnsiTheme="minorHAnsi" w:cstheme="minorHAnsi"/>
          <w:sz w:val="22"/>
          <w:szCs w:val="22"/>
        </w:rPr>
        <w:t xml:space="preserve"> suppletoire begroting 2025 en ontwerpbegroting 2026 duidelijk is welke structurele keuzes gemaakt zijn om de taakstelling op het postennet te kunnen realiseren. Dit wordt in de begrotingsstukken nader toegelicht.</w:t>
      </w:r>
    </w:p>
    <w:p w:rsidRPr="00FA342B" w:rsidR="00E54093" w:rsidP="00E54093" w:rsidRDefault="00E54093" w14:paraId="0DA66AE2" w14:textId="77777777">
      <w:pPr>
        <w:spacing w:after="0" w:line="276" w:lineRule="auto"/>
        <w:rPr>
          <w:rFonts w:cstheme="minorHAnsi"/>
        </w:rPr>
      </w:pPr>
    </w:p>
    <w:p w:rsidRPr="00FA342B" w:rsidR="00E54093" w:rsidP="00E54093" w:rsidRDefault="00E54093" w14:paraId="445F203E" w14:textId="77777777">
      <w:pPr>
        <w:spacing w:after="0" w:line="276" w:lineRule="auto"/>
        <w:rPr>
          <w:rFonts w:cstheme="minorHAnsi"/>
        </w:rPr>
      </w:pPr>
    </w:p>
    <w:p w:rsidRPr="00FA342B" w:rsidR="00E54093" w:rsidP="00E54093" w:rsidRDefault="00E54093" w14:paraId="1064B096" w14:textId="77777777">
      <w:pPr>
        <w:spacing w:after="0" w:line="276" w:lineRule="auto"/>
        <w:rPr>
          <w:rFonts w:cstheme="minorHAnsi"/>
        </w:rPr>
      </w:pPr>
      <w:r w:rsidRPr="00FA342B">
        <w:rPr>
          <w:rFonts w:cstheme="minorHAnsi"/>
        </w:rPr>
        <w:t>De minister van Buitenlandse Zaken,</w:t>
      </w:r>
    </w:p>
    <w:p w:rsidRPr="00FA342B" w:rsidR="00E54093" w:rsidP="00E54093" w:rsidRDefault="00FA342B" w14:paraId="790D8419" w14:textId="7301855A">
      <w:pPr>
        <w:spacing w:after="0" w:line="276" w:lineRule="auto"/>
        <w:rPr>
          <w:rFonts w:cstheme="minorHAnsi"/>
        </w:rPr>
      </w:pPr>
      <w:r>
        <w:rPr>
          <w:rFonts w:cstheme="minorHAnsi"/>
        </w:rPr>
        <w:t xml:space="preserve">C.C.J. </w:t>
      </w:r>
      <w:r w:rsidRPr="00FA342B" w:rsidR="00E54093">
        <w:rPr>
          <w:rFonts w:cstheme="minorHAnsi"/>
        </w:rPr>
        <w:t>Veldkamp</w:t>
      </w:r>
    </w:p>
    <w:p w:rsidRPr="00FA342B" w:rsidR="00E54093" w:rsidP="00E54093" w:rsidRDefault="00E54093" w14:paraId="169198FD" w14:textId="77777777">
      <w:pPr>
        <w:spacing w:after="0" w:line="276" w:lineRule="auto"/>
        <w:rPr>
          <w:rFonts w:cstheme="minorHAnsi"/>
        </w:rPr>
      </w:pPr>
    </w:p>
    <w:p w:rsidRPr="00FA342B" w:rsidR="003B0C9D" w:rsidP="00E54093" w:rsidRDefault="003B0C9D" w14:paraId="6AA6D695" w14:textId="77777777">
      <w:pPr>
        <w:spacing w:after="0"/>
        <w:rPr>
          <w:rFonts w:cstheme="minorHAnsi"/>
        </w:rPr>
      </w:pPr>
    </w:p>
    <w:sectPr w:rsidRPr="00FA342B" w:rsidR="003B0C9D" w:rsidSect="00E54093">
      <w:headerReference w:type="even" r:id="rId6"/>
      <w:headerReference w:type="default" r:id="rId7"/>
      <w:footerReference w:type="even" r:id="rId8"/>
      <w:footerReference w:type="default" r:id="rId9"/>
      <w:headerReference w:type="first" r:id="rId10"/>
      <w:footerReference w:type="first" r:id="rId11"/>
      <w:pgSz w:w="11905" w:h="16837" w:code="9"/>
      <w:pgMar w:top="283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EF95" w14:textId="77777777" w:rsidR="00E54093" w:rsidRDefault="00E54093" w:rsidP="00E54093">
      <w:pPr>
        <w:spacing w:after="0" w:line="240" w:lineRule="auto"/>
      </w:pPr>
      <w:r>
        <w:separator/>
      </w:r>
    </w:p>
  </w:endnote>
  <w:endnote w:type="continuationSeparator" w:id="0">
    <w:p w14:paraId="3B8ECA1B" w14:textId="77777777" w:rsidR="00E54093" w:rsidRDefault="00E54093" w:rsidP="00E5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2C38" w14:textId="77777777" w:rsidR="00E54093" w:rsidRPr="00E54093" w:rsidRDefault="00E54093" w:rsidP="00E540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C468" w14:textId="77777777" w:rsidR="00E54093" w:rsidRPr="00E54093" w:rsidRDefault="00E54093" w:rsidP="00E540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C711" w14:textId="77777777" w:rsidR="00E54093" w:rsidRPr="00E54093" w:rsidRDefault="00E54093" w:rsidP="00E540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7CFD" w14:textId="77777777" w:rsidR="00E54093" w:rsidRDefault="00E54093" w:rsidP="00E54093">
      <w:pPr>
        <w:spacing w:after="0" w:line="240" w:lineRule="auto"/>
      </w:pPr>
      <w:r>
        <w:separator/>
      </w:r>
    </w:p>
  </w:footnote>
  <w:footnote w:type="continuationSeparator" w:id="0">
    <w:p w14:paraId="2F0F5B7F" w14:textId="77777777" w:rsidR="00E54093" w:rsidRDefault="00E54093" w:rsidP="00E54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4E4E" w14:textId="77777777" w:rsidR="00E54093" w:rsidRPr="00E54093" w:rsidRDefault="00E54093" w:rsidP="00E540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6AC" w14:textId="77777777" w:rsidR="00E54093" w:rsidRPr="00E54093" w:rsidRDefault="00E54093" w:rsidP="00E540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42EB" w14:textId="77777777" w:rsidR="00E54093" w:rsidRPr="00E54093" w:rsidRDefault="00E54093" w:rsidP="00E540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93"/>
    <w:rsid w:val="003B0C9D"/>
    <w:rsid w:val="00E54093"/>
    <w:rsid w:val="00FA34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F7E3"/>
  <w15:chartTrackingRefBased/>
  <w15:docId w15:val="{28B87175-EC8B-432E-9464-6ACFDD7F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E5409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5409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5409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5409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5409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5409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409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5409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5409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406</ap:Words>
  <ap:Characters>2239</ap:Characters>
  <ap:DocSecurity>0</ap:DocSecurity>
  <ap:Lines>18</ap:Lines>
  <ap:Paragraphs>5</ap:Paragraphs>
  <ap:ScaleCrop>false</ap:ScaleCrop>
  <ap:LinksUpToDate>false</ap:LinksUpToDate>
  <ap:CharactersWithSpaces>2640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2024-11-22T10:50:00.0000000Z</dcterms:created>
  <dcterms:modified xsi:type="dcterms:W3CDTF">2024-11-22T10:50:00.0000000Z</dcterms:modified>
  <version/>
  <category/>
</coreProperties>
</file>