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2757" w:rsidR="000575E2" w:rsidP="00E4606A" w:rsidRDefault="007C2757" w14:paraId="6764DB08" w14:textId="1FC6BE7A">
      <w:pPr>
        <w:widowControl w:val="0"/>
        <w:tabs>
          <w:tab w:val="num" w:pos="720"/>
        </w:tabs>
        <w:spacing w:line="240" w:lineRule="atLeast"/>
        <w:ind w:hanging="1843"/>
        <w:rPr>
          <w:rFonts w:ascii="Verdana" w:hAnsi="Verdana" w:cs="Arial"/>
          <w:b/>
          <w:bCs/>
          <w:sz w:val="18"/>
          <w:szCs w:val="18"/>
        </w:rPr>
      </w:pPr>
      <w:r>
        <w:rPr>
          <w:rFonts w:ascii="Verdana" w:hAnsi="Verdana" w:cs="Arial"/>
          <w:b/>
          <w:sz w:val="18"/>
          <w:szCs w:val="18"/>
        </w:rPr>
        <w:t>36</w:t>
      </w:r>
      <w:r w:rsidR="000575E2">
        <w:rPr>
          <w:rFonts w:ascii="Verdana" w:hAnsi="Verdana" w:cs="Arial"/>
          <w:b/>
          <w:sz w:val="18"/>
          <w:szCs w:val="18"/>
        </w:rPr>
        <w:t xml:space="preserve"> </w:t>
      </w:r>
      <w:r>
        <w:rPr>
          <w:rFonts w:ascii="Verdana" w:hAnsi="Verdana" w:cs="Arial"/>
          <w:b/>
          <w:sz w:val="18"/>
          <w:szCs w:val="18"/>
        </w:rPr>
        <w:t>612</w:t>
      </w:r>
      <w:r w:rsidR="000575E2">
        <w:rPr>
          <w:rFonts w:ascii="Verdana" w:hAnsi="Verdana" w:cs="Arial"/>
          <w:b/>
          <w:sz w:val="18"/>
          <w:szCs w:val="18"/>
        </w:rPr>
        <w:tab/>
      </w:r>
      <w:r w:rsidRPr="007C2757">
        <w:rPr>
          <w:rFonts w:ascii="Verdana" w:hAnsi="Verdana"/>
          <w:b/>
          <w:bCs/>
          <w:sz w:val="18"/>
          <w:szCs w:val="18"/>
        </w:rPr>
        <w:t>Wijziging van de Wet op het financieel toezicht ter uitvoering van Verordening (EU) 2023/2631 betreffende Europese groene obligaties en optionele openbaarmakingen voor obligaties die als ecologisch duurzame obligaties op de markt worden gebracht en voor aan duurzaamheid gekoppelde obligaties (Uitvoeringswet verordening Europese groene obligaties</w:t>
      </w:r>
      <w:r>
        <w:rPr>
          <w:rFonts w:ascii="Verdana" w:hAnsi="Verdana"/>
          <w:b/>
          <w:bCs/>
          <w:sz w:val="18"/>
          <w:szCs w:val="18"/>
        </w:rPr>
        <w:t>)</w:t>
      </w:r>
    </w:p>
    <w:p w:rsidRPr="007021E8" w:rsidR="00EE0056" w:rsidP="00E4606A" w:rsidRDefault="00EE0056" w14:paraId="2333B79F" w14:textId="77777777">
      <w:pPr>
        <w:widowControl w:val="0"/>
        <w:spacing w:line="240" w:lineRule="atLeast"/>
        <w:rPr>
          <w:rFonts w:ascii="Verdana" w:hAnsi="Verdana" w:cs="Arial"/>
          <w:sz w:val="18"/>
          <w:szCs w:val="18"/>
        </w:rPr>
      </w:pPr>
    </w:p>
    <w:p w:rsidRPr="007021E8" w:rsidR="00EE0056" w:rsidP="00E4606A" w:rsidRDefault="00EE0056" w14:paraId="12180FF4" w14:textId="77777777">
      <w:pPr>
        <w:widowControl w:val="0"/>
        <w:spacing w:line="240" w:lineRule="atLeast"/>
        <w:rPr>
          <w:rFonts w:ascii="Verdana" w:hAnsi="Verdana" w:cs="Arial"/>
          <w:sz w:val="18"/>
          <w:szCs w:val="18"/>
        </w:rPr>
      </w:pPr>
    </w:p>
    <w:p w:rsidR="00EE0056" w:rsidP="00E4606A" w:rsidRDefault="00EE0056" w14:paraId="4028B82A" w14:textId="77777777">
      <w:pPr>
        <w:widowControl w:val="0"/>
        <w:spacing w:line="240" w:lineRule="atLeast"/>
        <w:rPr>
          <w:rFonts w:ascii="Verdana" w:hAnsi="Verdana" w:cs="Arial"/>
          <w:sz w:val="18"/>
          <w:szCs w:val="18"/>
        </w:rPr>
      </w:pPr>
    </w:p>
    <w:p w:rsidRPr="007021E8" w:rsidR="00FF442F" w:rsidP="00E4606A" w:rsidRDefault="00FF442F" w14:paraId="752E09C2" w14:textId="77777777">
      <w:pPr>
        <w:widowControl w:val="0"/>
        <w:spacing w:line="240" w:lineRule="atLeast"/>
        <w:rPr>
          <w:rFonts w:ascii="Verdana" w:hAnsi="Verdana" w:cs="Arial"/>
          <w:sz w:val="18"/>
          <w:szCs w:val="18"/>
        </w:rPr>
      </w:pPr>
    </w:p>
    <w:p w:rsidRPr="007021E8" w:rsidR="00EE0056" w:rsidP="00E4606A" w:rsidRDefault="00786589" w14:paraId="023943E7" w14:textId="77777777">
      <w:pPr>
        <w:widowControl w:val="0"/>
        <w:spacing w:line="240" w:lineRule="atLeast"/>
        <w:rPr>
          <w:rFonts w:ascii="Verdana" w:hAnsi="Verdana" w:cs="Arial"/>
          <w:b/>
          <w:sz w:val="18"/>
          <w:szCs w:val="18"/>
        </w:rPr>
      </w:pPr>
      <w:r>
        <w:rPr>
          <w:rFonts w:ascii="Verdana" w:hAnsi="Verdana" w:cs="Arial"/>
          <w:b/>
          <w:sz w:val="18"/>
          <w:szCs w:val="18"/>
        </w:rPr>
        <w:t xml:space="preserve">NOTA NAAR AANLEIDING VAN </w:t>
      </w:r>
      <w:r w:rsidR="00280CC0">
        <w:rPr>
          <w:rFonts w:ascii="Verdana" w:hAnsi="Verdana" w:cs="Arial"/>
          <w:b/>
          <w:sz w:val="18"/>
          <w:szCs w:val="18"/>
        </w:rPr>
        <w:t xml:space="preserve">HET </w:t>
      </w:r>
      <w:r>
        <w:rPr>
          <w:rFonts w:ascii="Verdana" w:hAnsi="Verdana" w:cs="Arial"/>
          <w:b/>
          <w:sz w:val="18"/>
          <w:szCs w:val="18"/>
        </w:rPr>
        <w:t>VERSLAG</w:t>
      </w:r>
    </w:p>
    <w:p w:rsidRPr="007021E8" w:rsidR="00EE0056" w:rsidP="00E4606A" w:rsidRDefault="00EE0056" w14:paraId="69EEA219" w14:textId="77777777">
      <w:pPr>
        <w:widowControl w:val="0"/>
        <w:spacing w:line="240" w:lineRule="atLeast"/>
        <w:rPr>
          <w:rFonts w:ascii="Verdana" w:hAnsi="Verdana" w:cs="Arial"/>
          <w:sz w:val="18"/>
          <w:szCs w:val="18"/>
        </w:rPr>
      </w:pPr>
    </w:p>
    <w:p w:rsidR="00EE0056" w:rsidP="00E4606A" w:rsidRDefault="00EE0056" w14:paraId="02CD873C" w14:textId="77777777">
      <w:pPr>
        <w:widowControl w:val="0"/>
        <w:spacing w:line="240" w:lineRule="atLeast"/>
        <w:rPr>
          <w:rFonts w:ascii="Verdana" w:hAnsi="Verdana" w:cs="Arial"/>
          <w:sz w:val="18"/>
          <w:szCs w:val="18"/>
        </w:rPr>
      </w:pPr>
    </w:p>
    <w:p w:rsidRPr="007021E8" w:rsidR="009E13E7" w:rsidP="00E4606A" w:rsidRDefault="009E13E7" w14:paraId="21C9AD5D" w14:textId="77777777">
      <w:pPr>
        <w:widowControl w:val="0"/>
        <w:spacing w:line="240" w:lineRule="atLeast"/>
        <w:rPr>
          <w:rFonts w:ascii="Verdana" w:hAnsi="Verdana" w:cs="Arial"/>
          <w:sz w:val="18"/>
          <w:szCs w:val="18"/>
        </w:rPr>
      </w:pPr>
    </w:p>
    <w:p w:rsidRPr="00C40CEA" w:rsidR="009E13E7" w:rsidP="00E4606A" w:rsidRDefault="009E13E7" w14:paraId="510C94D7" w14:textId="77777777">
      <w:pPr>
        <w:widowControl w:val="0"/>
        <w:spacing w:line="240" w:lineRule="atLeast"/>
        <w:rPr>
          <w:rFonts w:ascii="Verdana" w:hAnsi="Verdana" w:cs="Arial"/>
          <w:sz w:val="18"/>
          <w:szCs w:val="18"/>
        </w:rPr>
      </w:pPr>
      <w:r w:rsidRPr="00C40CEA">
        <w:rPr>
          <w:rFonts w:ascii="Verdana" w:hAnsi="Verdana" w:cs="Arial"/>
          <w:b/>
          <w:bCs/>
          <w:sz w:val="18"/>
          <w:szCs w:val="18"/>
        </w:rPr>
        <w:t>Inleiding</w:t>
      </w:r>
    </w:p>
    <w:p w:rsidR="009E13E7" w:rsidP="00E4606A" w:rsidRDefault="009E13E7" w14:paraId="6AB6D498" w14:textId="77777777">
      <w:pPr>
        <w:widowControl w:val="0"/>
        <w:spacing w:line="240" w:lineRule="atLeast"/>
        <w:rPr>
          <w:rFonts w:ascii="Verdana" w:hAnsi="Verdana" w:cs="Arial"/>
          <w:sz w:val="18"/>
          <w:szCs w:val="18"/>
        </w:rPr>
      </w:pPr>
    </w:p>
    <w:p w:rsidRPr="00C405B6" w:rsidR="009E13E7" w:rsidP="00C405B6" w:rsidRDefault="009E13E7" w14:paraId="0306B8EB" w14:textId="69B93787">
      <w:pPr>
        <w:widowControl w:val="0"/>
        <w:spacing w:line="260" w:lineRule="atLeast"/>
        <w:contextualSpacing/>
        <w:rPr>
          <w:rFonts w:ascii="Verdana" w:hAnsi="Verdana" w:cs="Arial"/>
          <w:sz w:val="18"/>
          <w:szCs w:val="18"/>
        </w:rPr>
      </w:pPr>
      <w:r w:rsidRPr="00C405B6">
        <w:rPr>
          <w:rFonts w:ascii="Verdana" w:hAnsi="Verdana" w:cs="Arial"/>
          <w:sz w:val="18"/>
          <w:szCs w:val="18"/>
        </w:rPr>
        <w:t xml:space="preserve">De regering is de vaste commissie voor Financiën erkentelijk voor de aandacht die zij aan het onderhavige wetsvoorstel heeft geschonken en voor de door </w:t>
      </w:r>
      <w:proofErr w:type="gramStart"/>
      <w:r w:rsidRPr="00C405B6">
        <w:rPr>
          <w:rFonts w:ascii="Verdana" w:hAnsi="Verdana" w:cs="Arial"/>
          <w:sz w:val="18"/>
          <w:szCs w:val="18"/>
        </w:rPr>
        <w:t>haar</w:t>
      </w:r>
      <w:proofErr w:type="gramEnd"/>
      <w:r w:rsidRPr="00C405B6">
        <w:rPr>
          <w:rFonts w:ascii="Verdana" w:hAnsi="Verdana" w:cs="Arial"/>
          <w:sz w:val="18"/>
          <w:szCs w:val="18"/>
        </w:rPr>
        <w:t xml:space="preserve"> daarover gestelde vragen. De vragen worden zo veel mogelijk beantwoord in de volgorde van het door de commissie uitgebrachte verslag. </w:t>
      </w:r>
    </w:p>
    <w:p w:rsidRPr="00C405B6" w:rsidR="009E13E7" w:rsidP="00C405B6" w:rsidRDefault="009E13E7" w14:paraId="33F0BFDA" w14:textId="77777777">
      <w:pPr>
        <w:widowControl w:val="0"/>
        <w:spacing w:line="260" w:lineRule="atLeast"/>
        <w:contextualSpacing/>
        <w:rPr>
          <w:rFonts w:ascii="Verdana" w:hAnsi="Verdana" w:cs="Arial"/>
          <w:b/>
          <w:bCs/>
          <w:sz w:val="18"/>
          <w:szCs w:val="18"/>
        </w:rPr>
      </w:pPr>
    </w:p>
    <w:p w:rsidRPr="00C405B6" w:rsidR="009E13E7" w:rsidP="00C405B6" w:rsidRDefault="009E13E7" w14:paraId="35FCD5AE" w14:textId="77777777">
      <w:pPr>
        <w:widowControl w:val="0"/>
        <w:spacing w:line="260" w:lineRule="atLeast"/>
        <w:contextualSpacing/>
        <w:rPr>
          <w:rFonts w:ascii="Verdana" w:hAnsi="Verdana" w:cs="Arial"/>
          <w:sz w:val="18"/>
          <w:szCs w:val="18"/>
        </w:rPr>
      </w:pPr>
      <w:r w:rsidRPr="00C405B6">
        <w:rPr>
          <w:rFonts w:ascii="Verdana" w:hAnsi="Verdana" w:cs="Arial"/>
          <w:b/>
          <w:bCs/>
          <w:sz w:val="18"/>
          <w:szCs w:val="18"/>
        </w:rPr>
        <w:t>Algemeen</w:t>
      </w:r>
    </w:p>
    <w:p w:rsidRPr="00C405B6" w:rsidR="009F59D9" w:rsidP="00C405B6" w:rsidRDefault="009F59D9" w14:paraId="3F9E49A1" w14:textId="77777777">
      <w:pPr>
        <w:widowControl w:val="0"/>
        <w:tabs>
          <w:tab w:val="num" w:pos="720"/>
        </w:tabs>
        <w:spacing w:line="260" w:lineRule="atLeast"/>
        <w:contextualSpacing/>
        <w:rPr>
          <w:rFonts w:ascii="Verdana" w:hAnsi="Verdana" w:cs="Arial"/>
          <w:sz w:val="18"/>
          <w:szCs w:val="18"/>
        </w:rPr>
      </w:pPr>
    </w:p>
    <w:p w:rsidRPr="00C405B6" w:rsidR="007C2757" w:rsidP="00C405B6" w:rsidRDefault="007C2757" w14:paraId="288699A6" w14:textId="77777777">
      <w:pPr>
        <w:widowControl w:val="0"/>
        <w:tabs>
          <w:tab w:val="num" w:pos="720"/>
        </w:tabs>
        <w:spacing w:line="260" w:lineRule="atLeast"/>
        <w:contextualSpacing/>
        <w:rPr>
          <w:rFonts w:ascii="Verdana" w:hAnsi="Verdana" w:cs="Arial"/>
          <w:b/>
          <w:bCs/>
          <w:iCs/>
          <w:sz w:val="18"/>
          <w:szCs w:val="18"/>
        </w:rPr>
      </w:pPr>
      <w:r w:rsidRPr="00C405B6">
        <w:rPr>
          <w:rFonts w:ascii="Verdana" w:hAnsi="Verdana" w:cs="Arial"/>
          <w:b/>
          <w:bCs/>
          <w:iCs/>
          <w:sz w:val="18"/>
          <w:szCs w:val="18"/>
        </w:rPr>
        <w:t>1. Inleiding</w:t>
      </w:r>
    </w:p>
    <w:p w:rsidRPr="00C405B6" w:rsidR="007C2757" w:rsidP="00C405B6" w:rsidRDefault="007C2757" w14:paraId="63E18B58" w14:textId="77777777">
      <w:pPr>
        <w:widowControl w:val="0"/>
        <w:tabs>
          <w:tab w:val="num" w:pos="720"/>
        </w:tabs>
        <w:spacing w:line="260" w:lineRule="atLeast"/>
        <w:contextualSpacing/>
        <w:rPr>
          <w:rFonts w:ascii="Verdana" w:hAnsi="Verdana" w:cs="Arial"/>
          <w:i/>
          <w:sz w:val="18"/>
          <w:szCs w:val="18"/>
        </w:rPr>
      </w:pPr>
    </w:p>
    <w:p w:rsidRPr="00C405B6" w:rsidR="009E13E7" w:rsidP="00C405B6" w:rsidRDefault="009E13E7" w14:paraId="367B8207" w14:textId="68CBEBC7">
      <w:pPr>
        <w:widowControl w:val="0"/>
        <w:tabs>
          <w:tab w:val="num" w:pos="720"/>
        </w:tabs>
        <w:spacing w:line="260" w:lineRule="atLeast"/>
        <w:contextualSpacing/>
        <w:rPr>
          <w:rFonts w:ascii="Verdana" w:hAnsi="Verdana" w:cs="Arial"/>
          <w:i/>
          <w:sz w:val="18"/>
          <w:szCs w:val="18"/>
        </w:rPr>
      </w:pPr>
      <w:r w:rsidRPr="00C405B6">
        <w:rPr>
          <w:rFonts w:ascii="Verdana" w:hAnsi="Verdana" w:cs="Arial"/>
          <w:i/>
          <w:sz w:val="18"/>
          <w:szCs w:val="18"/>
        </w:rPr>
        <w:t>De leden van de</w:t>
      </w:r>
      <w:r w:rsidRPr="00C405B6" w:rsidR="007C2757">
        <w:rPr>
          <w:rFonts w:ascii="Verdana" w:hAnsi="Verdana" w:cs="Arial"/>
          <w:i/>
          <w:sz w:val="18"/>
          <w:szCs w:val="18"/>
        </w:rPr>
        <w:t xml:space="preserve"> </w:t>
      </w:r>
      <w:r w:rsidRPr="00C405B6">
        <w:rPr>
          <w:rFonts w:ascii="Verdana" w:hAnsi="Verdana" w:cs="Arial"/>
          <w:i/>
          <w:sz w:val="18"/>
          <w:szCs w:val="18"/>
        </w:rPr>
        <w:t>fractie</w:t>
      </w:r>
      <w:r w:rsidRPr="00C405B6" w:rsidR="00D74D9E">
        <w:rPr>
          <w:rFonts w:ascii="Verdana" w:hAnsi="Verdana" w:cs="Arial"/>
          <w:i/>
          <w:sz w:val="18"/>
          <w:szCs w:val="18"/>
        </w:rPr>
        <w:t xml:space="preserve"> van Groen-Links-PvdA vragen op welke manier de regering ervoor zorgt dat de uitgifte van obligaties verder gaat groeien. Zij vragen of de regering verwacht dat de eisen om aan de verordening te voldoen het uitgeven van groene obligaties door instellingen ontmoedigt. Voorts vragen zij wat de regering doet om instellingen te helpen om aan de eisen te voldoen.</w:t>
      </w:r>
    </w:p>
    <w:p w:rsidRPr="00C405B6" w:rsidR="00D74D9E" w:rsidP="00C405B6" w:rsidRDefault="00D74D9E" w14:paraId="0494BAFF" w14:textId="77777777">
      <w:pPr>
        <w:widowControl w:val="0"/>
        <w:tabs>
          <w:tab w:val="num" w:pos="720"/>
        </w:tabs>
        <w:spacing w:line="260" w:lineRule="atLeast"/>
        <w:contextualSpacing/>
        <w:rPr>
          <w:rFonts w:ascii="Verdana" w:hAnsi="Verdana" w:cs="Arial"/>
          <w:i/>
          <w:sz w:val="18"/>
          <w:szCs w:val="18"/>
        </w:rPr>
      </w:pPr>
    </w:p>
    <w:p w:rsidRPr="00C405B6" w:rsidR="00D74D9E" w:rsidP="00C405B6" w:rsidRDefault="00532926" w14:paraId="639B655D" w14:textId="45C9C93C">
      <w:pPr>
        <w:widowControl w:val="0"/>
        <w:tabs>
          <w:tab w:val="num" w:pos="720"/>
        </w:tabs>
        <w:spacing w:line="260" w:lineRule="atLeast"/>
        <w:contextualSpacing/>
        <w:rPr>
          <w:rFonts w:ascii="Verdana" w:hAnsi="Verdana" w:cs="Arial"/>
          <w:iCs/>
          <w:sz w:val="18"/>
          <w:szCs w:val="18"/>
        </w:rPr>
      </w:pPr>
      <w:r w:rsidRPr="00C405B6">
        <w:rPr>
          <w:rFonts w:ascii="Verdana" w:hAnsi="Verdana" w:cs="Arial"/>
          <w:iCs/>
          <w:sz w:val="18"/>
          <w:szCs w:val="18"/>
        </w:rPr>
        <w:t xml:space="preserve">De Europese Commissie zal uiterlijk op 21 december 2028 en vervolgens om de drie jaar een verslag opstellen over de toepassing van deze verordening. Daarbij zal ook worden geëvalueerd in hoeverre gebruik wordt gemaakt van de Europese norm voor groene obligaties. Op dat moment bestaat meer inzicht in hoeveel Europese groene obligaties zijn uitgegeven. </w:t>
      </w:r>
      <w:proofErr w:type="gramStart"/>
      <w:r w:rsidRPr="00C405B6">
        <w:rPr>
          <w:rFonts w:ascii="Verdana" w:hAnsi="Verdana" w:cs="Arial"/>
          <w:iCs/>
          <w:sz w:val="18"/>
          <w:szCs w:val="18"/>
        </w:rPr>
        <w:t>Indien</w:t>
      </w:r>
      <w:proofErr w:type="gramEnd"/>
      <w:r w:rsidRPr="00C405B6">
        <w:rPr>
          <w:rFonts w:ascii="Verdana" w:hAnsi="Verdana" w:cs="Arial"/>
          <w:iCs/>
          <w:sz w:val="18"/>
          <w:szCs w:val="18"/>
        </w:rPr>
        <w:t xml:space="preserve"> in de praktijk blijkt dat de vereisten om aan de verordening te voldoen instellingen ontmoedigt om Europese groene obligaties uit te geven, zal ik dit meenemen in de reguliere gesprekken met de Europese Commissie en andere stakeholders.</w:t>
      </w:r>
      <w:r w:rsidRPr="00C405B6" w:rsidR="005140C6">
        <w:rPr>
          <w:rFonts w:ascii="Verdana" w:hAnsi="Verdana"/>
          <w:sz w:val="18"/>
          <w:szCs w:val="18"/>
        </w:rPr>
        <w:t xml:space="preserve"> </w:t>
      </w:r>
      <w:r w:rsidRPr="00C405B6" w:rsidR="00694D4E">
        <w:rPr>
          <w:rFonts w:ascii="Verdana" w:hAnsi="Verdana"/>
          <w:sz w:val="18"/>
          <w:szCs w:val="18"/>
        </w:rPr>
        <w:t>De Europese standaard voor groene obligaties is vrijwillig en u</w:t>
      </w:r>
      <w:r w:rsidRPr="00C405B6" w:rsidR="00E61876">
        <w:rPr>
          <w:rFonts w:ascii="Verdana" w:hAnsi="Verdana"/>
          <w:sz w:val="18"/>
          <w:szCs w:val="18"/>
        </w:rPr>
        <w:t xml:space="preserve">itgevende instellingen </w:t>
      </w:r>
      <w:r w:rsidRPr="00C405B6" w:rsidR="00694D4E">
        <w:rPr>
          <w:rFonts w:ascii="Verdana" w:hAnsi="Verdana"/>
          <w:sz w:val="18"/>
          <w:szCs w:val="18"/>
        </w:rPr>
        <w:t xml:space="preserve">kunnen daarnaast andere duurzame </w:t>
      </w:r>
      <w:r w:rsidRPr="00C405B6" w:rsidR="00B23C20">
        <w:rPr>
          <w:rFonts w:ascii="Verdana" w:hAnsi="Verdana"/>
          <w:sz w:val="18"/>
          <w:szCs w:val="18"/>
        </w:rPr>
        <w:t>beleggingen</w:t>
      </w:r>
      <w:r w:rsidRPr="00C405B6" w:rsidR="00694D4E">
        <w:rPr>
          <w:rFonts w:ascii="Verdana" w:hAnsi="Verdana"/>
          <w:sz w:val="18"/>
          <w:szCs w:val="18"/>
        </w:rPr>
        <w:t xml:space="preserve"> aanbieden</w:t>
      </w:r>
      <w:r w:rsidRPr="00C405B6" w:rsidR="00752B0F">
        <w:rPr>
          <w:rFonts w:ascii="Verdana" w:hAnsi="Verdana"/>
          <w:sz w:val="18"/>
          <w:szCs w:val="18"/>
        </w:rPr>
        <w:t xml:space="preserve">, </w:t>
      </w:r>
      <w:r w:rsidRPr="00C405B6" w:rsidR="00694D4E">
        <w:rPr>
          <w:rFonts w:ascii="Verdana" w:hAnsi="Verdana"/>
          <w:sz w:val="18"/>
          <w:szCs w:val="18"/>
        </w:rPr>
        <w:t xml:space="preserve">bijvoorbeeld </w:t>
      </w:r>
      <w:r w:rsidRPr="00C405B6" w:rsidR="00E61876">
        <w:rPr>
          <w:rFonts w:ascii="Verdana" w:hAnsi="Verdana"/>
          <w:sz w:val="18"/>
          <w:szCs w:val="18"/>
        </w:rPr>
        <w:t xml:space="preserve">groene obligaties die voldoen aan de </w:t>
      </w:r>
      <w:r w:rsidRPr="00C405B6" w:rsidR="00E61876">
        <w:rPr>
          <w:rFonts w:ascii="Verdana" w:hAnsi="Verdana"/>
          <w:i/>
          <w:iCs/>
          <w:sz w:val="18"/>
          <w:szCs w:val="18"/>
        </w:rPr>
        <w:t xml:space="preserve">Green Bond </w:t>
      </w:r>
      <w:proofErr w:type="spellStart"/>
      <w:r w:rsidRPr="00C405B6" w:rsidR="00E61876">
        <w:rPr>
          <w:rFonts w:ascii="Verdana" w:hAnsi="Verdana"/>
          <w:i/>
          <w:iCs/>
          <w:sz w:val="18"/>
          <w:szCs w:val="18"/>
        </w:rPr>
        <w:t>Principles</w:t>
      </w:r>
      <w:proofErr w:type="spellEnd"/>
      <w:r w:rsidRPr="00C405B6" w:rsidR="00E61876">
        <w:rPr>
          <w:rFonts w:ascii="Verdana" w:hAnsi="Verdana"/>
          <w:sz w:val="18"/>
          <w:szCs w:val="18"/>
        </w:rPr>
        <w:t xml:space="preserve"> van ICMA (International </w:t>
      </w:r>
      <w:proofErr w:type="spellStart"/>
      <w:r w:rsidRPr="00C405B6" w:rsidR="00E61876">
        <w:rPr>
          <w:rFonts w:ascii="Verdana" w:hAnsi="Verdana"/>
          <w:sz w:val="18"/>
          <w:szCs w:val="18"/>
        </w:rPr>
        <w:t>Capital</w:t>
      </w:r>
      <w:proofErr w:type="spellEnd"/>
      <w:r w:rsidRPr="00C405B6" w:rsidR="00E61876">
        <w:rPr>
          <w:rFonts w:ascii="Verdana" w:hAnsi="Verdana"/>
          <w:sz w:val="18"/>
          <w:szCs w:val="18"/>
        </w:rPr>
        <w:t xml:space="preserve"> Market Association)</w:t>
      </w:r>
      <w:r w:rsidRPr="00C405B6" w:rsidR="00752B0F">
        <w:rPr>
          <w:rFonts w:ascii="Verdana" w:hAnsi="Verdana"/>
          <w:sz w:val="18"/>
          <w:szCs w:val="18"/>
        </w:rPr>
        <w:t>.</w:t>
      </w:r>
      <w:r w:rsidRPr="00C405B6" w:rsidR="00E61876">
        <w:rPr>
          <w:rStyle w:val="Voetnootmarkering"/>
          <w:rFonts w:ascii="Verdana" w:hAnsi="Verdana"/>
          <w:sz w:val="18"/>
          <w:szCs w:val="18"/>
        </w:rPr>
        <w:footnoteReference w:id="1"/>
      </w:r>
      <w:r w:rsidRPr="00C405B6" w:rsidR="00752B0F">
        <w:rPr>
          <w:rFonts w:ascii="Verdana" w:hAnsi="Verdana"/>
          <w:sz w:val="18"/>
          <w:szCs w:val="18"/>
        </w:rPr>
        <w:t xml:space="preserve"> De Europese groene obligatie is dan ook een aanvulling op het aanbod van duurzame </w:t>
      </w:r>
      <w:r w:rsidRPr="00C405B6" w:rsidR="00B23C20">
        <w:rPr>
          <w:rFonts w:ascii="Verdana" w:hAnsi="Verdana"/>
          <w:sz w:val="18"/>
          <w:szCs w:val="18"/>
        </w:rPr>
        <w:t>beleggingen</w:t>
      </w:r>
      <w:r w:rsidRPr="00C405B6" w:rsidR="00752B0F">
        <w:rPr>
          <w:rFonts w:ascii="Verdana" w:hAnsi="Verdana"/>
          <w:sz w:val="18"/>
          <w:szCs w:val="18"/>
        </w:rPr>
        <w:t xml:space="preserve">. </w:t>
      </w:r>
    </w:p>
    <w:p w:rsidRPr="00C405B6" w:rsidR="000E7D56" w:rsidP="00C405B6" w:rsidRDefault="00A3701D" w14:paraId="345C22CB" w14:textId="055F6A60">
      <w:pPr>
        <w:widowControl w:val="0"/>
        <w:tabs>
          <w:tab w:val="left" w:pos="4500"/>
        </w:tabs>
        <w:spacing w:line="260" w:lineRule="atLeast"/>
        <w:contextualSpacing/>
        <w:rPr>
          <w:rFonts w:ascii="Verdana" w:hAnsi="Verdana" w:cs="Arial"/>
          <w:b/>
          <w:bCs/>
          <w:iCs/>
          <w:sz w:val="18"/>
          <w:szCs w:val="18"/>
        </w:rPr>
      </w:pPr>
      <w:r w:rsidRPr="00C405B6">
        <w:rPr>
          <w:rFonts w:ascii="Verdana" w:hAnsi="Verdana" w:cs="Arial"/>
          <w:b/>
          <w:bCs/>
          <w:iCs/>
          <w:sz w:val="18"/>
          <w:szCs w:val="18"/>
        </w:rPr>
        <w:tab/>
      </w:r>
    </w:p>
    <w:p w:rsidRPr="00C405B6" w:rsidR="00D74D9E" w:rsidP="00C405B6" w:rsidRDefault="00D74D9E" w14:paraId="3B6AEE35" w14:textId="7BBA47A9">
      <w:pPr>
        <w:widowControl w:val="0"/>
        <w:tabs>
          <w:tab w:val="num" w:pos="720"/>
        </w:tabs>
        <w:spacing w:line="260" w:lineRule="atLeast"/>
        <w:contextualSpacing/>
        <w:rPr>
          <w:rFonts w:ascii="Verdana" w:hAnsi="Verdana" w:cs="Arial"/>
          <w:b/>
          <w:bCs/>
          <w:iCs/>
          <w:sz w:val="18"/>
          <w:szCs w:val="18"/>
        </w:rPr>
      </w:pPr>
      <w:r w:rsidRPr="00C405B6">
        <w:rPr>
          <w:rFonts w:ascii="Verdana" w:hAnsi="Verdana" w:cs="Arial"/>
          <w:b/>
          <w:bCs/>
          <w:iCs/>
          <w:sz w:val="18"/>
          <w:szCs w:val="18"/>
        </w:rPr>
        <w:t>2. Inhoud verordening Europese groene obligaties</w:t>
      </w:r>
    </w:p>
    <w:p w:rsidRPr="00C405B6" w:rsidR="00DB522E" w:rsidP="00C405B6" w:rsidRDefault="00DB522E" w14:paraId="3B380688" w14:textId="77777777">
      <w:pPr>
        <w:widowControl w:val="0"/>
        <w:tabs>
          <w:tab w:val="num" w:pos="720"/>
        </w:tabs>
        <w:spacing w:line="260" w:lineRule="atLeast"/>
        <w:contextualSpacing/>
        <w:rPr>
          <w:rFonts w:ascii="Verdana" w:hAnsi="Verdana" w:cs="Arial"/>
          <w:sz w:val="18"/>
          <w:szCs w:val="18"/>
        </w:rPr>
      </w:pPr>
    </w:p>
    <w:p w:rsidRPr="00C405B6" w:rsidR="00D74D9E" w:rsidP="00C405B6" w:rsidRDefault="00D74D9E" w14:paraId="3C00F549" w14:textId="403A1C46">
      <w:pPr>
        <w:widowControl w:val="0"/>
        <w:tabs>
          <w:tab w:val="num" w:pos="720"/>
        </w:tabs>
        <w:spacing w:line="260" w:lineRule="atLeast"/>
        <w:contextualSpacing/>
        <w:rPr>
          <w:rFonts w:ascii="Verdana" w:hAnsi="Verdana" w:cs="Arial"/>
          <w:i/>
          <w:iCs/>
          <w:sz w:val="18"/>
          <w:szCs w:val="18"/>
        </w:rPr>
      </w:pPr>
      <w:r w:rsidRPr="00C405B6">
        <w:rPr>
          <w:rFonts w:ascii="Verdana" w:hAnsi="Verdana" w:cs="Arial"/>
          <w:i/>
          <w:iCs/>
          <w:sz w:val="18"/>
          <w:szCs w:val="18"/>
        </w:rPr>
        <w:t xml:space="preserve">De leden van de VVD-fractie willen weten of de Nederlandse groene obligaties die zijn uitgegeven dan wel nog worden uitgegeven ook (gaan) voldoen aan de voorwaarden uit de voorliggende verordening. Hoeveel voldoen wel? Hoeveel </w:t>
      </w:r>
      <w:r w:rsidRPr="00C405B6">
        <w:rPr>
          <w:rFonts w:ascii="Verdana" w:hAnsi="Verdana" w:cs="Arial"/>
          <w:i/>
          <w:iCs/>
          <w:sz w:val="18"/>
          <w:szCs w:val="18"/>
        </w:rPr>
        <w:lastRenderedPageBreak/>
        <w:t>voldoen niet? De leden ontvangen graag een uitgebreid overzicht.</w:t>
      </w:r>
    </w:p>
    <w:p w:rsidRPr="00C405B6" w:rsidR="00B2131D" w:rsidP="00C405B6" w:rsidRDefault="00B2131D" w14:paraId="4184E793" w14:textId="77777777">
      <w:pPr>
        <w:widowControl w:val="0"/>
        <w:tabs>
          <w:tab w:val="num" w:pos="720"/>
        </w:tabs>
        <w:spacing w:line="260" w:lineRule="atLeast"/>
        <w:contextualSpacing/>
        <w:rPr>
          <w:rFonts w:ascii="Verdana" w:hAnsi="Verdana" w:cs="Arial"/>
          <w:i/>
          <w:iCs/>
          <w:sz w:val="18"/>
          <w:szCs w:val="18"/>
        </w:rPr>
      </w:pPr>
    </w:p>
    <w:p w:rsidRPr="00C405B6" w:rsidR="00222A5B" w:rsidP="00C405B6" w:rsidRDefault="00222A5B" w14:paraId="033626F4" w14:textId="77777777">
      <w:pPr>
        <w:spacing w:line="260" w:lineRule="atLeast"/>
        <w:contextualSpacing/>
        <w:rPr>
          <w:rFonts w:ascii="Verdana" w:hAnsi="Verdana"/>
          <w:sz w:val="18"/>
          <w:szCs w:val="18"/>
        </w:rPr>
      </w:pPr>
      <w:r w:rsidRPr="00C405B6">
        <w:rPr>
          <w:rFonts w:ascii="Verdana" w:hAnsi="Verdana"/>
          <w:sz w:val="18"/>
          <w:szCs w:val="18"/>
        </w:rPr>
        <w:t>De verordening Europese groene obligaties introduceert een nieuwe standaard die nog niet in werking is getreden. Op dit moment voldoet dus nog geen enkele groene obligatie in Nederland aan deze verordening. Bovendien gaat het om een vrijwillig regime en kan dus niet ingeschat worden hoeveel obligaties hier in de toekomst aan zullen voldoen.</w:t>
      </w:r>
    </w:p>
    <w:p w:rsidRPr="00C405B6" w:rsidR="00B2131D" w:rsidP="00C405B6" w:rsidRDefault="00B2131D" w14:paraId="2190C084" w14:textId="77777777">
      <w:pPr>
        <w:widowControl w:val="0"/>
        <w:tabs>
          <w:tab w:val="num" w:pos="720"/>
        </w:tabs>
        <w:spacing w:line="260" w:lineRule="atLeast"/>
        <w:contextualSpacing/>
        <w:rPr>
          <w:rFonts w:ascii="Verdana" w:hAnsi="Verdana" w:cs="Arial"/>
          <w:i/>
          <w:iCs/>
          <w:sz w:val="18"/>
          <w:szCs w:val="18"/>
        </w:rPr>
      </w:pPr>
    </w:p>
    <w:p w:rsidRPr="00C405B6" w:rsidR="00B2131D" w:rsidP="00C405B6" w:rsidRDefault="00B2131D" w14:paraId="0FEAE75E" w14:textId="77777777">
      <w:pPr>
        <w:widowControl w:val="0"/>
        <w:tabs>
          <w:tab w:val="num" w:pos="720"/>
        </w:tabs>
        <w:spacing w:line="260" w:lineRule="atLeast"/>
        <w:contextualSpacing/>
        <w:rPr>
          <w:rFonts w:ascii="Verdana" w:hAnsi="Verdana" w:cs="Arial"/>
          <w:i/>
          <w:iCs/>
          <w:sz w:val="18"/>
          <w:szCs w:val="18"/>
        </w:rPr>
      </w:pPr>
      <w:r w:rsidRPr="00C405B6">
        <w:rPr>
          <w:rFonts w:ascii="Verdana" w:hAnsi="Verdana" w:cs="Arial"/>
          <w:i/>
          <w:iCs/>
          <w:sz w:val="18"/>
          <w:szCs w:val="18"/>
        </w:rPr>
        <w:t>De leden van de VVD-fractie vinden het cruciaal dat ook kernenergie kan vallen onder Europese groene obligaties en vragen in hoeverre dat in deze verordening (maar ook in andere wet- en regelgeving van de Europese Unie) voldoende is verwerkt.</w:t>
      </w:r>
    </w:p>
    <w:p w:rsidRPr="00C405B6" w:rsidR="00B2131D" w:rsidP="00C405B6" w:rsidRDefault="00B2131D" w14:paraId="35876F14" w14:textId="77777777">
      <w:pPr>
        <w:widowControl w:val="0"/>
        <w:tabs>
          <w:tab w:val="num" w:pos="720"/>
        </w:tabs>
        <w:spacing w:line="260" w:lineRule="atLeast"/>
        <w:contextualSpacing/>
        <w:rPr>
          <w:rFonts w:ascii="Verdana" w:hAnsi="Verdana" w:cs="Arial"/>
          <w:i/>
          <w:iCs/>
          <w:sz w:val="18"/>
          <w:szCs w:val="18"/>
        </w:rPr>
      </w:pPr>
    </w:p>
    <w:p w:rsidRPr="00C405B6" w:rsidR="009805AC" w:rsidP="00C405B6" w:rsidRDefault="00FA2C54" w14:paraId="7EA6DDA2" w14:textId="066EA97A">
      <w:pPr>
        <w:widowControl w:val="0"/>
        <w:tabs>
          <w:tab w:val="num" w:pos="720"/>
        </w:tabs>
        <w:spacing w:line="260" w:lineRule="atLeast"/>
        <w:contextualSpacing/>
        <w:rPr>
          <w:rFonts w:ascii="Verdana" w:hAnsi="Verdana" w:cs="Arial"/>
          <w:sz w:val="18"/>
          <w:szCs w:val="18"/>
        </w:rPr>
      </w:pPr>
      <w:r w:rsidRPr="00C405B6">
        <w:rPr>
          <w:rFonts w:ascii="Verdana" w:hAnsi="Verdana"/>
          <w:sz w:val="18"/>
          <w:szCs w:val="18"/>
        </w:rPr>
        <w:t xml:space="preserve">De Verordening Europese groene obligaties schrijft voor dat </w:t>
      </w:r>
      <w:bookmarkStart w:name="_Hlk181266453" w:id="0"/>
      <w:r w:rsidRPr="00C405B6">
        <w:rPr>
          <w:rFonts w:ascii="Verdana" w:hAnsi="Verdana"/>
          <w:sz w:val="18"/>
          <w:szCs w:val="18"/>
        </w:rPr>
        <w:t xml:space="preserve">de opbrengsten van de Europese groene obligatie moeten worden geïnvesteerd in duurzame economische activiteiten die vallen onder </w:t>
      </w:r>
      <w:r w:rsidRPr="00C405B6" w:rsidR="0005627F">
        <w:rPr>
          <w:rFonts w:ascii="Verdana" w:hAnsi="Verdana"/>
          <w:sz w:val="18"/>
          <w:szCs w:val="18"/>
        </w:rPr>
        <w:t>artikel 3 van Verordening (EU) 2020/852 (de taxonomievereisten)</w:t>
      </w:r>
      <w:r w:rsidRPr="00C405B6">
        <w:rPr>
          <w:rFonts w:ascii="Verdana" w:hAnsi="Verdana"/>
          <w:sz w:val="18"/>
          <w:szCs w:val="18"/>
        </w:rPr>
        <w:t>. Aangezien kernenergie</w:t>
      </w:r>
      <w:r w:rsidRPr="00C405B6" w:rsidR="009805AC">
        <w:rPr>
          <w:rFonts w:ascii="Verdana" w:hAnsi="Verdana"/>
          <w:sz w:val="18"/>
          <w:szCs w:val="18"/>
        </w:rPr>
        <w:t xml:space="preserve"> onder bepaalde voorwaarden als duurzaam wordt aangemerkt</w:t>
      </w:r>
      <w:r w:rsidRPr="00C405B6">
        <w:rPr>
          <w:rFonts w:ascii="Verdana" w:hAnsi="Verdana"/>
          <w:sz w:val="18"/>
          <w:szCs w:val="18"/>
        </w:rPr>
        <w:t xml:space="preserve"> </w:t>
      </w:r>
      <w:r w:rsidRPr="00C405B6" w:rsidR="009805AC">
        <w:rPr>
          <w:rFonts w:ascii="Verdana" w:hAnsi="Verdana"/>
          <w:sz w:val="18"/>
          <w:szCs w:val="18"/>
        </w:rPr>
        <w:t>in</w:t>
      </w:r>
      <w:r w:rsidRPr="00C405B6">
        <w:rPr>
          <w:rFonts w:ascii="Verdana" w:hAnsi="Verdana"/>
          <w:sz w:val="18"/>
          <w:szCs w:val="18"/>
        </w:rPr>
        <w:t xml:space="preserve"> de taxonomie</w:t>
      </w:r>
      <w:r w:rsidRPr="00C405B6" w:rsidR="009805AC">
        <w:rPr>
          <w:rFonts w:ascii="Verdana" w:hAnsi="Verdana"/>
          <w:sz w:val="18"/>
          <w:szCs w:val="18"/>
        </w:rPr>
        <w:t>,</w:t>
      </w:r>
      <w:r w:rsidRPr="00C405B6">
        <w:rPr>
          <w:rFonts w:ascii="Verdana" w:hAnsi="Verdana"/>
          <w:sz w:val="18"/>
          <w:szCs w:val="18"/>
        </w:rPr>
        <w:t xml:space="preserve"> kan ook de opbrengst van een Europese groene obligatie worden geïnvesteerd in kernenergie</w:t>
      </w:r>
      <w:r w:rsidRPr="00C405B6" w:rsidR="009805AC">
        <w:rPr>
          <w:rFonts w:ascii="Verdana" w:hAnsi="Verdana"/>
          <w:sz w:val="18"/>
          <w:szCs w:val="18"/>
        </w:rPr>
        <w:t xml:space="preserve"> indien aan de betreffende voorwaarden wordt voldaan</w:t>
      </w:r>
      <w:r w:rsidRPr="00C405B6">
        <w:rPr>
          <w:rFonts w:ascii="Verdana" w:hAnsi="Verdana"/>
          <w:sz w:val="18"/>
          <w:szCs w:val="18"/>
        </w:rPr>
        <w:t>.</w:t>
      </w:r>
      <w:bookmarkEnd w:id="0"/>
      <w:r w:rsidRPr="00C405B6" w:rsidR="00E77C38">
        <w:rPr>
          <w:rFonts w:ascii="Verdana" w:hAnsi="Verdana"/>
          <w:sz w:val="18"/>
          <w:szCs w:val="18"/>
        </w:rPr>
        <w:t xml:space="preserve"> </w:t>
      </w:r>
      <w:r w:rsidRPr="00C405B6" w:rsidR="001B4DD0">
        <w:rPr>
          <w:rFonts w:ascii="Verdana" w:hAnsi="Verdana"/>
          <w:sz w:val="18"/>
          <w:szCs w:val="18"/>
        </w:rPr>
        <w:t>Ook andere Europese wet- en regelgeving laat onder voorwaarden ruimte voor kernenergie.</w:t>
      </w:r>
    </w:p>
    <w:p w:rsidRPr="00C405B6" w:rsidR="00B2131D" w:rsidP="00C405B6" w:rsidRDefault="00B2131D" w14:paraId="7A7C4413" w14:textId="77777777">
      <w:pPr>
        <w:widowControl w:val="0"/>
        <w:tabs>
          <w:tab w:val="num" w:pos="720"/>
        </w:tabs>
        <w:spacing w:line="260" w:lineRule="atLeast"/>
        <w:contextualSpacing/>
        <w:rPr>
          <w:rFonts w:ascii="Verdana" w:hAnsi="Verdana" w:cs="Arial"/>
          <w:i/>
          <w:iCs/>
          <w:sz w:val="18"/>
          <w:szCs w:val="18"/>
        </w:rPr>
      </w:pPr>
    </w:p>
    <w:p w:rsidRPr="00C405B6" w:rsidR="00B2131D" w:rsidP="00C405B6" w:rsidRDefault="00B2131D" w14:paraId="2F184F73" w14:textId="0D5BDAD4">
      <w:pPr>
        <w:widowControl w:val="0"/>
        <w:tabs>
          <w:tab w:val="num" w:pos="720"/>
        </w:tabs>
        <w:spacing w:line="260" w:lineRule="atLeast"/>
        <w:contextualSpacing/>
        <w:rPr>
          <w:rFonts w:ascii="Verdana" w:hAnsi="Verdana" w:cs="Arial"/>
          <w:i/>
          <w:iCs/>
          <w:sz w:val="18"/>
          <w:szCs w:val="18"/>
        </w:rPr>
      </w:pPr>
      <w:bookmarkStart w:name="_Hlk181264508" w:id="1"/>
      <w:r w:rsidRPr="00C405B6">
        <w:rPr>
          <w:rFonts w:ascii="Verdana" w:hAnsi="Verdana" w:cs="Arial"/>
          <w:i/>
          <w:iCs/>
          <w:sz w:val="18"/>
          <w:szCs w:val="18"/>
        </w:rPr>
        <w:t xml:space="preserve">De leden van de PVV- en de VVD-fractie verzoeken om een uitgebreide onderbouwing waarom gebruik is gemaakt van de </w:t>
      </w:r>
      <w:proofErr w:type="gramStart"/>
      <w:r w:rsidRPr="00C405B6">
        <w:rPr>
          <w:rFonts w:ascii="Verdana" w:hAnsi="Verdana" w:cs="Arial"/>
          <w:i/>
          <w:iCs/>
          <w:sz w:val="18"/>
          <w:szCs w:val="18"/>
        </w:rPr>
        <w:t>lidstaatoptie  (</w:t>
      </w:r>
      <w:proofErr w:type="gramEnd"/>
      <w:r w:rsidRPr="00C405B6">
        <w:rPr>
          <w:rFonts w:ascii="Verdana" w:hAnsi="Verdana" w:cs="Arial"/>
          <w:i/>
          <w:iCs/>
          <w:sz w:val="18"/>
          <w:szCs w:val="18"/>
        </w:rPr>
        <w:t>ofwel een nieuwe nationale kop) om in aanvullende sancties of maatregelen te voorzien en hogere bestuurlijke boetes vast te stellen.</w:t>
      </w:r>
      <w:bookmarkEnd w:id="1"/>
      <w:r w:rsidRPr="00C405B6">
        <w:rPr>
          <w:rFonts w:ascii="Verdana" w:hAnsi="Verdana" w:cs="Arial"/>
          <w:i/>
          <w:iCs/>
          <w:sz w:val="18"/>
          <w:szCs w:val="18"/>
        </w:rPr>
        <w:t xml:space="preserve"> </w:t>
      </w:r>
    </w:p>
    <w:p w:rsidRPr="00C405B6" w:rsidR="00B2131D" w:rsidP="00C405B6" w:rsidRDefault="00B2131D" w14:paraId="46322E42" w14:textId="77777777">
      <w:pPr>
        <w:widowControl w:val="0"/>
        <w:tabs>
          <w:tab w:val="num" w:pos="720"/>
        </w:tabs>
        <w:spacing w:line="260" w:lineRule="atLeast"/>
        <w:contextualSpacing/>
        <w:rPr>
          <w:rFonts w:ascii="Verdana" w:hAnsi="Verdana" w:cs="Arial"/>
          <w:i/>
          <w:iCs/>
          <w:sz w:val="18"/>
          <w:szCs w:val="18"/>
        </w:rPr>
      </w:pPr>
    </w:p>
    <w:p w:rsidRPr="00C405B6" w:rsidR="006359C1" w:rsidP="00C405B6" w:rsidRDefault="00E77C38" w14:paraId="298CBE1D" w14:textId="173FE384">
      <w:pPr>
        <w:spacing w:line="260" w:lineRule="atLeast"/>
        <w:contextualSpacing/>
        <w:rPr>
          <w:rFonts w:ascii="Verdana" w:hAnsi="Verdana"/>
          <w:sz w:val="18"/>
          <w:szCs w:val="18"/>
        </w:rPr>
      </w:pPr>
      <w:r w:rsidRPr="00C405B6">
        <w:rPr>
          <w:rFonts w:ascii="Verdana" w:hAnsi="Verdana"/>
          <w:sz w:val="18"/>
          <w:szCs w:val="18"/>
        </w:rPr>
        <w:t>Er wordt in het wetsvoorstel niet voorzien in aanvullende sancties of maatregelen</w:t>
      </w:r>
      <w:r w:rsidR="002B219F">
        <w:rPr>
          <w:rFonts w:ascii="Verdana" w:hAnsi="Verdana"/>
          <w:sz w:val="18"/>
          <w:szCs w:val="18"/>
        </w:rPr>
        <w:t>.</w:t>
      </w:r>
      <w:r w:rsidR="00561AFB">
        <w:rPr>
          <w:rFonts w:ascii="Verdana" w:hAnsi="Verdana"/>
          <w:sz w:val="18"/>
          <w:szCs w:val="18"/>
        </w:rPr>
        <w:t xml:space="preserve"> </w:t>
      </w:r>
      <w:bookmarkStart w:name="_Hlk181266733" w:id="2"/>
      <w:r w:rsidRPr="00C405B6">
        <w:rPr>
          <w:rFonts w:ascii="Verdana" w:hAnsi="Verdana"/>
          <w:sz w:val="18"/>
          <w:szCs w:val="18"/>
        </w:rPr>
        <w:t>Wel wordt voor de bestuurlijke boetes</w:t>
      </w:r>
      <w:r w:rsidR="002B219F">
        <w:rPr>
          <w:rFonts w:ascii="Verdana" w:hAnsi="Verdana"/>
          <w:sz w:val="18"/>
          <w:szCs w:val="18"/>
        </w:rPr>
        <w:t xml:space="preserve"> gebruik gemaakt van de lidstaatoptie zodat kan worden </w:t>
      </w:r>
      <w:r w:rsidRPr="00C405B6">
        <w:rPr>
          <w:rFonts w:ascii="Verdana" w:hAnsi="Verdana"/>
          <w:sz w:val="18"/>
          <w:szCs w:val="18"/>
        </w:rPr>
        <w:t>a</w:t>
      </w:r>
      <w:r w:rsidRPr="00C405B6" w:rsidR="006359C1">
        <w:rPr>
          <w:rFonts w:ascii="Verdana" w:hAnsi="Verdana"/>
          <w:sz w:val="18"/>
          <w:szCs w:val="18"/>
        </w:rPr>
        <w:t>angesloten bij de bestaande hoogte van de bestuurlijke boetes</w:t>
      </w:r>
      <w:r w:rsidRPr="00C405B6" w:rsidR="00622D70">
        <w:rPr>
          <w:rFonts w:ascii="Verdana" w:hAnsi="Verdana"/>
          <w:sz w:val="18"/>
          <w:szCs w:val="18"/>
        </w:rPr>
        <w:t xml:space="preserve"> binnen het financieel recht, zoals opgenomen in de Wet op het financieel toezicht</w:t>
      </w:r>
      <w:r w:rsidRPr="00C405B6" w:rsidR="00944BFE">
        <w:rPr>
          <w:rFonts w:ascii="Verdana" w:hAnsi="Verdana"/>
          <w:sz w:val="18"/>
          <w:szCs w:val="18"/>
        </w:rPr>
        <w:t xml:space="preserve">. Overtreding van de artikelen uit de verordening wordt </w:t>
      </w:r>
      <w:proofErr w:type="spellStart"/>
      <w:r w:rsidRPr="00C405B6" w:rsidR="00944BFE">
        <w:rPr>
          <w:rFonts w:ascii="Verdana" w:hAnsi="Verdana"/>
          <w:sz w:val="18"/>
          <w:szCs w:val="18"/>
        </w:rPr>
        <w:t>beboetbaar</w:t>
      </w:r>
      <w:proofErr w:type="spellEnd"/>
      <w:r w:rsidRPr="00C405B6" w:rsidR="00944BFE">
        <w:rPr>
          <w:rFonts w:ascii="Verdana" w:hAnsi="Verdana"/>
          <w:sz w:val="18"/>
          <w:szCs w:val="18"/>
        </w:rPr>
        <w:t xml:space="preserve"> gesteld met </w:t>
      </w:r>
      <w:r w:rsidRPr="00C405B6" w:rsidR="006359C1">
        <w:rPr>
          <w:rFonts w:ascii="Verdana" w:hAnsi="Verdana"/>
          <w:sz w:val="18"/>
          <w:szCs w:val="18"/>
        </w:rPr>
        <w:t xml:space="preserve">boetecategorie 2 </w:t>
      </w:r>
      <w:r w:rsidRPr="00C405B6" w:rsidR="00944BFE">
        <w:rPr>
          <w:rFonts w:ascii="Verdana" w:hAnsi="Verdana"/>
          <w:sz w:val="18"/>
          <w:szCs w:val="18"/>
        </w:rPr>
        <w:t>(</w:t>
      </w:r>
      <w:proofErr w:type="gramStart"/>
      <w:r w:rsidRPr="00C405B6" w:rsidR="006359C1">
        <w:rPr>
          <w:rFonts w:ascii="Verdana" w:hAnsi="Verdana"/>
          <w:sz w:val="18"/>
          <w:szCs w:val="18"/>
        </w:rPr>
        <w:t>maximum</w:t>
      </w:r>
      <w:r w:rsidRPr="00C405B6" w:rsidR="00944BFE">
        <w:rPr>
          <w:rFonts w:ascii="Verdana" w:hAnsi="Verdana"/>
          <w:sz w:val="18"/>
          <w:szCs w:val="18"/>
        </w:rPr>
        <w:t xml:space="preserve"> boete</w:t>
      </w:r>
      <w:proofErr w:type="gramEnd"/>
      <w:r w:rsidRPr="00C405B6" w:rsidR="00944BFE">
        <w:rPr>
          <w:rFonts w:ascii="Verdana" w:hAnsi="Verdana"/>
          <w:sz w:val="18"/>
          <w:szCs w:val="18"/>
        </w:rPr>
        <w:t xml:space="preserve"> van</w:t>
      </w:r>
      <w:r w:rsidRPr="00C405B6" w:rsidR="006359C1">
        <w:rPr>
          <w:rFonts w:ascii="Verdana" w:hAnsi="Verdana"/>
          <w:sz w:val="18"/>
          <w:szCs w:val="18"/>
        </w:rPr>
        <w:t xml:space="preserve"> € 1.000.000). </w:t>
      </w:r>
      <w:r w:rsidRPr="00C405B6">
        <w:rPr>
          <w:rFonts w:ascii="Verdana" w:hAnsi="Verdana"/>
          <w:sz w:val="18"/>
          <w:szCs w:val="18"/>
        </w:rPr>
        <w:t>De toezichthouders kunnen altijd een lagere boete opleggen. De boete dient</w:t>
      </w:r>
      <w:r w:rsidRPr="00C405B6" w:rsidR="00944BFE">
        <w:rPr>
          <w:rFonts w:ascii="Verdana" w:hAnsi="Verdana"/>
          <w:sz w:val="18"/>
          <w:szCs w:val="18"/>
        </w:rPr>
        <w:t xml:space="preserve"> bijvoorbeeld</w:t>
      </w:r>
      <w:r w:rsidRPr="00C405B6">
        <w:rPr>
          <w:rFonts w:ascii="Verdana" w:hAnsi="Verdana"/>
          <w:sz w:val="18"/>
          <w:szCs w:val="18"/>
        </w:rPr>
        <w:t xml:space="preserve"> in verhouding te staan </w:t>
      </w:r>
      <w:r w:rsidR="0005627F">
        <w:rPr>
          <w:rFonts w:ascii="Verdana" w:hAnsi="Verdana"/>
          <w:sz w:val="18"/>
          <w:szCs w:val="18"/>
        </w:rPr>
        <w:t>tot</w:t>
      </w:r>
      <w:r w:rsidRPr="00C405B6" w:rsidR="0005627F">
        <w:rPr>
          <w:rFonts w:ascii="Verdana" w:hAnsi="Verdana"/>
          <w:sz w:val="18"/>
          <w:szCs w:val="18"/>
        </w:rPr>
        <w:t xml:space="preserve"> </w:t>
      </w:r>
      <w:r w:rsidRPr="00C405B6">
        <w:rPr>
          <w:rFonts w:ascii="Verdana" w:hAnsi="Verdana"/>
          <w:sz w:val="18"/>
          <w:szCs w:val="18"/>
        </w:rPr>
        <w:t xml:space="preserve">de overtreding en de </w:t>
      </w:r>
      <w:r w:rsidRPr="00C405B6" w:rsidR="00944BFE">
        <w:rPr>
          <w:rFonts w:ascii="Verdana" w:hAnsi="Verdana"/>
          <w:sz w:val="18"/>
          <w:szCs w:val="18"/>
        </w:rPr>
        <w:t>omzet van de onderneming</w:t>
      </w:r>
      <w:r w:rsidRPr="00C405B6">
        <w:rPr>
          <w:rFonts w:ascii="Verdana" w:hAnsi="Verdana"/>
          <w:sz w:val="18"/>
          <w:szCs w:val="18"/>
        </w:rPr>
        <w:t xml:space="preserve">. </w:t>
      </w:r>
      <w:bookmarkEnd w:id="2"/>
      <w:r w:rsidRPr="00C405B6" w:rsidR="00944BFE">
        <w:rPr>
          <w:rFonts w:ascii="Verdana" w:hAnsi="Verdana"/>
          <w:sz w:val="18"/>
          <w:szCs w:val="18"/>
        </w:rPr>
        <w:t>In de Wet op het financieel toezicht (</w:t>
      </w:r>
      <w:proofErr w:type="spellStart"/>
      <w:r w:rsidRPr="00C405B6" w:rsidR="00944BFE">
        <w:rPr>
          <w:rFonts w:ascii="Verdana" w:hAnsi="Verdana"/>
          <w:sz w:val="18"/>
          <w:szCs w:val="18"/>
        </w:rPr>
        <w:t>Wft</w:t>
      </w:r>
      <w:proofErr w:type="spellEnd"/>
      <w:r w:rsidRPr="00C405B6" w:rsidR="00944BFE">
        <w:rPr>
          <w:rFonts w:ascii="Verdana" w:hAnsi="Verdana"/>
          <w:sz w:val="18"/>
          <w:szCs w:val="18"/>
        </w:rPr>
        <w:t xml:space="preserve">) is nu </w:t>
      </w:r>
      <w:proofErr w:type="gramStart"/>
      <w:r w:rsidRPr="00C405B6" w:rsidR="00944BFE">
        <w:rPr>
          <w:rFonts w:ascii="Verdana" w:hAnsi="Verdana"/>
          <w:sz w:val="18"/>
          <w:szCs w:val="18"/>
        </w:rPr>
        <w:t>reeds</w:t>
      </w:r>
      <w:proofErr w:type="gramEnd"/>
      <w:r w:rsidRPr="00C405B6" w:rsidR="00944BFE">
        <w:rPr>
          <w:rFonts w:ascii="Verdana" w:hAnsi="Verdana"/>
          <w:sz w:val="18"/>
          <w:szCs w:val="18"/>
        </w:rPr>
        <w:t xml:space="preserve"> opgenomen dat d</w:t>
      </w:r>
      <w:r w:rsidRPr="00C405B6" w:rsidR="006359C1">
        <w:rPr>
          <w:rFonts w:ascii="Verdana" w:hAnsi="Verdana"/>
          <w:sz w:val="18"/>
          <w:szCs w:val="18"/>
        </w:rPr>
        <w:t>e toezichthouders</w:t>
      </w:r>
      <w:r w:rsidRPr="00C405B6" w:rsidR="00944BFE">
        <w:rPr>
          <w:rFonts w:ascii="Verdana" w:hAnsi="Verdana"/>
          <w:sz w:val="18"/>
          <w:szCs w:val="18"/>
        </w:rPr>
        <w:t xml:space="preserve"> o</w:t>
      </w:r>
      <w:r w:rsidRPr="00C405B6" w:rsidR="006359C1">
        <w:rPr>
          <w:rFonts w:ascii="Verdana" w:hAnsi="Verdana"/>
          <w:sz w:val="18"/>
          <w:szCs w:val="18"/>
        </w:rPr>
        <w:t xml:space="preserve">p grond van artikel 1:83 </w:t>
      </w:r>
      <w:proofErr w:type="spellStart"/>
      <w:r w:rsidRPr="00C405B6" w:rsidR="006359C1">
        <w:rPr>
          <w:rFonts w:ascii="Verdana" w:hAnsi="Verdana"/>
          <w:sz w:val="18"/>
          <w:szCs w:val="18"/>
        </w:rPr>
        <w:t>Wft</w:t>
      </w:r>
      <w:proofErr w:type="spellEnd"/>
      <w:r w:rsidRPr="00C405B6" w:rsidR="006359C1">
        <w:rPr>
          <w:rFonts w:ascii="Verdana" w:hAnsi="Verdana"/>
          <w:sz w:val="18"/>
          <w:szCs w:val="18"/>
        </w:rPr>
        <w:t xml:space="preserve"> in afwijking van artikel 1:81 </w:t>
      </w:r>
      <w:proofErr w:type="spellStart"/>
      <w:r w:rsidRPr="00C405B6" w:rsidR="006359C1">
        <w:rPr>
          <w:rFonts w:ascii="Verdana" w:hAnsi="Verdana"/>
          <w:sz w:val="18"/>
          <w:szCs w:val="18"/>
        </w:rPr>
        <w:t>Wft</w:t>
      </w:r>
      <w:proofErr w:type="spellEnd"/>
      <w:r w:rsidRPr="00C405B6" w:rsidR="006359C1">
        <w:rPr>
          <w:rFonts w:ascii="Verdana" w:hAnsi="Verdana"/>
          <w:sz w:val="18"/>
          <w:szCs w:val="18"/>
        </w:rPr>
        <w:t xml:space="preserve"> een bestuurlijke boete</w:t>
      </w:r>
      <w:r w:rsidRPr="00C405B6" w:rsidR="00944BFE">
        <w:rPr>
          <w:rFonts w:ascii="Verdana" w:hAnsi="Verdana"/>
          <w:sz w:val="18"/>
          <w:szCs w:val="18"/>
        </w:rPr>
        <w:t xml:space="preserve"> kunnen</w:t>
      </w:r>
      <w:r w:rsidRPr="00C405B6" w:rsidR="006359C1">
        <w:rPr>
          <w:rFonts w:ascii="Verdana" w:hAnsi="Verdana"/>
          <w:sz w:val="18"/>
          <w:szCs w:val="18"/>
        </w:rPr>
        <w:t xml:space="preserve"> opleggen van ten hoogste driemaal het bedrag van het voordeel dat de overtreder door de overtreding heeft gekregen. </w:t>
      </w:r>
      <w:r w:rsidRPr="00C405B6" w:rsidR="00944BFE">
        <w:rPr>
          <w:rFonts w:ascii="Verdana" w:hAnsi="Verdana"/>
          <w:sz w:val="18"/>
          <w:szCs w:val="18"/>
        </w:rPr>
        <w:t>Deze bevoegdheid van de toezichthouders blijft gehandhaafd.</w:t>
      </w:r>
    </w:p>
    <w:p w:rsidRPr="00C405B6" w:rsidR="00FA2C54" w:rsidP="00C405B6" w:rsidRDefault="00FA2C54" w14:paraId="7BD8BBF4" w14:textId="77777777">
      <w:pPr>
        <w:widowControl w:val="0"/>
        <w:tabs>
          <w:tab w:val="num" w:pos="720"/>
        </w:tabs>
        <w:spacing w:line="260" w:lineRule="atLeast"/>
        <w:contextualSpacing/>
        <w:rPr>
          <w:rFonts w:ascii="Verdana" w:hAnsi="Verdana" w:cs="Arial"/>
          <w:sz w:val="18"/>
          <w:szCs w:val="18"/>
        </w:rPr>
      </w:pPr>
    </w:p>
    <w:p w:rsidRPr="00C405B6" w:rsidR="00622D70" w:rsidP="00C405B6" w:rsidRDefault="00622D70" w14:paraId="54F57C75" w14:textId="158FCCFE">
      <w:pPr>
        <w:widowControl w:val="0"/>
        <w:tabs>
          <w:tab w:val="num" w:pos="720"/>
        </w:tabs>
        <w:spacing w:line="260" w:lineRule="atLeast"/>
        <w:contextualSpacing/>
        <w:rPr>
          <w:rFonts w:ascii="Verdana" w:hAnsi="Verdana" w:cs="Arial"/>
          <w:sz w:val="18"/>
          <w:szCs w:val="18"/>
        </w:rPr>
      </w:pPr>
      <w:r w:rsidRPr="00C405B6">
        <w:rPr>
          <w:rFonts w:ascii="Verdana" w:hAnsi="Verdana" w:cs="Arial"/>
          <w:i/>
          <w:iCs/>
          <w:sz w:val="18"/>
          <w:szCs w:val="18"/>
        </w:rPr>
        <w:t>De leden van de NSC-fractie vragen of het klopt dat deze verordening rechtstreekse werking heeft en dat deze Europese groene obligaties dus per 21 december 2024 aangeboden kunnen worden. Zij vragen voorts in hoeverre deze al worden aangeboden, dan wel of er plannen zijn om deze aan te bieden.</w:t>
      </w:r>
    </w:p>
    <w:p w:rsidRPr="00C405B6" w:rsidR="00622D70" w:rsidP="00C405B6" w:rsidRDefault="00622D70" w14:paraId="5D5B250F" w14:textId="77777777">
      <w:pPr>
        <w:widowControl w:val="0"/>
        <w:tabs>
          <w:tab w:val="num" w:pos="720"/>
        </w:tabs>
        <w:spacing w:line="260" w:lineRule="atLeast"/>
        <w:contextualSpacing/>
        <w:rPr>
          <w:rFonts w:ascii="Verdana" w:hAnsi="Verdana" w:cs="Arial"/>
          <w:sz w:val="18"/>
          <w:szCs w:val="18"/>
        </w:rPr>
      </w:pPr>
    </w:p>
    <w:p w:rsidRPr="00C405B6" w:rsidR="00B2131D" w:rsidP="00C405B6" w:rsidRDefault="00FA2C54" w14:paraId="44D42B9E" w14:textId="3B3E3471">
      <w:pPr>
        <w:widowControl w:val="0"/>
        <w:tabs>
          <w:tab w:val="num" w:pos="720"/>
        </w:tabs>
        <w:spacing w:line="260" w:lineRule="atLeast"/>
        <w:contextualSpacing/>
        <w:rPr>
          <w:rFonts w:ascii="Verdana" w:hAnsi="Verdana" w:cs="Arial"/>
          <w:sz w:val="18"/>
          <w:szCs w:val="18"/>
        </w:rPr>
      </w:pPr>
      <w:r w:rsidRPr="00C405B6">
        <w:rPr>
          <w:rFonts w:ascii="Verdana" w:hAnsi="Verdana" w:cs="Arial"/>
          <w:sz w:val="18"/>
          <w:szCs w:val="18"/>
        </w:rPr>
        <w:t xml:space="preserve">Het klopt dat de verordening Europese groene obligaties rechtstreekse werking heeft en dat dergelijke obligaties per 21 december 2024 kunnen worden aangeboden. </w:t>
      </w:r>
      <w:r w:rsidRPr="00C405B6" w:rsidR="00920819">
        <w:rPr>
          <w:rFonts w:ascii="Verdana" w:hAnsi="Verdana" w:cs="Arial"/>
          <w:sz w:val="18"/>
          <w:szCs w:val="18"/>
        </w:rPr>
        <w:t xml:space="preserve">Een van de voorwaarden voor het uitgeven van Europese groene obligaties, is de publicatie van een goedgekeurd prospectus. De AFM heeft nog geen prospectussen goedgekeurd waaronder Europese groene obligaties uitgegeven kunnen worden. </w:t>
      </w:r>
    </w:p>
    <w:p w:rsidRPr="00C405B6" w:rsidR="00B2131D" w:rsidP="00C405B6" w:rsidRDefault="00B2131D" w14:paraId="1F12FEE8" w14:textId="77777777">
      <w:pPr>
        <w:widowControl w:val="0"/>
        <w:tabs>
          <w:tab w:val="num" w:pos="720"/>
        </w:tabs>
        <w:spacing w:line="260" w:lineRule="atLeast"/>
        <w:contextualSpacing/>
        <w:rPr>
          <w:rFonts w:ascii="Verdana" w:hAnsi="Verdana" w:cs="Arial"/>
          <w:i/>
          <w:iCs/>
          <w:sz w:val="18"/>
          <w:szCs w:val="18"/>
        </w:rPr>
      </w:pPr>
    </w:p>
    <w:p w:rsidRPr="00C405B6" w:rsidR="00DB522E" w:rsidP="00C405B6" w:rsidRDefault="001673FE" w14:paraId="6F5F6DE3" w14:textId="17247196">
      <w:pPr>
        <w:widowControl w:val="0"/>
        <w:tabs>
          <w:tab w:val="num" w:pos="720"/>
        </w:tabs>
        <w:spacing w:line="260" w:lineRule="atLeast"/>
        <w:contextualSpacing/>
        <w:rPr>
          <w:rFonts w:ascii="Verdana" w:hAnsi="Verdana" w:cs="Arial"/>
          <w:sz w:val="18"/>
          <w:szCs w:val="18"/>
        </w:rPr>
      </w:pPr>
      <w:r w:rsidRPr="00C405B6">
        <w:rPr>
          <w:rFonts w:ascii="Verdana" w:hAnsi="Verdana" w:cs="Arial"/>
          <w:i/>
          <w:iCs/>
          <w:sz w:val="18"/>
          <w:szCs w:val="18"/>
        </w:rPr>
        <w:t xml:space="preserve">De leden van de NSC-fractie vragen aan welke eisen Europese groene obligaties moeten voldoen. Gaat het dan alleen om wind en zon? Of gaat het ook om warmtenetten, WKO, warmtepompen, warmtepompen met aardwarmte, </w:t>
      </w:r>
      <w:proofErr w:type="spellStart"/>
      <w:r w:rsidRPr="00C405B6">
        <w:rPr>
          <w:rFonts w:ascii="Verdana" w:hAnsi="Verdana" w:cs="Arial"/>
          <w:i/>
          <w:iCs/>
          <w:sz w:val="18"/>
          <w:szCs w:val="18"/>
        </w:rPr>
        <w:t>aquathermie</w:t>
      </w:r>
      <w:proofErr w:type="spellEnd"/>
      <w:r w:rsidRPr="00C405B6">
        <w:rPr>
          <w:rFonts w:ascii="Verdana" w:hAnsi="Verdana" w:cs="Arial"/>
          <w:i/>
          <w:iCs/>
          <w:sz w:val="18"/>
          <w:szCs w:val="18"/>
        </w:rPr>
        <w:t xml:space="preserve">, </w:t>
      </w:r>
      <w:proofErr w:type="spellStart"/>
      <w:r w:rsidRPr="00C405B6">
        <w:rPr>
          <w:rFonts w:ascii="Verdana" w:hAnsi="Verdana" w:cs="Arial"/>
          <w:i/>
          <w:iCs/>
          <w:sz w:val="18"/>
          <w:szCs w:val="18"/>
        </w:rPr>
        <w:t>riothermie</w:t>
      </w:r>
      <w:proofErr w:type="spellEnd"/>
      <w:r w:rsidRPr="00C405B6">
        <w:rPr>
          <w:rFonts w:ascii="Verdana" w:hAnsi="Verdana" w:cs="Arial"/>
          <w:i/>
          <w:iCs/>
          <w:sz w:val="18"/>
          <w:szCs w:val="18"/>
        </w:rPr>
        <w:t xml:space="preserve">, houtige biomassa- en </w:t>
      </w:r>
      <w:proofErr w:type="spellStart"/>
      <w:r w:rsidRPr="00C405B6">
        <w:rPr>
          <w:rFonts w:ascii="Verdana" w:hAnsi="Verdana" w:cs="Arial"/>
          <w:i/>
          <w:iCs/>
          <w:sz w:val="18"/>
          <w:szCs w:val="18"/>
        </w:rPr>
        <w:t>biomestvergisters</w:t>
      </w:r>
      <w:proofErr w:type="spellEnd"/>
      <w:r w:rsidRPr="00C405B6">
        <w:rPr>
          <w:rFonts w:ascii="Verdana" w:hAnsi="Verdana" w:cs="Arial"/>
          <w:i/>
          <w:iCs/>
          <w:sz w:val="18"/>
          <w:szCs w:val="18"/>
        </w:rPr>
        <w:t>, groene waterstof, getijdenenergie en waterkrachtcentrales, CCS en/of kernenergie?</w:t>
      </w:r>
    </w:p>
    <w:p w:rsidRPr="00C405B6" w:rsidR="00B2131D" w:rsidP="00C405B6" w:rsidRDefault="00B2131D" w14:paraId="15AEDA74" w14:textId="77777777">
      <w:pPr>
        <w:widowControl w:val="0"/>
        <w:tabs>
          <w:tab w:val="num" w:pos="720"/>
        </w:tabs>
        <w:spacing w:line="260" w:lineRule="atLeast"/>
        <w:contextualSpacing/>
        <w:rPr>
          <w:rFonts w:ascii="Verdana" w:hAnsi="Verdana"/>
          <w:sz w:val="18"/>
          <w:szCs w:val="18"/>
        </w:rPr>
      </w:pPr>
    </w:p>
    <w:p w:rsidRPr="00C405B6" w:rsidR="001673FE" w:rsidP="00C405B6" w:rsidRDefault="006359C1" w14:paraId="07ACBC13" w14:textId="76E2120D">
      <w:pPr>
        <w:widowControl w:val="0"/>
        <w:tabs>
          <w:tab w:val="num" w:pos="720"/>
        </w:tabs>
        <w:spacing w:line="260" w:lineRule="atLeast"/>
        <w:contextualSpacing/>
        <w:rPr>
          <w:rFonts w:ascii="Verdana" w:hAnsi="Verdana"/>
          <w:sz w:val="18"/>
          <w:szCs w:val="18"/>
        </w:rPr>
      </w:pPr>
      <w:r w:rsidRPr="00C405B6">
        <w:rPr>
          <w:rFonts w:ascii="Verdana" w:hAnsi="Verdana"/>
          <w:sz w:val="18"/>
          <w:szCs w:val="18"/>
        </w:rPr>
        <w:t>De opbrengsten van de Europese groene obligatie moeten worden geïnvesteerd in duurzame economische activiteiten die vallen onder</w:t>
      </w:r>
      <w:r w:rsidRPr="00C405B6" w:rsidR="00227FDF">
        <w:rPr>
          <w:rFonts w:ascii="Verdana" w:hAnsi="Verdana"/>
          <w:sz w:val="18"/>
          <w:szCs w:val="18"/>
        </w:rPr>
        <w:t xml:space="preserve"> artikel 3 van Verordening (EU) 2020/852 (de </w:t>
      </w:r>
      <w:r w:rsidRPr="00C405B6">
        <w:rPr>
          <w:rFonts w:ascii="Verdana" w:hAnsi="Verdana"/>
          <w:sz w:val="18"/>
          <w:szCs w:val="18"/>
        </w:rPr>
        <w:t>taxonomievereisten</w:t>
      </w:r>
      <w:r w:rsidRPr="00C405B6" w:rsidR="00227FDF">
        <w:rPr>
          <w:rFonts w:ascii="Verdana" w:hAnsi="Verdana"/>
          <w:sz w:val="18"/>
          <w:szCs w:val="18"/>
        </w:rPr>
        <w:t>)</w:t>
      </w:r>
      <w:r w:rsidRPr="00C405B6">
        <w:rPr>
          <w:rFonts w:ascii="Verdana" w:hAnsi="Verdana"/>
          <w:sz w:val="18"/>
          <w:szCs w:val="18"/>
        </w:rPr>
        <w:t>. Alle activiteiten die de leden van de NSC-fractie noemen, vallen</w:t>
      </w:r>
      <w:r w:rsidRPr="00C405B6" w:rsidR="009805AC">
        <w:rPr>
          <w:rFonts w:ascii="Verdana" w:hAnsi="Verdana"/>
          <w:sz w:val="18"/>
          <w:szCs w:val="18"/>
        </w:rPr>
        <w:t xml:space="preserve"> onder de taxonomie </w:t>
      </w:r>
      <w:proofErr w:type="gramStart"/>
      <w:r w:rsidRPr="00C405B6" w:rsidR="009805AC">
        <w:rPr>
          <w:rFonts w:ascii="Verdana" w:hAnsi="Verdana"/>
          <w:sz w:val="18"/>
          <w:szCs w:val="18"/>
        </w:rPr>
        <w:t>indien</w:t>
      </w:r>
      <w:proofErr w:type="gramEnd"/>
      <w:r w:rsidRPr="00C405B6" w:rsidR="009805AC">
        <w:rPr>
          <w:rFonts w:ascii="Verdana" w:hAnsi="Verdana"/>
          <w:sz w:val="18"/>
          <w:szCs w:val="18"/>
        </w:rPr>
        <w:t xml:space="preserve"> wordt voldaan aan de voor die activiteit voorgeschreven voorwaarden</w:t>
      </w:r>
      <w:r w:rsidRPr="00C405B6">
        <w:rPr>
          <w:rFonts w:ascii="Verdana" w:hAnsi="Verdana"/>
          <w:sz w:val="18"/>
          <w:szCs w:val="18"/>
        </w:rPr>
        <w:t>.</w:t>
      </w:r>
    </w:p>
    <w:p w:rsidRPr="00C405B6" w:rsidR="001E3B86" w:rsidP="00C405B6" w:rsidRDefault="001E3B86" w14:paraId="67420ABF" w14:textId="77777777">
      <w:pPr>
        <w:widowControl w:val="0"/>
        <w:tabs>
          <w:tab w:val="num" w:pos="720"/>
        </w:tabs>
        <w:spacing w:line="260" w:lineRule="atLeast"/>
        <w:contextualSpacing/>
        <w:rPr>
          <w:rFonts w:ascii="Verdana" w:hAnsi="Verdana"/>
          <w:b/>
          <w:bCs/>
          <w:sz w:val="18"/>
          <w:szCs w:val="18"/>
        </w:rPr>
      </w:pPr>
    </w:p>
    <w:p w:rsidRPr="00C405B6" w:rsidR="001673FE" w:rsidP="00C405B6" w:rsidRDefault="001673FE" w14:paraId="139F7786" w14:textId="44435C8B">
      <w:pPr>
        <w:widowControl w:val="0"/>
        <w:tabs>
          <w:tab w:val="num" w:pos="720"/>
        </w:tabs>
        <w:spacing w:line="260" w:lineRule="atLeast"/>
        <w:contextualSpacing/>
        <w:rPr>
          <w:rFonts w:ascii="Verdana" w:hAnsi="Verdana"/>
          <w:b/>
          <w:bCs/>
          <w:sz w:val="18"/>
          <w:szCs w:val="18"/>
        </w:rPr>
      </w:pPr>
      <w:r w:rsidRPr="00C405B6">
        <w:rPr>
          <w:rFonts w:ascii="Verdana" w:hAnsi="Verdana"/>
          <w:b/>
          <w:bCs/>
          <w:sz w:val="18"/>
          <w:szCs w:val="18"/>
        </w:rPr>
        <w:t>3. Inhoud wetsvoorstel</w:t>
      </w:r>
    </w:p>
    <w:p w:rsidRPr="00C405B6" w:rsidR="00B2131D" w:rsidP="00C405B6" w:rsidRDefault="00B2131D" w14:paraId="2E8B1429" w14:textId="77777777">
      <w:pPr>
        <w:widowControl w:val="0"/>
        <w:tabs>
          <w:tab w:val="num" w:pos="720"/>
        </w:tabs>
        <w:spacing w:line="260" w:lineRule="atLeast"/>
        <w:contextualSpacing/>
        <w:rPr>
          <w:rFonts w:ascii="Verdana" w:hAnsi="Verdana"/>
          <w:sz w:val="18"/>
          <w:szCs w:val="18"/>
        </w:rPr>
      </w:pPr>
    </w:p>
    <w:p w:rsidRPr="00C405B6" w:rsidR="001673FE" w:rsidP="00C405B6" w:rsidRDefault="001673FE" w14:paraId="0947A4CF" w14:textId="695AA48A">
      <w:pPr>
        <w:widowControl w:val="0"/>
        <w:tabs>
          <w:tab w:val="num" w:pos="720"/>
        </w:tabs>
        <w:spacing w:line="260" w:lineRule="atLeast"/>
        <w:contextualSpacing/>
        <w:rPr>
          <w:rFonts w:ascii="Verdana" w:hAnsi="Verdana"/>
          <w:i/>
          <w:iCs/>
          <w:sz w:val="18"/>
          <w:szCs w:val="18"/>
        </w:rPr>
      </w:pPr>
      <w:r w:rsidRPr="00C405B6">
        <w:rPr>
          <w:rFonts w:ascii="Verdana" w:hAnsi="Verdana"/>
          <w:i/>
          <w:iCs/>
          <w:sz w:val="18"/>
          <w:szCs w:val="18"/>
        </w:rPr>
        <w:t>De leden van de NSC-fractie vragen of niet elke nieuwe uitgifte van obligaties eerst door de Autoriteit Financiële Markten (AFM) moet worden goedgekeurd. En zo ja, in hoeverre deze wettelijke bepaling iets toevoegt. Zij vragen of het klopt dat de AFM nu ook al de bevoegdheid heeft om de handel in effecten te schorsen of te staken en hoe vaak hiervan gebruik wordt gemaakt.</w:t>
      </w:r>
    </w:p>
    <w:p w:rsidRPr="00C405B6" w:rsidR="001673FE" w:rsidP="00C405B6" w:rsidRDefault="001673FE" w14:paraId="711600B4" w14:textId="77777777">
      <w:pPr>
        <w:widowControl w:val="0"/>
        <w:tabs>
          <w:tab w:val="num" w:pos="720"/>
        </w:tabs>
        <w:spacing w:line="260" w:lineRule="atLeast"/>
        <w:contextualSpacing/>
        <w:rPr>
          <w:rFonts w:ascii="Verdana" w:hAnsi="Verdana"/>
          <w:i/>
          <w:iCs/>
          <w:sz w:val="18"/>
          <w:szCs w:val="18"/>
        </w:rPr>
      </w:pPr>
    </w:p>
    <w:p w:rsidRPr="00C405B6" w:rsidR="000E7D56" w:rsidP="00C405B6" w:rsidRDefault="00222A5B" w14:paraId="4CF05D64" w14:textId="11CF646C">
      <w:pPr>
        <w:spacing w:line="260" w:lineRule="atLeast"/>
        <w:contextualSpacing/>
        <w:rPr>
          <w:rFonts w:ascii="Verdana" w:hAnsi="Verdana"/>
          <w:sz w:val="18"/>
          <w:szCs w:val="18"/>
        </w:rPr>
      </w:pPr>
      <w:r w:rsidRPr="00C405B6">
        <w:rPr>
          <w:rFonts w:ascii="Verdana" w:hAnsi="Verdana"/>
          <w:sz w:val="18"/>
          <w:szCs w:val="18"/>
        </w:rPr>
        <w:t xml:space="preserve">De AFM </w:t>
      </w:r>
      <w:r w:rsidRPr="00C405B6" w:rsidR="00920819">
        <w:rPr>
          <w:rFonts w:ascii="Verdana" w:hAnsi="Verdana"/>
          <w:sz w:val="18"/>
          <w:szCs w:val="18"/>
        </w:rPr>
        <w:t>verleent geen goedkeuring aan de</w:t>
      </w:r>
      <w:r w:rsidRPr="00C405B6">
        <w:rPr>
          <w:rFonts w:ascii="Verdana" w:hAnsi="Verdana"/>
          <w:sz w:val="18"/>
          <w:szCs w:val="18"/>
        </w:rPr>
        <w:t xml:space="preserve"> uitgifte van obligaties</w:t>
      </w:r>
      <w:r w:rsidRPr="00C405B6" w:rsidR="00920819">
        <w:rPr>
          <w:rFonts w:ascii="Verdana" w:hAnsi="Verdana"/>
          <w:sz w:val="18"/>
          <w:szCs w:val="18"/>
        </w:rPr>
        <w:t>.</w:t>
      </w:r>
      <w:r w:rsidRPr="00C405B6">
        <w:rPr>
          <w:rFonts w:ascii="Verdana" w:hAnsi="Verdana"/>
          <w:sz w:val="18"/>
          <w:szCs w:val="18"/>
        </w:rPr>
        <w:t xml:space="preserve"> </w:t>
      </w:r>
      <w:r w:rsidRPr="00C405B6" w:rsidR="00227FDF">
        <w:rPr>
          <w:rFonts w:ascii="Verdana" w:hAnsi="Verdana"/>
          <w:sz w:val="18"/>
          <w:szCs w:val="18"/>
        </w:rPr>
        <w:t xml:space="preserve">Wel dient de AFM in beginsel het prospectus goed te keuren </w:t>
      </w:r>
      <w:r w:rsidRPr="00C405B6">
        <w:rPr>
          <w:rFonts w:ascii="Verdana" w:hAnsi="Verdana"/>
          <w:sz w:val="18"/>
          <w:szCs w:val="18"/>
        </w:rPr>
        <w:t>voor</w:t>
      </w:r>
      <w:r w:rsidRPr="00C405B6" w:rsidR="00227FDF">
        <w:rPr>
          <w:rFonts w:ascii="Verdana" w:hAnsi="Verdana"/>
          <w:sz w:val="18"/>
          <w:szCs w:val="18"/>
        </w:rPr>
        <w:t>dat</w:t>
      </w:r>
      <w:r w:rsidRPr="00C405B6">
        <w:rPr>
          <w:rFonts w:ascii="Verdana" w:hAnsi="Verdana"/>
          <w:sz w:val="18"/>
          <w:szCs w:val="18"/>
        </w:rPr>
        <w:t xml:space="preserve"> effecten</w:t>
      </w:r>
      <w:r w:rsidRPr="00C405B6" w:rsidR="00622D70">
        <w:rPr>
          <w:rFonts w:ascii="Verdana" w:hAnsi="Verdana"/>
          <w:sz w:val="18"/>
          <w:szCs w:val="18"/>
        </w:rPr>
        <w:t>, waaronder obligaties,</w:t>
      </w:r>
      <w:r w:rsidRPr="00C405B6" w:rsidR="00227FDF">
        <w:rPr>
          <w:rFonts w:ascii="Verdana" w:hAnsi="Verdana"/>
          <w:sz w:val="18"/>
          <w:szCs w:val="18"/>
        </w:rPr>
        <w:t xml:space="preserve"> kunnen worden aangeboden</w:t>
      </w:r>
      <w:r w:rsidRPr="00C405B6">
        <w:rPr>
          <w:rFonts w:ascii="Verdana" w:hAnsi="Verdana"/>
          <w:sz w:val="18"/>
          <w:szCs w:val="18"/>
        </w:rPr>
        <w:t xml:space="preserve"> aan het publiek of </w:t>
      </w:r>
      <w:r w:rsidRPr="00C405B6" w:rsidR="00227FDF">
        <w:rPr>
          <w:rFonts w:ascii="Verdana" w:hAnsi="Verdana"/>
          <w:sz w:val="18"/>
          <w:szCs w:val="18"/>
        </w:rPr>
        <w:t>kunnen worden toegelaten</w:t>
      </w:r>
      <w:r w:rsidRPr="00C405B6">
        <w:rPr>
          <w:rFonts w:ascii="Verdana" w:hAnsi="Verdana"/>
          <w:sz w:val="18"/>
          <w:szCs w:val="18"/>
        </w:rPr>
        <w:t xml:space="preserve"> tot de handel op een gereglementeerde markt</w:t>
      </w:r>
      <w:r w:rsidRPr="00C405B6" w:rsidR="00227FDF">
        <w:rPr>
          <w:rFonts w:ascii="Verdana" w:hAnsi="Verdana"/>
          <w:sz w:val="18"/>
          <w:szCs w:val="18"/>
        </w:rPr>
        <w:t>.</w:t>
      </w:r>
      <w:r w:rsidRPr="00C405B6">
        <w:rPr>
          <w:rFonts w:ascii="Verdana" w:hAnsi="Verdana"/>
          <w:sz w:val="18"/>
          <w:szCs w:val="18"/>
        </w:rPr>
        <w:t xml:space="preserve"> Er bestaa</w:t>
      </w:r>
      <w:r w:rsidR="00ED09BC">
        <w:rPr>
          <w:rFonts w:ascii="Verdana" w:hAnsi="Verdana"/>
          <w:sz w:val="18"/>
          <w:szCs w:val="18"/>
        </w:rPr>
        <w:t>t</w:t>
      </w:r>
      <w:r w:rsidRPr="00C405B6">
        <w:rPr>
          <w:rFonts w:ascii="Verdana" w:hAnsi="Verdana"/>
          <w:sz w:val="18"/>
          <w:szCs w:val="18"/>
        </w:rPr>
        <w:t xml:space="preserve"> echter een aantal uitzonderingen op deze prospectusplicht</w:t>
      </w:r>
      <w:r w:rsidRPr="00C405B6" w:rsidR="00205246">
        <w:rPr>
          <w:rFonts w:ascii="Verdana" w:hAnsi="Verdana"/>
          <w:sz w:val="18"/>
          <w:szCs w:val="18"/>
        </w:rPr>
        <w:t xml:space="preserve"> (</w:t>
      </w:r>
      <w:r w:rsidRPr="00C405B6" w:rsidR="00E61876">
        <w:rPr>
          <w:rFonts w:ascii="Verdana" w:hAnsi="Verdana"/>
          <w:sz w:val="18"/>
          <w:szCs w:val="18"/>
        </w:rPr>
        <w:t>waaronder obligaties uitgegeven door overheidsinstanties)</w:t>
      </w:r>
      <w:r w:rsidRPr="00C405B6">
        <w:rPr>
          <w:rFonts w:ascii="Verdana" w:hAnsi="Verdana"/>
          <w:sz w:val="18"/>
          <w:szCs w:val="18"/>
        </w:rPr>
        <w:t xml:space="preserve"> zoals neergelegd in artikel 1 van de Prospectusverordening. </w:t>
      </w:r>
      <w:r w:rsidR="002B219F">
        <w:rPr>
          <w:rFonts w:ascii="Verdana" w:hAnsi="Verdana"/>
          <w:sz w:val="18"/>
          <w:szCs w:val="18"/>
        </w:rPr>
        <w:t>Deze uitzondering is ruimer dan de uitzondering voor het opstellen van het prospectus zoals opgenomen in de Verordening Europese groene obligaties.</w:t>
      </w:r>
      <w:r w:rsidR="004B05CC">
        <w:rPr>
          <w:rFonts w:ascii="Verdana" w:hAnsi="Verdana"/>
          <w:sz w:val="18"/>
          <w:szCs w:val="18"/>
        </w:rPr>
        <w:t xml:space="preserve"> </w:t>
      </w:r>
      <w:r w:rsidR="000A68C1">
        <w:rPr>
          <w:rFonts w:ascii="Verdana" w:hAnsi="Verdana"/>
          <w:sz w:val="18"/>
          <w:szCs w:val="18"/>
        </w:rPr>
        <w:t xml:space="preserve">Op </w:t>
      </w:r>
      <w:r w:rsidRPr="00C405B6" w:rsidR="000E7D56">
        <w:rPr>
          <w:rFonts w:ascii="Verdana" w:hAnsi="Verdana"/>
          <w:sz w:val="18"/>
          <w:szCs w:val="18"/>
        </w:rPr>
        <w:t xml:space="preserve">grond van de Verordening Europese groene obligaties </w:t>
      </w:r>
      <w:r w:rsidR="0025728A">
        <w:rPr>
          <w:rFonts w:ascii="Verdana" w:hAnsi="Verdana"/>
          <w:sz w:val="18"/>
          <w:szCs w:val="18"/>
        </w:rPr>
        <w:t>zijn alleen de uitgevende instellingen uitgezonderd</w:t>
      </w:r>
      <w:r w:rsidR="002B219F">
        <w:rPr>
          <w:rFonts w:ascii="Verdana" w:hAnsi="Verdana"/>
          <w:sz w:val="18"/>
          <w:szCs w:val="18"/>
        </w:rPr>
        <w:t xml:space="preserve"> van de prospectusplicht</w:t>
      </w:r>
      <w:r w:rsidR="0025728A">
        <w:rPr>
          <w:rFonts w:ascii="Verdana" w:hAnsi="Verdana"/>
          <w:sz w:val="18"/>
          <w:szCs w:val="18"/>
        </w:rPr>
        <w:t xml:space="preserve"> die voldoen aan artikel 1, tweede lid, onderdelen b en d, van de Prospectusverordening</w:t>
      </w:r>
      <w:r w:rsidRPr="00C405B6" w:rsidR="000E7D56">
        <w:rPr>
          <w:rFonts w:ascii="Verdana" w:hAnsi="Verdana"/>
          <w:sz w:val="18"/>
          <w:szCs w:val="18"/>
        </w:rPr>
        <w:t xml:space="preserve">. </w:t>
      </w:r>
      <w:r w:rsidR="000A68C1">
        <w:rPr>
          <w:rFonts w:ascii="Verdana" w:hAnsi="Verdana"/>
          <w:sz w:val="18"/>
          <w:szCs w:val="18"/>
        </w:rPr>
        <w:t>Hier</w:t>
      </w:r>
      <w:r w:rsidR="0025728A">
        <w:rPr>
          <w:rFonts w:ascii="Verdana" w:hAnsi="Verdana"/>
          <w:sz w:val="18"/>
          <w:szCs w:val="18"/>
        </w:rPr>
        <w:t>onder vallen</w:t>
      </w:r>
      <w:r w:rsidR="000A68C1">
        <w:rPr>
          <w:rFonts w:ascii="Verdana" w:hAnsi="Verdana"/>
          <w:sz w:val="18"/>
          <w:szCs w:val="18"/>
        </w:rPr>
        <w:t xml:space="preserve"> o</w:t>
      </w:r>
      <w:r w:rsidRPr="00C405B6" w:rsidR="001B4DD0">
        <w:rPr>
          <w:rFonts w:ascii="Verdana" w:hAnsi="Verdana"/>
          <w:sz w:val="18"/>
          <w:szCs w:val="18"/>
        </w:rPr>
        <w:t xml:space="preserve">verheidsinstanties </w:t>
      </w:r>
      <w:r w:rsidRPr="00C405B6" w:rsidR="000E7D56">
        <w:rPr>
          <w:rFonts w:ascii="Verdana" w:hAnsi="Verdana"/>
          <w:sz w:val="18"/>
          <w:szCs w:val="18"/>
        </w:rPr>
        <w:t>die Europese groene obligaties willen uitgeven</w:t>
      </w:r>
      <w:r w:rsidR="0025728A">
        <w:rPr>
          <w:rFonts w:ascii="Verdana" w:hAnsi="Verdana"/>
          <w:sz w:val="18"/>
          <w:szCs w:val="18"/>
        </w:rPr>
        <w:t>.</w:t>
      </w:r>
      <w:r w:rsidR="000A68C1">
        <w:rPr>
          <w:rFonts w:ascii="Verdana" w:hAnsi="Verdana"/>
          <w:sz w:val="18"/>
          <w:szCs w:val="18"/>
        </w:rPr>
        <w:t xml:space="preserve"> </w:t>
      </w:r>
    </w:p>
    <w:p w:rsidRPr="00C405B6" w:rsidR="00222A5B" w:rsidP="00C405B6" w:rsidRDefault="00222A5B" w14:paraId="7C7A6142" w14:textId="3C3BADB4">
      <w:pPr>
        <w:spacing w:line="260" w:lineRule="atLeast"/>
        <w:contextualSpacing/>
        <w:rPr>
          <w:rFonts w:ascii="Verdana" w:hAnsi="Verdana"/>
          <w:sz w:val="18"/>
          <w:szCs w:val="18"/>
        </w:rPr>
      </w:pPr>
    </w:p>
    <w:p w:rsidRPr="00C405B6" w:rsidR="00222A5B" w:rsidP="00C405B6" w:rsidRDefault="00222A5B" w14:paraId="30D88D67" w14:textId="76F4AB98">
      <w:pPr>
        <w:spacing w:line="260" w:lineRule="atLeast"/>
        <w:contextualSpacing/>
        <w:rPr>
          <w:rFonts w:ascii="Verdana" w:hAnsi="Verdana"/>
          <w:sz w:val="18"/>
          <w:szCs w:val="18"/>
        </w:rPr>
      </w:pPr>
      <w:r w:rsidRPr="00C405B6">
        <w:rPr>
          <w:rFonts w:ascii="Verdana" w:hAnsi="Verdana"/>
          <w:sz w:val="18"/>
          <w:szCs w:val="18"/>
        </w:rPr>
        <w:t xml:space="preserve">Het klopt dat de AFM nu al de bevoegdheid heeft om de handel in effecten te schorsen of te staken. Hier wordt enkele keren per jaar gebruik van gemaakt. Het betreft dan met name de handel in aandelen als sprake is van informatie-ongelijkheid over een bepaald beursgenoteerd bedrijf. Het stilleggen van de handel in obligaties gebeurt meestal alleen omdat deze gerelateerd zijn aan </w:t>
      </w:r>
      <w:r w:rsidRPr="00C405B6" w:rsidR="00E03644">
        <w:rPr>
          <w:rFonts w:ascii="Verdana" w:hAnsi="Verdana"/>
          <w:sz w:val="18"/>
          <w:szCs w:val="18"/>
        </w:rPr>
        <w:t>een</w:t>
      </w:r>
      <w:r w:rsidRPr="00C405B6">
        <w:rPr>
          <w:rFonts w:ascii="Verdana" w:hAnsi="Verdana"/>
          <w:sz w:val="18"/>
          <w:szCs w:val="18"/>
        </w:rPr>
        <w:t xml:space="preserve"> bedrijf waarvoor de aandelenhandel is stilgelegd.</w:t>
      </w:r>
      <w:r w:rsidRPr="00C405B6" w:rsidR="009805AC">
        <w:rPr>
          <w:rFonts w:ascii="Verdana" w:hAnsi="Verdana"/>
          <w:sz w:val="18"/>
          <w:szCs w:val="18"/>
        </w:rPr>
        <w:t xml:space="preserve"> </w:t>
      </w:r>
    </w:p>
    <w:p w:rsidRPr="00C405B6" w:rsidR="001673FE" w:rsidP="00C405B6" w:rsidRDefault="001673FE" w14:paraId="3765B8F1" w14:textId="77777777">
      <w:pPr>
        <w:widowControl w:val="0"/>
        <w:tabs>
          <w:tab w:val="num" w:pos="720"/>
        </w:tabs>
        <w:spacing w:line="260" w:lineRule="atLeast"/>
        <w:contextualSpacing/>
        <w:rPr>
          <w:rFonts w:ascii="Verdana" w:hAnsi="Verdana"/>
          <w:sz w:val="18"/>
          <w:szCs w:val="18"/>
        </w:rPr>
      </w:pPr>
    </w:p>
    <w:p w:rsidRPr="00C405B6" w:rsidR="001673FE" w:rsidP="00C405B6" w:rsidRDefault="001673FE" w14:paraId="1FB82757" w14:textId="57448BF6">
      <w:pPr>
        <w:widowControl w:val="0"/>
        <w:tabs>
          <w:tab w:val="num" w:pos="720"/>
        </w:tabs>
        <w:spacing w:line="260" w:lineRule="atLeast"/>
        <w:contextualSpacing/>
        <w:rPr>
          <w:rFonts w:ascii="Verdana" w:hAnsi="Verdana"/>
          <w:i/>
          <w:iCs/>
          <w:sz w:val="18"/>
          <w:szCs w:val="18"/>
        </w:rPr>
      </w:pPr>
      <w:r w:rsidRPr="00C405B6">
        <w:rPr>
          <w:rFonts w:ascii="Verdana" w:hAnsi="Verdana"/>
          <w:i/>
          <w:iCs/>
          <w:sz w:val="18"/>
          <w:szCs w:val="18"/>
        </w:rPr>
        <w:t>De leden van de NSC-fractie vragen ook wat de exacte rolverdeling tussen de AFM en De Nederlandsche Bank (DNB) is. Zij vragen welke rol de Europese</w:t>
      </w:r>
      <w:r w:rsidRPr="00C405B6" w:rsidR="000E7D56">
        <w:rPr>
          <w:rFonts w:ascii="Verdana" w:hAnsi="Verdana"/>
          <w:i/>
          <w:iCs/>
          <w:sz w:val="18"/>
          <w:szCs w:val="18"/>
        </w:rPr>
        <w:t xml:space="preserve"> </w:t>
      </w:r>
      <w:r w:rsidRPr="00C405B6">
        <w:rPr>
          <w:rFonts w:ascii="Verdana" w:hAnsi="Verdana"/>
          <w:i/>
          <w:iCs/>
          <w:sz w:val="18"/>
          <w:szCs w:val="18"/>
        </w:rPr>
        <w:t>toezichthouder voor dergelijke obligaties speelt.</w:t>
      </w:r>
      <w:r w:rsidRPr="00C405B6" w:rsidR="00D550E5">
        <w:rPr>
          <w:rFonts w:ascii="Verdana" w:hAnsi="Verdana"/>
          <w:i/>
          <w:iCs/>
          <w:sz w:val="18"/>
          <w:szCs w:val="18"/>
        </w:rPr>
        <w:t xml:space="preserve"> Verder vragen zij welke instantie toezicht houdt op Europese groene obligaties die in het buitenland worden aangeboden. Kan de overheid ook dergelijke Europese groene obligaties aanbieden? Zijn er plannen voor dergelijke groene staatsobligaties?</w:t>
      </w:r>
    </w:p>
    <w:p w:rsidRPr="00C405B6" w:rsidR="00D550E5" w:rsidP="00C405B6" w:rsidRDefault="00D550E5" w14:paraId="7241633A" w14:textId="77777777">
      <w:pPr>
        <w:widowControl w:val="0"/>
        <w:tabs>
          <w:tab w:val="num" w:pos="720"/>
        </w:tabs>
        <w:spacing w:line="260" w:lineRule="atLeast"/>
        <w:contextualSpacing/>
        <w:rPr>
          <w:rFonts w:ascii="Verdana" w:hAnsi="Verdana"/>
          <w:i/>
          <w:iCs/>
          <w:sz w:val="18"/>
          <w:szCs w:val="18"/>
        </w:rPr>
      </w:pPr>
    </w:p>
    <w:p w:rsidRPr="00C405B6" w:rsidR="00920819" w:rsidP="00C405B6" w:rsidRDefault="002E7D43" w14:paraId="6B3F81BB" w14:textId="0C4ED917">
      <w:pPr>
        <w:spacing w:line="260" w:lineRule="atLeast"/>
        <w:contextualSpacing/>
        <w:rPr>
          <w:rFonts w:ascii="Verdana" w:hAnsi="Verdana" w:cs="Arial"/>
          <w:bCs/>
          <w:sz w:val="18"/>
          <w:szCs w:val="18"/>
        </w:rPr>
      </w:pPr>
      <w:bookmarkStart w:name="_Hlk181267770" w:id="3"/>
      <w:r w:rsidRPr="00C405B6">
        <w:rPr>
          <w:rFonts w:ascii="Verdana" w:hAnsi="Verdana"/>
          <w:sz w:val="18"/>
          <w:szCs w:val="18"/>
        </w:rPr>
        <w:t>De AFM wordt de bevoegde autoriteit ten aanzien van</w:t>
      </w:r>
      <w:r w:rsidRPr="00C405B6" w:rsidR="00222A5B">
        <w:rPr>
          <w:rFonts w:ascii="Verdana" w:hAnsi="Verdana"/>
          <w:sz w:val="18"/>
          <w:szCs w:val="18"/>
        </w:rPr>
        <w:t xml:space="preserve"> uitgevende instellingen</w:t>
      </w:r>
      <w:r w:rsidRPr="00C405B6" w:rsidR="001918AA">
        <w:rPr>
          <w:rFonts w:ascii="Verdana" w:hAnsi="Verdana"/>
          <w:sz w:val="18"/>
          <w:szCs w:val="18"/>
        </w:rPr>
        <w:t xml:space="preserve"> (</w:t>
      </w:r>
      <w:r w:rsidRPr="00C405B6" w:rsidR="00F46F7A">
        <w:rPr>
          <w:rFonts w:ascii="Verdana" w:hAnsi="Verdana"/>
          <w:sz w:val="18"/>
          <w:szCs w:val="18"/>
        </w:rPr>
        <w:t>overheidsinstanties</w:t>
      </w:r>
      <w:r w:rsidRPr="00C405B6" w:rsidR="000E7D56">
        <w:rPr>
          <w:rFonts w:ascii="Verdana" w:hAnsi="Verdana"/>
          <w:sz w:val="18"/>
          <w:szCs w:val="18"/>
        </w:rPr>
        <w:t xml:space="preserve"> zijn uitgezonderd</w:t>
      </w:r>
      <w:r w:rsidRPr="00C405B6" w:rsidR="001918AA">
        <w:rPr>
          <w:rFonts w:ascii="Verdana" w:hAnsi="Verdana"/>
          <w:sz w:val="18"/>
          <w:szCs w:val="18"/>
        </w:rPr>
        <w:t>)</w:t>
      </w:r>
      <w:r w:rsidRPr="00C405B6" w:rsidR="00222A5B">
        <w:rPr>
          <w:rFonts w:ascii="Verdana" w:hAnsi="Verdana"/>
          <w:sz w:val="18"/>
          <w:szCs w:val="18"/>
        </w:rPr>
        <w:t xml:space="preserve"> en de naleving van</w:t>
      </w:r>
      <w:r w:rsidRPr="00C405B6">
        <w:rPr>
          <w:rFonts w:ascii="Verdana" w:hAnsi="Verdana"/>
          <w:sz w:val="18"/>
          <w:szCs w:val="18"/>
        </w:rPr>
        <w:t xml:space="preserve"> de</w:t>
      </w:r>
      <w:r w:rsidRPr="00C405B6" w:rsidR="00222A5B">
        <w:rPr>
          <w:rFonts w:ascii="Verdana" w:hAnsi="Verdana"/>
          <w:sz w:val="18"/>
          <w:szCs w:val="18"/>
        </w:rPr>
        <w:t xml:space="preserve"> artikelen uit de</w:t>
      </w:r>
      <w:r w:rsidRPr="00C405B6">
        <w:rPr>
          <w:rFonts w:ascii="Verdana" w:hAnsi="Verdana"/>
          <w:sz w:val="18"/>
          <w:szCs w:val="18"/>
        </w:rPr>
        <w:t xml:space="preserve"> </w:t>
      </w:r>
      <w:r w:rsidRPr="00C405B6">
        <w:rPr>
          <w:rFonts w:ascii="Verdana" w:hAnsi="Verdana"/>
          <w:sz w:val="18"/>
          <w:szCs w:val="18"/>
        </w:rPr>
        <w:lastRenderedPageBreak/>
        <w:t>verordening</w:t>
      </w:r>
      <w:r w:rsidR="00402F90">
        <w:rPr>
          <w:rFonts w:ascii="Verdana" w:hAnsi="Verdana"/>
          <w:sz w:val="18"/>
          <w:szCs w:val="18"/>
        </w:rPr>
        <w:t xml:space="preserve">. </w:t>
      </w:r>
      <w:r w:rsidR="00407F09">
        <w:rPr>
          <w:rFonts w:ascii="Verdana" w:hAnsi="Verdana"/>
          <w:sz w:val="18"/>
          <w:szCs w:val="18"/>
        </w:rPr>
        <w:t xml:space="preserve">Als er sprake is van een </w:t>
      </w:r>
      <w:proofErr w:type="spellStart"/>
      <w:r w:rsidRPr="00C405B6">
        <w:rPr>
          <w:rFonts w:ascii="Verdana" w:hAnsi="Verdana" w:cs="Arial"/>
          <w:bCs/>
          <w:sz w:val="18"/>
          <w:szCs w:val="18"/>
        </w:rPr>
        <w:t>securitisatie</w:t>
      </w:r>
      <w:r w:rsidR="00402F90">
        <w:rPr>
          <w:rFonts w:ascii="Verdana" w:hAnsi="Verdana" w:cs="Arial"/>
          <w:bCs/>
          <w:sz w:val="18"/>
          <w:szCs w:val="18"/>
        </w:rPr>
        <w:t>s</w:t>
      </w:r>
      <w:proofErr w:type="spellEnd"/>
      <w:r w:rsidRPr="00C405B6" w:rsidR="00D3280C">
        <w:rPr>
          <w:rStyle w:val="Voetnootmarkering"/>
          <w:rFonts w:ascii="Verdana" w:hAnsi="Verdana" w:cs="Arial"/>
          <w:bCs/>
          <w:sz w:val="18"/>
          <w:szCs w:val="18"/>
        </w:rPr>
        <w:footnoteReference w:id="2"/>
      </w:r>
      <w:r w:rsidR="002B219F">
        <w:rPr>
          <w:rFonts w:ascii="Verdana" w:hAnsi="Verdana" w:cs="Arial"/>
          <w:bCs/>
          <w:sz w:val="18"/>
          <w:szCs w:val="18"/>
        </w:rPr>
        <w:t xml:space="preserve"> en </w:t>
      </w:r>
      <w:r w:rsidR="00407F09">
        <w:rPr>
          <w:rFonts w:ascii="Verdana" w:hAnsi="Verdana" w:cs="Arial"/>
          <w:bCs/>
          <w:sz w:val="18"/>
          <w:szCs w:val="18"/>
        </w:rPr>
        <w:t xml:space="preserve">DNB als de bevoegde autoriteit is </w:t>
      </w:r>
      <w:r w:rsidR="002B219F">
        <w:rPr>
          <w:rFonts w:ascii="Verdana" w:hAnsi="Verdana" w:cs="Arial"/>
          <w:bCs/>
          <w:sz w:val="18"/>
          <w:szCs w:val="18"/>
        </w:rPr>
        <w:t xml:space="preserve">aangewezen voor de </w:t>
      </w:r>
      <w:r w:rsidR="00407F09">
        <w:rPr>
          <w:rFonts w:ascii="Verdana" w:hAnsi="Verdana" w:cs="Arial"/>
          <w:bCs/>
          <w:sz w:val="18"/>
          <w:szCs w:val="18"/>
        </w:rPr>
        <w:t xml:space="preserve">naleving van de </w:t>
      </w:r>
      <w:proofErr w:type="spellStart"/>
      <w:r w:rsidR="002B219F">
        <w:rPr>
          <w:rFonts w:ascii="Verdana" w:hAnsi="Verdana" w:cs="Arial"/>
          <w:bCs/>
          <w:sz w:val="18"/>
          <w:szCs w:val="18"/>
        </w:rPr>
        <w:t>securitisatieverordening</w:t>
      </w:r>
      <w:proofErr w:type="spellEnd"/>
      <w:r w:rsidR="00407F09">
        <w:rPr>
          <w:rFonts w:ascii="Verdana" w:hAnsi="Verdana" w:cs="Arial"/>
          <w:bCs/>
          <w:sz w:val="18"/>
          <w:szCs w:val="18"/>
        </w:rPr>
        <w:t xml:space="preserve">, dan is </w:t>
      </w:r>
      <w:r w:rsidR="002B219F">
        <w:rPr>
          <w:rFonts w:ascii="Verdana" w:hAnsi="Verdana" w:cs="Arial"/>
          <w:bCs/>
          <w:sz w:val="18"/>
          <w:szCs w:val="18"/>
        </w:rPr>
        <w:t>DNB</w:t>
      </w:r>
      <w:r w:rsidR="00407F09">
        <w:rPr>
          <w:rFonts w:ascii="Verdana" w:hAnsi="Verdana" w:cs="Arial"/>
          <w:bCs/>
          <w:sz w:val="18"/>
          <w:szCs w:val="18"/>
        </w:rPr>
        <w:t xml:space="preserve"> </w:t>
      </w:r>
      <w:r w:rsidR="002B219F">
        <w:rPr>
          <w:rFonts w:ascii="Verdana" w:hAnsi="Verdana" w:cs="Arial"/>
          <w:bCs/>
          <w:sz w:val="18"/>
          <w:szCs w:val="18"/>
        </w:rPr>
        <w:t xml:space="preserve">de bevoegde autoriteit voor de verordening Europese groene obligaties. </w:t>
      </w:r>
      <w:r w:rsidRPr="00C405B6" w:rsidR="00590ED0">
        <w:rPr>
          <w:rFonts w:ascii="Verdana" w:hAnsi="Verdana" w:cs="Arial"/>
          <w:bCs/>
          <w:sz w:val="18"/>
          <w:szCs w:val="18"/>
        </w:rPr>
        <w:t xml:space="preserve">Indien Europese groene obligaties worden aangeboden in het buitenland </w:t>
      </w:r>
      <w:r w:rsidR="008E5228">
        <w:rPr>
          <w:rFonts w:ascii="Verdana" w:hAnsi="Verdana" w:cs="Arial"/>
          <w:bCs/>
          <w:sz w:val="18"/>
          <w:szCs w:val="18"/>
        </w:rPr>
        <w:t xml:space="preserve">dan </w:t>
      </w:r>
      <w:r w:rsidRPr="00C405B6" w:rsidR="00590ED0">
        <w:rPr>
          <w:rFonts w:ascii="Verdana" w:hAnsi="Verdana" w:cs="Arial"/>
          <w:bCs/>
          <w:sz w:val="18"/>
          <w:szCs w:val="18"/>
        </w:rPr>
        <w:t xml:space="preserve">is de </w:t>
      </w:r>
      <w:r w:rsidRPr="00C405B6" w:rsidR="007A6056">
        <w:rPr>
          <w:rFonts w:ascii="Verdana" w:hAnsi="Verdana" w:cs="Arial"/>
          <w:bCs/>
          <w:sz w:val="18"/>
          <w:szCs w:val="18"/>
        </w:rPr>
        <w:t xml:space="preserve">bevoegde autoriteit van de </w:t>
      </w:r>
      <w:r w:rsidRPr="00C405B6" w:rsidR="00590ED0">
        <w:rPr>
          <w:rFonts w:ascii="Verdana" w:hAnsi="Verdana" w:cs="Arial"/>
          <w:bCs/>
          <w:sz w:val="18"/>
          <w:szCs w:val="18"/>
        </w:rPr>
        <w:t>lidstaat van herkomst</w:t>
      </w:r>
      <w:r w:rsidR="008E5228">
        <w:rPr>
          <w:rFonts w:ascii="Verdana" w:hAnsi="Verdana" w:cs="Arial"/>
          <w:bCs/>
          <w:sz w:val="18"/>
          <w:szCs w:val="18"/>
        </w:rPr>
        <w:t>,</w:t>
      </w:r>
      <w:r w:rsidRPr="00C405B6" w:rsidR="0053584F">
        <w:rPr>
          <w:rFonts w:ascii="Verdana" w:hAnsi="Verdana" w:cs="Arial"/>
          <w:bCs/>
          <w:sz w:val="18"/>
          <w:szCs w:val="18"/>
        </w:rPr>
        <w:t xml:space="preserve"> zoals opgenomen in artikel 2 van de Prospectusverordening</w:t>
      </w:r>
      <w:r w:rsidR="008E5228">
        <w:rPr>
          <w:rFonts w:ascii="Verdana" w:hAnsi="Verdana" w:cs="Arial"/>
          <w:bCs/>
          <w:sz w:val="18"/>
          <w:szCs w:val="18"/>
        </w:rPr>
        <w:t>,</w:t>
      </w:r>
      <w:r w:rsidRPr="00C405B6" w:rsidR="007A6056">
        <w:rPr>
          <w:rFonts w:ascii="Verdana" w:hAnsi="Verdana" w:cs="Arial"/>
          <w:bCs/>
          <w:sz w:val="18"/>
          <w:szCs w:val="18"/>
        </w:rPr>
        <w:t xml:space="preserve"> degene die toezicht houdt op de uitgifte van Europese groene obligaties. </w:t>
      </w:r>
      <w:r w:rsidRPr="00C405B6" w:rsidR="0053584F">
        <w:rPr>
          <w:rFonts w:ascii="Verdana" w:hAnsi="Verdana" w:cs="Arial"/>
          <w:bCs/>
          <w:sz w:val="18"/>
          <w:szCs w:val="18"/>
        </w:rPr>
        <w:t xml:space="preserve">De uitgevende instelling kan voor het bepalen van de lidstaat van herkomst kiezen tussen </w:t>
      </w:r>
      <w:r w:rsidRPr="00C405B6" w:rsidR="00920819">
        <w:rPr>
          <w:rFonts w:ascii="Verdana" w:hAnsi="Verdana" w:cs="Arial"/>
          <w:bCs/>
          <w:sz w:val="18"/>
          <w:szCs w:val="18"/>
        </w:rPr>
        <w:t xml:space="preserve">de lidstaat </w:t>
      </w:r>
      <w:r w:rsidRPr="00C405B6" w:rsidR="00590ED0">
        <w:rPr>
          <w:rFonts w:ascii="Verdana" w:hAnsi="Verdana" w:cs="Arial"/>
          <w:bCs/>
          <w:sz w:val="18"/>
          <w:szCs w:val="18"/>
        </w:rPr>
        <w:t>waar de uitgevende instelling haar zetel heeft of de lidstaat</w:t>
      </w:r>
      <w:r w:rsidRPr="00C405B6" w:rsidR="00920819">
        <w:rPr>
          <w:rFonts w:ascii="Verdana" w:hAnsi="Verdana" w:cs="Arial"/>
          <w:bCs/>
          <w:sz w:val="18"/>
          <w:szCs w:val="18"/>
        </w:rPr>
        <w:t xml:space="preserve"> waar de obligaties worden aangeboden aan het publiek of worden toegelaten tot de handel op een gereglementeerde markt. </w:t>
      </w:r>
      <w:r w:rsidRPr="00C405B6" w:rsidR="0053584F">
        <w:rPr>
          <w:rFonts w:ascii="Verdana" w:hAnsi="Verdana" w:cs="Arial"/>
          <w:bCs/>
          <w:sz w:val="18"/>
          <w:szCs w:val="18"/>
        </w:rPr>
        <w:t>Indien de uitgevende</w:t>
      </w:r>
      <w:r w:rsidRPr="00C405B6" w:rsidR="007443FE">
        <w:rPr>
          <w:rFonts w:ascii="Verdana" w:hAnsi="Verdana" w:cs="Arial"/>
          <w:bCs/>
          <w:sz w:val="18"/>
          <w:szCs w:val="18"/>
        </w:rPr>
        <w:t xml:space="preserve"> instelling</w:t>
      </w:r>
      <w:r w:rsidRPr="00C405B6" w:rsidR="0053584F">
        <w:rPr>
          <w:rFonts w:ascii="Verdana" w:hAnsi="Verdana" w:cs="Arial"/>
          <w:bCs/>
          <w:sz w:val="18"/>
          <w:szCs w:val="18"/>
        </w:rPr>
        <w:t xml:space="preserve"> </w:t>
      </w:r>
      <w:r w:rsidRPr="00C405B6" w:rsidR="00920819">
        <w:rPr>
          <w:rFonts w:ascii="Verdana" w:hAnsi="Verdana" w:cs="Arial"/>
          <w:bCs/>
          <w:sz w:val="18"/>
          <w:szCs w:val="18"/>
        </w:rPr>
        <w:t>voor Nederland als lidstaat van herkomst</w:t>
      </w:r>
      <w:r w:rsidRPr="00C405B6" w:rsidR="0053584F">
        <w:rPr>
          <w:rFonts w:ascii="Verdana" w:hAnsi="Verdana" w:cs="Arial"/>
          <w:bCs/>
          <w:sz w:val="18"/>
          <w:szCs w:val="18"/>
        </w:rPr>
        <w:t xml:space="preserve"> heeft gekozen</w:t>
      </w:r>
      <w:r w:rsidRPr="00C405B6" w:rsidR="00920819">
        <w:rPr>
          <w:rFonts w:ascii="Verdana" w:hAnsi="Verdana" w:cs="Arial"/>
          <w:bCs/>
          <w:sz w:val="18"/>
          <w:szCs w:val="18"/>
        </w:rPr>
        <w:t>, dan is de AFM de bevoegde autoriteit.</w:t>
      </w:r>
    </w:p>
    <w:p w:rsidRPr="00C405B6" w:rsidR="00920819" w:rsidP="00C405B6" w:rsidRDefault="00920819" w14:paraId="7E60E05C" w14:textId="77777777">
      <w:pPr>
        <w:spacing w:line="260" w:lineRule="atLeast"/>
        <w:contextualSpacing/>
        <w:rPr>
          <w:rFonts w:ascii="Verdana" w:hAnsi="Verdana" w:cs="Arial"/>
          <w:bCs/>
          <w:sz w:val="18"/>
          <w:szCs w:val="18"/>
        </w:rPr>
      </w:pPr>
    </w:p>
    <w:bookmarkEnd w:id="3"/>
    <w:p w:rsidRPr="00C405B6" w:rsidR="002E7D43" w:rsidP="00C405B6" w:rsidRDefault="00316953" w14:paraId="6E645A66" w14:textId="5148667F">
      <w:pPr>
        <w:spacing w:line="260" w:lineRule="atLeast"/>
        <w:contextualSpacing/>
        <w:rPr>
          <w:rFonts w:ascii="Verdana" w:hAnsi="Verdana" w:cs="Arial"/>
          <w:bCs/>
          <w:sz w:val="18"/>
          <w:szCs w:val="18"/>
        </w:rPr>
      </w:pPr>
      <w:r w:rsidRPr="00C405B6">
        <w:rPr>
          <w:rFonts w:ascii="Verdana" w:hAnsi="Verdana" w:cs="Arial"/>
          <w:bCs/>
          <w:sz w:val="18"/>
          <w:szCs w:val="18"/>
        </w:rPr>
        <w:t xml:space="preserve">Een externe toetsingsinstantie </w:t>
      </w:r>
      <w:r w:rsidRPr="00C405B6" w:rsidR="006C5CEF">
        <w:rPr>
          <w:rFonts w:ascii="Verdana" w:hAnsi="Verdana" w:cs="Arial"/>
          <w:bCs/>
          <w:sz w:val="18"/>
          <w:szCs w:val="18"/>
        </w:rPr>
        <w:t xml:space="preserve">(die onder toezicht van ESMA valt) </w:t>
      </w:r>
      <w:r w:rsidRPr="00C405B6" w:rsidR="006C5CEF">
        <w:rPr>
          <w:rFonts w:ascii="Verdana" w:hAnsi="Verdana"/>
          <w:sz w:val="18"/>
          <w:szCs w:val="18"/>
        </w:rPr>
        <w:t>toetst voor uitgifte van de Europese groene obligatie of de Europese groene obligatie voldoet aan de eisen zoals opgenomen in de verordening</w:t>
      </w:r>
      <w:r w:rsidRPr="00C405B6" w:rsidR="0053584F">
        <w:rPr>
          <w:rFonts w:ascii="Verdana" w:hAnsi="Verdana"/>
          <w:sz w:val="18"/>
          <w:szCs w:val="18"/>
        </w:rPr>
        <w:t xml:space="preserve"> en of er een </w:t>
      </w:r>
      <w:proofErr w:type="spellStart"/>
      <w:r w:rsidRPr="00C405B6" w:rsidR="0053584F">
        <w:rPr>
          <w:rFonts w:ascii="Verdana" w:hAnsi="Verdana"/>
          <w:sz w:val="18"/>
          <w:szCs w:val="18"/>
        </w:rPr>
        <w:t>factsheet</w:t>
      </w:r>
      <w:proofErr w:type="spellEnd"/>
      <w:r w:rsidRPr="00C405B6" w:rsidR="0053584F">
        <w:rPr>
          <w:rFonts w:ascii="Verdana" w:hAnsi="Verdana"/>
          <w:sz w:val="18"/>
          <w:szCs w:val="18"/>
        </w:rPr>
        <w:t xml:space="preserve"> is opgesteld waarin de vereiste informatie is opgenomen</w:t>
      </w:r>
      <w:r w:rsidRPr="00C405B6" w:rsidR="006C5CEF">
        <w:rPr>
          <w:rFonts w:ascii="Verdana" w:hAnsi="Verdana"/>
          <w:sz w:val="18"/>
          <w:szCs w:val="18"/>
        </w:rPr>
        <w:t xml:space="preserve">. De opbrengsten van deze obligatie moeten worden geïnvesteerd in duurzame economische activiteiten die vallen onder de EU taxonomievereisten. De uitgevende instelling dient jaarlijks een toewijzingsverslag op te stellen. Hierin wordt aangegeven hoe de opbrengsten van de obligatie worden toegewezen aan op de taxonomie afgestemde projecten. Deze </w:t>
      </w:r>
      <w:proofErr w:type="spellStart"/>
      <w:r w:rsidRPr="00C405B6" w:rsidR="006C5CEF">
        <w:rPr>
          <w:rFonts w:ascii="Verdana" w:hAnsi="Verdana"/>
          <w:sz w:val="18"/>
          <w:szCs w:val="18"/>
        </w:rPr>
        <w:t>toewijzigingsverslagen</w:t>
      </w:r>
      <w:proofErr w:type="spellEnd"/>
      <w:r w:rsidRPr="00C405B6" w:rsidR="006C5CEF">
        <w:rPr>
          <w:rFonts w:ascii="Verdana" w:hAnsi="Verdana"/>
          <w:sz w:val="18"/>
          <w:szCs w:val="18"/>
        </w:rPr>
        <w:t xml:space="preserve"> dienen te worden getoetst door de externe toetsingsinstantie</w:t>
      </w:r>
      <w:r w:rsidRPr="00C405B6" w:rsidR="000E7D56">
        <w:rPr>
          <w:rFonts w:ascii="Verdana" w:hAnsi="Verdana"/>
          <w:sz w:val="18"/>
          <w:szCs w:val="18"/>
        </w:rPr>
        <w:t>.</w:t>
      </w:r>
      <w:r w:rsidRPr="00C405B6" w:rsidR="00823E23">
        <w:rPr>
          <w:rFonts w:ascii="Verdana" w:hAnsi="Verdana"/>
          <w:sz w:val="18"/>
          <w:szCs w:val="18"/>
        </w:rPr>
        <w:t xml:space="preserve"> </w:t>
      </w:r>
    </w:p>
    <w:p w:rsidRPr="00C405B6" w:rsidR="00E77C38" w:rsidP="00C405B6" w:rsidRDefault="00E77C38" w14:paraId="643DE090" w14:textId="77777777">
      <w:pPr>
        <w:widowControl w:val="0"/>
        <w:tabs>
          <w:tab w:val="num" w:pos="720"/>
        </w:tabs>
        <w:spacing w:line="260" w:lineRule="atLeast"/>
        <w:contextualSpacing/>
        <w:rPr>
          <w:rFonts w:ascii="Verdana" w:hAnsi="Verdana"/>
          <w:sz w:val="18"/>
          <w:szCs w:val="18"/>
        </w:rPr>
      </w:pPr>
    </w:p>
    <w:p w:rsidRPr="00C405B6" w:rsidR="00291B18" w:rsidP="00C405B6" w:rsidRDefault="00CD5AA2" w14:paraId="4FA5D211" w14:textId="7462A433">
      <w:pPr>
        <w:spacing w:line="260" w:lineRule="atLeast"/>
        <w:contextualSpacing/>
        <w:rPr>
          <w:rFonts w:ascii="Verdana" w:hAnsi="Verdana"/>
          <w:sz w:val="18"/>
          <w:szCs w:val="18"/>
        </w:rPr>
      </w:pPr>
      <w:r w:rsidRPr="00C405B6">
        <w:rPr>
          <w:rFonts w:ascii="Verdana" w:hAnsi="Verdana"/>
          <w:sz w:val="18"/>
          <w:szCs w:val="18"/>
        </w:rPr>
        <w:t>De Nederlandse overheid heeft momenteel voor ca. € 25 miljard aan groene staatsobligaties (</w:t>
      </w:r>
      <w:r w:rsidRPr="00C405B6">
        <w:rPr>
          <w:rFonts w:ascii="Verdana" w:hAnsi="Verdana"/>
          <w:i/>
          <w:iCs/>
          <w:sz w:val="18"/>
          <w:szCs w:val="18"/>
        </w:rPr>
        <w:t xml:space="preserve">Dutch State </w:t>
      </w:r>
      <w:proofErr w:type="spellStart"/>
      <w:r w:rsidRPr="00C405B6">
        <w:rPr>
          <w:rFonts w:ascii="Verdana" w:hAnsi="Verdana"/>
          <w:i/>
          <w:iCs/>
          <w:sz w:val="18"/>
          <w:szCs w:val="18"/>
        </w:rPr>
        <w:t>Loans</w:t>
      </w:r>
      <w:proofErr w:type="spellEnd"/>
      <w:r w:rsidRPr="00C405B6">
        <w:rPr>
          <w:rFonts w:ascii="Verdana" w:hAnsi="Verdana"/>
          <w:sz w:val="18"/>
          <w:szCs w:val="18"/>
        </w:rPr>
        <w:t>) uitgegeven.</w:t>
      </w:r>
      <w:r w:rsidRPr="00C405B6" w:rsidR="00291B18">
        <w:rPr>
          <w:rFonts w:ascii="Verdana" w:hAnsi="Verdana"/>
          <w:sz w:val="18"/>
          <w:szCs w:val="18"/>
        </w:rPr>
        <w:t xml:space="preserve"> Net als andere uitgevende instellingen dient ook de overheid voor Europese groene obligaties de voorgeschreven informatie voorafgaand en tijdens de looptijd van de obligatie (zoals een toewijzingsverslag) ter beschikking te stellen in lijn met de verordening en dient dit geverifieerd te worden door een externe toetsingsinstantie. Daarnaast moeten er voldoende investeringen zijn die aantoonbaar voldoen aan de </w:t>
      </w:r>
      <w:proofErr w:type="gramStart"/>
      <w:r w:rsidRPr="00C405B6" w:rsidR="00291B18">
        <w:rPr>
          <w:rFonts w:ascii="Verdana" w:hAnsi="Verdana"/>
          <w:sz w:val="18"/>
          <w:szCs w:val="18"/>
        </w:rPr>
        <w:t xml:space="preserve">EU </w:t>
      </w:r>
      <w:r w:rsidR="00ED09BC">
        <w:rPr>
          <w:rFonts w:ascii="Verdana" w:hAnsi="Verdana"/>
          <w:sz w:val="18"/>
          <w:szCs w:val="18"/>
        </w:rPr>
        <w:t>t</w:t>
      </w:r>
      <w:r w:rsidRPr="00C405B6" w:rsidR="00291B18">
        <w:rPr>
          <w:rFonts w:ascii="Verdana" w:hAnsi="Verdana"/>
          <w:sz w:val="18"/>
          <w:szCs w:val="18"/>
        </w:rPr>
        <w:t>axonomie</w:t>
      </w:r>
      <w:proofErr w:type="gramEnd"/>
      <w:r w:rsidR="008E5228">
        <w:rPr>
          <w:rFonts w:ascii="Verdana" w:hAnsi="Verdana"/>
          <w:sz w:val="18"/>
          <w:szCs w:val="18"/>
        </w:rPr>
        <w:t xml:space="preserve">.  </w:t>
      </w:r>
      <w:r w:rsidRPr="00C405B6" w:rsidR="00291B18">
        <w:rPr>
          <w:rFonts w:ascii="Verdana" w:hAnsi="Verdana"/>
          <w:sz w:val="18"/>
          <w:szCs w:val="18"/>
        </w:rPr>
        <w:t>Een potentieel toekomstige uitgifte van een Europese groene obligatie hangt van meerdere factoren af waaronder de marktomstandigheden.</w:t>
      </w:r>
    </w:p>
    <w:p w:rsidRPr="00C405B6" w:rsidR="00D550E5" w:rsidP="00C405B6" w:rsidRDefault="00D550E5" w14:paraId="3558DD49" w14:textId="77777777">
      <w:pPr>
        <w:widowControl w:val="0"/>
        <w:tabs>
          <w:tab w:val="num" w:pos="720"/>
        </w:tabs>
        <w:spacing w:line="260" w:lineRule="atLeast"/>
        <w:contextualSpacing/>
        <w:rPr>
          <w:rFonts w:ascii="Verdana" w:hAnsi="Verdana"/>
          <w:i/>
          <w:iCs/>
          <w:sz w:val="18"/>
          <w:szCs w:val="18"/>
        </w:rPr>
      </w:pPr>
    </w:p>
    <w:p w:rsidRPr="00C405B6" w:rsidR="000E7D56" w:rsidP="00C405B6" w:rsidRDefault="000E7D56" w14:paraId="301A3DBC" w14:textId="2FF8DD87">
      <w:pPr>
        <w:widowControl w:val="0"/>
        <w:tabs>
          <w:tab w:val="num" w:pos="720"/>
        </w:tabs>
        <w:spacing w:line="260" w:lineRule="atLeast"/>
        <w:contextualSpacing/>
        <w:rPr>
          <w:rFonts w:ascii="Verdana" w:hAnsi="Verdana"/>
          <w:i/>
          <w:iCs/>
          <w:sz w:val="18"/>
          <w:szCs w:val="18"/>
        </w:rPr>
      </w:pPr>
      <w:r w:rsidRPr="00C405B6">
        <w:rPr>
          <w:rFonts w:ascii="Verdana" w:hAnsi="Verdana"/>
          <w:i/>
          <w:iCs/>
          <w:sz w:val="18"/>
          <w:szCs w:val="18"/>
        </w:rPr>
        <w:t>De leden van de NSC-fractie vragen of het klopt dat de Belgische overheid banken probeert te verleiden om hogere rentes aan te bieden op de spaarmarkt door staatsobligaties aan te bieden met een (relatief) hoge rente</w:t>
      </w:r>
      <w:r w:rsidRPr="00C405B6" w:rsidR="00373CDA">
        <w:rPr>
          <w:rFonts w:ascii="Verdana" w:hAnsi="Verdana"/>
          <w:i/>
          <w:iCs/>
          <w:sz w:val="18"/>
          <w:szCs w:val="18"/>
        </w:rPr>
        <w:t>.</w:t>
      </w:r>
      <w:r w:rsidRPr="00C405B6">
        <w:rPr>
          <w:rFonts w:ascii="Verdana" w:hAnsi="Verdana"/>
          <w:i/>
          <w:iCs/>
          <w:sz w:val="18"/>
          <w:szCs w:val="18"/>
        </w:rPr>
        <w:t xml:space="preserve"> </w:t>
      </w:r>
      <w:r w:rsidRPr="00C405B6" w:rsidR="00373CDA">
        <w:rPr>
          <w:rFonts w:ascii="Verdana" w:hAnsi="Verdana"/>
          <w:i/>
          <w:iCs/>
          <w:sz w:val="18"/>
          <w:szCs w:val="18"/>
        </w:rPr>
        <w:t xml:space="preserve">Zij vragen of hier </w:t>
      </w:r>
      <w:r w:rsidRPr="00C405B6">
        <w:rPr>
          <w:rFonts w:ascii="Verdana" w:hAnsi="Verdana"/>
          <w:i/>
          <w:iCs/>
          <w:sz w:val="18"/>
          <w:szCs w:val="18"/>
        </w:rPr>
        <w:t>veel belangstelling voor bestaat</w:t>
      </w:r>
      <w:r w:rsidRPr="00C405B6" w:rsidR="00373CDA">
        <w:rPr>
          <w:rFonts w:ascii="Verdana" w:hAnsi="Verdana"/>
          <w:i/>
          <w:iCs/>
          <w:sz w:val="18"/>
          <w:szCs w:val="18"/>
        </w:rPr>
        <w:t xml:space="preserve"> en in</w:t>
      </w:r>
      <w:r w:rsidRPr="00C405B6">
        <w:rPr>
          <w:rFonts w:ascii="Verdana" w:hAnsi="Verdana"/>
          <w:i/>
          <w:iCs/>
          <w:sz w:val="18"/>
          <w:szCs w:val="18"/>
        </w:rPr>
        <w:t xml:space="preserve"> hoeverre hierdoor de spaarmarktrente in België</w:t>
      </w:r>
      <w:r w:rsidRPr="00C405B6" w:rsidR="00373CDA">
        <w:rPr>
          <w:rFonts w:ascii="Verdana" w:hAnsi="Verdana"/>
          <w:i/>
          <w:iCs/>
          <w:sz w:val="18"/>
          <w:szCs w:val="18"/>
        </w:rPr>
        <w:t xml:space="preserve"> is</w:t>
      </w:r>
      <w:r w:rsidRPr="00C405B6">
        <w:rPr>
          <w:rFonts w:ascii="Verdana" w:hAnsi="Verdana"/>
          <w:i/>
          <w:iCs/>
          <w:sz w:val="18"/>
          <w:szCs w:val="18"/>
        </w:rPr>
        <w:t xml:space="preserve"> gestegen</w:t>
      </w:r>
      <w:r w:rsidRPr="00C405B6" w:rsidR="00373CDA">
        <w:rPr>
          <w:rFonts w:ascii="Verdana" w:hAnsi="Verdana"/>
          <w:i/>
          <w:iCs/>
          <w:sz w:val="18"/>
          <w:szCs w:val="18"/>
        </w:rPr>
        <w:t>.</w:t>
      </w:r>
      <w:r w:rsidRPr="00C405B6">
        <w:rPr>
          <w:rFonts w:ascii="Verdana" w:hAnsi="Verdana"/>
          <w:i/>
          <w:iCs/>
          <w:sz w:val="18"/>
          <w:szCs w:val="18"/>
        </w:rPr>
        <w:t xml:space="preserve"> </w:t>
      </w:r>
      <w:r w:rsidRPr="00C405B6" w:rsidR="00373CDA">
        <w:rPr>
          <w:rFonts w:ascii="Verdana" w:hAnsi="Verdana"/>
          <w:i/>
          <w:iCs/>
          <w:sz w:val="18"/>
          <w:szCs w:val="18"/>
        </w:rPr>
        <w:t>Verder vragen zij w</w:t>
      </w:r>
      <w:r w:rsidRPr="00C405B6">
        <w:rPr>
          <w:rFonts w:ascii="Verdana" w:hAnsi="Verdana"/>
          <w:i/>
          <w:iCs/>
          <w:sz w:val="18"/>
          <w:szCs w:val="18"/>
        </w:rPr>
        <w:t>aarom de Nederlandse overheid niet dergelijke (al dan niet groene) staatsobligaties uit</w:t>
      </w:r>
      <w:r w:rsidRPr="00C405B6" w:rsidR="00373CDA">
        <w:rPr>
          <w:rFonts w:ascii="Verdana" w:hAnsi="Verdana"/>
          <w:i/>
          <w:iCs/>
          <w:sz w:val="18"/>
          <w:szCs w:val="18"/>
        </w:rPr>
        <w:t>geeft</w:t>
      </w:r>
      <w:r w:rsidRPr="00C405B6">
        <w:rPr>
          <w:rFonts w:ascii="Verdana" w:hAnsi="Verdana"/>
          <w:i/>
          <w:iCs/>
          <w:sz w:val="18"/>
          <w:szCs w:val="18"/>
        </w:rPr>
        <w:t xml:space="preserve"> als stimulans voor een betere markt voor spaartegoeden</w:t>
      </w:r>
      <w:r w:rsidRPr="00C405B6" w:rsidR="00373CDA">
        <w:rPr>
          <w:rFonts w:ascii="Verdana" w:hAnsi="Verdana"/>
          <w:i/>
          <w:iCs/>
          <w:sz w:val="18"/>
          <w:szCs w:val="18"/>
        </w:rPr>
        <w:t>.</w:t>
      </w:r>
      <w:r w:rsidRPr="00C405B6">
        <w:rPr>
          <w:rFonts w:ascii="Verdana" w:hAnsi="Verdana"/>
          <w:i/>
          <w:iCs/>
          <w:sz w:val="18"/>
          <w:szCs w:val="18"/>
        </w:rPr>
        <w:t xml:space="preserve">  </w:t>
      </w:r>
    </w:p>
    <w:p w:rsidRPr="00C405B6" w:rsidR="000E7D56" w:rsidP="00C405B6" w:rsidRDefault="000E7D56" w14:paraId="79BF1FC6" w14:textId="77777777">
      <w:pPr>
        <w:widowControl w:val="0"/>
        <w:tabs>
          <w:tab w:val="num" w:pos="720"/>
        </w:tabs>
        <w:spacing w:line="260" w:lineRule="atLeast"/>
        <w:contextualSpacing/>
        <w:rPr>
          <w:rFonts w:ascii="Verdana" w:hAnsi="Verdana"/>
          <w:i/>
          <w:iCs/>
          <w:sz w:val="18"/>
          <w:szCs w:val="18"/>
        </w:rPr>
      </w:pPr>
    </w:p>
    <w:p w:rsidRPr="00C405B6" w:rsidR="000E7D56" w:rsidP="00C405B6" w:rsidRDefault="000E7D56" w14:paraId="3432DDE6" w14:textId="77777777">
      <w:pPr>
        <w:widowControl w:val="0"/>
        <w:tabs>
          <w:tab w:val="num" w:pos="720"/>
        </w:tabs>
        <w:spacing w:line="260" w:lineRule="atLeast"/>
        <w:contextualSpacing/>
        <w:rPr>
          <w:rFonts w:ascii="Verdana" w:hAnsi="Verdana"/>
          <w:sz w:val="18"/>
          <w:szCs w:val="18"/>
        </w:rPr>
      </w:pPr>
      <w:r w:rsidRPr="00C405B6">
        <w:rPr>
          <w:rFonts w:ascii="Verdana" w:hAnsi="Verdana"/>
          <w:sz w:val="18"/>
          <w:szCs w:val="18"/>
        </w:rPr>
        <w:t xml:space="preserve">De Belgische overheid biedt staatsobligaties aan die consumenten kunnen aanschaffen. De rente die consumenten hierop krijgen verschilt per uitgifte en looptijd; bij de uitgifte van afgelopen september was de rente bij een looptijd van één jaar 2,75% (voor aftrek van de belasting). De belangstelling voor deze obligaties verschilt per uitgifte. Het is moeilijk om vast te stellen in hoeverre de spaarrentes in België door de uitgifte van staatsobligaties zijn gestegen. </w:t>
      </w:r>
    </w:p>
    <w:p w:rsidRPr="00C405B6" w:rsidR="000E7D56" w:rsidP="00C405B6" w:rsidRDefault="000E7D56" w14:paraId="1E779AD8" w14:textId="77777777">
      <w:pPr>
        <w:widowControl w:val="0"/>
        <w:tabs>
          <w:tab w:val="num" w:pos="720"/>
        </w:tabs>
        <w:spacing w:line="260" w:lineRule="atLeast"/>
        <w:contextualSpacing/>
        <w:rPr>
          <w:rFonts w:ascii="Verdana" w:hAnsi="Verdana"/>
          <w:sz w:val="18"/>
          <w:szCs w:val="18"/>
        </w:rPr>
      </w:pPr>
    </w:p>
    <w:p w:rsidRPr="00C405B6" w:rsidR="000E7D56" w:rsidP="00C405B6" w:rsidRDefault="000E7D56" w14:paraId="6D7C2596" w14:textId="1CBC8E05">
      <w:pPr>
        <w:widowControl w:val="0"/>
        <w:tabs>
          <w:tab w:val="num" w:pos="720"/>
        </w:tabs>
        <w:spacing w:line="260" w:lineRule="atLeast"/>
        <w:contextualSpacing/>
        <w:rPr>
          <w:rFonts w:ascii="Verdana" w:hAnsi="Verdana"/>
          <w:sz w:val="18"/>
          <w:szCs w:val="18"/>
        </w:rPr>
      </w:pPr>
      <w:r w:rsidRPr="00C405B6">
        <w:rPr>
          <w:rFonts w:ascii="Verdana" w:hAnsi="Verdana"/>
          <w:sz w:val="18"/>
          <w:szCs w:val="18"/>
        </w:rPr>
        <w:t xml:space="preserve">De situatie rondom de spaarrentes is in Nederland anders dan in België. De </w:t>
      </w:r>
      <w:r w:rsidRPr="00C405B6">
        <w:rPr>
          <w:rFonts w:ascii="Verdana" w:hAnsi="Verdana"/>
          <w:sz w:val="18"/>
          <w:szCs w:val="18"/>
        </w:rPr>
        <w:lastRenderedPageBreak/>
        <w:t>spaarrente in Nederland voor vrij opneembare deposito’s is sneller gestegen vergeleken met buurlanden als België. Een dergelijk instrument lijkt in Nederland daarom beperkt effectief en niet proportioneel</w:t>
      </w:r>
      <w:r w:rsidRPr="00C405B6" w:rsidR="00EB65E1">
        <w:rPr>
          <w:rFonts w:ascii="Verdana" w:hAnsi="Verdana"/>
          <w:sz w:val="18"/>
          <w:szCs w:val="18"/>
        </w:rPr>
        <w:t xml:space="preserve">. Daarnaast past het instrument op de korte termijn niet in het financieringsbeleid voor de financiering van de staatsschuld en beschikt Nederland niet over een infrastructuur om obligaties direct aan particulieren aan te bieden. </w:t>
      </w:r>
      <w:r w:rsidRPr="00C405B6">
        <w:rPr>
          <w:rFonts w:ascii="Verdana" w:hAnsi="Verdana"/>
          <w:sz w:val="18"/>
          <w:szCs w:val="18"/>
        </w:rPr>
        <w:t>Staatsobligaties voor consumenten zijn daarnaast geen spaarproduct, maar een belegging. Ze kennen dan ook meer risico’s dan een spaarrekening. De marktwaarde van obligaties kan tijdens de looptijd dalen, terwijl spaargeld onder het depositogarantiestelsel valt. Op korte termijn kan een dergelijke maatregel ook impact hebben op de weerbaarheid van banken en de financiële stabiliteit negatief beïnvloeden. Ik wil daarom eerst aan de slag met de maatregelen die ik in oktober heb aangekondigd als reactie op het ACM-rapport over de spaarmarkt.</w:t>
      </w:r>
      <w:r w:rsidRPr="00C405B6">
        <w:rPr>
          <w:rStyle w:val="Voetnootmarkering"/>
          <w:rFonts w:ascii="Verdana" w:hAnsi="Verdana"/>
          <w:sz w:val="18"/>
          <w:szCs w:val="18"/>
        </w:rPr>
        <w:footnoteReference w:id="3"/>
      </w:r>
      <w:r w:rsidRPr="00C405B6">
        <w:rPr>
          <w:rFonts w:ascii="Verdana" w:hAnsi="Verdana"/>
          <w:sz w:val="18"/>
          <w:szCs w:val="18"/>
        </w:rPr>
        <w:t xml:space="preserve"> </w:t>
      </w:r>
    </w:p>
    <w:p w:rsidRPr="00C405B6" w:rsidR="000E7D56" w:rsidP="00C405B6" w:rsidRDefault="000E7D56" w14:paraId="4EBAD285" w14:textId="77777777">
      <w:pPr>
        <w:widowControl w:val="0"/>
        <w:tabs>
          <w:tab w:val="num" w:pos="720"/>
        </w:tabs>
        <w:spacing w:line="260" w:lineRule="atLeast"/>
        <w:contextualSpacing/>
        <w:rPr>
          <w:rFonts w:ascii="Verdana" w:hAnsi="Verdana"/>
          <w:sz w:val="18"/>
          <w:szCs w:val="18"/>
        </w:rPr>
      </w:pPr>
    </w:p>
    <w:p w:rsidRPr="00C405B6" w:rsidR="00D550E5" w:rsidP="00C405B6" w:rsidRDefault="00D550E5" w14:paraId="5B7E6408" w14:textId="7DB7D5F4">
      <w:pPr>
        <w:widowControl w:val="0"/>
        <w:tabs>
          <w:tab w:val="num" w:pos="720"/>
        </w:tabs>
        <w:spacing w:line="260" w:lineRule="atLeast"/>
        <w:contextualSpacing/>
        <w:rPr>
          <w:rFonts w:ascii="Verdana" w:hAnsi="Verdana"/>
          <w:i/>
          <w:iCs/>
          <w:sz w:val="18"/>
          <w:szCs w:val="18"/>
        </w:rPr>
      </w:pPr>
      <w:r w:rsidRPr="00C405B6">
        <w:rPr>
          <w:rFonts w:ascii="Verdana" w:hAnsi="Verdana"/>
          <w:i/>
          <w:iCs/>
          <w:sz w:val="18"/>
          <w:szCs w:val="18"/>
        </w:rPr>
        <w:t>De leden van de NSC-fractie vragen ook hoe de effectiviteit wordt gemeten van de groene investeringen. Hoe wordt ervoor gezorgd dat de opbrengst van de investeringen daadwerkelijk alleen aan groene projecten wordt besteed?</w:t>
      </w:r>
    </w:p>
    <w:p w:rsidRPr="00C405B6" w:rsidR="00D550E5" w:rsidP="00C405B6" w:rsidRDefault="00D550E5" w14:paraId="6ABAC4D0" w14:textId="77777777">
      <w:pPr>
        <w:widowControl w:val="0"/>
        <w:tabs>
          <w:tab w:val="num" w:pos="720"/>
        </w:tabs>
        <w:spacing w:line="260" w:lineRule="atLeast"/>
        <w:contextualSpacing/>
        <w:rPr>
          <w:rFonts w:ascii="Verdana" w:hAnsi="Verdana"/>
          <w:i/>
          <w:iCs/>
          <w:sz w:val="18"/>
          <w:szCs w:val="18"/>
        </w:rPr>
      </w:pPr>
    </w:p>
    <w:p w:rsidRPr="00C405B6" w:rsidR="00D550E5" w:rsidP="00C405B6" w:rsidRDefault="00CC6770" w14:paraId="6F88E691" w14:textId="386C4D29">
      <w:pPr>
        <w:widowControl w:val="0"/>
        <w:tabs>
          <w:tab w:val="num" w:pos="720"/>
        </w:tabs>
        <w:spacing w:line="260" w:lineRule="atLeast"/>
        <w:contextualSpacing/>
        <w:rPr>
          <w:rFonts w:ascii="Verdana" w:hAnsi="Verdana"/>
          <w:sz w:val="18"/>
          <w:szCs w:val="18"/>
        </w:rPr>
      </w:pPr>
      <w:r w:rsidRPr="00C405B6">
        <w:rPr>
          <w:rFonts w:ascii="Verdana" w:hAnsi="Verdana"/>
          <w:sz w:val="18"/>
          <w:szCs w:val="18"/>
        </w:rPr>
        <w:t>De</w:t>
      </w:r>
      <w:r w:rsidRPr="00C405B6" w:rsidR="00FA2C54">
        <w:rPr>
          <w:rFonts w:ascii="Verdana" w:hAnsi="Verdana"/>
          <w:sz w:val="18"/>
          <w:szCs w:val="18"/>
        </w:rPr>
        <w:t xml:space="preserve"> Verordening Europese groene obligaties schrijft voor dat de</w:t>
      </w:r>
      <w:r w:rsidRPr="00C405B6">
        <w:rPr>
          <w:rFonts w:ascii="Verdana" w:hAnsi="Verdana"/>
          <w:sz w:val="18"/>
          <w:szCs w:val="18"/>
        </w:rPr>
        <w:t xml:space="preserve"> opbrengsten van de Europese groene obligatie moeten worden geïnvesteerd in duurzame economische activiteiten die vallen onder de EU taxonomievereisten. </w:t>
      </w:r>
      <w:bookmarkStart w:name="_Hlk181267502" w:id="4"/>
      <w:r w:rsidRPr="00C405B6">
        <w:rPr>
          <w:rFonts w:ascii="Verdana" w:hAnsi="Verdana"/>
          <w:sz w:val="18"/>
          <w:szCs w:val="18"/>
        </w:rPr>
        <w:t xml:space="preserve">De uitgevende instelling dient jaarlijks een toewijzingsverslag op te stellen. Hierin </w:t>
      </w:r>
      <w:r w:rsidRPr="00C405B6" w:rsidR="00FA2C54">
        <w:rPr>
          <w:rFonts w:ascii="Verdana" w:hAnsi="Verdana"/>
          <w:sz w:val="18"/>
          <w:szCs w:val="18"/>
        </w:rPr>
        <w:t xml:space="preserve">dient te worden opgenomen hoe </w:t>
      </w:r>
      <w:r w:rsidRPr="00C405B6">
        <w:rPr>
          <w:rFonts w:ascii="Verdana" w:hAnsi="Verdana"/>
          <w:sz w:val="18"/>
          <w:szCs w:val="18"/>
        </w:rPr>
        <w:t xml:space="preserve">de opbrengsten van de obligatie worden toegewezen aan </w:t>
      </w:r>
      <w:r w:rsidRPr="00C405B6" w:rsidR="000E7D56">
        <w:rPr>
          <w:rFonts w:ascii="Verdana" w:hAnsi="Verdana"/>
          <w:sz w:val="18"/>
          <w:szCs w:val="18"/>
        </w:rPr>
        <w:t xml:space="preserve">activiteiten die aan de taxonomievereisten voldoen. </w:t>
      </w:r>
      <w:r w:rsidRPr="00C405B6" w:rsidR="00FA2C54">
        <w:rPr>
          <w:rFonts w:ascii="Verdana" w:hAnsi="Verdana"/>
          <w:sz w:val="18"/>
          <w:szCs w:val="18"/>
        </w:rPr>
        <w:t>De</w:t>
      </w:r>
      <w:r w:rsidRPr="00C405B6">
        <w:rPr>
          <w:rFonts w:ascii="Verdana" w:hAnsi="Verdana"/>
          <w:sz w:val="18"/>
          <w:szCs w:val="18"/>
        </w:rPr>
        <w:t xml:space="preserve"> externe toetsingsinstantie toetst deze toewijzingsverslagen.</w:t>
      </w:r>
      <w:bookmarkEnd w:id="4"/>
      <w:r w:rsidRPr="00C405B6">
        <w:rPr>
          <w:rFonts w:ascii="Verdana" w:hAnsi="Verdana"/>
          <w:sz w:val="18"/>
          <w:szCs w:val="18"/>
        </w:rPr>
        <w:t xml:space="preserve"> De uitgevende instelling dient de toewijzingsverslagen</w:t>
      </w:r>
      <w:r w:rsidRPr="00C405B6" w:rsidR="00FA2C54">
        <w:rPr>
          <w:rFonts w:ascii="Verdana" w:hAnsi="Verdana"/>
          <w:sz w:val="18"/>
          <w:szCs w:val="18"/>
        </w:rPr>
        <w:t xml:space="preserve"> vervolgens</w:t>
      </w:r>
      <w:r w:rsidRPr="00C405B6">
        <w:rPr>
          <w:rFonts w:ascii="Verdana" w:hAnsi="Verdana"/>
          <w:sz w:val="18"/>
          <w:szCs w:val="18"/>
        </w:rPr>
        <w:t xml:space="preserve"> te publiceren. </w:t>
      </w:r>
      <w:bookmarkStart w:name="_Hlk181267621" w:id="5"/>
      <w:r w:rsidRPr="00C405B6">
        <w:rPr>
          <w:rFonts w:ascii="Verdana" w:hAnsi="Verdana"/>
          <w:sz w:val="18"/>
          <w:szCs w:val="18"/>
        </w:rPr>
        <w:t>Uitgevende instellingen dienen ook het milieueffect van hun obligaties bekend te maken door, ten minste eenmaal tijdens de looptijd van de obligatie en na de volledige toewijzing van de opbrengsten van dergelijke obligaties, een impactverslag te publiceren.</w:t>
      </w:r>
      <w:r w:rsidRPr="00C405B6" w:rsidR="00FA2C54">
        <w:rPr>
          <w:rFonts w:ascii="Verdana" w:hAnsi="Verdana"/>
          <w:sz w:val="18"/>
          <w:szCs w:val="18"/>
        </w:rPr>
        <w:t xml:space="preserve"> </w:t>
      </w:r>
      <w:bookmarkEnd w:id="5"/>
      <w:r w:rsidRPr="00C405B6" w:rsidR="00FA2C54">
        <w:rPr>
          <w:rFonts w:ascii="Verdana" w:hAnsi="Verdana"/>
          <w:sz w:val="18"/>
          <w:szCs w:val="18"/>
        </w:rPr>
        <w:t>Het impactverslag kan de uitgevende instelling laten toetsen door een externe toetsingsinstantie.</w:t>
      </w:r>
    </w:p>
    <w:p w:rsidRPr="00C405B6" w:rsidR="002006DF" w:rsidP="00C405B6" w:rsidRDefault="002006DF" w14:paraId="133048B2" w14:textId="77777777">
      <w:pPr>
        <w:widowControl w:val="0"/>
        <w:tabs>
          <w:tab w:val="num" w:pos="720"/>
        </w:tabs>
        <w:spacing w:line="260" w:lineRule="atLeast"/>
        <w:contextualSpacing/>
        <w:rPr>
          <w:rFonts w:ascii="Verdana" w:hAnsi="Verdana"/>
          <w:b/>
          <w:bCs/>
          <w:sz w:val="18"/>
          <w:szCs w:val="18"/>
        </w:rPr>
      </w:pPr>
    </w:p>
    <w:p w:rsidRPr="00C405B6" w:rsidR="001673FE" w:rsidP="00C405B6" w:rsidRDefault="00D550E5" w14:paraId="08E160D4" w14:textId="48522A5F">
      <w:pPr>
        <w:widowControl w:val="0"/>
        <w:tabs>
          <w:tab w:val="num" w:pos="720"/>
        </w:tabs>
        <w:spacing w:line="260" w:lineRule="atLeast"/>
        <w:contextualSpacing/>
        <w:rPr>
          <w:rFonts w:ascii="Verdana" w:hAnsi="Verdana"/>
          <w:b/>
          <w:bCs/>
          <w:sz w:val="18"/>
          <w:szCs w:val="18"/>
        </w:rPr>
      </w:pPr>
      <w:r w:rsidRPr="00C405B6">
        <w:rPr>
          <w:rFonts w:ascii="Verdana" w:hAnsi="Verdana"/>
          <w:b/>
          <w:bCs/>
          <w:sz w:val="18"/>
          <w:szCs w:val="18"/>
        </w:rPr>
        <w:t>4. Regeldrukkosten</w:t>
      </w:r>
    </w:p>
    <w:p w:rsidRPr="00C405B6" w:rsidR="00D550E5" w:rsidP="00C405B6" w:rsidRDefault="00D550E5" w14:paraId="182EA6ED" w14:textId="77777777">
      <w:pPr>
        <w:widowControl w:val="0"/>
        <w:tabs>
          <w:tab w:val="num" w:pos="720"/>
        </w:tabs>
        <w:spacing w:line="260" w:lineRule="atLeast"/>
        <w:contextualSpacing/>
        <w:rPr>
          <w:rFonts w:ascii="Verdana" w:hAnsi="Verdana"/>
          <w:b/>
          <w:bCs/>
          <w:sz w:val="18"/>
          <w:szCs w:val="18"/>
        </w:rPr>
      </w:pPr>
    </w:p>
    <w:p w:rsidRPr="00C405B6" w:rsidR="00D550E5" w:rsidP="00C405B6" w:rsidRDefault="00D550E5" w14:paraId="6A5E3150" w14:textId="54EFEA63">
      <w:pPr>
        <w:widowControl w:val="0"/>
        <w:tabs>
          <w:tab w:val="num" w:pos="720"/>
        </w:tabs>
        <w:spacing w:line="260" w:lineRule="atLeast"/>
        <w:contextualSpacing/>
        <w:rPr>
          <w:rFonts w:ascii="Verdana" w:hAnsi="Verdana"/>
          <w:i/>
          <w:iCs/>
          <w:sz w:val="18"/>
          <w:szCs w:val="18"/>
        </w:rPr>
      </w:pPr>
      <w:r w:rsidRPr="00C405B6">
        <w:rPr>
          <w:rFonts w:ascii="Verdana" w:hAnsi="Verdana"/>
          <w:i/>
          <w:iCs/>
          <w:sz w:val="18"/>
          <w:szCs w:val="18"/>
        </w:rPr>
        <w:t>De leden van de PVV-fractie vragen op dit punt of er voldoende capaciteit is voor deze uitbreiding van handhavingsbevoegdheden en</w:t>
      </w:r>
      <w:r w:rsidRPr="00C405B6" w:rsidR="00F46F7A">
        <w:rPr>
          <w:rFonts w:ascii="Verdana" w:hAnsi="Verdana"/>
          <w:i/>
          <w:iCs/>
          <w:sz w:val="18"/>
          <w:szCs w:val="18"/>
        </w:rPr>
        <w:t xml:space="preserve"> wat</w:t>
      </w:r>
      <w:r w:rsidRPr="00C405B6">
        <w:rPr>
          <w:rFonts w:ascii="Verdana" w:hAnsi="Verdana"/>
          <w:i/>
          <w:iCs/>
          <w:sz w:val="18"/>
          <w:szCs w:val="18"/>
        </w:rPr>
        <w:t xml:space="preserve"> de daarmee gemoeide kosten zijn.</w:t>
      </w:r>
    </w:p>
    <w:p w:rsidRPr="00C405B6" w:rsidR="00D550E5" w:rsidP="00C405B6" w:rsidRDefault="00D550E5" w14:paraId="77D5878C" w14:textId="77777777">
      <w:pPr>
        <w:widowControl w:val="0"/>
        <w:tabs>
          <w:tab w:val="num" w:pos="720"/>
        </w:tabs>
        <w:spacing w:line="260" w:lineRule="atLeast"/>
        <w:contextualSpacing/>
        <w:rPr>
          <w:rFonts w:ascii="Verdana" w:hAnsi="Verdana"/>
          <w:i/>
          <w:iCs/>
          <w:sz w:val="18"/>
          <w:szCs w:val="18"/>
        </w:rPr>
      </w:pPr>
    </w:p>
    <w:p w:rsidRPr="00C405B6" w:rsidR="00D550E5" w:rsidP="00C405B6" w:rsidRDefault="00D550E5" w14:paraId="72AE4B94" w14:textId="6E160A8F">
      <w:pPr>
        <w:widowControl w:val="0"/>
        <w:tabs>
          <w:tab w:val="num" w:pos="720"/>
        </w:tabs>
        <w:spacing w:line="260" w:lineRule="atLeast"/>
        <w:contextualSpacing/>
        <w:rPr>
          <w:rFonts w:ascii="Verdana" w:hAnsi="Verdana"/>
          <w:i/>
          <w:iCs/>
          <w:sz w:val="18"/>
          <w:szCs w:val="18"/>
        </w:rPr>
      </w:pPr>
      <w:r w:rsidRPr="00C405B6">
        <w:rPr>
          <w:rFonts w:ascii="Verdana" w:hAnsi="Verdana"/>
          <w:sz w:val="18"/>
          <w:szCs w:val="18"/>
        </w:rPr>
        <w:t xml:space="preserve">De AFM heeft aangegeven dat </w:t>
      </w:r>
      <w:r w:rsidR="00ED09BC">
        <w:rPr>
          <w:rFonts w:ascii="Verdana" w:hAnsi="Verdana"/>
          <w:sz w:val="18"/>
          <w:szCs w:val="18"/>
        </w:rPr>
        <w:t>twee</w:t>
      </w:r>
      <w:r w:rsidRPr="00C405B6" w:rsidR="00190F06">
        <w:rPr>
          <w:rFonts w:ascii="Verdana" w:hAnsi="Verdana"/>
          <w:sz w:val="18"/>
          <w:szCs w:val="18"/>
        </w:rPr>
        <w:t xml:space="preserve"> fte </w:t>
      </w:r>
      <w:r w:rsidRPr="00C405B6">
        <w:rPr>
          <w:rFonts w:ascii="Verdana" w:hAnsi="Verdana"/>
          <w:sz w:val="18"/>
          <w:szCs w:val="18"/>
        </w:rPr>
        <w:t xml:space="preserve">nodig </w:t>
      </w:r>
      <w:r w:rsidR="00ED09BC">
        <w:rPr>
          <w:rFonts w:ascii="Verdana" w:hAnsi="Verdana"/>
          <w:sz w:val="18"/>
          <w:szCs w:val="18"/>
        </w:rPr>
        <w:t>zijn</w:t>
      </w:r>
      <w:r w:rsidRPr="00C405B6">
        <w:rPr>
          <w:rFonts w:ascii="Verdana" w:hAnsi="Verdana"/>
          <w:sz w:val="18"/>
          <w:szCs w:val="18"/>
        </w:rPr>
        <w:t xml:space="preserve"> </w:t>
      </w:r>
      <w:bookmarkStart w:name="_Hlk181264900" w:id="6"/>
      <w:r w:rsidRPr="00C405B6">
        <w:rPr>
          <w:rFonts w:ascii="Verdana" w:hAnsi="Verdana"/>
          <w:sz w:val="18"/>
          <w:szCs w:val="18"/>
        </w:rPr>
        <w:t xml:space="preserve">om toezicht te houden op de uitgifte van Europese groene obligaties. De </w:t>
      </w:r>
      <w:proofErr w:type="spellStart"/>
      <w:r w:rsidRPr="00C405B6">
        <w:rPr>
          <w:rFonts w:ascii="Verdana" w:hAnsi="Verdana"/>
          <w:sz w:val="18"/>
          <w:szCs w:val="18"/>
        </w:rPr>
        <w:t>toezichtskosten</w:t>
      </w:r>
      <w:proofErr w:type="spellEnd"/>
      <w:r w:rsidRPr="00C405B6">
        <w:rPr>
          <w:rFonts w:ascii="Verdana" w:hAnsi="Verdana"/>
          <w:sz w:val="18"/>
          <w:szCs w:val="18"/>
        </w:rPr>
        <w:t xml:space="preserve"> voor de sector zullen </w:t>
      </w:r>
      <w:proofErr w:type="gramStart"/>
      <w:r w:rsidRPr="00C405B6">
        <w:rPr>
          <w:rFonts w:ascii="Verdana" w:hAnsi="Verdana"/>
          <w:sz w:val="18"/>
          <w:szCs w:val="18"/>
        </w:rPr>
        <w:t>derhalve</w:t>
      </w:r>
      <w:proofErr w:type="gramEnd"/>
      <w:r w:rsidRPr="00C405B6">
        <w:rPr>
          <w:rFonts w:ascii="Verdana" w:hAnsi="Verdana"/>
          <w:sz w:val="18"/>
          <w:szCs w:val="18"/>
        </w:rPr>
        <w:t xml:space="preserve"> </w:t>
      </w:r>
      <w:r w:rsidR="00ED09BC">
        <w:rPr>
          <w:rFonts w:ascii="Verdana" w:hAnsi="Verdana"/>
          <w:sz w:val="18"/>
          <w:szCs w:val="18"/>
        </w:rPr>
        <w:t xml:space="preserve">in beperkte mate </w:t>
      </w:r>
      <w:r w:rsidRPr="00C405B6" w:rsidR="00190F06">
        <w:rPr>
          <w:rFonts w:ascii="Verdana" w:hAnsi="Verdana"/>
          <w:sz w:val="18"/>
          <w:szCs w:val="18"/>
        </w:rPr>
        <w:t>toenemen.</w:t>
      </w:r>
    </w:p>
    <w:bookmarkEnd w:id="6"/>
    <w:p w:rsidRPr="00C405B6" w:rsidR="001E3B86" w:rsidP="00C405B6" w:rsidRDefault="001E3B86" w14:paraId="28F84C1B" w14:textId="77777777">
      <w:pPr>
        <w:widowControl w:val="0"/>
        <w:tabs>
          <w:tab w:val="num" w:pos="720"/>
        </w:tabs>
        <w:spacing w:line="260" w:lineRule="atLeast"/>
        <w:contextualSpacing/>
        <w:rPr>
          <w:rFonts w:ascii="Verdana" w:hAnsi="Verdana"/>
          <w:b/>
          <w:bCs/>
          <w:sz w:val="18"/>
          <w:szCs w:val="18"/>
        </w:rPr>
      </w:pPr>
    </w:p>
    <w:p w:rsidRPr="00C405B6" w:rsidR="00D550E5" w:rsidP="00C405B6" w:rsidRDefault="00D550E5" w14:paraId="61BEBDF9" w14:textId="0DEBC52F">
      <w:pPr>
        <w:widowControl w:val="0"/>
        <w:tabs>
          <w:tab w:val="num" w:pos="720"/>
        </w:tabs>
        <w:spacing w:line="260" w:lineRule="atLeast"/>
        <w:contextualSpacing/>
        <w:rPr>
          <w:rFonts w:ascii="Verdana" w:hAnsi="Verdana"/>
          <w:b/>
          <w:bCs/>
          <w:sz w:val="18"/>
          <w:szCs w:val="18"/>
        </w:rPr>
      </w:pPr>
      <w:r w:rsidRPr="00C405B6">
        <w:rPr>
          <w:rFonts w:ascii="Verdana" w:hAnsi="Verdana"/>
          <w:b/>
          <w:bCs/>
          <w:sz w:val="18"/>
          <w:szCs w:val="18"/>
        </w:rPr>
        <w:t>5. Consultatiereacties</w:t>
      </w:r>
    </w:p>
    <w:p w:rsidRPr="00C405B6" w:rsidR="001673FE" w:rsidP="00C405B6" w:rsidRDefault="001673FE" w14:paraId="12449BEE" w14:textId="77777777">
      <w:pPr>
        <w:widowControl w:val="0"/>
        <w:tabs>
          <w:tab w:val="num" w:pos="720"/>
        </w:tabs>
        <w:spacing w:line="260" w:lineRule="atLeast"/>
        <w:contextualSpacing/>
        <w:rPr>
          <w:rFonts w:ascii="Verdana" w:hAnsi="Verdana"/>
          <w:sz w:val="18"/>
          <w:szCs w:val="18"/>
        </w:rPr>
      </w:pPr>
    </w:p>
    <w:p w:rsidRPr="00C405B6" w:rsidR="001673FE" w:rsidP="00C405B6" w:rsidRDefault="00D550E5" w14:paraId="4D6CFE64" w14:textId="20DC665E">
      <w:pPr>
        <w:widowControl w:val="0"/>
        <w:tabs>
          <w:tab w:val="num" w:pos="720"/>
        </w:tabs>
        <w:spacing w:line="260" w:lineRule="atLeast"/>
        <w:contextualSpacing/>
        <w:rPr>
          <w:rFonts w:ascii="Verdana" w:hAnsi="Verdana"/>
          <w:i/>
          <w:iCs/>
          <w:sz w:val="18"/>
          <w:szCs w:val="18"/>
        </w:rPr>
      </w:pPr>
      <w:r w:rsidRPr="00C405B6">
        <w:rPr>
          <w:rFonts w:ascii="Verdana" w:hAnsi="Verdana"/>
          <w:i/>
          <w:iCs/>
          <w:sz w:val="18"/>
          <w:szCs w:val="18"/>
        </w:rPr>
        <w:t>De leden van de PVV-fractie vragen welke criteria worden gehanteerd voor het wel of niet openbaar consulteren.</w:t>
      </w:r>
    </w:p>
    <w:p w:rsidRPr="00C405B6" w:rsidR="001673FE" w:rsidP="00C405B6" w:rsidRDefault="001673FE" w14:paraId="5D99C66D" w14:textId="77777777">
      <w:pPr>
        <w:widowControl w:val="0"/>
        <w:tabs>
          <w:tab w:val="num" w:pos="720"/>
        </w:tabs>
        <w:spacing w:line="260" w:lineRule="atLeast"/>
        <w:contextualSpacing/>
        <w:rPr>
          <w:rFonts w:ascii="Verdana" w:hAnsi="Verdana"/>
          <w:i/>
          <w:iCs/>
          <w:sz w:val="18"/>
          <w:szCs w:val="18"/>
        </w:rPr>
      </w:pPr>
    </w:p>
    <w:p w:rsidRPr="00C405B6" w:rsidR="00D550E5" w:rsidP="00C405B6" w:rsidRDefault="007E285A" w14:paraId="0C468458" w14:textId="45370697">
      <w:pPr>
        <w:spacing w:line="260" w:lineRule="atLeast"/>
        <w:contextualSpacing/>
        <w:rPr>
          <w:rFonts w:ascii="Verdana" w:hAnsi="Verdana"/>
          <w:sz w:val="18"/>
          <w:szCs w:val="18"/>
        </w:rPr>
      </w:pPr>
      <w:r w:rsidRPr="00C405B6">
        <w:rPr>
          <w:rFonts w:ascii="Verdana" w:hAnsi="Verdana"/>
          <w:sz w:val="18"/>
          <w:szCs w:val="18"/>
        </w:rPr>
        <w:t xml:space="preserve">Van het openbaar consulteren kan worden afgezien </w:t>
      </w:r>
      <w:proofErr w:type="gramStart"/>
      <w:r w:rsidRPr="00C405B6">
        <w:rPr>
          <w:rFonts w:ascii="Verdana" w:hAnsi="Verdana"/>
          <w:sz w:val="18"/>
          <w:szCs w:val="18"/>
        </w:rPr>
        <w:t>indien</w:t>
      </w:r>
      <w:proofErr w:type="gramEnd"/>
      <w:r w:rsidRPr="00C405B6">
        <w:rPr>
          <w:rFonts w:ascii="Verdana" w:hAnsi="Verdana"/>
          <w:sz w:val="18"/>
          <w:szCs w:val="18"/>
        </w:rPr>
        <w:t xml:space="preserve"> de </w:t>
      </w:r>
      <w:bookmarkStart w:name="_Hlk180681094" w:id="7"/>
      <w:r w:rsidRPr="00C405B6">
        <w:rPr>
          <w:rFonts w:ascii="Verdana" w:hAnsi="Verdana"/>
          <w:sz w:val="18"/>
          <w:szCs w:val="18"/>
        </w:rPr>
        <w:t xml:space="preserve">impact van de </w:t>
      </w:r>
      <w:r w:rsidRPr="00C405B6" w:rsidR="00E77C38">
        <w:rPr>
          <w:rFonts w:ascii="Verdana" w:hAnsi="Verdana"/>
          <w:sz w:val="18"/>
          <w:szCs w:val="18"/>
        </w:rPr>
        <w:t>voorgenomen</w:t>
      </w:r>
      <w:r w:rsidRPr="00C405B6">
        <w:rPr>
          <w:rFonts w:ascii="Verdana" w:hAnsi="Verdana"/>
          <w:sz w:val="18"/>
          <w:szCs w:val="18"/>
        </w:rPr>
        <w:t xml:space="preserve"> wijzigingen op relevante marktpartijen gering is</w:t>
      </w:r>
      <w:bookmarkEnd w:id="7"/>
      <w:r w:rsidR="00C405B6">
        <w:rPr>
          <w:rFonts w:ascii="Verdana" w:hAnsi="Verdana"/>
          <w:sz w:val="18"/>
          <w:szCs w:val="18"/>
        </w:rPr>
        <w:t>.</w:t>
      </w:r>
    </w:p>
    <w:p w:rsidRPr="00C405B6" w:rsidR="001673FE" w:rsidP="00C405B6" w:rsidRDefault="001673FE" w14:paraId="08DB6085" w14:textId="77777777">
      <w:pPr>
        <w:widowControl w:val="0"/>
        <w:tabs>
          <w:tab w:val="num" w:pos="720"/>
        </w:tabs>
        <w:spacing w:line="260" w:lineRule="atLeast"/>
        <w:contextualSpacing/>
        <w:rPr>
          <w:rFonts w:ascii="Verdana" w:hAnsi="Verdana"/>
          <w:sz w:val="18"/>
          <w:szCs w:val="18"/>
        </w:rPr>
      </w:pPr>
    </w:p>
    <w:p w:rsidRPr="00C405B6" w:rsidR="001673FE" w:rsidP="00C405B6" w:rsidRDefault="000A32B4" w14:paraId="55E2333F" w14:textId="71FA343D">
      <w:pPr>
        <w:widowControl w:val="0"/>
        <w:tabs>
          <w:tab w:val="num" w:pos="720"/>
        </w:tabs>
        <w:spacing w:line="260" w:lineRule="atLeast"/>
        <w:contextualSpacing/>
        <w:rPr>
          <w:rFonts w:ascii="Verdana" w:hAnsi="Verdana"/>
          <w:i/>
          <w:iCs/>
          <w:sz w:val="18"/>
          <w:szCs w:val="18"/>
        </w:rPr>
      </w:pPr>
      <w:r w:rsidRPr="00C405B6">
        <w:rPr>
          <w:rFonts w:ascii="Verdana" w:hAnsi="Verdana"/>
          <w:i/>
          <w:iCs/>
          <w:sz w:val="18"/>
          <w:szCs w:val="18"/>
        </w:rPr>
        <w:t>De AFM heeft een uitvoeringstoets uitgevoerd en heef</w:t>
      </w:r>
      <w:r w:rsidRPr="00C405B6" w:rsidR="00CC6770">
        <w:rPr>
          <w:rFonts w:ascii="Verdana" w:hAnsi="Verdana"/>
          <w:i/>
          <w:iCs/>
          <w:sz w:val="18"/>
          <w:szCs w:val="18"/>
        </w:rPr>
        <w:t xml:space="preserve">t aangegeven dat de </w:t>
      </w:r>
      <w:r w:rsidRPr="00C405B6" w:rsidR="00CC6770">
        <w:rPr>
          <w:rFonts w:ascii="Verdana" w:hAnsi="Verdana"/>
          <w:i/>
          <w:iCs/>
          <w:sz w:val="18"/>
          <w:szCs w:val="18"/>
        </w:rPr>
        <w:lastRenderedPageBreak/>
        <w:t>nieuwe bevoegdheden en verplichtingen uitvoerbaar zijn. Deze leden</w:t>
      </w:r>
      <w:r w:rsidRPr="00C405B6" w:rsidR="00D550E5">
        <w:rPr>
          <w:rFonts w:ascii="Verdana" w:hAnsi="Verdana"/>
          <w:i/>
          <w:iCs/>
          <w:sz w:val="18"/>
          <w:szCs w:val="18"/>
        </w:rPr>
        <w:t xml:space="preserve"> vragen</w:t>
      </w:r>
      <w:r w:rsidRPr="00C405B6" w:rsidR="00CC6770">
        <w:rPr>
          <w:rFonts w:ascii="Verdana" w:hAnsi="Verdana"/>
          <w:i/>
          <w:iCs/>
          <w:sz w:val="18"/>
          <w:szCs w:val="18"/>
        </w:rPr>
        <w:t xml:space="preserve"> waarom DNB geen uitvoeringstoets heeft gedaan en</w:t>
      </w:r>
      <w:r w:rsidRPr="00C405B6" w:rsidR="00D550E5">
        <w:rPr>
          <w:rFonts w:ascii="Verdana" w:hAnsi="Verdana"/>
          <w:i/>
          <w:iCs/>
          <w:sz w:val="18"/>
          <w:szCs w:val="18"/>
        </w:rPr>
        <w:t xml:space="preserve"> of de regering in samenspraak met DNB alsnog kan aangeven of het voor DNB wel of niet uitvoerbaar is.</w:t>
      </w:r>
    </w:p>
    <w:p w:rsidRPr="00C405B6" w:rsidR="00190F06" w:rsidP="00C405B6" w:rsidRDefault="00190F06" w14:paraId="5B6750B4" w14:textId="77777777">
      <w:pPr>
        <w:widowControl w:val="0"/>
        <w:tabs>
          <w:tab w:val="num" w:pos="720"/>
        </w:tabs>
        <w:spacing w:line="260" w:lineRule="atLeast"/>
        <w:contextualSpacing/>
        <w:rPr>
          <w:rFonts w:ascii="Verdana" w:hAnsi="Verdana"/>
          <w:i/>
          <w:iCs/>
          <w:sz w:val="18"/>
          <w:szCs w:val="18"/>
        </w:rPr>
      </w:pPr>
    </w:p>
    <w:p w:rsidRPr="00C405B6" w:rsidR="00190F06" w:rsidP="00C405B6" w:rsidRDefault="00190F06" w14:paraId="1BC82336" w14:textId="2D1054CC">
      <w:pPr>
        <w:widowControl w:val="0"/>
        <w:tabs>
          <w:tab w:val="num" w:pos="720"/>
        </w:tabs>
        <w:spacing w:line="260" w:lineRule="atLeast"/>
        <w:contextualSpacing/>
        <w:rPr>
          <w:rFonts w:ascii="Verdana" w:hAnsi="Verdana"/>
          <w:sz w:val="18"/>
          <w:szCs w:val="18"/>
        </w:rPr>
      </w:pPr>
      <w:bookmarkStart w:name="_Hlk181265036" w:id="8"/>
      <w:r w:rsidRPr="00C405B6">
        <w:rPr>
          <w:rFonts w:ascii="Verdana" w:hAnsi="Verdana"/>
          <w:sz w:val="18"/>
          <w:szCs w:val="18"/>
        </w:rPr>
        <w:t xml:space="preserve">DNB heeft aangegeven dat de nieuwe bevoegdheden en verplichtingen ook voor haar uitvoerbaar </w:t>
      </w:r>
      <w:r w:rsidRPr="00C405B6" w:rsidR="00944BFE">
        <w:rPr>
          <w:rFonts w:ascii="Verdana" w:hAnsi="Verdana"/>
          <w:sz w:val="18"/>
          <w:szCs w:val="18"/>
        </w:rPr>
        <w:t>zijn</w:t>
      </w:r>
      <w:r w:rsidRPr="00C405B6">
        <w:rPr>
          <w:rFonts w:ascii="Verdana" w:hAnsi="Verdana"/>
          <w:sz w:val="18"/>
          <w:szCs w:val="18"/>
        </w:rPr>
        <w:t>.</w:t>
      </w:r>
    </w:p>
    <w:bookmarkEnd w:id="8"/>
    <w:p w:rsidRPr="00C405B6" w:rsidR="001673FE" w:rsidP="00C405B6" w:rsidRDefault="001673FE" w14:paraId="400535A2" w14:textId="77777777">
      <w:pPr>
        <w:widowControl w:val="0"/>
        <w:tabs>
          <w:tab w:val="num" w:pos="720"/>
        </w:tabs>
        <w:spacing w:line="260" w:lineRule="atLeast"/>
        <w:contextualSpacing/>
        <w:rPr>
          <w:rFonts w:ascii="Verdana" w:hAnsi="Verdana"/>
          <w:sz w:val="18"/>
          <w:szCs w:val="18"/>
        </w:rPr>
      </w:pPr>
    </w:p>
    <w:p w:rsidRPr="00C405B6" w:rsidR="00137733" w:rsidP="00C405B6" w:rsidRDefault="00137733" w14:paraId="390BCF7F" w14:textId="77777777">
      <w:pPr>
        <w:widowControl w:val="0"/>
        <w:tabs>
          <w:tab w:val="num" w:pos="720"/>
        </w:tabs>
        <w:spacing w:line="260" w:lineRule="atLeast"/>
        <w:contextualSpacing/>
        <w:rPr>
          <w:rFonts w:ascii="Verdana" w:hAnsi="Verdana"/>
          <w:b/>
          <w:bCs/>
          <w:sz w:val="18"/>
          <w:szCs w:val="18"/>
        </w:rPr>
      </w:pPr>
    </w:p>
    <w:p w:rsidRPr="00C405B6" w:rsidR="001673FE" w:rsidP="00C405B6" w:rsidRDefault="00CC6770" w14:paraId="231703E7" w14:textId="383A8BA3">
      <w:pPr>
        <w:widowControl w:val="0"/>
        <w:tabs>
          <w:tab w:val="num" w:pos="720"/>
        </w:tabs>
        <w:spacing w:line="260" w:lineRule="atLeast"/>
        <w:contextualSpacing/>
        <w:rPr>
          <w:rFonts w:ascii="Verdana" w:hAnsi="Verdana"/>
          <w:b/>
          <w:bCs/>
          <w:sz w:val="18"/>
          <w:szCs w:val="18"/>
        </w:rPr>
      </w:pPr>
      <w:r w:rsidRPr="00C405B6">
        <w:rPr>
          <w:rFonts w:ascii="Verdana" w:hAnsi="Verdana"/>
          <w:b/>
          <w:bCs/>
          <w:sz w:val="18"/>
          <w:szCs w:val="18"/>
        </w:rPr>
        <w:t>Artikelsgewijs</w:t>
      </w:r>
    </w:p>
    <w:p w:rsidRPr="00C405B6" w:rsidR="00CC6770" w:rsidP="00C405B6" w:rsidRDefault="00CC6770" w14:paraId="042771C3" w14:textId="77777777">
      <w:pPr>
        <w:widowControl w:val="0"/>
        <w:tabs>
          <w:tab w:val="num" w:pos="720"/>
        </w:tabs>
        <w:spacing w:line="260" w:lineRule="atLeast"/>
        <w:contextualSpacing/>
        <w:rPr>
          <w:rFonts w:ascii="Verdana" w:hAnsi="Verdana"/>
          <w:b/>
          <w:bCs/>
          <w:sz w:val="18"/>
          <w:szCs w:val="18"/>
        </w:rPr>
      </w:pPr>
    </w:p>
    <w:p w:rsidRPr="00C405B6" w:rsidR="00CC6770" w:rsidP="00C405B6" w:rsidRDefault="00CC6770" w14:paraId="61A6B6C5" w14:textId="4AF69C78">
      <w:pPr>
        <w:widowControl w:val="0"/>
        <w:tabs>
          <w:tab w:val="num" w:pos="720"/>
        </w:tabs>
        <w:spacing w:line="260" w:lineRule="atLeast"/>
        <w:contextualSpacing/>
        <w:rPr>
          <w:rFonts w:ascii="Verdana" w:hAnsi="Verdana"/>
          <w:b/>
          <w:bCs/>
          <w:sz w:val="18"/>
          <w:szCs w:val="18"/>
        </w:rPr>
      </w:pPr>
      <w:r w:rsidRPr="00C405B6">
        <w:rPr>
          <w:rFonts w:ascii="Verdana" w:hAnsi="Verdana"/>
          <w:b/>
          <w:bCs/>
          <w:sz w:val="18"/>
          <w:szCs w:val="18"/>
        </w:rPr>
        <w:t>Bijlage. Transponeringstabel</w:t>
      </w:r>
    </w:p>
    <w:p w:rsidRPr="00C405B6" w:rsidR="00CC6770" w:rsidP="00C405B6" w:rsidRDefault="00CC6770" w14:paraId="583FE211" w14:textId="77777777">
      <w:pPr>
        <w:widowControl w:val="0"/>
        <w:tabs>
          <w:tab w:val="num" w:pos="720"/>
        </w:tabs>
        <w:spacing w:line="260" w:lineRule="atLeast"/>
        <w:contextualSpacing/>
        <w:rPr>
          <w:rFonts w:ascii="Verdana" w:hAnsi="Verdana"/>
          <w:b/>
          <w:bCs/>
          <w:sz w:val="18"/>
          <w:szCs w:val="18"/>
        </w:rPr>
      </w:pPr>
    </w:p>
    <w:p w:rsidRPr="00C405B6" w:rsidR="00CC6770" w:rsidP="00C405B6" w:rsidRDefault="00CC6770" w14:paraId="4BC8DFBE" w14:textId="7F88052A">
      <w:pPr>
        <w:widowControl w:val="0"/>
        <w:tabs>
          <w:tab w:val="num" w:pos="720"/>
        </w:tabs>
        <w:spacing w:line="260" w:lineRule="atLeast"/>
        <w:contextualSpacing/>
        <w:rPr>
          <w:rFonts w:ascii="Verdana" w:hAnsi="Verdana"/>
          <w:i/>
          <w:iCs/>
          <w:sz w:val="18"/>
          <w:szCs w:val="18"/>
        </w:rPr>
      </w:pPr>
      <w:r w:rsidRPr="00C405B6">
        <w:rPr>
          <w:rFonts w:ascii="Verdana" w:hAnsi="Verdana"/>
          <w:i/>
          <w:iCs/>
          <w:sz w:val="18"/>
          <w:szCs w:val="18"/>
        </w:rPr>
        <w:t>De leden van de VVD-fractie vragen of bij elke omzettingswet (vanuit EU-richtlijn of verordening of anderszins) een transponeringstabel kan worden opgenomen. En zo nee, waarom niet.</w:t>
      </w:r>
      <w:r w:rsidRPr="00C405B6" w:rsidR="00C71167">
        <w:rPr>
          <w:rFonts w:ascii="Verdana" w:hAnsi="Verdana"/>
          <w:i/>
          <w:iCs/>
          <w:sz w:val="18"/>
          <w:szCs w:val="18"/>
        </w:rPr>
        <w:t xml:space="preserve"> Verder vragen de leden van de VVD-fractie aandacht voor de leesbaarheid van de tabel.</w:t>
      </w:r>
    </w:p>
    <w:p w:rsidRPr="00C405B6" w:rsidR="001673FE" w:rsidP="00C405B6" w:rsidRDefault="001673FE" w14:paraId="4D40C6D2" w14:textId="77777777">
      <w:pPr>
        <w:widowControl w:val="0"/>
        <w:tabs>
          <w:tab w:val="num" w:pos="720"/>
        </w:tabs>
        <w:spacing w:line="260" w:lineRule="atLeast"/>
        <w:contextualSpacing/>
        <w:rPr>
          <w:rFonts w:ascii="Verdana" w:hAnsi="Verdana"/>
          <w:sz w:val="18"/>
          <w:szCs w:val="18"/>
        </w:rPr>
      </w:pPr>
    </w:p>
    <w:p w:rsidRPr="00C405B6" w:rsidR="00CC6770" w:rsidP="00C405B6" w:rsidRDefault="00CC6770" w14:paraId="5C5FEBE3" w14:textId="39C7739E">
      <w:pPr>
        <w:widowControl w:val="0"/>
        <w:tabs>
          <w:tab w:val="num" w:pos="720"/>
        </w:tabs>
        <w:spacing w:line="260" w:lineRule="atLeast"/>
        <w:contextualSpacing/>
        <w:rPr>
          <w:rFonts w:ascii="Verdana" w:hAnsi="Verdana"/>
          <w:sz w:val="18"/>
          <w:szCs w:val="18"/>
        </w:rPr>
      </w:pPr>
      <w:proofErr w:type="gramStart"/>
      <w:r w:rsidRPr="00C405B6">
        <w:rPr>
          <w:rFonts w:ascii="Verdana" w:hAnsi="Verdana"/>
          <w:sz w:val="18"/>
          <w:szCs w:val="18"/>
        </w:rPr>
        <w:t>Indien</w:t>
      </w:r>
      <w:proofErr w:type="gramEnd"/>
      <w:r w:rsidRPr="00C405B6">
        <w:rPr>
          <w:rFonts w:ascii="Verdana" w:hAnsi="Verdana"/>
          <w:sz w:val="18"/>
          <w:szCs w:val="18"/>
        </w:rPr>
        <w:t xml:space="preserve"> een Europese richtlijn wordt geïmplementeerd in nationale wetgeving of wanneer ter uitvoering van een verordening nationale wetgeving dient te worden aangepast, zal altijd een transponeringstabel worden opgenomen</w:t>
      </w:r>
      <w:r w:rsidRPr="00C405B6" w:rsidR="00C71167">
        <w:rPr>
          <w:rFonts w:ascii="Verdana" w:hAnsi="Verdana"/>
          <w:sz w:val="18"/>
          <w:szCs w:val="18"/>
        </w:rPr>
        <w:t>. Naar aanleiding van de opmerking van de leden van de VVD-over de leesbaarheid van de tabel, zal de transponeringstabel op een aantal punten worden aangepast.</w:t>
      </w:r>
      <w:r w:rsidRPr="00C405B6" w:rsidR="00C405B6">
        <w:rPr>
          <w:rFonts w:ascii="Verdana" w:hAnsi="Verdana"/>
          <w:sz w:val="18"/>
          <w:szCs w:val="18"/>
        </w:rPr>
        <w:t xml:space="preserve"> Deze aangepaste transponeringstabel zal als bijlage worden opgenomen bij het uitvoeringsbesluit Verordening Europese groene obligaties.</w:t>
      </w:r>
    </w:p>
    <w:p w:rsidRPr="00C405B6" w:rsidR="00137733" w:rsidP="00C405B6" w:rsidRDefault="00137733" w14:paraId="3CB2BE27" w14:textId="77777777">
      <w:pPr>
        <w:widowControl w:val="0"/>
        <w:tabs>
          <w:tab w:val="num" w:pos="720"/>
        </w:tabs>
        <w:spacing w:line="260" w:lineRule="atLeast"/>
        <w:contextualSpacing/>
        <w:rPr>
          <w:rFonts w:ascii="Verdana" w:hAnsi="Verdana"/>
          <w:sz w:val="18"/>
          <w:szCs w:val="18"/>
        </w:rPr>
      </w:pPr>
    </w:p>
    <w:p w:rsidRPr="00C405B6" w:rsidR="00C405B6" w:rsidP="00C405B6" w:rsidRDefault="00C405B6" w14:paraId="2D1A0A2C" w14:textId="77777777">
      <w:pPr>
        <w:widowControl w:val="0"/>
        <w:tabs>
          <w:tab w:val="num" w:pos="720"/>
        </w:tabs>
        <w:spacing w:line="260" w:lineRule="atLeast"/>
        <w:contextualSpacing/>
        <w:rPr>
          <w:rFonts w:ascii="Verdana" w:hAnsi="Verdana"/>
          <w:sz w:val="18"/>
          <w:szCs w:val="18"/>
        </w:rPr>
      </w:pPr>
    </w:p>
    <w:p w:rsidRPr="00C405B6" w:rsidR="00DB522E" w:rsidP="00C405B6" w:rsidRDefault="00B2131D" w14:paraId="3B079F8A" w14:textId="6119FAAE">
      <w:pPr>
        <w:widowControl w:val="0"/>
        <w:tabs>
          <w:tab w:val="num" w:pos="720"/>
        </w:tabs>
        <w:spacing w:line="260" w:lineRule="atLeast"/>
        <w:contextualSpacing/>
        <w:rPr>
          <w:rFonts w:ascii="Verdana" w:hAnsi="Verdana" w:cs="Arial"/>
          <w:sz w:val="18"/>
          <w:szCs w:val="18"/>
        </w:rPr>
      </w:pPr>
      <w:r w:rsidRPr="00C405B6">
        <w:rPr>
          <w:rFonts w:ascii="Verdana" w:hAnsi="Verdana"/>
          <w:sz w:val="18"/>
          <w:szCs w:val="18"/>
        </w:rPr>
        <w:t>De regering hoopt hiermee de vragen en opmerkingen in het verslag afdoende te hebben beantwoord.</w:t>
      </w:r>
    </w:p>
    <w:p w:rsidRPr="00C405B6" w:rsidR="00DB522E" w:rsidP="00C405B6" w:rsidRDefault="00DB522E" w14:paraId="2E805790" w14:textId="77777777">
      <w:pPr>
        <w:widowControl w:val="0"/>
        <w:tabs>
          <w:tab w:val="num" w:pos="720"/>
        </w:tabs>
        <w:spacing w:line="260" w:lineRule="atLeast"/>
        <w:contextualSpacing/>
        <w:rPr>
          <w:rFonts w:ascii="Verdana" w:hAnsi="Verdana" w:cs="Arial"/>
          <w:sz w:val="18"/>
          <w:szCs w:val="18"/>
        </w:rPr>
      </w:pPr>
    </w:p>
    <w:p w:rsidRPr="00C405B6" w:rsidR="00137733" w:rsidP="00C405B6" w:rsidRDefault="00137733" w14:paraId="0AD1BB96" w14:textId="77777777">
      <w:pPr>
        <w:widowControl w:val="0"/>
        <w:tabs>
          <w:tab w:val="num" w:pos="720"/>
        </w:tabs>
        <w:spacing w:line="260" w:lineRule="atLeast"/>
        <w:contextualSpacing/>
        <w:rPr>
          <w:rFonts w:ascii="Verdana" w:hAnsi="Verdana" w:cs="Arial"/>
          <w:sz w:val="18"/>
          <w:szCs w:val="18"/>
        </w:rPr>
      </w:pPr>
    </w:p>
    <w:p w:rsidRPr="00C405B6" w:rsidR="00A30F6E" w:rsidP="00C405B6" w:rsidRDefault="00EE0056" w14:paraId="0CABEE68" w14:textId="7B51C3CE">
      <w:pPr>
        <w:widowControl w:val="0"/>
        <w:tabs>
          <w:tab w:val="num" w:pos="720"/>
        </w:tabs>
        <w:spacing w:line="260" w:lineRule="atLeast"/>
        <w:contextualSpacing/>
        <w:rPr>
          <w:rFonts w:ascii="Verdana" w:hAnsi="Verdana" w:cs="Arial"/>
          <w:sz w:val="18"/>
          <w:szCs w:val="18"/>
        </w:rPr>
      </w:pPr>
      <w:r w:rsidRPr="00C405B6">
        <w:rPr>
          <w:rFonts w:ascii="Verdana" w:hAnsi="Verdana" w:cs="Arial"/>
          <w:sz w:val="18"/>
          <w:szCs w:val="18"/>
        </w:rPr>
        <w:t>De Minister van Financiën,</w:t>
      </w:r>
    </w:p>
    <w:p w:rsidRPr="00C405B6" w:rsidR="00C405B6" w:rsidP="00C405B6" w:rsidRDefault="00C405B6" w14:paraId="3BE29595" w14:textId="77777777">
      <w:pPr>
        <w:widowControl w:val="0"/>
        <w:tabs>
          <w:tab w:val="num" w:pos="720"/>
        </w:tabs>
        <w:spacing w:line="260" w:lineRule="atLeast"/>
        <w:contextualSpacing/>
        <w:rPr>
          <w:rFonts w:ascii="Verdana" w:hAnsi="Verdana" w:cs="Arial"/>
          <w:sz w:val="18"/>
          <w:szCs w:val="18"/>
        </w:rPr>
      </w:pPr>
    </w:p>
    <w:p w:rsidRPr="00C405B6" w:rsidR="00C405B6" w:rsidP="00C405B6" w:rsidRDefault="00C405B6" w14:paraId="5B3E946A" w14:textId="77777777">
      <w:pPr>
        <w:widowControl w:val="0"/>
        <w:tabs>
          <w:tab w:val="num" w:pos="720"/>
        </w:tabs>
        <w:spacing w:line="260" w:lineRule="atLeast"/>
        <w:contextualSpacing/>
        <w:rPr>
          <w:rFonts w:ascii="Verdana" w:hAnsi="Verdana" w:cs="Arial"/>
          <w:sz w:val="18"/>
          <w:szCs w:val="18"/>
        </w:rPr>
      </w:pPr>
    </w:p>
    <w:p w:rsidRPr="00C405B6" w:rsidR="00C405B6" w:rsidP="00C405B6" w:rsidRDefault="00C405B6" w14:paraId="44B9EAB9" w14:textId="77777777">
      <w:pPr>
        <w:widowControl w:val="0"/>
        <w:tabs>
          <w:tab w:val="num" w:pos="720"/>
        </w:tabs>
        <w:spacing w:line="260" w:lineRule="atLeast"/>
        <w:contextualSpacing/>
        <w:rPr>
          <w:rFonts w:ascii="Verdana" w:hAnsi="Verdana" w:cs="Arial"/>
          <w:sz w:val="18"/>
          <w:szCs w:val="18"/>
        </w:rPr>
      </w:pPr>
    </w:p>
    <w:p w:rsidRPr="00C405B6" w:rsidR="00C405B6" w:rsidP="00C405B6" w:rsidRDefault="00C405B6" w14:paraId="7C0B4CEC" w14:textId="77777777">
      <w:pPr>
        <w:widowControl w:val="0"/>
        <w:tabs>
          <w:tab w:val="num" w:pos="720"/>
        </w:tabs>
        <w:spacing w:line="260" w:lineRule="atLeast"/>
        <w:contextualSpacing/>
        <w:rPr>
          <w:rFonts w:ascii="Verdana" w:hAnsi="Verdana" w:cs="Arial"/>
          <w:sz w:val="18"/>
          <w:szCs w:val="18"/>
        </w:rPr>
      </w:pPr>
    </w:p>
    <w:p w:rsidRPr="00C405B6" w:rsidR="00C405B6" w:rsidP="00C405B6" w:rsidRDefault="00C405B6" w14:paraId="0C9DC365" w14:textId="6EC0460B">
      <w:pPr>
        <w:widowControl w:val="0"/>
        <w:tabs>
          <w:tab w:val="num" w:pos="720"/>
        </w:tabs>
        <w:spacing w:line="260" w:lineRule="atLeast"/>
        <w:contextualSpacing/>
        <w:rPr>
          <w:rFonts w:ascii="Verdana" w:hAnsi="Verdana" w:cs="Arial"/>
          <w:sz w:val="18"/>
          <w:szCs w:val="18"/>
        </w:rPr>
      </w:pPr>
      <w:r w:rsidRPr="00C405B6">
        <w:rPr>
          <w:rFonts w:ascii="Verdana" w:hAnsi="Verdana" w:cs="Arial"/>
          <w:sz w:val="18"/>
          <w:szCs w:val="18"/>
        </w:rPr>
        <w:t>E. Heinen</w:t>
      </w:r>
    </w:p>
    <w:sectPr w:rsidRPr="00C405B6" w:rsidR="00C405B6" w:rsidSect="00EE0056">
      <w:footerReference w:type="default" r:id="rId7"/>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5D8D" w14:textId="77777777" w:rsidR="00B21A67" w:rsidRDefault="00B21A67" w:rsidP="00CA7D6D">
      <w:r>
        <w:separator/>
      </w:r>
    </w:p>
  </w:endnote>
  <w:endnote w:type="continuationSeparator" w:id="0">
    <w:p w14:paraId="67CAC4A1" w14:textId="77777777" w:rsidR="00B21A67" w:rsidRDefault="00B21A67" w:rsidP="00C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408E" w14:textId="77777777" w:rsidR="00EA444F" w:rsidRPr="00DB6230" w:rsidRDefault="009A45D2">
    <w:pPr>
      <w:pStyle w:val="Voettekst"/>
      <w:jc w:val="center"/>
      <w:rPr>
        <w:rFonts w:ascii="Verdana" w:hAnsi="Verdana"/>
        <w:sz w:val="18"/>
      </w:rPr>
    </w:pPr>
    <w:r w:rsidRPr="00DB6230">
      <w:rPr>
        <w:rFonts w:ascii="Verdana" w:hAnsi="Verdana"/>
        <w:sz w:val="18"/>
      </w:rPr>
      <w:fldChar w:fldCharType="begin"/>
    </w:r>
    <w:r w:rsidR="00EA444F" w:rsidRPr="00DB6230">
      <w:rPr>
        <w:rFonts w:ascii="Verdana" w:hAnsi="Verdana"/>
        <w:sz w:val="18"/>
      </w:rPr>
      <w:instrText xml:space="preserve"> PAGE   \* MERGEFORMAT </w:instrText>
    </w:r>
    <w:r w:rsidRPr="00DB6230">
      <w:rPr>
        <w:rFonts w:ascii="Verdana" w:hAnsi="Verdana"/>
        <w:sz w:val="18"/>
      </w:rPr>
      <w:fldChar w:fldCharType="separate"/>
    </w:r>
    <w:r w:rsidR="00E4606A">
      <w:rPr>
        <w:rFonts w:ascii="Verdana" w:hAnsi="Verdana"/>
        <w:noProof/>
        <w:sz w:val="18"/>
      </w:rPr>
      <w:t>1</w:t>
    </w:r>
    <w:r w:rsidRPr="00DB6230">
      <w:rPr>
        <w:rFonts w:ascii="Verdana" w:hAnsi="Verdana"/>
        <w:sz w:val="18"/>
      </w:rPr>
      <w:fldChar w:fldCharType="end"/>
    </w:r>
  </w:p>
  <w:p w14:paraId="0F907343" w14:textId="77777777" w:rsidR="00EA444F" w:rsidRDefault="00EA44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5C78" w14:textId="77777777" w:rsidR="00B21A67" w:rsidRDefault="00B21A67" w:rsidP="00CA7D6D">
      <w:r>
        <w:separator/>
      </w:r>
    </w:p>
  </w:footnote>
  <w:footnote w:type="continuationSeparator" w:id="0">
    <w:p w14:paraId="61710DD6" w14:textId="77777777" w:rsidR="00B21A67" w:rsidRDefault="00B21A67" w:rsidP="00CA7D6D">
      <w:r>
        <w:continuationSeparator/>
      </w:r>
    </w:p>
  </w:footnote>
  <w:footnote w:id="1">
    <w:p w14:paraId="4E58664D" w14:textId="4C59CFE0" w:rsidR="0005627F" w:rsidRPr="0005627F" w:rsidRDefault="00E61876" w:rsidP="0005627F">
      <w:pPr>
        <w:widowControl w:val="0"/>
        <w:tabs>
          <w:tab w:val="num" w:pos="720"/>
          <w:tab w:val="left" w:pos="1701"/>
        </w:tabs>
        <w:spacing w:line="240" w:lineRule="atLeast"/>
        <w:rPr>
          <w:rFonts w:ascii="Verdana" w:hAnsi="Verdana" w:cs="Arial"/>
          <w:iCs/>
          <w:sz w:val="16"/>
          <w:szCs w:val="16"/>
          <w:lang w:val="en-GB"/>
        </w:rPr>
      </w:pPr>
      <w:r w:rsidRPr="0005627F">
        <w:rPr>
          <w:rStyle w:val="Voetnootmarkering"/>
          <w:rFonts w:ascii="Verdana" w:hAnsi="Verdana"/>
          <w:sz w:val="16"/>
          <w:szCs w:val="16"/>
        </w:rPr>
        <w:footnoteRef/>
      </w:r>
      <w:r w:rsidRPr="0005627F">
        <w:rPr>
          <w:rFonts w:ascii="Verdana" w:hAnsi="Verdana"/>
          <w:sz w:val="16"/>
          <w:szCs w:val="16"/>
          <w:lang w:val="en-GB"/>
        </w:rPr>
        <w:t xml:space="preserve"> </w:t>
      </w:r>
      <w:r w:rsidR="0005627F" w:rsidRPr="0005627F">
        <w:rPr>
          <w:rFonts w:ascii="Verdana" w:hAnsi="Verdana"/>
          <w:sz w:val="16"/>
          <w:szCs w:val="16"/>
          <w:lang w:val="en-GB"/>
        </w:rPr>
        <w:t>https://www.icmagroup.org/sustainable-finance/the-principles-guidelines-and-handbooks/green-bond-principles-gbp/</w:t>
      </w:r>
    </w:p>
    <w:p w14:paraId="6E558FDB" w14:textId="7344C0A9" w:rsidR="00E61876" w:rsidRPr="0005627F" w:rsidRDefault="00E61876" w:rsidP="00E61876">
      <w:pPr>
        <w:widowControl w:val="0"/>
        <w:tabs>
          <w:tab w:val="num" w:pos="720"/>
        </w:tabs>
        <w:spacing w:line="240" w:lineRule="atLeast"/>
        <w:rPr>
          <w:rFonts w:ascii="Verdana" w:hAnsi="Verdana" w:cs="Arial"/>
          <w:iCs/>
          <w:sz w:val="13"/>
          <w:szCs w:val="13"/>
          <w:lang w:val="en-GB"/>
        </w:rPr>
      </w:pPr>
    </w:p>
    <w:p w14:paraId="5DBE71FB" w14:textId="637CAEE1" w:rsidR="00E61876" w:rsidRPr="0005627F" w:rsidRDefault="00E61876">
      <w:pPr>
        <w:pStyle w:val="Voetnoottekst"/>
        <w:rPr>
          <w:lang w:val="en-GB"/>
        </w:rPr>
      </w:pPr>
    </w:p>
  </w:footnote>
  <w:footnote w:id="2">
    <w:p w14:paraId="74F29AEA" w14:textId="4ADDEC7A" w:rsidR="00D3280C" w:rsidRPr="00137733" w:rsidRDefault="00D3280C">
      <w:pPr>
        <w:pStyle w:val="Voetnoottekst"/>
        <w:rPr>
          <w:rFonts w:ascii="Verdana" w:hAnsi="Verdana"/>
          <w:sz w:val="13"/>
          <w:szCs w:val="13"/>
        </w:rPr>
      </w:pPr>
      <w:r w:rsidRPr="00137733">
        <w:rPr>
          <w:rStyle w:val="Voetnootmarkering"/>
          <w:rFonts w:ascii="Verdana" w:hAnsi="Verdana"/>
          <w:sz w:val="13"/>
          <w:szCs w:val="13"/>
        </w:rPr>
        <w:footnoteRef/>
      </w:r>
      <w:r w:rsidRPr="00137733">
        <w:rPr>
          <w:rFonts w:ascii="Verdana" w:hAnsi="Verdana"/>
          <w:sz w:val="13"/>
          <w:szCs w:val="13"/>
        </w:rPr>
        <w:t xml:space="preserve"> </w:t>
      </w:r>
      <w:r w:rsidR="00203ACF">
        <w:rPr>
          <w:rFonts w:ascii="Verdana" w:hAnsi="Verdana"/>
          <w:sz w:val="13"/>
          <w:szCs w:val="13"/>
        </w:rPr>
        <w:t xml:space="preserve">Leningen worden </w:t>
      </w:r>
      <w:r w:rsidR="003F6183">
        <w:rPr>
          <w:rFonts w:ascii="Verdana" w:hAnsi="Verdana"/>
          <w:sz w:val="13"/>
          <w:szCs w:val="13"/>
        </w:rPr>
        <w:t>gekocht door</w:t>
      </w:r>
      <w:r w:rsidR="00203ACF">
        <w:rPr>
          <w:rFonts w:ascii="Verdana" w:hAnsi="Verdana"/>
          <w:sz w:val="13"/>
          <w:szCs w:val="13"/>
        </w:rPr>
        <w:t xml:space="preserve"> een </w:t>
      </w:r>
      <w:r w:rsidRPr="00137733">
        <w:rPr>
          <w:rFonts w:ascii="Verdana" w:hAnsi="Verdana"/>
          <w:sz w:val="13"/>
          <w:szCs w:val="13"/>
        </w:rPr>
        <w:t xml:space="preserve">speciaal daarvoor opgerichte </w:t>
      </w:r>
      <w:r w:rsidR="00203ACF" w:rsidRPr="00203ACF">
        <w:rPr>
          <w:rFonts w:ascii="Verdana" w:hAnsi="Verdana"/>
          <w:sz w:val="13"/>
          <w:szCs w:val="13"/>
        </w:rPr>
        <w:t>vennootschap</w:t>
      </w:r>
      <w:r w:rsidRPr="00137733">
        <w:rPr>
          <w:rFonts w:ascii="Verdana" w:hAnsi="Verdana"/>
          <w:sz w:val="13"/>
          <w:szCs w:val="13"/>
        </w:rPr>
        <w:t>.</w:t>
      </w:r>
      <w:r w:rsidR="00203ACF" w:rsidRPr="00137733">
        <w:rPr>
          <w:rFonts w:ascii="Verdana" w:hAnsi="Verdana"/>
          <w:sz w:val="13"/>
          <w:szCs w:val="13"/>
        </w:rPr>
        <w:t xml:space="preserve"> De </w:t>
      </w:r>
      <w:r w:rsidR="00203ACF">
        <w:rPr>
          <w:rFonts w:ascii="Verdana" w:hAnsi="Verdana"/>
          <w:sz w:val="13"/>
          <w:szCs w:val="13"/>
        </w:rPr>
        <w:t>vennootschap</w:t>
      </w:r>
      <w:r w:rsidR="00203ACF" w:rsidRPr="00137733">
        <w:rPr>
          <w:rFonts w:ascii="Verdana" w:hAnsi="Verdana"/>
          <w:sz w:val="13"/>
          <w:szCs w:val="13"/>
        </w:rPr>
        <w:t xml:space="preserve"> financiert de aankoop</w:t>
      </w:r>
      <w:r w:rsidR="00203ACF">
        <w:rPr>
          <w:rFonts w:ascii="Verdana" w:hAnsi="Verdana"/>
          <w:sz w:val="13"/>
          <w:szCs w:val="13"/>
        </w:rPr>
        <w:t xml:space="preserve"> van leningen</w:t>
      </w:r>
      <w:r w:rsidR="00203ACF" w:rsidRPr="00137733">
        <w:rPr>
          <w:rFonts w:ascii="Verdana" w:hAnsi="Verdana"/>
          <w:sz w:val="13"/>
          <w:szCs w:val="13"/>
        </w:rPr>
        <w:t xml:space="preserve"> via de uitgifte van obligaties.</w:t>
      </w:r>
    </w:p>
  </w:footnote>
  <w:footnote w:id="3">
    <w:p w14:paraId="20E7770B" w14:textId="08A10E3E" w:rsidR="000E7D56" w:rsidRPr="000E7D56" w:rsidRDefault="000E7D56">
      <w:pPr>
        <w:pStyle w:val="Voetnoottekst"/>
        <w:rPr>
          <w:rFonts w:ascii="Verdana" w:hAnsi="Verdana"/>
          <w:sz w:val="13"/>
          <w:szCs w:val="13"/>
        </w:rPr>
      </w:pPr>
      <w:r w:rsidRPr="000E7D56">
        <w:rPr>
          <w:rStyle w:val="Voetnootmarkering"/>
          <w:rFonts w:ascii="Verdana" w:hAnsi="Verdana"/>
          <w:sz w:val="13"/>
          <w:szCs w:val="13"/>
        </w:rPr>
        <w:footnoteRef/>
      </w:r>
      <w:r w:rsidRPr="000E7D56">
        <w:rPr>
          <w:rFonts w:ascii="Verdana" w:hAnsi="Verdana"/>
          <w:sz w:val="13"/>
          <w:szCs w:val="13"/>
        </w:rPr>
        <w:t xml:space="preserve"> </w:t>
      </w:r>
      <w:r w:rsidR="00EF73D3">
        <w:rPr>
          <w:rFonts w:ascii="Verdana" w:hAnsi="Verdana"/>
          <w:color w:val="0000FF"/>
          <w:sz w:val="13"/>
          <w:szCs w:val="13"/>
          <w:u w:val="single"/>
          <w:lang w:eastAsia="nl-NL"/>
        </w:rPr>
        <w:t>Kamerstukken II 2024/25, 32013, nr. 298.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3"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2101020101">
    <w:abstractNumId w:val="0"/>
  </w:num>
  <w:num w:numId="2" w16cid:durableId="6255432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686015">
    <w:abstractNumId w:val="10"/>
  </w:num>
  <w:num w:numId="4" w16cid:durableId="1200389277">
    <w:abstractNumId w:val="9"/>
  </w:num>
  <w:num w:numId="5" w16cid:durableId="621771480">
    <w:abstractNumId w:val="13"/>
  </w:num>
  <w:num w:numId="6" w16cid:durableId="1245651400">
    <w:abstractNumId w:val="6"/>
  </w:num>
  <w:num w:numId="7" w16cid:durableId="1167549736">
    <w:abstractNumId w:val="5"/>
  </w:num>
  <w:num w:numId="8" w16cid:durableId="927426745">
    <w:abstractNumId w:val="2"/>
  </w:num>
  <w:num w:numId="9" w16cid:durableId="1186361687">
    <w:abstractNumId w:val="8"/>
  </w:num>
  <w:num w:numId="10" w16cid:durableId="1382246539">
    <w:abstractNumId w:val="11"/>
  </w:num>
  <w:num w:numId="11" w16cid:durableId="714037271">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495953736">
    <w:abstractNumId w:val="8"/>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724261190">
    <w:abstractNumId w:val="7"/>
  </w:num>
  <w:num w:numId="14" w16cid:durableId="1225869049">
    <w:abstractNumId w:val="3"/>
  </w:num>
  <w:num w:numId="15" w16cid:durableId="1614822683">
    <w:abstractNumId w:val="1"/>
  </w:num>
  <w:num w:numId="16" w16cid:durableId="112323349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3712"/>
    <w:rsid w:val="00010325"/>
    <w:rsid w:val="00010FBC"/>
    <w:rsid w:val="00012F05"/>
    <w:rsid w:val="0001437F"/>
    <w:rsid w:val="00014925"/>
    <w:rsid w:val="000202AB"/>
    <w:rsid w:val="0002172C"/>
    <w:rsid w:val="00024443"/>
    <w:rsid w:val="00025142"/>
    <w:rsid w:val="0002524E"/>
    <w:rsid w:val="00026C8F"/>
    <w:rsid w:val="00027B1A"/>
    <w:rsid w:val="00034351"/>
    <w:rsid w:val="00034FC9"/>
    <w:rsid w:val="0003523F"/>
    <w:rsid w:val="000503AB"/>
    <w:rsid w:val="00054E3C"/>
    <w:rsid w:val="0005627F"/>
    <w:rsid w:val="000575E2"/>
    <w:rsid w:val="00057A79"/>
    <w:rsid w:val="000610C1"/>
    <w:rsid w:val="00061B86"/>
    <w:rsid w:val="0006448C"/>
    <w:rsid w:val="00064EDD"/>
    <w:rsid w:val="00065A2A"/>
    <w:rsid w:val="00065C16"/>
    <w:rsid w:val="00067015"/>
    <w:rsid w:val="0007130F"/>
    <w:rsid w:val="00073441"/>
    <w:rsid w:val="00076564"/>
    <w:rsid w:val="000765D1"/>
    <w:rsid w:val="000773B9"/>
    <w:rsid w:val="00080A6C"/>
    <w:rsid w:val="00082026"/>
    <w:rsid w:val="00082F60"/>
    <w:rsid w:val="000841EF"/>
    <w:rsid w:val="000862E1"/>
    <w:rsid w:val="0008781D"/>
    <w:rsid w:val="00087D5A"/>
    <w:rsid w:val="0009055C"/>
    <w:rsid w:val="0009097E"/>
    <w:rsid w:val="0009315E"/>
    <w:rsid w:val="00094527"/>
    <w:rsid w:val="00094F01"/>
    <w:rsid w:val="000A0550"/>
    <w:rsid w:val="000A1C98"/>
    <w:rsid w:val="000A32B4"/>
    <w:rsid w:val="000A3D6D"/>
    <w:rsid w:val="000A3D8E"/>
    <w:rsid w:val="000A46E2"/>
    <w:rsid w:val="000A68C1"/>
    <w:rsid w:val="000A7B3E"/>
    <w:rsid w:val="000B2AF0"/>
    <w:rsid w:val="000B35D2"/>
    <w:rsid w:val="000B36D2"/>
    <w:rsid w:val="000B3ABD"/>
    <w:rsid w:val="000B4824"/>
    <w:rsid w:val="000C098E"/>
    <w:rsid w:val="000C0E4F"/>
    <w:rsid w:val="000C520B"/>
    <w:rsid w:val="000C57FC"/>
    <w:rsid w:val="000C5CE9"/>
    <w:rsid w:val="000C6404"/>
    <w:rsid w:val="000C6E45"/>
    <w:rsid w:val="000D01AD"/>
    <w:rsid w:val="000D2C35"/>
    <w:rsid w:val="000D2DEE"/>
    <w:rsid w:val="000E0443"/>
    <w:rsid w:val="000E17D5"/>
    <w:rsid w:val="000E1938"/>
    <w:rsid w:val="000E4550"/>
    <w:rsid w:val="000E74D2"/>
    <w:rsid w:val="000E7D56"/>
    <w:rsid w:val="000F1B7B"/>
    <w:rsid w:val="000F45F9"/>
    <w:rsid w:val="000F4FD8"/>
    <w:rsid w:val="00100C45"/>
    <w:rsid w:val="00102BFB"/>
    <w:rsid w:val="00103137"/>
    <w:rsid w:val="00104A00"/>
    <w:rsid w:val="001052B3"/>
    <w:rsid w:val="001052BA"/>
    <w:rsid w:val="001109EC"/>
    <w:rsid w:val="00110ED7"/>
    <w:rsid w:val="00114A49"/>
    <w:rsid w:val="001156CC"/>
    <w:rsid w:val="00115A48"/>
    <w:rsid w:val="001212D3"/>
    <w:rsid w:val="00121C1B"/>
    <w:rsid w:val="00121D64"/>
    <w:rsid w:val="0012322C"/>
    <w:rsid w:val="00126E5A"/>
    <w:rsid w:val="001308CF"/>
    <w:rsid w:val="0013346B"/>
    <w:rsid w:val="001352A5"/>
    <w:rsid w:val="001366DE"/>
    <w:rsid w:val="00137733"/>
    <w:rsid w:val="0014199E"/>
    <w:rsid w:val="00143BA3"/>
    <w:rsid w:val="001443FE"/>
    <w:rsid w:val="001450D0"/>
    <w:rsid w:val="001461F3"/>
    <w:rsid w:val="00146574"/>
    <w:rsid w:val="00150BBE"/>
    <w:rsid w:val="00153250"/>
    <w:rsid w:val="00156256"/>
    <w:rsid w:val="00160D7C"/>
    <w:rsid w:val="00161EE8"/>
    <w:rsid w:val="00163A06"/>
    <w:rsid w:val="00165ED2"/>
    <w:rsid w:val="00166CBF"/>
    <w:rsid w:val="001673FE"/>
    <w:rsid w:val="0017062D"/>
    <w:rsid w:val="00172495"/>
    <w:rsid w:val="0017270E"/>
    <w:rsid w:val="00174363"/>
    <w:rsid w:val="00174A3F"/>
    <w:rsid w:val="00176F4D"/>
    <w:rsid w:val="00177056"/>
    <w:rsid w:val="00177E16"/>
    <w:rsid w:val="0018055B"/>
    <w:rsid w:val="00180850"/>
    <w:rsid w:val="00184489"/>
    <w:rsid w:val="001850C5"/>
    <w:rsid w:val="00190F06"/>
    <w:rsid w:val="001918AA"/>
    <w:rsid w:val="00192973"/>
    <w:rsid w:val="00195472"/>
    <w:rsid w:val="001A45C8"/>
    <w:rsid w:val="001A7738"/>
    <w:rsid w:val="001B31EB"/>
    <w:rsid w:val="001B4DD0"/>
    <w:rsid w:val="001B6003"/>
    <w:rsid w:val="001B75E8"/>
    <w:rsid w:val="001C1802"/>
    <w:rsid w:val="001C1C8A"/>
    <w:rsid w:val="001C37BE"/>
    <w:rsid w:val="001D0773"/>
    <w:rsid w:val="001E1405"/>
    <w:rsid w:val="001E3B86"/>
    <w:rsid w:val="001E79CD"/>
    <w:rsid w:val="001F04B0"/>
    <w:rsid w:val="001F0E50"/>
    <w:rsid w:val="001F4FAA"/>
    <w:rsid w:val="001F6A5B"/>
    <w:rsid w:val="002006DF"/>
    <w:rsid w:val="00203AAD"/>
    <w:rsid w:val="00203ACF"/>
    <w:rsid w:val="002051C9"/>
    <w:rsid w:val="00205246"/>
    <w:rsid w:val="00205280"/>
    <w:rsid w:val="0021016D"/>
    <w:rsid w:val="00210EF5"/>
    <w:rsid w:val="0021725A"/>
    <w:rsid w:val="00221FCA"/>
    <w:rsid w:val="00221FDB"/>
    <w:rsid w:val="00222A5B"/>
    <w:rsid w:val="0022361C"/>
    <w:rsid w:val="00223E06"/>
    <w:rsid w:val="00223FB2"/>
    <w:rsid w:val="002262B5"/>
    <w:rsid w:val="00226993"/>
    <w:rsid w:val="00227FDF"/>
    <w:rsid w:val="002317E9"/>
    <w:rsid w:val="00232F2D"/>
    <w:rsid w:val="00235880"/>
    <w:rsid w:val="00240647"/>
    <w:rsid w:val="00242AC1"/>
    <w:rsid w:val="00243251"/>
    <w:rsid w:val="002436D5"/>
    <w:rsid w:val="002441D6"/>
    <w:rsid w:val="002441F7"/>
    <w:rsid w:val="0024559D"/>
    <w:rsid w:val="00246084"/>
    <w:rsid w:val="00250CAC"/>
    <w:rsid w:val="00251887"/>
    <w:rsid w:val="00254565"/>
    <w:rsid w:val="00254A1D"/>
    <w:rsid w:val="0025728A"/>
    <w:rsid w:val="00261762"/>
    <w:rsid w:val="0026438F"/>
    <w:rsid w:val="00266142"/>
    <w:rsid w:val="00267581"/>
    <w:rsid w:val="00270524"/>
    <w:rsid w:val="00271978"/>
    <w:rsid w:val="0027287F"/>
    <w:rsid w:val="00272896"/>
    <w:rsid w:val="002729FD"/>
    <w:rsid w:val="00272DD6"/>
    <w:rsid w:val="002740A8"/>
    <w:rsid w:val="002802A5"/>
    <w:rsid w:val="00280CC0"/>
    <w:rsid w:val="00281CFD"/>
    <w:rsid w:val="00282F36"/>
    <w:rsid w:val="00283585"/>
    <w:rsid w:val="00285232"/>
    <w:rsid w:val="002855C1"/>
    <w:rsid w:val="00285FA5"/>
    <w:rsid w:val="002910E8"/>
    <w:rsid w:val="00291B18"/>
    <w:rsid w:val="00295281"/>
    <w:rsid w:val="00295A08"/>
    <w:rsid w:val="002963EE"/>
    <w:rsid w:val="0029762A"/>
    <w:rsid w:val="002A2364"/>
    <w:rsid w:val="002A4DC8"/>
    <w:rsid w:val="002A52A4"/>
    <w:rsid w:val="002B14C0"/>
    <w:rsid w:val="002B1630"/>
    <w:rsid w:val="002B219F"/>
    <w:rsid w:val="002B30E5"/>
    <w:rsid w:val="002B4B5B"/>
    <w:rsid w:val="002B55D3"/>
    <w:rsid w:val="002B744B"/>
    <w:rsid w:val="002C246B"/>
    <w:rsid w:val="002C4DAD"/>
    <w:rsid w:val="002C530D"/>
    <w:rsid w:val="002C7D43"/>
    <w:rsid w:val="002D0BE0"/>
    <w:rsid w:val="002D0C8F"/>
    <w:rsid w:val="002D0E4B"/>
    <w:rsid w:val="002D75C9"/>
    <w:rsid w:val="002E01C6"/>
    <w:rsid w:val="002E1735"/>
    <w:rsid w:val="002E2AEB"/>
    <w:rsid w:val="002E7D43"/>
    <w:rsid w:val="002F1571"/>
    <w:rsid w:val="002F25AE"/>
    <w:rsid w:val="002F5603"/>
    <w:rsid w:val="00300C98"/>
    <w:rsid w:val="00302232"/>
    <w:rsid w:val="0030435A"/>
    <w:rsid w:val="0030577F"/>
    <w:rsid w:val="00311E96"/>
    <w:rsid w:val="00312F6B"/>
    <w:rsid w:val="00313594"/>
    <w:rsid w:val="00316953"/>
    <w:rsid w:val="00320FB0"/>
    <w:rsid w:val="00322785"/>
    <w:rsid w:val="003227EA"/>
    <w:rsid w:val="00326290"/>
    <w:rsid w:val="00331660"/>
    <w:rsid w:val="003325B0"/>
    <w:rsid w:val="0033726A"/>
    <w:rsid w:val="00342292"/>
    <w:rsid w:val="0034258F"/>
    <w:rsid w:val="003528FA"/>
    <w:rsid w:val="00353FF0"/>
    <w:rsid w:val="00356228"/>
    <w:rsid w:val="003570BA"/>
    <w:rsid w:val="00357715"/>
    <w:rsid w:val="00357C3C"/>
    <w:rsid w:val="0036159E"/>
    <w:rsid w:val="00363838"/>
    <w:rsid w:val="00363B06"/>
    <w:rsid w:val="00365040"/>
    <w:rsid w:val="003670EF"/>
    <w:rsid w:val="00371A42"/>
    <w:rsid w:val="00373748"/>
    <w:rsid w:val="00373CDA"/>
    <w:rsid w:val="00374A0F"/>
    <w:rsid w:val="0037623F"/>
    <w:rsid w:val="00377E5B"/>
    <w:rsid w:val="003843F6"/>
    <w:rsid w:val="00386288"/>
    <w:rsid w:val="00386364"/>
    <w:rsid w:val="00395835"/>
    <w:rsid w:val="00395FD6"/>
    <w:rsid w:val="00396365"/>
    <w:rsid w:val="003A2702"/>
    <w:rsid w:val="003A2FD2"/>
    <w:rsid w:val="003B0C55"/>
    <w:rsid w:val="003B1BC0"/>
    <w:rsid w:val="003B1FE3"/>
    <w:rsid w:val="003B3C8A"/>
    <w:rsid w:val="003B475C"/>
    <w:rsid w:val="003B5C4A"/>
    <w:rsid w:val="003C1B65"/>
    <w:rsid w:val="003C379E"/>
    <w:rsid w:val="003C3E28"/>
    <w:rsid w:val="003C4182"/>
    <w:rsid w:val="003C41E5"/>
    <w:rsid w:val="003D0413"/>
    <w:rsid w:val="003D508F"/>
    <w:rsid w:val="003D71D4"/>
    <w:rsid w:val="003E38D6"/>
    <w:rsid w:val="003E4511"/>
    <w:rsid w:val="003E561F"/>
    <w:rsid w:val="003F5F26"/>
    <w:rsid w:val="003F6183"/>
    <w:rsid w:val="003F7619"/>
    <w:rsid w:val="003F7E0F"/>
    <w:rsid w:val="00402F90"/>
    <w:rsid w:val="0040357F"/>
    <w:rsid w:val="00405DAD"/>
    <w:rsid w:val="00407F09"/>
    <w:rsid w:val="00411C72"/>
    <w:rsid w:val="004128D8"/>
    <w:rsid w:val="004131CA"/>
    <w:rsid w:val="00413A61"/>
    <w:rsid w:val="004141C5"/>
    <w:rsid w:val="004162BF"/>
    <w:rsid w:val="0041708D"/>
    <w:rsid w:val="00421018"/>
    <w:rsid w:val="00421C69"/>
    <w:rsid w:val="00422106"/>
    <w:rsid w:val="00422666"/>
    <w:rsid w:val="004253EA"/>
    <w:rsid w:val="00425B47"/>
    <w:rsid w:val="004264A6"/>
    <w:rsid w:val="00426557"/>
    <w:rsid w:val="004270A0"/>
    <w:rsid w:val="0043246B"/>
    <w:rsid w:val="00432DEF"/>
    <w:rsid w:val="00433C66"/>
    <w:rsid w:val="0043564D"/>
    <w:rsid w:val="0043797A"/>
    <w:rsid w:val="00441382"/>
    <w:rsid w:val="00441FA3"/>
    <w:rsid w:val="0044583D"/>
    <w:rsid w:val="00452580"/>
    <w:rsid w:val="004567D2"/>
    <w:rsid w:val="00457A8E"/>
    <w:rsid w:val="0047197B"/>
    <w:rsid w:val="004723FB"/>
    <w:rsid w:val="00472521"/>
    <w:rsid w:val="004728AC"/>
    <w:rsid w:val="00473BB1"/>
    <w:rsid w:val="00477D7B"/>
    <w:rsid w:val="00482BB0"/>
    <w:rsid w:val="004836F7"/>
    <w:rsid w:val="00483944"/>
    <w:rsid w:val="004840F8"/>
    <w:rsid w:val="00484ECF"/>
    <w:rsid w:val="00486807"/>
    <w:rsid w:val="00487C4D"/>
    <w:rsid w:val="00492A68"/>
    <w:rsid w:val="00496843"/>
    <w:rsid w:val="00496BF1"/>
    <w:rsid w:val="004A079D"/>
    <w:rsid w:val="004A0F83"/>
    <w:rsid w:val="004A40A4"/>
    <w:rsid w:val="004A46EC"/>
    <w:rsid w:val="004A5BFE"/>
    <w:rsid w:val="004A5F03"/>
    <w:rsid w:val="004B05CC"/>
    <w:rsid w:val="004B06E3"/>
    <w:rsid w:val="004B18B6"/>
    <w:rsid w:val="004B2A83"/>
    <w:rsid w:val="004B4688"/>
    <w:rsid w:val="004C0D40"/>
    <w:rsid w:val="004C2EEF"/>
    <w:rsid w:val="004C33CB"/>
    <w:rsid w:val="004C453B"/>
    <w:rsid w:val="004C46A6"/>
    <w:rsid w:val="004C6858"/>
    <w:rsid w:val="004C6E52"/>
    <w:rsid w:val="004D0A15"/>
    <w:rsid w:val="004D1A59"/>
    <w:rsid w:val="004D31E9"/>
    <w:rsid w:val="004D5372"/>
    <w:rsid w:val="004E0D02"/>
    <w:rsid w:val="004E1D4D"/>
    <w:rsid w:val="004E1EDA"/>
    <w:rsid w:val="004E3F36"/>
    <w:rsid w:val="004E4BA3"/>
    <w:rsid w:val="004F2629"/>
    <w:rsid w:val="004F266A"/>
    <w:rsid w:val="004F3705"/>
    <w:rsid w:val="004F6155"/>
    <w:rsid w:val="004F7158"/>
    <w:rsid w:val="005011F4"/>
    <w:rsid w:val="00503579"/>
    <w:rsid w:val="00507F99"/>
    <w:rsid w:val="00510075"/>
    <w:rsid w:val="005115E4"/>
    <w:rsid w:val="005140C6"/>
    <w:rsid w:val="0052160F"/>
    <w:rsid w:val="005242E3"/>
    <w:rsid w:val="0052638F"/>
    <w:rsid w:val="005269F8"/>
    <w:rsid w:val="00527F7B"/>
    <w:rsid w:val="0053066B"/>
    <w:rsid w:val="00532926"/>
    <w:rsid w:val="00533791"/>
    <w:rsid w:val="0053580D"/>
    <w:rsid w:val="0053584F"/>
    <w:rsid w:val="005428B6"/>
    <w:rsid w:val="00542FF3"/>
    <w:rsid w:val="0054332F"/>
    <w:rsid w:val="00543707"/>
    <w:rsid w:val="00545950"/>
    <w:rsid w:val="00546359"/>
    <w:rsid w:val="0054698E"/>
    <w:rsid w:val="00546F67"/>
    <w:rsid w:val="00555237"/>
    <w:rsid w:val="00555895"/>
    <w:rsid w:val="005561D8"/>
    <w:rsid w:val="00561AFB"/>
    <w:rsid w:val="00561D42"/>
    <w:rsid w:val="00563ED1"/>
    <w:rsid w:val="005702EE"/>
    <w:rsid w:val="00572727"/>
    <w:rsid w:val="00576AC2"/>
    <w:rsid w:val="00580AC4"/>
    <w:rsid w:val="00583533"/>
    <w:rsid w:val="00586453"/>
    <w:rsid w:val="00590ED0"/>
    <w:rsid w:val="00591921"/>
    <w:rsid w:val="00595041"/>
    <w:rsid w:val="00596CB0"/>
    <w:rsid w:val="00597CD4"/>
    <w:rsid w:val="005A1284"/>
    <w:rsid w:val="005A4D61"/>
    <w:rsid w:val="005B2720"/>
    <w:rsid w:val="005B38F7"/>
    <w:rsid w:val="005B3E6E"/>
    <w:rsid w:val="005B5417"/>
    <w:rsid w:val="005B6063"/>
    <w:rsid w:val="005B62D0"/>
    <w:rsid w:val="005B6644"/>
    <w:rsid w:val="005B77D4"/>
    <w:rsid w:val="005C1329"/>
    <w:rsid w:val="005C16B8"/>
    <w:rsid w:val="005C22C5"/>
    <w:rsid w:val="005C6A43"/>
    <w:rsid w:val="005D189E"/>
    <w:rsid w:val="005D1B4D"/>
    <w:rsid w:val="005D3DE8"/>
    <w:rsid w:val="005D3E97"/>
    <w:rsid w:val="005D4E37"/>
    <w:rsid w:val="005D55BE"/>
    <w:rsid w:val="005E429D"/>
    <w:rsid w:val="005E4E55"/>
    <w:rsid w:val="005E67E8"/>
    <w:rsid w:val="005F0163"/>
    <w:rsid w:val="005F7403"/>
    <w:rsid w:val="005F7A68"/>
    <w:rsid w:val="005F7B86"/>
    <w:rsid w:val="005F7BFF"/>
    <w:rsid w:val="00600207"/>
    <w:rsid w:val="00600E47"/>
    <w:rsid w:val="006017D0"/>
    <w:rsid w:val="0060273A"/>
    <w:rsid w:val="00606CE1"/>
    <w:rsid w:val="0061790C"/>
    <w:rsid w:val="006218E7"/>
    <w:rsid w:val="00622D70"/>
    <w:rsid w:val="006240F8"/>
    <w:rsid w:val="0062478E"/>
    <w:rsid w:val="006277D3"/>
    <w:rsid w:val="00630E9A"/>
    <w:rsid w:val="0063393A"/>
    <w:rsid w:val="0063456C"/>
    <w:rsid w:val="006359C1"/>
    <w:rsid w:val="006365AD"/>
    <w:rsid w:val="006420E2"/>
    <w:rsid w:val="006421E1"/>
    <w:rsid w:val="00651310"/>
    <w:rsid w:val="00652250"/>
    <w:rsid w:val="0065341E"/>
    <w:rsid w:val="00657177"/>
    <w:rsid w:val="0066055D"/>
    <w:rsid w:val="00662115"/>
    <w:rsid w:val="00666B7F"/>
    <w:rsid w:val="006707E9"/>
    <w:rsid w:val="00670F57"/>
    <w:rsid w:val="0067128C"/>
    <w:rsid w:val="00672E45"/>
    <w:rsid w:val="00674D57"/>
    <w:rsid w:val="0067682B"/>
    <w:rsid w:val="0068139B"/>
    <w:rsid w:val="00682118"/>
    <w:rsid w:val="0068214B"/>
    <w:rsid w:val="00682469"/>
    <w:rsid w:val="00685966"/>
    <w:rsid w:val="006906D2"/>
    <w:rsid w:val="006910DF"/>
    <w:rsid w:val="0069160F"/>
    <w:rsid w:val="006941EF"/>
    <w:rsid w:val="00694D4E"/>
    <w:rsid w:val="00695237"/>
    <w:rsid w:val="00695DEA"/>
    <w:rsid w:val="006971EE"/>
    <w:rsid w:val="006A0887"/>
    <w:rsid w:val="006A09BB"/>
    <w:rsid w:val="006A2FBE"/>
    <w:rsid w:val="006A7593"/>
    <w:rsid w:val="006B362A"/>
    <w:rsid w:val="006B4CB2"/>
    <w:rsid w:val="006B58FE"/>
    <w:rsid w:val="006B7BD9"/>
    <w:rsid w:val="006C5CEF"/>
    <w:rsid w:val="006C665D"/>
    <w:rsid w:val="006C66BB"/>
    <w:rsid w:val="006C70E5"/>
    <w:rsid w:val="006C7C6A"/>
    <w:rsid w:val="006C7DF0"/>
    <w:rsid w:val="006D2229"/>
    <w:rsid w:val="006D306B"/>
    <w:rsid w:val="006D38AE"/>
    <w:rsid w:val="006D4387"/>
    <w:rsid w:val="006D7917"/>
    <w:rsid w:val="006E1670"/>
    <w:rsid w:val="006E4FAB"/>
    <w:rsid w:val="006E65BD"/>
    <w:rsid w:val="006E732F"/>
    <w:rsid w:val="006E7783"/>
    <w:rsid w:val="006F02C4"/>
    <w:rsid w:val="006F1467"/>
    <w:rsid w:val="006F3E78"/>
    <w:rsid w:val="00700EDD"/>
    <w:rsid w:val="007021E8"/>
    <w:rsid w:val="0070450E"/>
    <w:rsid w:val="007070D1"/>
    <w:rsid w:val="00710770"/>
    <w:rsid w:val="0071103C"/>
    <w:rsid w:val="0071474C"/>
    <w:rsid w:val="007160F6"/>
    <w:rsid w:val="00716337"/>
    <w:rsid w:val="007168E8"/>
    <w:rsid w:val="00716CCC"/>
    <w:rsid w:val="00722843"/>
    <w:rsid w:val="007244A9"/>
    <w:rsid w:val="007248A2"/>
    <w:rsid w:val="00730FC1"/>
    <w:rsid w:val="00733CB4"/>
    <w:rsid w:val="007342D6"/>
    <w:rsid w:val="007425A0"/>
    <w:rsid w:val="00742E90"/>
    <w:rsid w:val="0074383D"/>
    <w:rsid w:val="007443FE"/>
    <w:rsid w:val="007449F1"/>
    <w:rsid w:val="00744AB2"/>
    <w:rsid w:val="00751F5D"/>
    <w:rsid w:val="00752B0F"/>
    <w:rsid w:val="00753016"/>
    <w:rsid w:val="007547C6"/>
    <w:rsid w:val="00755F4D"/>
    <w:rsid w:val="007577A8"/>
    <w:rsid w:val="00763F83"/>
    <w:rsid w:val="007651D4"/>
    <w:rsid w:val="00766C00"/>
    <w:rsid w:val="00766E75"/>
    <w:rsid w:val="00781F69"/>
    <w:rsid w:val="0078257F"/>
    <w:rsid w:val="00782BEC"/>
    <w:rsid w:val="00785159"/>
    <w:rsid w:val="00786589"/>
    <w:rsid w:val="007907D8"/>
    <w:rsid w:val="00791773"/>
    <w:rsid w:val="00794EE7"/>
    <w:rsid w:val="007A228F"/>
    <w:rsid w:val="007A2479"/>
    <w:rsid w:val="007A6056"/>
    <w:rsid w:val="007A7863"/>
    <w:rsid w:val="007B31F6"/>
    <w:rsid w:val="007C26AF"/>
    <w:rsid w:val="007C2757"/>
    <w:rsid w:val="007C276F"/>
    <w:rsid w:val="007D0CEB"/>
    <w:rsid w:val="007D573F"/>
    <w:rsid w:val="007D69A5"/>
    <w:rsid w:val="007D6B56"/>
    <w:rsid w:val="007E22F9"/>
    <w:rsid w:val="007E285A"/>
    <w:rsid w:val="007E6E76"/>
    <w:rsid w:val="007F501B"/>
    <w:rsid w:val="007F676D"/>
    <w:rsid w:val="007F7FEB"/>
    <w:rsid w:val="00801428"/>
    <w:rsid w:val="00801DD5"/>
    <w:rsid w:val="008024D9"/>
    <w:rsid w:val="00806A26"/>
    <w:rsid w:val="008164CF"/>
    <w:rsid w:val="008177A9"/>
    <w:rsid w:val="00822171"/>
    <w:rsid w:val="008231F5"/>
    <w:rsid w:val="00823E23"/>
    <w:rsid w:val="00825986"/>
    <w:rsid w:val="00825B26"/>
    <w:rsid w:val="00832099"/>
    <w:rsid w:val="00832410"/>
    <w:rsid w:val="0083343E"/>
    <w:rsid w:val="00833491"/>
    <w:rsid w:val="00835653"/>
    <w:rsid w:val="008369FB"/>
    <w:rsid w:val="008418C9"/>
    <w:rsid w:val="00841BFC"/>
    <w:rsid w:val="00841F5B"/>
    <w:rsid w:val="008454FB"/>
    <w:rsid w:val="00845EB2"/>
    <w:rsid w:val="008534AC"/>
    <w:rsid w:val="00855DD1"/>
    <w:rsid w:val="00856624"/>
    <w:rsid w:val="00856A8D"/>
    <w:rsid w:val="00856F48"/>
    <w:rsid w:val="0086291C"/>
    <w:rsid w:val="00865A01"/>
    <w:rsid w:val="00865FC0"/>
    <w:rsid w:val="00867207"/>
    <w:rsid w:val="008743CF"/>
    <w:rsid w:val="008761AE"/>
    <w:rsid w:val="00881DAC"/>
    <w:rsid w:val="0089185D"/>
    <w:rsid w:val="00891F7F"/>
    <w:rsid w:val="00892CB8"/>
    <w:rsid w:val="00893B5A"/>
    <w:rsid w:val="00895890"/>
    <w:rsid w:val="00896B92"/>
    <w:rsid w:val="008971AE"/>
    <w:rsid w:val="0089724F"/>
    <w:rsid w:val="008A29C3"/>
    <w:rsid w:val="008A553C"/>
    <w:rsid w:val="008A5BD8"/>
    <w:rsid w:val="008A6498"/>
    <w:rsid w:val="008B00CA"/>
    <w:rsid w:val="008B0B30"/>
    <w:rsid w:val="008B0DD2"/>
    <w:rsid w:val="008B18BE"/>
    <w:rsid w:val="008B2CA4"/>
    <w:rsid w:val="008B2CBC"/>
    <w:rsid w:val="008B4572"/>
    <w:rsid w:val="008B664C"/>
    <w:rsid w:val="008B7374"/>
    <w:rsid w:val="008C1C43"/>
    <w:rsid w:val="008C2B74"/>
    <w:rsid w:val="008C46D6"/>
    <w:rsid w:val="008C7866"/>
    <w:rsid w:val="008C7F24"/>
    <w:rsid w:val="008D16B3"/>
    <w:rsid w:val="008D1BCC"/>
    <w:rsid w:val="008D2A64"/>
    <w:rsid w:val="008D5C1A"/>
    <w:rsid w:val="008D5E5D"/>
    <w:rsid w:val="008E09E8"/>
    <w:rsid w:val="008E0A4C"/>
    <w:rsid w:val="008E23D3"/>
    <w:rsid w:val="008E282C"/>
    <w:rsid w:val="008E2B7D"/>
    <w:rsid w:val="008E5228"/>
    <w:rsid w:val="008E6716"/>
    <w:rsid w:val="008F089D"/>
    <w:rsid w:val="008F134D"/>
    <w:rsid w:val="008F68B7"/>
    <w:rsid w:val="008F6B7E"/>
    <w:rsid w:val="008F6C1A"/>
    <w:rsid w:val="009033A7"/>
    <w:rsid w:val="00903A18"/>
    <w:rsid w:val="00904431"/>
    <w:rsid w:val="009061DB"/>
    <w:rsid w:val="009066CF"/>
    <w:rsid w:val="009072FD"/>
    <w:rsid w:val="009104EC"/>
    <w:rsid w:val="00911271"/>
    <w:rsid w:val="00916A02"/>
    <w:rsid w:val="00920819"/>
    <w:rsid w:val="00924B13"/>
    <w:rsid w:val="00926245"/>
    <w:rsid w:val="00932D99"/>
    <w:rsid w:val="00936B93"/>
    <w:rsid w:val="00940541"/>
    <w:rsid w:val="0094128E"/>
    <w:rsid w:val="00941A2F"/>
    <w:rsid w:val="0094248C"/>
    <w:rsid w:val="00944214"/>
    <w:rsid w:val="00944BFE"/>
    <w:rsid w:val="00946373"/>
    <w:rsid w:val="009469B5"/>
    <w:rsid w:val="00950C39"/>
    <w:rsid w:val="00957086"/>
    <w:rsid w:val="009609AE"/>
    <w:rsid w:val="009630CB"/>
    <w:rsid w:val="00964F68"/>
    <w:rsid w:val="0097053E"/>
    <w:rsid w:val="00971E2E"/>
    <w:rsid w:val="00971FBC"/>
    <w:rsid w:val="00971FDE"/>
    <w:rsid w:val="009749A3"/>
    <w:rsid w:val="009753FC"/>
    <w:rsid w:val="0098052C"/>
    <w:rsid w:val="009805AC"/>
    <w:rsid w:val="009807C7"/>
    <w:rsid w:val="009826BC"/>
    <w:rsid w:val="0098295A"/>
    <w:rsid w:val="0098703A"/>
    <w:rsid w:val="0099348A"/>
    <w:rsid w:val="00993AE6"/>
    <w:rsid w:val="00994AF5"/>
    <w:rsid w:val="009A3429"/>
    <w:rsid w:val="009A3E5D"/>
    <w:rsid w:val="009A45D2"/>
    <w:rsid w:val="009B0571"/>
    <w:rsid w:val="009B062D"/>
    <w:rsid w:val="009B55E7"/>
    <w:rsid w:val="009C1CD3"/>
    <w:rsid w:val="009C3347"/>
    <w:rsid w:val="009C5FB5"/>
    <w:rsid w:val="009C7917"/>
    <w:rsid w:val="009D0E84"/>
    <w:rsid w:val="009D236E"/>
    <w:rsid w:val="009D39FF"/>
    <w:rsid w:val="009D4FAD"/>
    <w:rsid w:val="009D59B4"/>
    <w:rsid w:val="009E13E7"/>
    <w:rsid w:val="009E2A99"/>
    <w:rsid w:val="009E3FAE"/>
    <w:rsid w:val="009E49B6"/>
    <w:rsid w:val="009E5B68"/>
    <w:rsid w:val="009F21F8"/>
    <w:rsid w:val="009F268F"/>
    <w:rsid w:val="009F33CC"/>
    <w:rsid w:val="009F59D9"/>
    <w:rsid w:val="009F67EA"/>
    <w:rsid w:val="00A02C95"/>
    <w:rsid w:val="00A03333"/>
    <w:rsid w:val="00A03A20"/>
    <w:rsid w:val="00A06135"/>
    <w:rsid w:val="00A062F0"/>
    <w:rsid w:val="00A11198"/>
    <w:rsid w:val="00A1138E"/>
    <w:rsid w:val="00A12696"/>
    <w:rsid w:val="00A12A63"/>
    <w:rsid w:val="00A12F21"/>
    <w:rsid w:val="00A14CCC"/>
    <w:rsid w:val="00A14EB8"/>
    <w:rsid w:val="00A16B46"/>
    <w:rsid w:val="00A17D61"/>
    <w:rsid w:val="00A22AC7"/>
    <w:rsid w:val="00A2326D"/>
    <w:rsid w:val="00A23AAC"/>
    <w:rsid w:val="00A23D6F"/>
    <w:rsid w:val="00A24389"/>
    <w:rsid w:val="00A259F5"/>
    <w:rsid w:val="00A25E85"/>
    <w:rsid w:val="00A25F4D"/>
    <w:rsid w:val="00A26BBD"/>
    <w:rsid w:val="00A30F6E"/>
    <w:rsid w:val="00A3587B"/>
    <w:rsid w:val="00A36DB7"/>
    <w:rsid w:val="00A3701D"/>
    <w:rsid w:val="00A4412B"/>
    <w:rsid w:val="00A453B7"/>
    <w:rsid w:val="00A47D4A"/>
    <w:rsid w:val="00A500C3"/>
    <w:rsid w:val="00A50361"/>
    <w:rsid w:val="00A53A69"/>
    <w:rsid w:val="00A54375"/>
    <w:rsid w:val="00A558BB"/>
    <w:rsid w:val="00A57CA9"/>
    <w:rsid w:val="00A602EA"/>
    <w:rsid w:val="00A60DAE"/>
    <w:rsid w:val="00A66114"/>
    <w:rsid w:val="00A6646F"/>
    <w:rsid w:val="00A67D22"/>
    <w:rsid w:val="00A72BAD"/>
    <w:rsid w:val="00A7304C"/>
    <w:rsid w:val="00A73298"/>
    <w:rsid w:val="00A76A40"/>
    <w:rsid w:val="00A7748E"/>
    <w:rsid w:val="00A813A6"/>
    <w:rsid w:val="00A81DFB"/>
    <w:rsid w:val="00A8774C"/>
    <w:rsid w:val="00A87D08"/>
    <w:rsid w:val="00A94322"/>
    <w:rsid w:val="00A94B08"/>
    <w:rsid w:val="00AA00B0"/>
    <w:rsid w:val="00AA311E"/>
    <w:rsid w:val="00AA33DB"/>
    <w:rsid w:val="00AA5631"/>
    <w:rsid w:val="00AA578F"/>
    <w:rsid w:val="00AA5A9F"/>
    <w:rsid w:val="00AA6C44"/>
    <w:rsid w:val="00AA6FBE"/>
    <w:rsid w:val="00AA70DB"/>
    <w:rsid w:val="00AB4F02"/>
    <w:rsid w:val="00AB64D1"/>
    <w:rsid w:val="00AB6F14"/>
    <w:rsid w:val="00AB7804"/>
    <w:rsid w:val="00AC4682"/>
    <w:rsid w:val="00AC6BB8"/>
    <w:rsid w:val="00AC7CDA"/>
    <w:rsid w:val="00AD0B8F"/>
    <w:rsid w:val="00AD1429"/>
    <w:rsid w:val="00AD357F"/>
    <w:rsid w:val="00AD736C"/>
    <w:rsid w:val="00AE3A78"/>
    <w:rsid w:val="00AF399F"/>
    <w:rsid w:val="00AF4813"/>
    <w:rsid w:val="00AF4A52"/>
    <w:rsid w:val="00B00602"/>
    <w:rsid w:val="00B06AD9"/>
    <w:rsid w:val="00B06DEF"/>
    <w:rsid w:val="00B13B16"/>
    <w:rsid w:val="00B143B0"/>
    <w:rsid w:val="00B1762D"/>
    <w:rsid w:val="00B20B02"/>
    <w:rsid w:val="00B2131D"/>
    <w:rsid w:val="00B21A67"/>
    <w:rsid w:val="00B22D38"/>
    <w:rsid w:val="00B2373D"/>
    <w:rsid w:val="00B23964"/>
    <w:rsid w:val="00B23C20"/>
    <w:rsid w:val="00B24951"/>
    <w:rsid w:val="00B2536A"/>
    <w:rsid w:val="00B25F3A"/>
    <w:rsid w:val="00B30AC5"/>
    <w:rsid w:val="00B31347"/>
    <w:rsid w:val="00B331DB"/>
    <w:rsid w:val="00B42DAD"/>
    <w:rsid w:val="00B4558E"/>
    <w:rsid w:val="00B522BD"/>
    <w:rsid w:val="00B527F1"/>
    <w:rsid w:val="00B52C7B"/>
    <w:rsid w:val="00B535B2"/>
    <w:rsid w:val="00B55E20"/>
    <w:rsid w:val="00B5654A"/>
    <w:rsid w:val="00B579FA"/>
    <w:rsid w:val="00B61A2F"/>
    <w:rsid w:val="00B61D72"/>
    <w:rsid w:val="00B62A86"/>
    <w:rsid w:val="00B63707"/>
    <w:rsid w:val="00B651C0"/>
    <w:rsid w:val="00B658A2"/>
    <w:rsid w:val="00B66463"/>
    <w:rsid w:val="00B669F7"/>
    <w:rsid w:val="00B71A08"/>
    <w:rsid w:val="00B71E0D"/>
    <w:rsid w:val="00B73059"/>
    <w:rsid w:val="00B8011B"/>
    <w:rsid w:val="00B80F3F"/>
    <w:rsid w:val="00B83B5A"/>
    <w:rsid w:val="00B90895"/>
    <w:rsid w:val="00B90F77"/>
    <w:rsid w:val="00B931A3"/>
    <w:rsid w:val="00B93B57"/>
    <w:rsid w:val="00B95105"/>
    <w:rsid w:val="00B9557E"/>
    <w:rsid w:val="00BA2714"/>
    <w:rsid w:val="00BA7E52"/>
    <w:rsid w:val="00BB02E1"/>
    <w:rsid w:val="00BB328F"/>
    <w:rsid w:val="00BB5F1B"/>
    <w:rsid w:val="00BB6764"/>
    <w:rsid w:val="00BB7430"/>
    <w:rsid w:val="00BC07AA"/>
    <w:rsid w:val="00BC0C0B"/>
    <w:rsid w:val="00BC17E5"/>
    <w:rsid w:val="00BD0E06"/>
    <w:rsid w:val="00BD2C2F"/>
    <w:rsid w:val="00BD47C4"/>
    <w:rsid w:val="00BD4F4D"/>
    <w:rsid w:val="00BE442E"/>
    <w:rsid w:val="00BE6BA6"/>
    <w:rsid w:val="00BE7995"/>
    <w:rsid w:val="00BF3141"/>
    <w:rsid w:val="00BF4263"/>
    <w:rsid w:val="00BF4B76"/>
    <w:rsid w:val="00BF621F"/>
    <w:rsid w:val="00C10C8A"/>
    <w:rsid w:val="00C1106F"/>
    <w:rsid w:val="00C12BD4"/>
    <w:rsid w:val="00C14C32"/>
    <w:rsid w:val="00C1506F"/>
    <w:rsid w:val="00C16F64"/>
    <w:rsid w:val="00C22FF8"/>
    <w:rsid w:val="00C238DB"/>
    <w:rsid w:val="00C3218E"/>
    <w:rsid w:val="00C323DC"/>
    <w:rsid w:val="00C33CC9"/>
    <w:rsid w:val="00C34536"/>
    <w:rsid w:val="00C405B6"/>
    <w:rsid w:val="00C44462"/>
    <w:rsid w:val="00C50552"/>
    <w:rsid w:val="00C50C63"/>
    <w:rsid w:val="00C560AD"/>
    <w:rsid w:val="00C56CE7"/>
    <w:rsid w:val="00C57FC5"/>
    <w:rsid w:val="00C61EAD"/>
    <w:rsid w:val="00C63503"/>
    <w:rsid w:val="00C644D1"/>
    <w:rsid w:val="00C648FF"/>
    <w:rsid w:val="00C6587A"/>
    <w:rsid w:val="00C71167"/>
    <w:rsid w:val="00C71816"/>
    <w:rsid w:val="00C71900"/>
    <w:rsid w:val="00C74536"/>
    <w:rsid w:val="00C76D37"/>
    <w:rsid w:val="00C76D8F"/>
    <w:rsid w:val="00C77F65"/>
    <w:rsid w:val="00C8633F"/>
    <w:rsid w:val="00C87023"/>
    <w:rsid w:val="00C87D61"/>
    <w:rsid w:val="00C91383"/>
    <w:rsid w:val="00C92DAD"/>
    <w:rsid w:val="00C96B33"/>
    <w:rsid w:val="00CA370C"/>
    <w:rsid w:val="00CA56B4"/>
    <w:rsid w:val="00CA6953"/>
    <w:rsid w:val="00CA7D6D"/>
    <w:rsid w:val="00CB099A"/>
    <w:rsid w:val="00CB1622"/>
    <w:rsid w:val="00CB19DD"/>
    <w:rsid w:val="00CB49E0"/>
    <w:rsid w:val="00CB4A3B"/>
    <w:rsid w:val="00CC6770"/>
    <w:rsid w:val="00CC6A52"/>
    <w:rsid w:val="00CC7354"/>
    <w:rsid w:val="00CC79B6"/>
    <w:rsid w:val="00CD23B0"/>
    <w:rsid w:val="00CD3CEA"/>
    <w:rsid w:val="00CD5AA2"/>
    <w:rsid w:val="00CD7BEF"/>
    <w:rsid w:val="00CE1C78"/>
    <w:rsid w:val="00CE23BB"/>
    <w:rsid w:val="00CE6E98"/>
    <w:rsid w:val="00CF0B87"/>
    <w:rsid w:val="00CF35EC"/>
    <w:rsid w:val="00D02E52"/>
    <w:rsid w:val="00D03249"/>
    <w:rsid w:val="00D061AD"/>
    <w:rsid w:val="00D10C90"/>
    <w:rsid w:val="00D14991"/>
    <w:rsid w:val="00D16C0D"/>
    <w:rsid w:val="00D17968"/>
    <w:rsid w:val="00D21427"/>
    <w:rsid w:val="00D225CA"/>
    <w:rsid w:val="00D22B25"/>
    <w:rsid w:val="00D23E84"/>
    <w:rsid w:val="00D24464"/>
    <w:rsid w:val="00D265B6"/>
    <w:rsid w:val="00D276C8"/>
    <w:rsid w:val="00D27E1E"/>
    <w:rsid w:val="00D3280C"/>
    <w:rsid w:val="00D3384B"/>
    <w:rsid w:val="00D35905"/>
    <w:rsid w:val="00D35C63"/>
    <w:rsid w:val="00D371FD"/>
    <w:rsid w:val="00D37F46"/>
    <w:rsid w:val="00D40CA9"/>
    <w:rsid w:val="00D41AEE"/>
    <w:rsid w:val="00D41C10"/>
    <w:rsid w:val="00D41C88"/>
    <w:rsid w:val="00D4592C"/>
    <w:rsid w:val="00D470F5"/>
    <w:rsid w:val="00D47566"/>
    <w:rsid w:val="00D51313"/>
    <w:rsid w:val="00D521A8"/>
    <w:rsid w:val="00D52246"/>
    <w:rsid w:val="00D54251"/>
    <w:rsid w:val="00D550E5"/>
    <w:rsid w:val="00D643F3"/>
    <w:rsid w:val="00D65D1F"/>
    <w:rsid w:val="00D67800"/>
    <w:rsid w:val="00D67EE3"/>
    <w:rsid w:val="00D72FC1"/>
    <w:rsid w:val="00D73F8C"/>
    <w:rsid w:val="00D742F0"/>
    <w:rsid w:val="00D7488F"/>
    <w:rsid w:val="00D74D9E"/>
    <w:rsid w:val="00D75EAC"/>
    <w:rsid w:val="00D81A2A"/>
    <w:rsid w:val="00D859A1"/>
    <w:rsid w:val="00D930D3"/>
    <w:rsid w:val="00D962C1"/>
    <w:rsid w:val="00D97029"/>
    <w:rsid w:val="00DA444E"/>
    <w:rsid w:val="00DA773F"/>
    <w:rsid w:val="00DB08CD"/>
    <w:rsid w:val="00DB37DB"/>
    <w:rsid w:val="00DB522E"/>
    <w:rsid w:val="00DB6230"/>
    <w:rsid w:val="00DB780E"/>
    <w:rsid w:val="00DC01DE"/>
    <w:rsid w:val="00DD06A0"/>
    <w:rsid w:val="00DD0F98"/>
    <w:rsid w:val="00DD329C"/>
    <w:rsid w:val="00DD3651"/>
    <w:rsid w:val="00DD74C8"/>
    <w:rsid w:val="00DE03F0"/>
    <w:rsid w:val="00DE27D9"/>
    <w:rsid w:val="00DE2910"/>
    <w:rsid w:val="00DE2E24"/>
    <w:rsid w:val="00DE436E"/>
    <w:rsid w:val="00DE5A8F"/>
    <w:rsid w:val="00DF0559"/>
    <w:rsid w:val="00DF1295"/>
    <w:rsid w:val="00DF19A4"/>
    <w:rsid w:val="00DF202A"/>
    <w:rsid w:val="00DF2238"/>
    <w:rsid w:val="00DF413B"/>
    <w:rsid w:val="00E005AB"/>
    <w:rsid w:val="00E013EC"/>
    <w:rsid w:val="00E03644"/>
    <w:rsid w:val="00E05375"/>
    <w:rsid w:val="00E057D3"/>
    <w:rsid w:val="00E07066"/>
    <w:rsid w:val="00E07FEA"/>
    <w:rsid w:val="00E110A1"/>
    <w:rsid w:val="00E14150"/>
    <w:rsid w:val="00E165B0"/>
    <w:rsid w:val="00E176D8"/>
    <w:rsid w:val="00E22864"/>
    <w:rsid w:val="00E23212"/>
    <w:rsid w:val="00E32B82"/>
    <w:rsid w:val="00E32F5C"/>
    <w:rsid w:val="00E4221A"/>
    <w:rsid w:val="00E422CE"/>
    <w:rsid w:val="00E42BE8"/>
    <w:rsid w:val="00E4606A"/>
    <w:rsid w:val="00E53EC3"/>
    <w:rsid w:val="00E558E8"/>
    <w:rsid w:val="00E61448"/>
    <w:rsid w:val="00E61876"/>
    <w:rsid w:val="00E61A88"/>
    <w:rsid w:val="00E61D89"/>
    <w:rsid w:val="00E6389B"/>
    <w:rsid w:val="00E65357"/>
    <w:rsid w:val="00E66C22"/>
    <w:rsid w:val="00E671C2"/>
    <w:rsid w:val="00E74652"/>
    <w:rsid w:val="00E757B0"/>
    <w:rsid w:val="00E76D0E"/>
    <w:rsid w:val="00E77C38"/>
    <w:rsid w:val="00E83C93"/>
    <w:rsid w:val="00E86456"/>
    <w:rsid w:val="00E87F02"/>
    <w:rsid w:val="00E906F9"/>
    <w:rsid w:val="00E963F9"/>
    <w:rsid w:val="00EA1E30"/>
    <w:rsid w:val="00EA2F26"/>
    <w:rsid w:val="00EA444F"/>
    <w:rsid w:val="00EA5DDA"/>
    <w:rsid w:val="00EB4694"/>
    <w:rsid w:val="00EB6044"/>
    <w:rsid w:val="00EB65E1"/>
    <w:rsid w:val="00EB6B47"/>
    <w:rsid w:val="00EC3656"/>
    <w:rsid w:val="00EC795B"/>
    <w:rsid w:val="00ED09BC"/>
    <w:rsid w:val="00ED0E76"/>
    <w:rsid w:val="00ED22C0"/>
    <w:rsid w:val="00ED656C"/>
    <w:rsid w:val="00ED66F7"/>
    <w:rsid w:val="00EE0056"/>
    <w:rsid w:val="00EE2D06"/>
    <w:rsid w:val="00EE3E5F"/>
    <w:rsid w:val="00EE5D19"/>
    <w:rsid w:val="00EE6D22"/>
    <w:rsid w:val="00EE7BBC"/>
    <w:rsid w:val="00EF40F5"/>
    <w:rsid w:val="00EF468C"/>
    <w:rsid w:val="00EF4A1F"/>
    <w:rsid w:val="00EF613C"/>
    <w:rsid w:val="00EF64D9"/>
    <w:rsid w:val="00EF73D3"/>
    <w:rsid w:val="00F034BC"/>
    <w:rsid w:val="00F052D6"/>
    <w:rsid w:val="00F06EB4"/>
    <w:rsid w:val="00F07BFB"/>
    <w:rsid w:val="00F12BB7"/>
    <w:rsid w:val="00F12D54"/>
    <w:rsid w:val="00F13288"/>
    <w:rsid w:val="00F13944"/>
    <w:rsid w:val="00F145AA"/>
    <w:rsid w:val="00F217E9"/>
    <w:rsid w:val="00F222ED"/>
    <w:rsid w:val="00F24DF3"/>
    <w:rsid w:val="00F304FF"/>
    <w:rsid w:val="00F32BBF"/>
    <w:rsid w:val="00F33C07"/>
    <w:rsid w:val="00F354E0"/>
    <w:rsid w:val="00F45211"/>
    <w:rsid w:val="00F46F7A"/>
    <w:rsid w:val="00F5098E"/>
    <w:rsid w:val="00F50BFA"/>
    <w:rsid w:val="00F51A6E"/>
    <w:rsid w:val="00F53327"/>
    <w:rsid w:val="00F53B32"/>
    <w:rsid w:val="00F55DE6"/>
    <w:rsid w:val="00F6221A"/>
    <w:rsid w:val="00F63F35"/>
    <w:rsid w:val="00F648B8"/>
    <w:rsid w:val="00F65FD0"/>
    <w:rsid w:val="00F66E2E"/>
    <w:rsid w:val="00F737E5"/>
    <w:rsid w:val="00F74B42"/>
    <w:rsid w:val="00F7591E"/>
    <w:rsid w:val="00F80CDD"/>
    <w:rsid w:val="00F84236"/>
    <w:rsid w:val="00F853B8"/>
    <w:rsid w:val="00F913DE"/>
    <w:rsid w:val="00F931FB"/>
    <w:rsid w:val="00FA0A27"/>
    <w:rsid w:val="00FA14D3"/>
    <w:rsid w:val="00FA2C54"/>
    <w:rsid w:val="00FA3AED"/>
    <w:rsid w:val="00FA495A"/>
    <w:rsid w:val="00FA7CE5"/>
    <w:rsid w:val="00FB058E"/>
    <w:rsid w:val="00FB0D25"/>
    <w:rsid w:val="00FB0DFF"/>
    <w:rsid w:val="00FB1D0D"/>
    <w:rsid w:val="00FB2540"/>
    <w:rsid w:val="00FB6A5D"/>
    <w:rsid w:val="00FB6E1B"/>
    <w:rsid w:val="00FB70F9"/>
    <w:rsid w:val="00FC1A39"/>
    <w:rsid w:val="00FC4060"/>
    <w:rsid w:val="00FC7259"/>
    <w:rsid w:val="00FC7AB1"/>
    <w:rsid w:val="00FC7EA9"/>
    <w:rsid w:val="00FD0387"/>
    <w:rsid w:val="00FD611B"/>
    <w:rsid w:val="00FD653F"/>
    <w:rsid w:val="00FD69CC"/>
    <w:rsid w:val="00FE33B2"/>
    <w:rsid w:val="00FE4CD0"/>
    <w:rsid w:val="00FF1CE6"/>
    <w:rsid w:val="00FF38F9"/>
    <w:rsid w:val="00FF3E8D"/>
    <w:rsid w:val="00FF442F"/>
    <w:rsid w:val="00FF649C"/>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0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semiHidden/>
    <w:rsid w:val="00CA7D6D"/>
    <w:rPr>
      <w:rFonts w:ascii="Times New Roman" w:eastAsia="Times New Roman" w:hAnsi="Times New Roman"/>
    </w:rPr>
  </w:style>
  <w:style w:type="paragraph" w:styleId="Tekstopmerking">
    <w:name w:val="annotation text"/>
    <w:basedOn w:val="Standaard"/>
    <w:link w:val="TekstopmerkingChar"/>
    <w:uiPriority w:val="99"/>
    <w:semiHidden/>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552691811">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290822807">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 w:id="195370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2479</ap:Words>
  <ap:Characters>13637</ap:Characters>
  <ap:DocSecurity>0</ap:DocSecurity>
  <ap:Lines>113</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2024-11-19T10:03:00.0000000Z</dcterms:created>
  <dcterms:modified xsi:type="dcterms:W3CDTF">2024-11-19T10:03:00.0000000Z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2024-06-27T15:26:16Z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a97a17e1-1602-4526-8083-488e4790d109</vt:lpwstr>
  </property>
  <property fmtid="{D5CDD505-2E9C-101B-9397-08002B2CF9AE}" pid="8" name="MSIP_Label_6800fede-0e59-47ad-af95-4e63bbdb932d_ContentBits">
    <vt:lpwstr>0</vt:lpwstr>
  </property>
</Properties>
</file>