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6210632C" w14:textId="77777777">
        <w:trPr>
          <w:cantSplit/>
        </w:trPr>
        <w:tc>
          <w:tcPr>
            <w:tcW w:w="9212" w:type="dxa"/>
            <w:gridSpan w:val="2"/>
          </w:tcPr>
          <w:p w:rsidR="003B4752" w:rsidRDefault="003B4752" w14:paraId="272F710A" w14:textId="77777777">
            <w:pPr>
              <w:tabs>
                <w:tab w:val="left" w:pos="-1440"/>
                <w:tab w:val="left" w:pos="-720"/>
              </w:tabs>
              <w:suppressAutoHyphens/>
            </w:pPr>
          </w:p>
        </w:tc>
      </w:tr>
      <w:tr w:rsidR="003B4752" w14:paraId="4D8923B0" w14:textId="77777777">
        <w:trPr>
          <w:cantSplit/>
        </w:trPr>
        <w:tc>
          <w:tcPr>
            <w:tcW w:w="9212" w:type="dxa"/>
            <w:gridSpan w:val="2"/>
          </w:tcPr>
          <w:p w:rsidR="003B4752" w:rsidRDefault="003B4752" w14:paraId="29B98752" w14:textId="77777777">
            <w:pPr>
              <w:tabs>
                <w:tab w:val="left" w:pos="-1440"/>
                <w:tab w:val="left" w:pos="-720"/>
              </w:tabs>
              <w:suppressAutoHyphens/>
              <w:rPr>
                <w:b/>
              </w:rPr>
            </w:pPr>
          </w:p>
        </w:tc>
      </w:tr>
      <w:tr w:rsidR="009833D1" w14:paraId="1F762F25" w14:textId="77777777">
        <w:tc>
          <w:tcPr>
            <w:tcW w:w="2622" w:type="dxa"/>
          </w:tcPr>
          <w:p w:rsidR="009833D1" w:rsidRDefault="00E76C5B" w14:paraId="212AFB0B" w14:textId="680B1E8C">
            <w:pPr>
              <w:widowControl w:val="0"/>
              <w:rPr>
                <w:b/>
              </w:rPr>
            </w:pPr>
            <w:r>
              <w:rPr>
                <w:b/>
              </w:rPr>
              <w:t>36 612</w:t>
            </w:r>
          </w:p>
        </w:tc>
        <w:tc>
          <w:tcPr>
            <w:tcW w:w="6590" w:type="dxa"/>
          </w:tcPr>
          <w:p w:rsidRPr="00E76C5B" w:rsidR="009833D1" w:rsidP="00E76C5B" w:rsidRDefault="00E76C5B" w14:paraId="08EDA240" w14:textId="1CF24A47">
            <w:pPr>
              <w:rPr>
                <w:b/>
                <w:bCs/>
                <w:szCs w:val="24"/>
              </w:rPr>
            </w:pPr>
            <w:r w:rsidRPr="00E76C5B">
              <w:rPr>
                <w:b/>
                <w:bCs/>
                <w:szCs w:val="24"/>
              </w:rPr>
              <w:t>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p>
        </w:tc>
      </w:tr>
      <w:tr w:rsidR="003B4752" w14:paraId="07EACF6C" w14:textId="77777777">
        <w:tc>
          <w:tcPr>
            <w:tcW w:w="2622" w:type="dxa"/>
          </w:tcPr>
          <w:p w:rsidR="003B4752" w:rsidRDefault="003B4752" w14:paraId="13FB5345" w14:textId="77777777">
            <w:pPr>
              <w:tabs>
                <w:tab w:val="left" w:pos="284"/>
              </w:tabs>
              <w:rPr>
                <w:b/>
              </w:rPr>
            </w:pPr>
          </w:p>
        </w:tc>
        <w:tc>
          <w:tcPr>
            <w:tcW w:w="6590" w:type="dxa"/>
          </w:tcPr>
          <w:p w:rsidR="003B4752" w:rsidRDefault="003B4752" w14:paraId="2BB633B7" w14:textId="77777777">
            <w:pPr>
              <w:tabs>
                <w:tab w:val="left" w:pos="284"/>
              </w:tabs>
              <w:rPr>
                <w:b/>
              </w:rPr>
            </w:pPr>
          </w:p>
        </w:tc>
      </w:tr>
      <w:tr w:rsidR="003B4752" w14:paraId="4C797AF9" w14:textId="77777777">
        <w:tc>
          <w:tcPr>
            <w:tcW w:w="2622" w:type="dxa"/>
          </w:tcPr>
          <w:p w:rsidR="003B4752" w:rsidRDefault="003B4752" w14:paraId="562410D7" w14:textId="3F3C457B">
            <w:pPr>
              <w:tabs>
                <w:tab w:val="left" w:pos="284"/>
              </w:tabs>
              <w:rPr>
                <w:b/>
              </w:rPr>
            </w:pPr>
            <w:r>
              <w:rPr>
                <w:b/>
              </w:rPr>
              <w:t xml:space="preserve">Nr. </w:t>
            </w:r>
            <w:r w:rsidR="00E76C5B">
              <w:rPr>
                <w:b/>
              </w:rPr>
              <w:t>7</w:t>
            </w:r>
          </w:p>
        </w:tc>
        <w:tc>
          <w:tcPr>
            <w:tcW w:w="6590" w:type="dxa"/>
          </w:tcPr>
          <w:p w:rsidR="003B4752" w:rsidRDefault="003B4752" w14:paraId="40A6E132" w14:textId="77777777">
            <w:pPr>
              <w:tabs>
                <w:tab w:val="left" w:pos="284"/>
              </w:tabs>
              <w:rPr>
                <w:b/>
              </w:rPr>
            </w:pPr>
            <w:r>
              <w:rPr>
                <w:b/>
              </w:rPr>
              <w:t>NOTA VAN WIJZIGING</w:t>
            </w:r>
          </w:p>
          <w:p w:rsidR="003B4752" w:rsidP="009833D1" w:rsidRDefault="003B4752" w14:paraId="5D1A13E1" w14:textId="13815630">
            <w:pPr>
              <w:tabs>
                <w:tab w:val="left" w:pos="284"/>
              </w:tabs>
            </w:pPr>
            <w:r>
              <w:t xml:space="preserve">Ontvangen </w:t>
            </w:r>
            <w:r w:rsidRPr="00E76C5B" w:rsidR="00E76C5B">
              <w:rPr>
                <w:bCs/>
              </w:rPr>
              <w:t>22 november 2024</w:t>
            </w:r>
          </w:p>
        </w:tc>
      </w:tr>
    </w:tbl>
    <w:p w:rsidR="009833D1" w:rsidP="00FE223B" w:rsidRDefault="009833D1" w14:paraId="6B6F934C" w14:textId="77777777">
      <w:pPr>
        <w:tabs>
          <w:tab w:val="left" w:pos="284"/>
        </w:tabs>
      </w:pPr>
    </w:p>
    <w:p w:rsidRPr="00E76C5B" w:rsidR="00E76C5B" w:rsidP="00E76C5B" w:rsidRDefault="00E76C5B" w14:paraId="46EF6C36" w14:textId="77777777">
      <w:pPr>
        <w:widowControl w:val="0"/>
        <w:tabs>
          <w:tab w:val="num" w:pos="720"/>
        </w:tabs>
        <w:ind w:firstLine="284"/>
        <w:rPr>
          <w:szCs w:val="24"/>
        </w:rPr>
      </w:pPr>
      <w:r w:rsidRPr="00E76C5B">
        <w:rPr>
          <w:szCs w:val="24"/>
        </w:rPr>
        <w:t>Het voorstel van wet wordt als volgt gewijzigd:</w:t>
      </w:r>
    </w:p>
    <w:p w:rsidRPr="00E76C5B" w:rsidR="00E76C5B" w:rsidP="00E76C5B" w:rsidRDefault="00E76C5B" w14:paraId="6A173373" w14:textId="77777777">
      <w:pPr>
        <w:widowControl w:val="0"/>
        <w:ind w:firstLine="284"/>
        <w:rPr>
          <w:szCs w:val="24"/>
        </w:rPr>
      </w:pPr>
    </w:p>
    <w:p w:rsidRPr="00E76C5B" w:rsidR="00E76C5B" w:rsidP="00E76C5B" w:rsidRDefault="00E76C5B" w14:paraId="171DB44C" w14:textId="77777777">
      <w:pPr>
        <w:widowControl w:val="0"/>
        <w:tabs>
          <w:tab w:val="right" w:pos="7250"/>
        </w:tabs>
        <w:ind w:firstLine="284"/>
        <w:rPr>
          <w:szCs w:val="24"/>
        </w:rPr>
      </w:pPr>
      <w:r w:rsidRPr="00E76C5B">
        <w:rPr>
          <w:szCs w:val="24"/>
        </w:rPr>
        <w:t>Aan artikel I wordt een onderdeel toegevoegd, luidende:</w:t>
      </w:r>
      <w:r w:rsidRPr="00E76C5B">
        <w:rPr>
          <w:szCs w:val="24"/>
        </w:rPr>
        <w:tab/>
      </w:r>
    </w:p>
    <w:p w:rsidRPr="00E76C5B" w:rsidR="00E76C5B" w:rsidP="00E76C5B" w:rsidRDefault="00E76C5B" w14:paraId="699A8233" w14:textId="77777777">
      <w:pPr>
        <w:widowControl w:val="0"/>
        <w:spacing w:line="240" w:lineRule="atLeast"/>
        <w:rPr>
          <w:szCs w:val="24"/>
        </w:rPr>
      </w:pPr>
    </w:p>
    <w:p w:rsidRPr="00E76C5B" w:rsidR="00E76C5B" w:rsidP="00E76C5B" w:rsidRDefault="00E76C5B" w14:paraId="6781E060" w14:textId="77777777">
      <w:pPr>
        <w:widowControl w:val="0"/>
        <w:spacing w:line="240" w:lineRule="atLeast"/>
        <w:rPr>
          <w:szCs w:val="24"/>
        </w:rPr>
      </w:pPr>
      <w:bookmarkStart w:name="_Hlk183600515" w:id="0"/>
      <w:r w:rsidRPr="00E76C5B">
        <w:rPr>
          <w:szCs w:val="24"/>
        </w:rPr>
        <w:t>F</w:t>
      </w:r>
    </w:p>
    <w:p w:rsidRPr="00E76C5B" w:rsidR="00E76C5B" w:rsidP="00E76C5B" w:rsidRDefault="00E76C5B" w14:paraId="7C89BAC2" w14:textId="77777777">
      <w:pPr>
        <w:widowControl w:val="0"/>
        <w:spacing w:line="240" w:lineRule="atLeast"/>
        <w:rPr>
          <w:szCs w:val="24"/>
        </w:rPr>
      </w:pPr>
    </w:p>
    <w:p w:rsidRPr="00E76C5B" w:rsidR="00E76C5B" w:rsidP="001D0E7D" w:rsidRDefault="00E76C5B" w14:paraId="726891C9" w14:textId="007F3720">
      <w:pPr>
        <w:widowControl w:val="0"/>
        <w:spacing w:line="240" w:lineRule="atLeast"/>
        <w:ind w:firstLine="284"/>
        <w:rPr>
          <w:szCs w:val="24"/>
        </w:rPr>
      </w:pPr>
      <w:r w:rsidRPr="00E76C5B">
        <w:rPr>
          <w:szCs w:val="24"/>
        </w:rPr>
        <w:t xml:space="preserve">In de bijlagen behorende bij de artikelen 1:79 en 1:80 worden in de opsomming van artikelen uit het Algemeen deel de volgende artikelen in de numerieke volgorde ingevoegd:  </w:t>
      </w:r>
    </w:p>
    <w:p w:rsidRPr="00E76C5B" w:rsidR="00E76C5B" w:rsidP="001D0E7D" w:rsidRDefault="00E76C5B" w14:paraId="30ADC45B" w14:textId="77777777">
      <w:pPr>
        <w:widowControl w:val="0"/>
        <w:ind w:firstLine="284"/>
        <w:rPr>
          <w:szCs w:val="24"/>
        </w:rPr>
      </w:pPr>
      <w:r w:rsidRPr="00E76C5B">
        <w:rPr>
          <w:szCs w:val="24"/>
        </w:rPr>
        <w:t>1:77o</w:t>
      </w:r>
    </w:p>
    <w:p w:rsidRPr="00E76C5B" w:rsidR="00E76C5B" w:rsidP="001D0E7D" w:rsidRDefault="00E76C5B" w14:paraId="1552A61C" w14:textId="77777777">
      <w:pPr>
        <w:widowControl w:val="0"/>
        <w:tabs>
          <w:tab w:val="num" w:pos="720"/>
        </w:tabs>
        <w:ind w:firstLine="284"/>
        <w:rPr>
          <w:szCs w:val="24"/>
        </w:rPr>
      </w:pPr>
      <w:r w:rsidRPr="00E76C5B">
        <w:rPr>
          <w:szCs w:val="24"/>
        </w:rPr>
        <w:t>1:94, derde lid</w:t>
      </w:r>
    </w:p>
    <w:bookmarkEnd w:id="0"/>
    <w:p w:rsidRPr="00E76C5B" w:rsidR="00E76C5B" w:rsidP="00E76C5B" w:rsidRDefault="00E76C5B" w14:paraId="1EBB4BDA" w14:textId="77777777">
      <w:pPr>
        <w:widowControl w:val="0"/>
        <w:tabs>
          <w:tab w:val="num" w:pos="720"/>
        </w:tabs>
        <w:spacing w:line="240" w:lineRule="atLeast"/>
        <w:rPr>
          <w:szCs w:val="24"/>
        </w:rPr>
      </w:pPr>
    </w:p>
    <w:p w:rsidRPr="00E76C5B" w:rsidR="00E76C5B" w:rsidP="00E76C5B" w:rsidRDefault="00E76C5B" w14:paraId="1259AF35" w14:textId="77777777">
      <w:pPr>
        <w:widowControl w:val="0"/>
        <w:tabs>
          <w:tab w:val="num" w:pos="720"/>
        </w:tabs>
        <w:spacing w:line="240" w:lineRule="atLeast"/>
        <w:rPr>
          <w:b/>
          <w:szCs w:val="24"/>
        </w:rPr>
      </w:pPr>
      <w:r w:rsidRPr="00E76C5B">
        <w:rPr>
          <w:b/>
          <w:szCs w:val="24"/>
        </w:rPr>
        <w:t>Toelichting</w:t>
      </w:r>
    </w:p>
    <w:p w:rsidRPr="00E76C5B" w:rsidR="00E76C5B" w:rsidP="00E76C5B" w:rsidRDefault="00E76C5B" w14:paraId="15A342E6" w14:textId="77777777">
      <w:pPr>
        <w:widowControl w:val="0"/>
        <w:tabs>
          <w:tab w:val="num" w:pos="720"/>
        </w:tabs>
        <w:spacing w:line="240" w:lineRule="atLeast"/>
        <w:rPr>
          <w:szCs w:val="24"/>
        </w:rPr>
      </w:pPr>
    </w:p>
    <w:p w:rsidRPr="00E76C5B" w:rsidR="00E76C5B" w:rsidP="00E76C5B" w:rsidRDefault="00E76C5B" w14:paraId="334A1F56" w14:textId="77777777">
      <w:pPr>
        <w:widowControl w:val="0"/>
        <w:tabs>
          <w:tab w:val="num" w:pos="720"/>
        </w:tabs>
        <w:spacing w:line="240" w:lineRule="atLeast"/>
        <w:rPr>
          <w:szCs w:val="24"/>
        </w:rPr>
      </w:pPr>
      <w:r w:rsidRPr="00E76C5B">
        <w:rPr>
          <w:szCs w:val="24"/>
        </w:rPr>
        <w:t>De Autoriteit Financiële Markten (AFM) en de Nederlandsche Bank (DNB) beschikken op grond van de artikelen 1:77o en 1:94, derde lid, over een aantal specifieke handhavingsbevoegdheden, zoals het schorsen of verbieden van de aanbieding van Europese groene obligaties of de toelating daarvan tot de handel op een gereglementeerde markt. In deze nota van wijziging wordt geregeld dat de AFM en DNB een last onder dwangsom of bestuurlijke boete kunnen opleggen indien de uitgevende instelling geen gevolg geeft aan een door de toezichthouder op grond van artikel 1:77o of 1:94 opgelegde verplichting.</w:t>
      </w:r>
    </w:p>
    <w:p w:rsidRPr="00E76C5B" w:rsidR="00E76C5B" w:rsidP="00E76C5B" w:rsidRDefault="00E76C5B" w14:paraId="3DA0FF68" w14:textId="77777777">
      <w:pPr>
        <w:widowControl w:val="0"/>
        <w:tabs>
          <w:tab w:val="num" w:pos="720"/>
        </w:tabs>
        <w:spacing w:line="240" w:lineRule="atLeast"/>
        <w:rPr>
          <w:szCs w:val="24"/>
        </w:rPr>
      </w:pPr>
    </w:p>
    <w:p w:rsidRPr="00E76C5B" w:rsidR="00E76C5B" w:rsidP="00E76C5B" w:rsidRDefault="00E76C5B" w14:paraId="2E7E6559" w14:textId="77777777">
      <w:pPr>
        <w:widowControl w:val="0"/>
        <w:tabs>
          <w:tab w:val="num" w:pos="720"/>
        </w:tabs>
        <w:spacing w:line="240" w:lineRule="atLeast"/>
        <w:rPr>
          <w:szCs w:val="24"/>
        </w:rPr>
      </w:pPr>
      <w:r w:rsidRPr="00E76C5B">
        <w:rPr>
          <w:szCs w:val="24"/>
        </w:rPr>
        <w:t>De Minister van Financiën,</w:t>
      </w:r>
    </w:p>
    <w:p w:rsidRPr="00E76C5B" w:rsidR="00E76C5B" w:rsidP="00E76C5B" w:rsidRDefault="00E76C5B" w14:paraId="5B1EA15C" w14:textId="77777777">
      <w:pPr>
        <w:widowControl w:val="0"/>
        <w:tabs>
          <w:tab w:val="num" w:pos="720"/>
        </w:tabs>
        <w:spacing w:line="240" w:lineRule="atLeast"/>
        <w:rPr>
          <w:szCs w:val="24"/>
        </w:rPr>
      </w:pPr>
      <w:r w:rsidRPr="00E76C5B">
        <w:rPr>
          <w:szCs w:val="24"/>
        </w:rPr>
        <w:t>E. Heinen</w:t>
      </w:r>
    </w:p>
    <w:p w:rsidR="00E76C5B" w:rsidP="00FE223B" w:rsidRDefault="00E76C5B" w14:paraId="00A7F85B" w14:textId="77777777">
      <w:pPr>
        <w:tabs>
          <w:tab w:val="left" w:pos="284"/>
        </w:tabs>
      </w:pPr>
    </w:p>
    <w:sectPr w:rsidR="00E76C5B" w:rsidSect="005E326B">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63EB" w14:textId="77777777" w:rsidR="00E76C5B" w:rsidRDefault="00E76C5B">
      <w:r>
        <w:separator/>
      </w:r>
    </w:p>
  </w:endnote>
  <w:endnote w:type="continuationSeparator" w:id="0">
    <w:p w14:paraId="1DE9DFD5" w14:textId="77777777" w:rsidR="00E76C5B" w:rsidRDefault="00E7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F70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842C7E5"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389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88DFABD"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B994" w14:textId="77777777" w:rsidR="00E76C5B" w:rsidRDefault="00E76C5B">
      <w:r>
        <w:separator/>
      </w:r>
    </w:p>
  </w:footnote>
  <w:footnote w:type="continuationSeparator" w:id="0">
    <w:p w14:paraId="7FA11733" w14:textId="77777777" w:rsidR="00E76C5B" w:rsidRDefault="00E76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5B"/>
    <w:rsid w:val="001D0E7D"/>
    <w:rsid w:val="001D6B8C"/>
    <w:rsid w:val="003B4752"/>
    <w:rsid w:val="004D5FF9"/>
    <w:rsid w:val="005E326B"/>
    <w:rsid w:val="007C02C8"/>
    <w:rsid w:val="00836AAB"/>
    <w:rsid w:val="009833D1"/>
    <w:rsid w:val="00E76C5B"/>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67B53"/>
  <w15:docId w15:val="{190D10BF-7E50-4B20-B0A6-52F85ADF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1163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2024-11-27T10:49:00.0000000Z</lastPrinted>
  <dcterms:created xsi:type="dcterms:W3CDTF">2024-11-27T11:15:00.0000000Z</dcterms:created>
  <dcterms:modified xsi:type="dcterms:W3CDTF">2024-11-27T11:16:00.0000000Z</dcterms:modified>
  <dc:description>------------------------</dc:description>
  <dc:subject/>
  <keywords/>
  <version/>
  <category/>
</coreProperties>
</file>