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DB0" w:rsidP="002C1937" w:rsidRDefault="00AB3977" w14:paraId="6D3C16C5" w14:textId="77777777">
      <w:pPr>
        <w:pStyle w:val="StandaardAanhef"/>
        <w:spacing w:before="0" w:after="0" w:line="240" w:lineRule="atLeast"/>
      </w:pPr>
      <w:r>
        <w:t>Geachte voorzitter,</w:t>
      </w:r>
    </w:p>
    <w:p w:rsidR="00015EDC" w:rsidP="002C1937" w:rsidRDefault="00015EDC" w14:paraId="45FA6F46" w14:textId="77777777"/>
    <w:p w:rsidR="00AB3977" w:rsidP="002C1937" w:rsidRDefault="00AB3977" w14:paraId="35427B61" w14:textId="0FAEF505">
      <w:r>
        <w:t>Met deze brief informeer ik u, mede namens de minister voor Buitenlandse Handel en Ontwikkelingshulp (BHO), over de comptabele onrechtmatigheid bij de uitvoering van de exportkredietverzekering (</w:t>
      </w:r>
      <w:proofErr w:type="spellStart"/>
      <w:r>
        <w:t>ekv</w:t>
      </w:r>
      <w:proofErr w:type="spellEnd"/>
      <w:r>
        <w:t>) en het onderzoek naar de opheffing daarvan.</w:t>
      </w:r>
    </w:p>
    <w:p w:rsidR="00AB3977" w:rsidP="002C1937" w:rsidRDefault="00AB3977" w14:paraId="5283FCCC" w14:textId="77777777"/>
    <w:p w:rsidR="00AB3977" w:rsidP="002C1937" w:rsidRDefault="00AB3977" w14:paraId="2C85FFAB" w14:textId="77777777">
      <w:pPr>
        <w:rPr>
          <w:b/>
          <w:bCs/>
        </w:rPr>
      </w:pPr>
      <w:r>
        <w:rPr>
          <w:b/>
          <w:bCs/>
        </w:rPr>
        <w:t xml:space="preserve">Comptabele onrechtmatigheid uitvoering </w:t>
      </w:r>
      <w:proofErr w:type="spellStart"/>
      <w:r>
        <w:rPr>
          <w:b/>
          <w:bCs/>
        </w:rPr>
        <w:t>ekv</w:t>
      </w:r>
      <w:proofErr w:type="spellEnd"/>
    </w:p>
    <w:p w:rsidR="00AB3977" w:rsidP="002C1937" w:rsidRDefault="00AB3977" w14:paraId="2BAE09A1" w14:textId="77777777">
      <w:pPr>
        <w:pStyle w:val="Tekstopmerking"/>
        <w:spacing w:line="240" w:lineRule="atLeast"/>
        <w:rPr>
          <w:rFonts w:ascii="Verdana" w:hAnsi="Verdana" w:eastAsia="DejaVu Sans" w:cs="Lohit Hindi"/>
          <w:color w:val="000000"/>
          <w:sz w:val="18"/>
          <w:szCs w:val="18"/>
        </w:rPr>
      </w:pPr>
      <w:r>
        <w:rPr>
          <w:rFonts w:ascii="Verdana" w:hAnsi="Verdana" w:eastAsia="DejaVu Sans" w:cs="Lohit Hindi"/>
          <w:color w:val="000000"/>
          <w:sz w:val="18"/>
          <w:szCs w:val="18"/>
        </w:rPr>
        <w:t xml:space="preserve">De uitvoering van de </w:t>
      </w:r>
      <w:proofErr w:type="spellStart"/>
      <w:r>
        <w:rPr>
          <w:rFonts w:ascii="Verdana" w:hAnsi="Verdana" w:eastAsia="DejaVu Sans" w:cs="Lohit Hindi"/>
          <w:color w:val="000000"/>
          <w:sz w:val="18"/>
          <w:szCs w:val="18"/>
        </w:rPr>
        <w:t>ekv</w:t>
      </w:r>
      <w:proofErr w:type="spellEnd"/>
      <w:r>
        <w:rPr>
          <w:rFonts w:ascii="Verdana" w:hAnsi="Verdana" w:eastAsia="DejaVu Sans" w:cs="Lohit Hindi"/>
          <w:color w:val="000000"/>
          <w:sz w:val="18"/>
          <w:szCs w:val="18"/>
        </w:rPr>
        <w:t xml:space="preserve"> is belegd bij </w:t>
      </w:r>
      <w:proofErr w:type="spellStart"/>
      <w:r>
        <w:rPr>
          <w:rFonts w:ascii="Verdana" w:hAnsi="Verdana" w:eastAsia="DejaVu Sans" w:cs="Lohit Hindi"/>
          <w:color w:val="000000"/>
          <w:sz w:val="18"/>
          <w:szCs w:val="18"/>
        </w:rPr>
        <w:t>Atradius</w:t>
      </w:r>
      <w:proofErr w:type="spellEnd"/>
      <w:r>
        <w:rPr>
          <w:rFonts w:ascii="Verdana" w:hAnsi="Verdana" w:eastAsia="DejaVu Sans" w:cs="Lohit Hindi"/>
          <w:color w:val="000000"/>
          <w:sz w:val="18"/>
          <w:szCs w:val="18"/>
        </w:rPr>
        <w:t xml:space="preserve"> Dutch State Business (ADSB). De Raad van State heeft in 2007 al vastgesteld dat de aanbestedingsregels van toepassing zijn en in 2023 heeft de Algemene Rekenkamer geconstateerd dat de huidige (niet-aanbestede) </w:t>
      </w:r>
      <w:proofErr w:type="spellStart"/>
      <w:r>
        <w:rPr>
          <w:rFonts w:ascii="Verdana" w:hAnsi="Verdana" w:eastAsia="DejaVu Sans" w:cs="Lohit Hindi"/>
          <w:color w:val="000000"/>
          <w:sz w:val="18"/>
          <w:szCs w:val="18"/>
        </w:rPr>
        <w:t>ekv</w:t>
      </w:r>
      <w:proofErr w:type="spellEnd"/>
      <w:r>
        <w:rPr>
          <w:rFonts w:ascii="Verdana" w:hAnsi="Verdana" w:eastAsia="DejaVu Sans" w:cs="Lohit Hindi"/>
          <w:color w:val="000000"/>
          <w:sz w:val="18"/>
          <w:szCs w:val="18"/>
        </w:rPr>
        <w:t>-uitvoering comptabel onrechtmatig is. De Kamer is hierover geïnformeerd per Kamerbrief van 14 juni 2023.</w:t>
      </w:r>
      <w:r>
        <w:rPr>
          <w:rStyle w:val="Voetnootmarkering"/>
          <w:rFonts w:ascii="Verdana" w:hAnsi="Verdana" w:eastAsia="DejaVu Sans" w:cs="Lohit Hindi"/>
          <w:color w:val="000000"/>
          <w:sz w:val="18"/>
          <w:szCs w:val="18"/>
        </w:rPr>
        <w:footnoteReference w:id="1"/>
      </w:r>
    </w:p>
    <w:p w:rsidR="00AB3977" w:rsidP="002C1937" w:rsidRDefault="00AB3977" w14:paraId="4EB43C68" w14:textId="77777777"/>
    <w:p w:rsidR="00AB3977" w:rsidP="002C1937" w:rsidRDefault="00AB3977" w14:paraId="737E303A" w14:textId="77777777">
      <w:r>
        <w:t xml:space="preserve">Mede naar aanleiding van vragen van het bedrijfsleven en ADSB </w:t>
      </w:r>
      <w:r w:rsidR="0045237E">
        <w:t xml:space="preserve">heeft het ministerie van Financiën </w:t>
      </w:r>
      <w:r>
        <w:t>aan de Landsadvocaat gevraagd nader onderzoek te doen naar de aanbestedingsverplichting en de mogelijke toepasbaarheid van uitzonderingen op deze verplichting</w:t>
      </w:r>
      <w:r>
        <w:rPr>
          <w:i/>
          <w:iCs/>
        </w:rPr>
        <w:t xml:space="preserve">. </w:t>
      </w:r>
      <w:r>
        <w:t xml:space="preserve">Het advies van de Landsadvocaat treft u bijgaand aan. De Landsadvocaat concludeert dat de huidige </w:t>
      </w:r>
      <w:proofErr w:type="spellStart"/>
      <w:r>
        <w:t>ekv</w:t>
      </w:r>
      <w:proofErr w:type="spellEnd"/>
      <w:r>
        <w:t xml:space="preserve">-uitvoering niet valt onder één van de uitzonderingen. De Landsadvocaat bevestigt daarmee dat de huidige </w:t>
      </w:r>
      <w:proofErr w:type="spellStart"/>
      <w:r>
        <w:t>ekv</w:t>
      </w:r>
      <w:proofErr w:type="spellEnd"/>
      <w:r>
        <w:t xml:space="preserve">-uitvoering </w:t>
      </w:r>
      <w:proofErr w:type="spellStart"/>
      <w:r>
        <w:t>aanbestedingsplichtig</w:t>
      </w:r>
      <w:proofErr w:type="spellEnd"/>
      <w:r>
        <w:t xml:space="preserve"> is. Het advies van de Landsadvocaat zal ook met het bedrijfsleven en ADSB worden gedeeld en toegelicht, met als doel om samen toekomstgericht te werken aan een oplossing hiervan.  </w:t>
      </w:r>
    </w:p>
    <w:p w:rsidR="00AB3977" w:rsidP="002C1937" w:rsidRDefault="00AB3977" w14:paraId="4B0D2817" w14:textId="77777777">
      <w:pPr>
        <w:rPr>
          <w:b/>
          <w:bCs/>
        </w:rPr>
      </w:pPr>
    </w:p>
    <w:p w:rsidR="00AB3977" w:rsidP="002C1937" w:rsidRDefault="00AB3977" w14:paraId="52C7E07B" w14:textId="77777777">
      <w:pPr>
        <w:rPr>
          <w:b/>
          <w:bCs/>
        </w:rPr>
      </w:pPr>
      <w:r>
        <w:rPr>
          <w:b/>
          <w:bCs/>
        </w:rPr>
        <w:t>Verkenning oplossen comptabele onrechtmatigheid</w:t>
      </w:r>
    </w:p>
    <w:p w:rsidR="00AB3977" w:rsidP="002C1937" w:rsidRDefault="00AB3977" w14:paraId="58FBBEA0" w14:textId="77777777">
      <w:r>
        <w:t xml:space="preserve">Het kabinet is van mening dat de comptabele onrechtmatigheid moet worden opgelost. Het in stand houden </w:t>
      </w:r>
      <w:r w:rsidR="0045237E">
        <w:t>hiervan</w:t>
      </w:r>
      <w:r>
        <w:t xml:space="preserve"> past niet bij een ordentelijk overheidsbeleid en is geen duurzame situatie. Deze situatie leidt tot onzekerheid voor alle betrokken partijen. Het vorige kabinet heeft daarom eerder aan uw Kamer medegedeeld dat de huidige uitvoering van de </w:t>
      </w:r>
      <w:proofErr w:type="spellStart"/>
      <w:r>
        <w:t>ekv</w:t>
      </w:r>
      <w:proofErr w:type="spellEnd"/>
      <w:r>
        <w:t xml:space="preserve"> moet worden herzien en dat er een project is gestart om de verschillende uitvoeringsopties van de </w:t>
      </w:r>
      <w:proofErr w:type="spellStart"/>
      <w:r>
        <w:t>ekv</w:t>
      </w:r>
      <w:proofErr w:type="spellEnd"/>
      <w:r>
        <w:t xml:space="preserve"> te verkennen.</w:t>
      </w:r>
      <w:r>
        <w:rPr>
          <w:rStyle w:val="Voetnootmarkering"/>
        </w:rPr>
        <w:footnoteReference w:id="2"/>
      </w:r>
      <w:r>
        <w:t xml:space="preserve"> Deze uitvoeringsopties worden getoetst op een aantal criteria (in </w:t>
      </w:r>
      <w:r>
        <w:lastRenderedPageBreak/>
        <w:t xml:space="preserve">lijn met het beleidskompas): 1) rechtmatigheid, 2) doeltreffendheid, 3) doelmatigheid en 4) uitvoerbaarheid. </w:t>
      </w:r>
    </w:p>
    <w:p w:rsidR="00AB3977" w:rsidP="002C1937" w:rsidRDefault="00AB3977" w14:paraId="4CCCE833" w14:textId="77777777"/>
    <w:p w:rsidR="00AB3977" w:rsidP="002C1937" w:rsidRDefault="00AB3977" w14:paraId="6BF4D1D4" w14:textId="77777777">
      <w:r>
        <w:t xml:space="preserve">De bovenstaande verkenning wordt </w:t>
      </w:r>
      <w:proofErr w:type="gramStart"/>
      <w:r>
        <w:t>thans</w:t>
      </w:r>
      <w:proofErr w:type="gramEnd"/>
      <w:r>
        <w:t xml:space="preserve"> uitgevoerd. Er worden meerdere toekomstopties onderzocht, variërend van een aanbesteding op de private markt tot het oprichten van een staatsdeelneming. Gezien de complexiteit van de materie is een zorgvuldige analyse en draagvlak onder </w:t>
      </w:r>
      <w:r w:rsidR="0045237E">
        <w:t xml:space="preserve">(huidige en potentiële) </w:t>
      </w:r>
      <w:r>
        <w:t xml:space="preserve">gebruikers essentieel. Een besluit over de toekomst van de </w:t>
      </w:r>
      <w:proofErr w:type="spellStart"/>
      <w:r>
        <w:t>ekv</w:t>
      </w:r>
      <w:proofErr w:type="spellEnd"/>
      <w:r>
        <w:t xml:space="preserve">-uitvoering wordt zorgvuldig voorbereid. </w:t>
      </w:r>
    </w:p>
    <w:p w:rsidR="00AB3977" w:rsidP="002C1937" w:rsidRDefault="00AB3977" w14:paraId="2A22A209" w14:textId="77777777">
      <w:pPr>
        <w:rPr>
          <w:b/>
          <w:bCs/>
        </w:rPr>
      </w:pPr>
    </w:p>
    <w:p w:rsidR="00AB3977" w:rsidP="002C1937" w:rsidRDefault="00AB3977" w14:paraId="0DAEFC07" w14:textId="77777777">
      <w:r>
        <w:t xml:space="preserve">Het kabinet wil de toekomst van de </w:t>
      </w:r>
      <w:proofErr w:type="spellStart"/>
      <w:r>
        <w:t>ekv</w:t>
      </w:r>
      <w:proofErr w:type="spellEnd"/>
      <w:r>
        <w:t xml:space="preserve">-uitvoering niet alleen bezien vanuit het onrechtmatigheidsvraagstuk. De verkenning biedt ook kansen om te bezien op welke wijze de </w:t>
      </w:r>
      <w:proofErr w:type="spellStart"/>
      <w:r>
        <w:t>ekv</w:t>
      </w:r>
      <w:proofErr w:type="spellEnd"/>
      <w:r>
        <w:t xml:space="preserve">-dienstverlening duurzaam kan blijven bijdragen aan de versterking van de internationale concurrentiepositie van Nederlandse ondernemingen. Het internationale speelveld is van belang voor de positie van de Nederlandse </w:t>
      </w:r>
      <w:proofErr w:type="spellStart"/>
      <w:r>
        <w:t>ekv</w:t>
      </w:r>
      <w:proofErr w:type="spellEnd"/>
      <w:r>
        <w:t>-uitvoerder. Daarom heeft mijn voorganger een onafhankelijke onderzoeker</w:t>
      </w:r>
      <w:r w:rsidR="000A39D3">
        <w:rPr>
          <w:rStyle w:val="Voetnootmarkering"/>
        </w:rPr>
        <w:footnoteReference w:id="3"/>
      </w:r>
      <w:r w:rsidR="000A39D3">
        <w:t xml:space="preserve"> </w:t>
      </w:r>
      <w:r>
        <w:t xml:space="preserve">gevraagd om de verschillende uitvoeringsmodaliteiten van exportkredietverzekeraars in OESO-landen in kaart te brengen. De uitkomsten van het onderzoek treft u bijgaand aan. Uit dit onderzoek blijkt dat het </w:t>
      </w:r>
      <w:r>
        <w:rPr>
          <w:i/>
          <w:iCs/>
        </w:rPr>
        <w:t>private agent</w:t>
      </w:r>
      <w:r>
        <w:t xml:space="preserve"> model, zoals in Nederland het geval, steeds minder voorkomt. Veel OESO-landen hebben er namelijk voor gekozen om de uitvoering onder te brengen in een publieke entiteit zoals een staatsdeelneming of een zelfstandig bestuursorgaan.</w:t>
      </w:r>
      <w:r>
        <w:rPr>
          <w:rStyle w:val="Voetnootmarkering"/>
        </w:rPr>
        <w:footnoteReference w:id="4"/>
      </w:r>
      <w:r>
        <w:t xml:space="preserve"> De bevindingen uit het onderzoek worden in de verkenning naar een toekomstoptie meegewogen. </w:t>
      </w:r>
    </w:p>
    <w:p w:rsidR="00AB3977" w:rsidP="002C1937" w:rsidRDefault="00AB3977" w14:paraId="0D075A55" w14:textId="77777777">
      <w:pPr>
        <w:autoSpaceDE w:val="0"/>
        <w:adjustRightInd w:val="0"/>
      </w:pPr>
    </w:p>
    <w:p w:rsidR="00AB3977" w:rsidP="002C1937" w:rsidRDefault="00AB3977" w14:paraId="6E2134C9" w14:textId="77777777">
      <w:r>
        <w:t xml:space="preserve">Het kabinet vindt het van belang dat </w:t>
      </w:r>
      <w:r w:rsidR="0045237E">
        <w:t xml:space="preserve">de ervaringen van het </w:t>
      </w:r>
      <w:r>
        <w:t xml:space="preserve">bedrijfsleven en ADSB </w:t>
      </w:r>
      <w:r w:rsidR="0045237E">
        <w:t xml:space="preserve">worden meegewogen </w:t>
      </w:r>
      <w:r>
        <w:t xml:space="preserve">bij de verkenning naar een toekomstoptie voor de </w:t>
      </w:r>
      <w:proofErr w:type="spellStart"/>
      <w:r>
        <w:t>ekv</w:t>
      </w:r>
      <w:proofErr w:type="spellEnd"/>
      <w:r>
        <w:t xml:space="preserve">-uitvoering. </w:t>
      </w:r>
      <w:r w:rsidR="0045237E">
        <w:t>Dit</w:t>
      </w:r>
      <w:r>
        <w:t xml:space="preserve"> is belangrijk voor het maken van een weloverwogen keuze en het creëren van draagvlak. Bij elke toekomstoptie geldt dat de continuïteit en kwaliteit van de </w:t>
      </w:r>
      <w:proofErr w:type="spellStart"/>
      <w:r>
        <w:t>ekv</w:t>
      </w:r>
      <w:proofErr w:type="spellEnd"/>
      <w:r>
        <w:t xml:space="preserve">-dienstverlening behouden moet blijven. De inzet van het kabinet is gericht op optimaal behoud van kennis en expertise. </w:t>
      </w:r>
    </w:p>
    <w:p w:rsidR="00AB3977" w:rsidP="002C1937" w:rsidRDefault="00AB3977" w14:paraId="0AF2EEEB" w14:textId="77777777"/>
    <w:p w:rsidR="00AB3977" w:rsidP="002C1937" w:rsidRDefault="00AB3977" w14:paraId="24C4766E" w14:textId="77777777">
      <w:pPr>
        <w:rPr>
          <w:b/>
          <w:bCs/>
        </w:rPr>
      </w:pPr>
      <w:r>
        <w:rPr>
          <w:b/>
          <w:bCs/>
        </w:rPr>
        <w:t>Tot slot</w:t>
      </w:r>
    </w:p>
    <w:p w:rsidR="00AB3977" w:rsidP="002C1937" w:rsidRDefault="00AB3977" w14:paraId="20001143" w14:textId="77777777">
      <w:r>
        <w:t xml:space="preserve">Het streven is om de verkenning naar een andere </w:t>
      </w:r>
      <w:proofErr w:type="spellStart"/>
      <w:r>
        <w:t>ekv</w:t>
      </w:r>
      <w:proofErr w:type="spellEnd"/>
      <w:r>
        <w:t xml:space="preserve">-uitvoering voor de zomer van 2025 af te ronden. Uw Kamer zal vervolgens worden geïnformeerd over de uitkomsten. </w:t>
      </w:r>
    </w:p>
    <w:p w:rsidR="00AB3977" w:rsidP="002C1937" w:rsidRDefault="00AB3977" w14:paraId="3DA2ECC4" w14:textId="77777777"/>
    <w:p w:rsidR="00015EDC" w:rsidP="002C1937" w:rsidRDefault="6358B559" w14:paraId="0DDC8417" w14:textId="77777777">
      <w:r>
        <w:t xml:space="preserve">Het kabinet benadrukt dat de continuïteit van de huidige dienstverlening door ADSB geborgd is. De comptabele onrechtmatigheid heeft geen gevolgen voor de overeenkomsten die de Staat met ADSB gesloten heeft: deze zijn juridisch bindend. De juridische verplichtingen die volgen uit die overeenkomsten worden door de Staat nagekomen. Dit geldt ook voor de polissen die door ADSB namens de Staat zijn of worden afgesloten. </w:t>
      </w:r>
    </w:p>
    <w:p w:rsidR="00015EDC" w:rsidP="002C1937" w:rsidRDefault="00015EDC" w14:paraId="015F0F36" w14:textId="77777777"/>
    <w:p w:rsidR="00015EDC" w:rsidP="002C1937" w:rsidRDefault="00015EDC" w14:paraId="784E0938" w14:textId="77777777"/>
    <w:p w:rsidR="00015EDC" w:rsidP="002C1937" w:rsidRDefault="00015EDC" w14:paraId="6727D780" w14:textId="77777777"/>
    <w:p w:rsidR="00015EDC" w:rsidP="002C1937" w:rsidRDefault="00015EDC" w14:paraId="0900A5FF" w14:textId="77777777"/>
    <w:p w:rsidR="00015EDC" w:rsidP="002C1937" w:rsidRDefault="00015EDC" w14:paraId="3062876F" w14:textId="77777777"/>
    <w:p w:rsidR="00015EDC" w:rsidP="002C1937" w:rsidRDefault="00015EDC" w14:paraId="4818B4DD" w14:textId="77777777"/>
    <w:p w:rsidR="00AB3977" w:rsidP="002C1937" w:rsidRDefault="6358B559" w14:paraId="2E61E23D" w14:textId="4EF27FAB">
      <w:r>
        <w:lastRenderedPageBreak/>
        <w:t xml:space="preserve">De overeenkomst met ADSB wordt pas opgezegd nadat er een definitieve keuze is gemaakt over de toekomst van de </w:t>
      </w:r>
      <w:proofErr w:type="spellStart"/>
      <w:r>
        <w:t>ekv</w:t>
      </w:r>
      <w:proofErr w:type="spellEnd"/>
      <w:r>
        <w:t xml:space="preserve">-uitvoering. Er geldt vervolgens een contractuele opzegtermijn van drie kalenderjaren. Dat betekent dat de </w:t>
      </w:r>
      <w:proofErr w:type="spellStart"/>
      <w:r>
        <w:t>ekv</w:t>
      </w:r>
      <w:proofErr w:type="spellEnd"/>
      <w:r>
        <w:t>-uitvoering contractueel tenminste tot en met 2028 bij ADSB is belegd.</w:t>
      </w:r>
    </w:p>
    <w:p w:rsidR="00AB3977" w:rsidP="002C1937" w:rsidRDefault="00AB3977" w14:paraId="7C30F920" w14:textId="77777777">
      <w:pPr>
        <w:pStyle w:val="StandaardSlotzin"/>
        <w:spacing w:before="0" w:line="240" w:lineRule="atLeast"/>
      </w:pPr>
    </w:p>
    <w:p w:rsidR="00AB3977" w:rsidP="002C1937" w:rsidRDefault="00AB3977" w14:paraId="7DD23EF3" w14:textId="77777777">
      <w:pPr>
        <w:pStyle w:val="StandaardSlotzin"/>
        <w:spacing w:before="0" w:line="240" w:lineRule="atLeast"/>
      </w:pPr>
    </w:p>
    <w:p w:rsidR="00B97DB0" w:rsidP="002C1937" w:rsidRDefault="00AB3977" w14:paraId="05C5FA13" w14:textId="77777777">
      <w:pPr>
        <w:pStyle w:val="StandaardSlotzin"/>
        <w:spacing w:before="0" w:line="240" w:lineRule="atLeast"/>
      </w:pPr>
      <w:r>
        <w:t>Hoogachtend,</w:t>
      </w:r>
    </w:p>
    <w:p w:rsidR="00B97DB0" w:rsidP="002C1937" w:rsidRDefault="00B97DB0" w14:paraId="17175FE1"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97DB0" w14:paraId="23471FA1" w14:textId="77777777">
        <w:tc>
          <w:tcPr>
            <w:tcW w:w="3592" w:type="dxa"/>
          </w:tcPr>
          <w:p w:rsidR="00B97DB0" w:rsidP="002C1937" w:rsidRDefault="00AB3977" w14:paraId="76C5FE52"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B97DB0" w:rsidP="002C1937" w:rsidRDefault="00B97DB0" w14:paraId="24BA89D9" w14:textId="77777777"/>
        </w:tc>
      </w:tr>
      <w:tr w:rsidR="00B97DB0" w14:paraId="5F1A6315" w14:textId="77777777">
        <w:tc>
          <w:tcPr>
            <w:tcW w:w="3592" w:type="dxa"/>
          </w:tcPr>
          <w:p w:rsidR="00B97DB0" w:rsidP="002C1937" w:rsidRDefault="00B97DB0" w14:paraId="7A951623" w14:textId="77777777"/>
        </w:tc>
        <w:tc>
          <w:tcPr>
            <w:tcW w:w="3892" w:type="dxa"/>
          </w:tcPr>
          <w:p w:rsidR="00B97DB0" w:rsidP="002C1937" w:rsidRDefault="00B97DB0" w14:paraId="447F34D3" w14:textId="77777777"/>
        </w:tc>
      </w:tr>
      <w:tr w:rsidR="00B97DB0" w14:paraId="10090BE8" w14:textId="77777777">
        <w:tc>
          <w:tcPr>
            <w:tcW w:w="3592" w:type="dxa"/>
          </w:tcPr>
          <w:p w:rsidR="00B97DB0" w:rsidP="002C1937" w:rsidRDefault="00B97DB0" w14:paraId="12581411" w14:textId="77777777"/>
        </w:tc>
        <w:tc>
          <w:tcPr>
            <w:tcW w:w="3892" w:type="dxa"/>
          </w:tcPr>
          <w:p w:rsidR="00B97DB0" w:rsidP="002C1937" w:rsidRDefault="00B97DB0" w14:paraId="5806982E" w14:textId="77777777"/>
        </w:tc>
      </w:tr>
      <w:tr w:rsidR="00B97DB0" w14:paraId="25247E25" w14:textId="77777777">
        <w:tc>
          <w:tcPr>
            <w:tcW w:w="3592" w:type="dxa"/>
          </w:tcPr>
          <w:p w:rsidR="00B97DB0" w:rsidP="002C1937" w:rsidRDefault="00B97DB0" w14:paraId="461A8C09" w14:textId="77777777"/>
        </w:tc>
        <w:tc>
          <w:tcPr>
            <w:tcW w:w="3892" w:type="dxa"/>
          </w:tcPr>
          <w:p w:rsidR="00B97DB0" w:rsidP="002C1937" w:rsidRDefault="00B97DB0" w14:paraId="037B1D6D" w14:textId="77777777"/>
        </w:tc>
      </w:tr>
      <w:tr w:rsidR="00B97DB0" w14:paraId="7E609808" w14:textId="77777777">
        <w:tc>
          <w:tcPr>
            <w:tcW w:w="3592" w:type="dxa"/>
          </w:tcPr>
          <w:p w:rsidR="00B97DB0" w:rsidP="002C1937" w:rsidRDefault="00B97DB0" w14:paraId="040816FB" w14:textId="77777777"/>
        </w:tc>
        <w:tc>
          <w:tcPr>
            <w:tcW w:w="3892" w:type="dxa"/>
          </w:tcPr>
          <w:p w:rsidR="00B97DB0" w:rsidP="002C1937" w:rsidRDefault="00B97DB0" w14:paraId="45663DE0" w14:textId="77777777"/>
        </w:tc>
      </w:tr>
    </w:tbl>
    <w:p w:rsidR="00B97DB0" w:rsidP="002C1937" w:rsidRDefault="00B97DB0" w14:paraId="5AB56D0E" w14:textId="77777777">
      <w:pPr>
        <w:pStyle w:val="WitregelW1bodytekst"/>
        <w:spacing w:line="240" w:lineRule="atLeast"/>
      </w:pPr>
    </w:p>
    <w:p w:rsidR="00B97DB0" w:rsidP="002C1937" w:rsidRDefault="00B97DB0" w14:paraId="7D259F8E" w14:textId="77777777">
      <w:pPr>
        <w:pStyle w:val="Verdana7"/>
        <w:spacing w:line="240" w:lineRule="atLeast"/>
      </w:pPr>
    </w:p>
    <w:sectPr w:rsidR="00B97DB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04FB" w14:textId="77777777" w:rsidR="00315A57" w:rsidRDefault="00AB3977">
      <w:pPr>
        <w:spacing w:line="240" w:lineRule="auto"/>
      </w:pPr>
      <w:r>
        <w:separator/>
      </w:r>
    </w:p>
  </w:endnote>
  <w:endnote w:type="continuationSeparator" w:id="0">
    <w:p w14:paraId="60042E97" w14:textId="77777777" w:rsidR="00315A57" w:rsidRDefault="00AB3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AC49" w14:textId="77777777" w:rsidR="009E3103" w:rsidRDefault="009E31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CE32" w14:textId="77777777" w:rsidR="009E3103" w:rsidRDefault="009E31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C1C1" w14:textId="77777777" w:rsidR="009E3103" w:rsidRDefault="009E31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F2E3" w14:textId="77777777" w:rsidR="00315A57" w:rsidRDefault="00AB3977">
      <w:pPr>
        <w:spacing w:line="240" w:lineRule="auto"/>
      </w:pPr>
      <w:r>
        <w:separator/>
      </w:r>
    </w:p>
  </w:footnote>
  <w:footnote w:type="continuationSeparator" w:id="0">
    <w:p w14:paraId="6DAB345A" w14:textId="77777777" w:rsidR="00315A57" w:rsidRDefault="00AB3977">
      <w:pPr>
        <w:spacing w:line="240" w:lineRule="auto"/>
      </w:pPr>
      <w:r>
        <w:continuationSeparator/>
      </w:r>
    </w:p>
  </w:footnote>
  <w:footnote w:id="1">
    <w:p w14:paraId="7830261A" w14:textId="77777777" w:rsidR="00AB3977" w:rsidRDefault="00AB3977" w:rsidP="00AB3977">
      <w:pPr>
        <w:pStyle w:val="Voetnoottekst"/>
        <w:tabs>
          <w:tab w:val="left" w:pos="1176"/>
        </w:tabs>
      </w:pPr>
      <w:r>
        <w:rPr>
          <w:rStyle w:val="Voetnootmarkering"/>
          <w:rFonts w:ascii="Verdana" w:hAnsi="Verdana"/>
          <w:sz w:val="16"/>
          <w:szCs w:val="16"/>
        </w:rPr>
        <w:footnoteRef/>
      </w:r>
      <w:r>
        <w:t xml:space="preserve"> </w:t>
      </w:r>
      <w:r>
        <w:rPr>
          <w:rFonts w:ascii="Verdana" w:hAnsi="Verdana"/>
          <w:sz w:val="16"/>
          <w:szCs w:val="16"/>
        </w:rPr>
        <w:t>Kamerstukken II, vergaderjaar 2022-2023, 26485, nr. 423.</w:t>
      </w:r>
    </w:p>
  </w:footnote>
  <w:footnote w:id="2">
    <w:p w14:paraId="6A32B884" w14:textId="77777777" w:rsidR="00AB3977" w:rsidRDefault="00AB3977" w:rsidP="00AB3977">
      <w:pPr>
        <w:pStyle w:val="Voetnoottekst"/>
      </w:pPr>
      <w:r w:rsidRPr="00697EB1">
        <w:rPr>
          <w:rStyle w:val="Voetnootmarkering"/>
          <w:rFonts w:ascii="Verdana" w:hAnsi="Verdana"/>
          <w:sz w:val="16"/>
          <w:szCs w:val="16"/>
        </w:rPr>
        <w:footnoteRef/>
      </w:r>
      <w:r w:rsidRPr="00697EB1">
        <w:rPr>
          <w:rStyle w:val="Voetnootmarkering"/>
        </w:rPr>
        <w:t xml:space="preserve"> </w:t>
      </w:r>
      <w:r>
        <w:rPr>
          <w:rFonts w:ascii="Verdana" w:hAnsi="Verdana"/>
          <w:sz w:val="16"/>
          <w:szCs w:val="16"/>
        </w:rPr>
        <w:t>Kamerstukken II, vergaderjaar 2023-2024, 26485, nr. 438.</w:t>
      </w:r>
    </w:p>
  </w:footnote>
  <w:footnote w:id="3">
    <w:p w14:paraId="36DD9092" w14:textId="77777777" w:rsidR="000A39D3" w:rsidRPr="000A39D3" w:rsidRDefault="000A39D3">
      <w:pPr>
        <w:pStyle w:val="Voetnoottekst"/>
      </w:pPr>
      <w:r w:rsidRPr="000A39D3">
        <w:rPr>
          <w:rStyle w:val="Voetnootmarkering"/>
          <w:sz w:val="16"/>
          <w:szCs w:val="16"/>
        </w:rPr>
        <w:footnoteRef/>
      </w:r>
      <w:r w:rsidRPr="000A39D3">
        <w:rPr>
          <w:rStyle w:val="Voetnootmarkering"/>
          <w:sz w:val="16"/>
          <w:szCs w:val="16"/>
        </w:rPr>
        <w:t xml:space="preserve"> </w:t>
      </w:r>
      <w:r w:rsidRPr="000A39D3">
        <w:rPr>
          <w:rFonts w:ascii="Verdana" w:hAnsi="Verdana"/>
          <w:sz w:val="16"/>
          <w:szCs w:val="16"/>
        </w:rPr>
        <w:t>De heer Andreas Klasen, professor Internationa</w:t>
      </w:r>
      <w:r>
        <w:rPr>
          <w:rFonts w:ascii="Verdana" w:hAnsi="Verdana"/>
          <w:sz w:val="16"/>
          <w:szCs w:val="16"/>
        </w:rPr>
        <w:t>a</w:t>
      </w:r>
      <w:r w:rsidRPr="000A39D3">
        <w:rPr>
          <w:rFonts w:ascii="Verdana" w:hAnsi="Verdana"/>
          <w:sz w:val="16"/>
          <w:szCs w:val="16"/>
        </w:rPr>
        <w:t>l ondernemen.</w:t>
      </w:r>
    </w:p>
  </w:footnote>
  <w:footnote w:id="4">
    <w:p w14:paraId="6D000B1A" w14:textId="77777777" w:rsidR="00AB3977" w:rsidRDefault="00AB3977" w:rsidP="00AB3977">
      <w:pPr>
        <w:pStyle w:val="Voetnoottekst"/>
      </w:pPr>
      <w:r>
        <w:rPr>
          <w:rStyle w:val="Voetnootmarkering"/>
          <w:sz w:val="16"/>
          <w:szCs w:val="16"/>
        </w:rPr>
        <w:footnoteRef/>
      </w:r>
      <w:r>
        <w:t xml:space="preserve"> </w:t>
      </w:r>
      <w:r>
        <w:rPr>
          <w:rFonts w:ascii="Verdana" w:hAnsi="Verdana"/>
          <w:sz w:val="16"/>
          <w:szCs w:val="16"/>
        </w:rPr>
        <w:t>Waarbij wel geldt dat een zuivere internationale vergelijking niet altijd goed te maken is, vanwege een verschil in de rechtssystemen en terminologie tussen landen.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5D4" w14:textId="77777777" w:rsidR="009E3103" w:rsidRDefault="009E31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5B33" w14:textId="77777777" w:rsidR="00B97DB0" w:rsidRDefault="00AB3977">
    <w:r>
      <w:rPr>
        <w:noProof/>
      </w:rPr>
      <mc:AlternateContent>
        <mc:Choice Requires="wps">
          <w:drawing>
            <wp:anchor distT="0" distB="0" distL="0" distR="0" simplePos="0" relativeHeight="251652096" behindDoc="0" locked="1" layoutInCell="1" allowOverlap="1" wp14:anchorId="0EFD80A4" wp14:editId="2E3CD25F">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0977248" w14:textId="77777777" w:rsidR="00B97DB0" w:rsidRDefault="00AB3977">
                          <w:pPr>
                            <w:pStyle w:val="StandaardReferentiegegevensKop"/>
                          </w:pPr>
                          <w:r>
                            <w:t>Directie Buitenlandse Financiële Betrekkingen</w:t>
                          </w:r>
                        </w:p>
                        <w:p w14:paraId="0D080A7A" w14:textId="77777777" w:rsidR="00B97DB0" w:rsidRDefault="00B97DB0">
                          <w:pPr>
                            <w:pStyle w:val="WitregelW1"/>
                          </w:pPr>
                        </w:p>
                        <w:p w14:paraId="0886A764" w14:textId="77777777" w:rsidR="00B97DB0" w:rsidRDefault="00AB3977">
                          <w:pPr>
                            <w:pStyle w:val="StandaardReferentiegegevensKop"/>
                          </w:pPr>
                          <w:r>
                            <w:t>Ons kenmerk</w:t>
                          </w:r>
                        </w:p>
                        <w:p w14:paraId="30D05C3B" w14:textId="3D22DAD3" w:rsidR="001546DA" w:rsidRDefault="00015EDC">
                          <w:pPr>
                            <w:pStyle w:val="StandaardReferentiegegevens"/>
                          </w:pPr>
                          <w:fldSimple w:instr=" DOCPROPERTY  &quot;Kenmerk&quot;  \* MERGEFORMAT ">
                            <w:r w:rsidR="009E3103">
                              <w:t>2024-0000512908</w:t>
                            </w:r>
                          </w:fldSimple>
                        </w:p>
                      </w:txbxContent>
                    </wps:txbx>
                    <wps:bodyPr vert="horz" wrap="square" lIns="0" tIns="0" rIns="0" bIns="0" anchor="t" anchorCtr="0"/>
                  </wps:wsp>
                </a:graphicData>
              </a:graphic>
            </wp:anchor>
          </w:drawing>
        </mc:Choice>
        <mc:Fallback>
          <w:pict>
            <v:shapetype w14:anchorId="0EFD80A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40977248" w14:textId="77777777" w:rsidR="00B97DB0" w:rsidRDefault="00AB3977">
                    <w:pPr>
                      <w:pStyle w:val="StandaardReferentiegegevensKop"/>
                    </w:pPr>
                    <w:r>
                      <w:t>Directie Buitenlandse Financiële Betrekkingen</w:t>
                    </w:r>
                  </w:p>
                  <w:p w14:paraId="0D080A7A" w14:textId="77777777" w:rsidR="00B97DB0" w:rsidRDefault="00B97DB0">
                    <w:pPr>
                      <w:pStyle w:val="WitregelW1"/>
                    </w:pPr>
                  </w:p>
                  <w:p w14:paraId="0886A764" w14:textId="77777777" w:rsidR="00B97DB0" w:rsidRDefault="00AB3977">
                    <w:pPr>
                      <w:pStyle w:val="StandaardReferentiegegevensKop"/>
                    </w:pPr>
                    <w:r>
                      <w:t>Ons kenmerk</w:t>
                    </w:r>
                  </w:p>
                  <w:p w14:paraId="30D05C3B" w14:textId="3D22DAD3" w:rsidR="001546DA" w:rsidRDefault="00015EDC">
                    <w:pPr>
                      <w:pStyle w:val="StandaardReferentiegegevens"/>
                    </w:pPr>
                    <w:fldSimple w:instr=" DOCPROPERTY  &quot;Kenmerk&quot;  \* MERGEFORMAT ">
                      <w:r w:rsidR="009E3103">
                        <w:t>2024-0000512908</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E5F423A" wp14:editId="577CA25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61CA89" w14:textId="77777777" w:rsidR="001546DA" w:rsidRDefault="00015ED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E5F423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161CA89" w14:textId="77777777" w:rsidR="001546DA" w:rsidRDefault="00015ED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6D5D7D" wp14:editId="75A87BD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DA74EF6" w14:textId="7D319E59" w:rsidR="001546DA" w:rsidRDefault="00015E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36D5D7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DA74EF6" w14:textId="7D319E59" w:rsidR="001546DA" w:rsidRDefault="00015E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9D16" w14:textId="77777777" w:rsidR="00B97DB0" w:rsidRDefault="00AB3977">
    <w:pPr>
      <w:spacing w:after="7029" w:line="14" w:lineRule="exact"/>
    </w:pPr>
    <w:r>
      <w:rPr>
        <w:noProof/>
      </w:rPr>
      <mc:AlternateContent>
        <mc:Choice Requires="wps">
          <w:drawing>
            <wp:anchor distT="0" distB="0" distL="0" distR="0" simplePos="0" relativeHeight="251655168" behindDoc="0" locked="1" layoutInCell="1" allowOverlap="1" wp14:anchorId="5BA3FBD6" wp14:editId="3D01300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FC9F331" w14:textId="77777777" w:rsidR="00B97DB0" w:rsidRDefault="00AB3977">
                          <w:pPr>
                            <w:spacing w:line="240" w:lineRule="auto"/>
                          </w:pPr>
                          <w:r>
                            <w:rPr>
                              <w:noProof/>
                            </w:rPr>
                            <w:drawing>
                              <wp:inline distT="0" distB="0" distL="0" distR="0" wp14:anchorId="236770A6" wp14:editId="525947E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A3FBD6"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FC9F331" w14:textId="77777777" w:rsidR="00B97DB0" w:rsidRDefault="00AB3977">
                    <w:pPr>
                      <w:spacing w:line="240" w:lineRule="auto"/>
                    </w:pPr>
                    <w:r>
                      <w:rPr>
                        <w:noProof/>
                      </w:rPr>
                      <w:drawing>
                        <wp:inline distT="0" distB="0" distL="0" distR="0" wp14:anchorId="236770A6" wp14:editId="525947E7">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19BB2D0" wp14:editId="7D27B99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6D87561" w14:textId="77777777" w:rsidR="00315A57" w:rsidRDefault="00315A57"/>
                      </w:txbxContent>
                    </wps:txbx>
                    <wps:bodyPr vert="horz" wrap="square" lIns="0" tIns="0" rIns="0" bIns="0" anchor="t" anchorCtr="0"/>
                  </wps:wsp>
                </a:graphicData>
              </a:graphic>
            </wp:anchor>
          </w:drawing>
        </mc:Choice>
        <mc:Fallback>
          <w:pict>
            <v:shape w14:anchorId="719BB2D0"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6D87561" w14:textId="77777777" w:rsidR="00315A57" w:rsidRDefault="00315A5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07C293" wp14:editId="5CC070D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BCABECE" w14:textId="77777777" w:rsidR="00B97DB0" w:rsidRDefault="00AB3977">
                          <w:pPr>
                            <w:pStyle w:val="StandaardReferentiegegevensKop"/>
                          </w:pPr>
                          <w:r>
                            <w:t>Directie Buitenlandse Financiële Betrekkingen</w:t>
                          </w:r>
                        </w:p>
                        <w:p w14:paraId="6C06AA98" w14:textId="77777777" w:rsidR="00B97DB0" w:rsidRDefault="00B97DB0">
                          <w:pPr>
                            <w:pStyle w:val="WitregelW1"/>
                          </w:pPr>
                        </w:p>
                        <w:p w14:paraId="56CB672E" w14:textId="77777777" w:rsidR="00B97DB0" w:rsidRDefault="00AB3977">
                          <w:pPr>
                            <w:pStyle w:val="StandaardReferentiegegevens"/>
                          </w:pPr>
                          <w:r>
                            <w:t>Korte Voorhout 7</w:t>
                          </w:r>
                        </w:p>
                        <w:p w14:paraId="54422128" w14:textId="77777777" w:rsidR="00B97DB0" w:rsidRDefault="00AB3977">
                          <w:pPr>
                            <w:pStyle w:val="StandaardReferentiegegevens"/>
                          </w:pPr>
                          <w:r>
                            <w:t>2511 CW  'S-GRAVENHAGE</w:t>
                          </w:r>
                        </w:p>
                        <w:p w14:paraId="07FEE662" w14:textId="77777777" w:rsidR="00B97DB0" w:rsidRDefault="00AB3977">
                          <w:pPr>
                            <w:pStyle w:val="StandaardReferentiegegevens"/>
                          </w:pPr>
                          <w:r>
                            <w:t>POSTBUS 20201</w:t>
                          </w:r>
                        </w:p>
                        <w:p w14:paraId="58D8F1D3" w14:textId="77777777" w:rsidR="00B97DB0" w:rsidRDefault="00AB3977">
                          <w:pPr>
                            <w:pStyle w:val="StandaardReferentiegegevens"/>
                          </w:pPr>
                          <w:r>
                            <w:t>2500 EE  'S-GRAVENHAGE</w:t>
                          </w:r>
                        </w:p>
                        <w:p w14:paraId="15C21CA6" w14:textId="77777777" w:rsidR="00B97DB0" w:rsidRDefault="00AB3977">
                          <w:pPr>
                            <w:pStyle w:val="StandaardReferentiegegevens"/>
                          </w:pPr>
                          <w:proofErr w:type="gramStart"/>
                          <w:r>
                            <w:t>www.rijksoverheid.nl/fin</w:t>
                          </w:r>
                          <w:proofErr w:type="gramEnd"/>
                        </w:p>
                        <w:p w14:paraId="52D1BC7C" w14:textId="77777777" w:rsidR="00B97DB0" w:rsidRDefault="00B97DB0">
                          <w:pPr>
                            <w:pStyle w:val="WitregelW2"/>
                          </w:pPr>
                        </w:p>
                        <w:p w14:paraId="5338B305" w14:textId="77777777" w:rsidR="00B97DB0" w:rsidRDefault="00AB3977">
                          <w:pPr>
                            <w:pStyle w:val="StandaardReferentiegegevensKop"/>
                          </w:pPr>
                          <w:r>
                            <w:t>Ons kenmerk</w:t>
                          </w:r>
                        </w:p>
                        <w:p w14:paraId="413895B7" w14:textId="2E256D84" w:rsidR="001546DA" w:rsidRDefault="00015EDC">
                          <w:pPr>
                            <w:pStyle w:val="StandaardReferentiegegevens"/>
                          </w:pPr>
                          <w:fldSimple w:instr=" DOCPROPERTY  &quot;Kenmerk&quot;  \* MERGEFORMAT ">
                            <w:r w:rsidR="009E3103">
                              <w:t>2024-0000512908</w:t>
                            </w:r>
                          </w:fldSimple>
                        </w:p>
                        <w:p w14:paraId="32D47196" w14:textId="77777777" w:rsidR="00B97DB0" w:rsidRDefault="00B97DB0">
                          <w:pPr>
                            <w:pStyle w:val="WitregelW1"/>
                          </w:pPr>
                        </w:p>
                        <w:p w14:paraId="1B1654BF" w14:textId="77777777" w:rsidR="00B97DB0" w:rsidRDefault="00B97DB0">
                          <w:pPr>
                            <w:pStyle w:val="StandaardReferentiegegevensKop"/>
                          </w:pPr>
                        </w:p>
                        <w:p w14:paraId="42BDE147" w14:textId="6CE73F49" w:rsidR="001546DA" w:rsidRDefault="00015EDC">
                          <w:pPr>
                            <w:pStyle w:val="StandaardReferentiegegevensKop"/>
                          </w:pPr>
                          <w:r>
                            <w:fldChar w:fldCharType="begin"/>
                          </w:r>
                          <w:r>
                            <w:instrText xml:space="preserve"> DOCPROPERTY  "UwKenmerk"  \* MERGEFORMAT </w:instrText>
                          </w:r>
                          <w:r>
                            <w:fldChar w:fldCharType="end"/>
                          </w:r>
                          <w:r>
                            <w:t>Bijlagen</w:t>
                          </w:r>
                        </w:p>
                        <w:p w14:paraId="09783BFC" w14:textId="77777777" w:rsidR="00B97DB0" w:rsidRDefault="00AB3977">
                          <w:pPr>
                            <w:pStyle w:val="StandaardReferentiegegevens"/>
                          </w:pPr>
                          <w:r>
                            <w:t>1. Advies Landsadvocaat</w:t>
                          </w:r>
                        </w:p>
                        <w:p w14:paraId="64A1E832" w14:textId="77777777" w:rsidR="00B97DB0" w:rsidRDefault="00AB3977">
                          <w:pPr>
                            <w:pStyle w:val="StandaardReferentiegegevens"/>
                          </w:pPr>
                          <w:r>
                            <w:t xml:space="preserve">2. Onderzoek </w:t>
                          </w:r>
                          <w:proofErr w:type="spellStart"/>
                          <w:r>
                            <w:t>governance</w:t>
                          </w:r>
                          <w:proofErr w:type="spellEnd"/>
                        </w:p>
                      </w:txbxContent>
                    </wps:txbx>
                    <wps:bodyPr vert="horz" wrap="square" lIns="0" tIns="0" rIns="0" bIns="0" anchor="t" anchorCtr="0"/>
                  </wps:wsp>
                </a:graphicData>
              </a:graphic>
            </wp:anchor>
          </w:drawing>
        </mc:Choice>
        <mc:Fallback>
          <w:pict>
            <v:shape w14:anchorId="7807C29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BCABECE" w14:textId="77777777" w:rsidR="00B97DB0" w:rsidRDefault="00AB3977">
                    <w:pPr>
                      <w:pStyle w:val="StandaardReferentiegegevensKop"/>
                    </w:pPr>
                    <w:r>
                      <w:t>Directie Buitenlandse Financiële Betrekkingen</w:t>
                    </w:r>
                  </w:p>
                  <w:p w14:paraId="6C06AA98" w14:textId="77777777" w:rsidR="00B97DB0" w:rsidRDefault="00B97DB0">
                    <w:pPr>
                      <w:pStyle w:val="WitregelW1"/>
                    </w:pPr>
                  </w:p>
                  <w:p w14:paraId="56CB672E" w14:textId="77777777" w:rsidR="00B97DB0" w:rsidRDefault="00AB3977">
                    <w:pPr>
                      <w:pStyle w:val="StandaardReferentiegegevens"/>
                    </w:pPr>
                    <w:r>
                      <w:t>Korte Voorhout 7</w:t>
                    </w:r>
                  </w:p>
                  <w:p w14:paraId="54422128" w14:textId="77777777" w:rsidR="00B97DB0" w:rsidRDefault="00AB3977">
                    <w:pPr>
                      <w:pStyle w:val="StandaardReferentiegegevens"/>
                    </w:pPr>
                    <w:r>
                      <w:t>2511 CW  'S-GRAVENHAGE</w:t>
                    </w:r>
                  </w:p>
                  <w:p w14:paraId="07FEE662" w14:textId="77777777" w:rsidR="00B97DB0" w:rsidRDefault="00AB3977">
                    <w:pPr>
                      <w:pStyle w:val="StandaardReferentiegegevens"/>
                    </w:pPr>
                    <w:r>
                      <w:t>POSTBUS 20201</w:t>
                    </w:r>
                  </w:p>
                  <w:p w14:paraId="58D8F1D3" w14:textId="77777777" w:rsidR="00B97DB0" w:rsidRDefault="00AB3977">
                    <w:pPr>
                      <w:pStyle w:val="StandaardReferentiegegevens"/>
                    </w:pPr>
                    <w:r>
                      <w:t>2500 EE  'S-GRAVENHAGE</w:t>
                    </w:r>
                  </w:p>
                  <w:p w14:paraId="15C21CA6" w14:textId="77777777" w:rsidR="00B97DB0" w:rsidRDefault="00AB3977">
                    <w:pPr>
                      <w:pStyle w:val="StandaardReferentiegegevens"/>
                    </w:pPr>
                    <w:proofErr w:type="gramStart"/>
                    <w:r>
                      <w:t>www.rijksoverheid.nl/fin</w:t>
                    </w:r>
                    <w:proofErr w:type="gramEnd"/>
                  </w:p>
                  <w:p w14:paraId="52D1BC7C" w14:textId="77777777" w:rsidR="00B97DB0" w:rsidRDefault="00B97DB0">
                    <w:pPr>
                      <w:pStyle w:val="WitregelW2"/>
                    </w:pPr>
                  </w:p>
                  <w:p w14:paraId="5338B305" w14:textId="77777777" w:rsidR="00B97DB0" w:rsidRDefault="00AB3977">
                    <w:pPr>
                      <w:pStyle w:val="StandaardReferentiegegevensKop"/>
                    </w:pPr>
                    <w:r>
                      <w:t>Ons kenmerk</w:t>
                    </w:r>
                  </w:p>
                  <w:p w14:paraId="413895B7" w14:textId="2E256D84" w:rsidR="001546DA" w:rsidRDefault="00015EDC">
                    <w:pPr>
                      <w:pStyle w:val="StandaardReferentiegegevens"/>
                    </w:pPr>
                    <w:fldSimple w:instr=" DOCPROPERTY  &quot;Kenmerk&quot;  \* MERGEFORMAT ">
                      <w:r w:rsidR="009E3103">
                        <w:t>2024-0000512908</w:t>
                      </w:r>
                    </w:fldSimple>
                  </w:p>
                  <w:p w14:paraId="32D47196" w14:textId="77777777" w:rsidR="00B97DB0" w:rsidRDefault="00B97DB0">
                    <w:pPr>
                      <w:pStyle w:val="WitregelW1"/>
                    </w:pPr>
                  </w:p>
                  <w:p w14:paraId="1B1654BF" w14:textId="77777777" w:rsidR="00B97DB0" w:rsidRDefault="00B97DB0">
                    <w:pPr>
                      <w:pStyle w:val="StandaardReferentiegegevensKop"/>
                    </w:pPr>
                  </w:p>
                  <w:p w14:paraId="42BDE147" w14:textId="6CE73F49" w:rsidR="001546DA" w:rsidRDefault="00015EDC">
                    <w:pPr>
                      <w:pStyle w:val="StandaardReferentiegegevensKop"/>
                    </w:pPr>
                    <w:r>
                      <w:fldChar w:fldCharType="begin"/>
                    </w:r>
                    <w:r>
                      <w:instrText xml:space="preserve"> DOCPROPERTY  "UwKenmerk"  \* MERGEFORMAT </w:instrText>
                    </w:r>
                    <w:r>
                      <w:fldChar w:fldCharType="end"/>
                    </w:r>
                    <w:r>
                      <w:t>Bijlagen</w:t>
                    </w:r>
                  </w:p>
                  <w:p w14:paraId="09783BFC" w14:textId="77777777" w:rsidR="00B97DB0" w:rsidRDefault="00AB3977">
                    <w:pPr>
                      <w:pStyle w:val="StandaardReferentiegegevens"/>
                    </w:pPr>
                    <w:r>
                      <w:t>1. Advies Landsadvocaat</w:t>
                    </w:r>
                  </w:p>
                  <w:p w14:paraId="64A1E832" w14:textId="77777777" w:rsidR="00B97DB0" w:rsidRDefault="00AB3977">
                    <w:pPr>
                      <w:pStyle w:val="StandaardReferentiegegevens"/>
                    </w:pPr>
                    <w:r>
                      <w:t xml:space="preserve">2. Onderzoek </w:t>
                    </w:r>
                    <w:proofErr w:type="spellStart"/>
                    <w:r>
                      <w:t>governance</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B50606" wp14:editId="04B4F6F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A38946B" w14:textId="77777777" w:rsidR="00B97DB0" w:rsidRDefault="00AB397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DB50606"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A38946B" w14:textId="77777777" w:rsidR="00B97DB0" w:rsidRDefault="00AB397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D72181A" wp14:editId="0D1358C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005E94D" w14:textId="7E73C7A8" w:rsidR="001546DA" w:rsidRDefault="00015EDC">
                          <w:pPr>
                            <w:pStyle w:val="Rubricering"/>
                          </w:pPr>
                          <w:r>
                            <w:fldChar w:fldCharType="begin"/>
                          </w:r>
                          <w:r>
                            <w:instrText xml:space="preserve"> DOCPROPERTY  "Rubricering"  \* MERGEFORMAT </w:instrText>
                          </w:r>
                          <w:r>
                            <w:fldChar w:fldCharType="end"/>
                          </w:r>
                        </w:p>
                        <w:p w14:paraId="7DD3E4D8" w14:textId="77777777" w:rsidR="00B97DB0" w:rsidRDefault="00AB397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D72181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005E94D" w14:textId="7E73C7A8" w:rsidR="001546DA" w:rsidRDefault="00015EDC">
                    <w:pPr>
                      <w:pStyle w:val="Rubricering"/>
                    </w:pPr>
                    <w:r>
                      <w:fldChar w:fldCharType="begin"/>
                    </w:r>
                    <w:r>
                      <w:instrText xml:space="preserve"> DOCPROPERTY  "Rubricering"  \* MERGEFORMAT </w:instrText>
                    </w:r>
                    <w:r>
                      <w:fldChar w:fldCharType="end"/>
                    </w:r>
                  </w:p>
                  <w:p w14:paraId="7DD3E4D8" w14:textId="77777777" w:rsidR="00B97DB0" w:rsidRDefault="00AB397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4211D4" wp14:editId="13B2C0B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AFA8A9C" w14:textId="77777777" w:rsidR="001546DA" w:rsidRDefault="00015ED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A4211D4"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AFA8A9C" w14:textId="77777777" w:rsidR="001546DA" w:rsidRDefault="00015ED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B971580" wp14:editId="7E20A91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97DB0" w14:paraId="1AB5150E" w14:textId="77777777">
                            <w:trPr>
                              <w:trHeight w:val="200"/>
                            </w:trPr>
                            <w:tc>
                              <w:tcPr>
                                <w:tcW w:w="1140" w:type="dxa"/>
                              </w:tcPr>
                              <w:p w14:paraId="5D904F0E" w14:textId="77777777" w:rsidR="00B97DB0" w:rsidRDefault="00B97DB0"/>
                            </w:tc>
                            <w:tc>
                              <w:tcPr>
                                <w:tcW w:w="5400" w:type="dxa"/>
                              </w:tcPr>
                              <w:p w14:paraId="0435B032" w14:textId="77777777" w:rsidR="00B97DB0" w:rsidRDefault="00B97DB0"/>
                            </w:tc>
                          </w:tr>
                          <w:tr w:rsidR="00B97DB0" w14:paraId="1E1661BE" w14:textId="77777777">
                            <w:trPr>
                              <w:trHeight w:val="240"/>
                            </w:trPr>
                            <w:tc>
                              <w:tcPr>
                                <w:tcW w:w="1140" w:type="dxa"/>
                              </w:tcPr>
                              <w:p w14:paraId="2FF577FA" w14:textId="77777777" w:rsidR="00B97DB0" w:rsidRDefault="00AB3977">
                                <w:r>
                                  <w:t>Datum</w:t>
                                </w:r>
                              </w:p>
                            </w:tc>
                            <w:tc>
                              <w:tcPr>
                                <w:tcW w:w="5400" w:type="dxa"/>
                              </w:tcPr>
                              <w:p w14:paraId="77088D01" w14:textId="3A6906DC" w:rsidR="00B97DB0" w:rsidRDefault="009E3103">
                                <w:r>
                                  <w:t>20 november 2024</w:t>
                                </w:r>
                              </w:p>
                            </w:tc>
                          </w:tr>
                          <w:tr w:rsidR="00B97DB0" w14:paraId="576E7750" w14:textId="77777777">
                            <w:trPr>
                              <w:trHeight w:val="240"/>
                            </w:trPr>
                            <w:tc>
                              <w:tcPr>
                                <w:tcW w:w="1140" w:type="dxa"/>
                              </w:tcPr>
                              <w:p w14:paraId="5BB06B99" w14:textId="77777777" w:rsidR="00B97DB0" w:rsidRDefault="00AB3977">
                                <w:r>
                                  <w:t>Betreft</w:t>
                                </w:r>
                              </w:p>
                            </w:tc>
                            <w:tc>
                              <w:tcPr>
                                <w:tcW w:w="5400" w:type="dxa"/>
                              </w:tcPr>
                              <w:p w14:paraId="1A1CA18E" w14:textId="5BD9858C" w:rsidR="001546DA" w:rsidRDefault="00015EDC">
                                <w:fldSimple w:instr=" DOCPROPERTY  &quot;Onderwerp&quot;  \* MERGEFORMAT ">
                                  <w:r w:rsidR="009E3103">
                                    <w:t>Stand van zaken opheffen onrechtmatigheid uitvoering exportkredietverzekering</w:t>
                                  </w:r>
                                </w:fldSimple>
                              </w:p>
                            </w:tc>
                          </w:tr>
                          <w:tr w:rsidR="00B97DB0" w14:paraId="6D56F1E2" w14:textId="77777777">
                            <w:trPr>
                              <w:trHeight w:val="200"/>
                            </w:trPr>
                            <w:tc>
                              <w:tcPr>
                                <w:tcW w:w="1140" w:type="dxa"/>
                              </w:tcPr>
                              <w:p w14:paraId="43E410C7" w14:textId="77777777" w:rsidR="00B97DB0" w:rsidRDefault="00B97DB0"/>
                            </w:tc>
                            <w:tc>
                              <w:tcPr>
                                <w:tcW w:w="4738" w:type="dxa"/>
                              </w:tcPr>
                              <w:p w14:paraId="1F647E88" w14:textId="77777777" w:rsidR="00B97DB0" w:rsidRDefault="00B97DB0"/>
                            </w:tc>
                          </w:tr>
                        </w:tbl>
                        <w:p w14:paraId="3B8A5A12" w14:textId="77777777" w:rsidR="00315A57" w:rsidRDefault="00315A57"/>
                      </w:txbxContent>
                    </wps:txbx>
                    <wps:bodyPr vert="horz" wrap="square" lIns="0" tIns="0" rIns="0" bIns="0" anchor="t" anchorCtr="0"/>
                  </wps:wsp>
                </a:graphicData>
              </a:graphic>
            </wp:anchor>
          </w:drawing>
        </mc:Choice>
        <mc:Fallback>
          <w:pict>
            <v:shape w14:anchorId="4B97158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97DB0" w14:paraId="1AB5150E" w14:textId="77777777">
                      <w:trPr>
                        <w:trHeight w:val="200"/>
                      </w:trPr>
                      <w:tc>
                        <w:tcPr>
                          <w:tcW w:w="1140" w:type="dxa"/>
                        </w:tcPr>
                        <w:p w14:paraId="5D904F0E" w14:textId="77777777" w:rsidR="00B97DB0" w:rsidRDefault="00B97DB0"/>
                      </w:tc>
                      <w:tc>
                        <w:tcPr>
                          <w:tcW w:w="5400" w:type="dxa"/>
                        </w:tcPr>
                        <w:p w14:paraId="0435B032" w14:textId="77777777" w:rsidR="00B97DB0" w:rsidRDefault="00B97DB0"/>
                      </w:tc>
                    </w:tr>
                    <w:tr w:rsidR="00B97DB0" w14:paraId="1E1661BE" w14:textId="77777777">
                      <w:trPr>
                        <w:trHeight w:val="240"/>
                      </w:trPr>
                      <w:tc>
                        <w:tcPr>
                          <w:tcW w:w="1140" w:type="dxa"/>
                        </w:tcPr>
                        <w:p w14:paraId="2FF577FA" w14:textId="77777777" w:rsidR="00B97DB0" w:rsidRDefault="00AB3977">
                          <w:r>
                            <w:t>Datum</w:t>
                          </w:r>
                        </w:p>
                      </w:tc>
                      <w:tc>
                        <w:tcPr>
                          <w:tcW w:w="5400" w:type="dxa"/>
                        </w:tcPr>
                        <w:p w14:paraId="77088D01" w14:textId="3A6906DC" w:rsidR="00B97DB0" w:rsidRDefault="009E3103">
                          <w:r>
                            <w:t>20 november 2024</w:t>
                          </w:r>
                        </w:p>
                      </w:tc>
                    </w:tr>
                    <w:tr w:rsidR="00B97DB0" w14:paraId="576E7750" w14:textId="77777777">
                      <w:trPr>
                        <w:trHeight w:val="240"/>
                      </w:trPr>
                      <w:tc>
                        <w:tcPr>
                          <w:tcW w:w="1140" w:type="dxa"/>
                        </w:tcPr>
                        <w:p w14:paraId="5BB06B99" w14:textId="77777777" w:rsidR="00B97DB0" w:rsidRDefault="00AB3977">
                          <w:r>
                            <w:t>Betreft</w:t>
                          </w:r>
                        </w:p>
                      </w:tc>
                      <w:tc>
                        <w:tcPr>
                          <w:tcW w:w="5400" w:type="dxa"/>
                        </w:tcPr>
                        <w:p w14:paraId="1A1CA18E" w14:textId="5BD9858C" w:rsidR="001546DA" w:rsidRDefault="00015EDC">
                          <w:fldSimple w:instr=" DOCPROPERTY  &quot;Onderwerp&quot;  \* MERGEFORMAT ">
                            <w:r w:rsidR="009E3103">
                              <w:t>Stand van zaken opheffen onrechtmatigheid uitvoering exportkredietverzekering</w:t>
                            </w:r>
                          </w:fldSimple>
                        </w:p>
                      </w:tc>
                    </w:tr>
                    <w:tr w:rsidR="00B97DB0" w14:paraId="6D56F1E2" w14:textId="77777777">
                      <w:trPr>
                        <w:trHeight w:val="200"/>
                      </w:trPr>
                      <w:tc>
                        <w:tcPr>
                          <w:tcW w:w="1140" w:type="dxa"/>
                        </w:tcPr>
                        <w:p w14:paraId="43E410C7" w14:textId="77777777" w:rsidR="00B97DB0" w:rsidRDefault="00B97DB0"/>
                      </w:tc>
                      <w:tc>
                        <w:tcPr>
                          <w:tcW w:w="4738" w:type="dxa"/>
                        </w:tcPr>
                        <w:p w14:paraId="1F647E88" w14:textId="77777777" w:rsidR="00B97DB0" w:rsidRDefault="00B97DB0"/>
                      </w:tc>
                    </w:tr>
                  </w:tbl>
                  <w:p w14:paraId="3B8A5A12" w14:textId="77777777" w:rsidR="00315A57" w:rsidRDefault="00315A5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04A0AA" wp14:editId="3A947F9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8AD2022" w14:textId="42E52938" w:rsidR="001546DA" w:rsidRDefault="00015ED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04A0A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8AD2022" w14:textId="42E52938" w:rsidR="001546DA" w:rsidRDefault="00015ED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EF718F" wp14:editId="15E47383">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D0D1CB6" w14:textId="77777777" w:rsidR="00315A57" w:rsidRDefault="00315A57"/>
                      </w:txbxContent>
                    </wps:txbx>
                    <wps:bodyPr vert="horz" wrap="square" lIns="0" tIns="0" rIns="0" bIns="0" anchor="t" anchorCtr="0"/>
                  </wps:wsp>
                </a:graphicData>
              </a:graphic>
            </wp:anchor>
          </w:drawing>
        </mc:Choice>
        <mc:Fallback>
          <w:pict>
            <v:shape w14:anchorId="6DEF718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D0D1CB6" w14:textId="77777777" w:rsidR="00315A57" w:rsidRDefault="00315A5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0AD1E"/>
    <w:multiLevelType w:val="multilevel"/>
    <w:tmpl w:val="EA06AA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B637BB2"/>
    <w:multiLevelType w:val="multilevel"/>
    <w:tmpl w:val="4D2830A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BBD81C9"/>
    <w:multiLevelType w:val="multilevel"/>
    <w:tmpl w:val="619F442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DC0695E"/>
    <w:multiLevelType w:val="multilevel"/>
    <w:tmpl w:val="EDFB8D3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B6F3A"/>
    <w:multiLevelType w:val="multilevel"/>
    <w:tmpl w:val="1C89E93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720DB1"/>
    <w:multiLevelType w:val="multilevel"/>
    <w:tmpl w:val="32C4709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315037">
    <w:abstractNumId w:val="3"/>
  </w:num>
  <w:num w:numId="2" w16cid:durableId="1352879063">
    <w:abstractNumId w:val="5"/>
  </w:num>
  <w:num w:numId="3" w16cid:durableId="307440680">
    <w:abstractNumId w:val="0"/>
  </w:num>
  <w:num w:numId="4" w16cid:durableId="1634019009">
    <w:abstractNumId w:val="2"/>
  </w:num>
  <w:num w:numId="5" w16cid:durableId="1673291664">
    <w:abstractNumId w:val="1"/>
  </w:num>
  <w:num w:numId="6" w16cid:durableId="1576085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B0"/>
    <w:rsid w:val="00015EDC"/>
    <w:rsid w:val="000A39D3"/>
    <w:rsid w:val="000C2833"/>
    <w:rsid w:val="001546DA"/>
    <w:rsid w:val="00260E35"/>
    <w:rsid w:val="002C1937"/>
    <w:rsid w:val="00315A57"/>
    <w:rsid w:val="0045237E"/>
    <w:rsid w:val="00505F19"/>
    <w:rsid w:val="005377B9"/>
    <w:rsid w:val="00697EB1"/>
    <w:rsid w:val="006D49CF"/>
    <w:rsid w:val="00757096"/>
    <w:rsid w:val="00782809"/>
    <w:rsid w:val="00805DC5"/>
    <w:rsid w:val="0094438F"/>
    <w:rsid w:val="009E3103"/>
    <w:rsid w:val="00A069FE"/>
    <w:rsid w:val="00AB3977"/>
    <w:rsid w:val="00B24F40"/>
    <w:rsid w:val="00B97DB0"/>
    <w:rsid w:val="00C01542"/>
    <w:rsid w:val="00EF5B4F"/>
    <w:rsid w:val="00F5270C"/>
    <w:rsid w:val="6358B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04E2CE5"/>
  <w15:docId w15:val="{282A5F08-D14D-4404-8632-B66DA5D7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B39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B3977"/>
    <w:rPr>
      <w:rFonts w:ascii="Verdana" w:hAnsi="Verdana"/>
      <w:color w:val="000000"/>
      <w:sz w:val="18"/>
      <w:szCs w:val="18"/>
    </w:rPr>
  </w:style>
  <w:style w:type="paragraph" w:styleId="Voettekst">
    <w:name w:val="footer"/>
    <w:basedOn w:val="Standaard"/>
    <w:link w:val="VoettekstChar"/>
    <w:uiPriority w:val="99"/>
    <w:unhideWhenUsed/>
    <w:rsid w:val="00AB39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B3977"/>
    <w:rPr>
      <w:rFonts w:ascii="Verdana" w:hAnsi="Verdana"/>
      <w:color w:val="000000"/>
      <w:sz w:val="18"/>
      <w:szCs w:val="18"/>
    </w:rPr>
  </w:style>
  <w:style w:type="paragraph" w:styleId="Voetnoottekst">
    <w:name w:val="footnote text"/>
    <w:basedOn w:val="Standaard"/>
    <w:link w:val="VoetnoottekstChar"/>
    <w:uiPriority w:val="99"/>
    <w:semiHidden/>
    <w:unhideWhenUsed/>
    <w:rsid w:val="00AB3977"/>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AB3977"/>
    <w:rPr>
      <w:rFonts w:eastAsia="Times New Roman" w:cs="Times New Roman"/>
    </w:rPr>
  </w:style>
  <w:style w:type="paragraph" w:styleId="Tekstopmerking">
    <w:name w:val="annotation text"/>
    <w:basedOn w:val="Standaard"/>
    <w:link w:val="TekstopmerkingChar"/>
    <w:uiPriority w:val="99"/>
    <w:semiHidden/>
    <w:unhideWhenUsed/>
    <w:rsid w:val="00AB3977"/>
    <w:pPr>
      <w:autoSpaceDN/>
      <w:spacing w:line="240" w:lineRule="auto"/>
      <w:textAlignment w:val="auto"/>
    </w:pPr>
    <w:rPr>
      <w:rFonts w:ascii="Times New Roman" w:eastAsia="Times New Roman" w:hAnsi="Times New Roman" w:cs="Times New Roman"/>
      <w:color w:val="auto"/>
      <w:sz w:val="20"/>
      <w:szCs w:val="20"/>
    </w:rPr>
  </w:style>
  <w:style w:type="character" w:customStyle="1" w:styleId="TekstopmerkingChar">
    <w:name w:val="Tekst opmerking Char"/>
    <w:basedOn w:val="Standaardalinea-lettertype"/>
    <w:link w:val="Tekstopmerking"/>
    <w:uiPriority w:val="99"/>
    <w:semiHidden/>
    <w:rsid w:val="00AB3977"/>
    <w:rPr>
      <w:rFonts w:eastAsia="Times New Roman" w:cs="Times New Roman"/>
    </w:rPr>
  </w:style>
  <w:style w:type="character" w:styleId="Voetnootmarkering">
    <w:name w:val="footnote reference"/>
    <w:basedOn w:val="Standaardalinea-lettertype"/>
    <w:uiPriority w:val="99"/>
    <w:semiHidden/>
    <w:unhideWhenUsed/>
    <w:rsid w:val="00AB3977"/>
    <w:rPr>
      <w:vertAlign w:val="superscript"/>
    </w:rPr>
  </w:style>
  <w:style w:type="paragraph" w:styleId="Revisie">
    <w:name w:val="Revision"/>
    <w:hidden/>
    <w:uiPriority w:val="99"/>
    <w:semiHidden/>
    <w:rsid w:val="006D49C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5237E"/>
    <w:rPr>
      <w:sz w:val="16"/>
      <w:szCs w:val="16"/>
    </w:rPr>
  </w:style>
  <w:style w:type="paragraph" w:styleId="Onderwerpvanopmerking">
    <w:name w:val="annotation subject"/>
    <w:basedOn w:val="Tekstopmerking"/>
    <w:next w:val="Tekstopmerking"/>
    <w:link w:val="OnderwerpvanopmerkingChar"/>
    <w:uiPriority w:val="99"/>
    <w:semiHidden/>
    <w:unhideWhenUsed/>
    <w:rsid w:val="0045237E"/>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45237E"/>
    <w:rPr>
      <w:rFonts w:ascii="Verdana" w:eastAsia="Times New Roman" w:hAnsi="Verdana"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69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752</ap:Words>
  <ap:Characters>4142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Brief aan Eerste of Tweede Kamer - Stand van zaken opheffen onrechtmatigheid uitvoering exportkredietverzekering</vt:lpstr>
    </vt:vector>
  </ap:TitlesOfParts>
  <ap:LinksUpToDate>false</ap:LinksUpToDate>
  <ap:CharactersWithSpaces>4885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2024-11-20T08:46:00.0000000Z</dcterms:created>
  <dcterms:modified xsi:type="dcterms:W3CDTF">2024-11-20T08:46:00.0000000Z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Stand van zaken opheffen onrechtmatigheid uitvoering exportkredietverzekering</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30 oktober 2024</vt:lpwstr>
  </property>
  <property fmtid="{D5CDD505-2E9C-101B-9397-08002B2CF9AE}" pid="13" name="Opgesteld door, Naam">
    <vt:lpwstr/>
  </property>
  <property fmtid="{D5CDD505-2E9C-101B-9397-08002B2CF9AE}" pid="14" name="Opgesteld door, Telefoonnummer">
    <vt:lpwstr>088-4428099</vt:lpwstr>
  </property>
  <property fmtid="{D5CDD505-2E9C-101B-9397-08002B2CF9AE}" pid="15" name="Kenmerk">
    <vt:lpwstr>2024-0000512908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Stand van zaken opheffen onrechtmatigheid uitvoering exportkredietverzekering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2024-10-30T09:13:46Z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35a13623-f939-42c2-b2b2-e9dae3d268db</vt:lpwstr>
  </property>
  <property fmtid="{D5CDD505-2E9C-101B-9397-08002B2CF9AE}" pid="37" name="MSIP_Label_6800fede-0e59-47ad-af95-4e63bbdb932d_ContentBits">
    <vt:lpwstr>0</vt:lpwstr>
  </property>
</Properties>
</file>