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2D697463">
            <w:pPr>
              <w:pStyle w:val="Amendement"/>
              <w:tabs>
                <w:tab w:val="clear" w:pos="3310"/>
                <w:tab w:val="clear" w:pos="3600"/>
              </w:tabs>
              <w:rPr>
                <w:rFonts w:ascii="Times New Roman" w:hAnsi="Times New Roman"/>
              </w:rPr>
            </w:pPr>
            <w:r w:rsidRPr="00C035D4">
              <w:rPr>
                <w:rFonts w:ascii="Times New Roman" w:hAnsi="Times New Roman"/>
              </w:rPr>
              <w:t xml:space="preserve">Nr. </w:t>
            </w:r>
            <w:r w:rsidR="0066431D">
              <w:rPr>
                <w:rFonts w:ascii="Times New Roman" w:hAnsi="Times New Roman"/>
                <w:caps/>
              </w:rPr>
              <w:t>47</w:t>
            </w:r>
          </w:p>
        </w:tc>
        <w:tc>
          <w:tcPr>
            <w:tcW w:w="7371" w:type="dxa"/>
            <w:gridSpan w:val="2"/>
          </w:tcPr>
          <w:p w:rsidRPr="00C035D4" w:rsidR="003C21AC" w:rsidP="006E0971" w:rsidRDefault="003C21AC" w14:paraId="5460A6B6" w14:textId="4911BF1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3057D">
              <w:rPr>
                <w:rFonts w:ascii="Times New Roman" w:hAnsi="Times New Roman"/>
                <w:caps/>
              </w:rPr>
              <w:t>Sneller</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1F0EB2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431D">
              <w:rPr>
                <w:rFonts w:ascii="Times New Roman" w:hAnsi="Times New Roman"/>
                <w:b w:val="0"/>
              </w:rPr>
              <w:t>20</w:t>
            </w:r>
            <w:r w:rsidR="0066431D">
              <w:rPr>
                <w:rFonts w:ascii="Times New Roman" w:hAnsi="Times New Roman"/>
                <w:b w:val="0"/>
              </w:rPr>
              <w:t xml:space="preserve"> </w:t>
            </w:r>
            <w:r w:rsidR="00EB7CCA">
              <w:rPr>
                <w:rFonts w:ascii="Times New Roman" w:hAnsi="Times New Roman"/>
                <w:b w:val="0"/>
              </w:rPr>
              <w:t>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10348" w:type="dxa"/>
        <w:tblLayout w:type="fixed"/>
        <w:tblCellMar>
          <w:left w:w="70" w:type="dxa"/>
          <w:right w:w="70" w:type="dxa"/>
        </w:tblCellMar>
        <w:tblLook w:val="0000" w:firstRow="0" w:lastRow="0" w:firstColumn="0" w:lastColumn="0" w:noHBand="0" w:noVBand="0"/>
      </w:tblPr>
      <w:tblGrid>
        <w:gridCol w:w="2694"/>
        <w:gridCol w:w="7654"/>
      </w:tblGrid>
      <w:tr w:rsidR="00A17AB0" w:rsidTr="005C76C1" w14:paraId="4AC272D8" w14:textId="77777777">
        <w:tc>
          <w:tcPr>
            <w:tcW w:w="2694" w:type="dxa"/>
          </w:tcPr>
          <w:p w:rsidR="00E52D10" w:rsidP="009201A6" w:rsidRDefault="00E52D10" w14:paraId="3213E5A0" w14:textId="2BE15B46">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850829" w:rsidR="00850829" w:rsidP="005C76C1" w:rsidRDefault="00850829" w14:paraId="6E0FFADF" w14:textId="77777777">
      <w:pPr>
        <w:pStyle w:val="Amendement"/>
        <w:tabs>
          <w:tab w:val="clear" w:pos="3310"/>
          <w:tab w:val="clear" w:pos="3600"/>
        </w:tabs>
        <w:rPr>
          <w:rFonts w:ascii="Times New Roman" w:hAnsi="Times New Roman"/>
          <w:b w:val="0"/>
          <w:bCs/>
        </w:rPr>
      </w:pPr>
      <w:r w:rsidRPr="00850829">
        <w:rPr>
          <w:rFonts w:ascii="Times New Roman" w:hAnsi="Times New Roman"/>
          <w:b w:val="0"/>
          <w:bCs/>
        </w:rPr>
        <w:t>I</w:t>
      </w:r>
    </w:p>
    <w:p w:rsidR="00850829" w:rsidP="005C76C1" w:rsidRDefault="00850829" w14:paraId="196A4A51" w14:textId="77777777">
      <w:pPr>
        <w:pStyle w:val="Amendement"/>
        <w:tabs>
          <w:tab w:val="clear" w:pos="3310"/>
          <w:tab w:val="clear" w:pos="3600"/>
        </w:tabs>
        <w:rPr>
          <w:rFonts w:ascii="Times New Roman" w:hAnsi="Times New Roman"/>
        </w:rPr>
      </w:pPr>
    </w:p>
    <w:p w:rsidR="00705F02" w:rsidP="00705F02" w:rsidRDefault="00705F02" w14:paraId="0D932AAE" w14:textId="77777777">
      <w:pPr>
        <w:ind w:firstLine="284"/>
      </w:pPr>
      <w:r w:rsidRPr="00FC2450">
        <w:t xml:space="preserve">In </w:t>
      </w:r>
      <w:r w:rsidRPr="00FC2450">
        <w:rPr>
          <w:b/>
          <w:bCs/>
        </w:rPr>
        <w:t>artikel 3</w:t>
      </w:r>
      <w:r>
        <w:rPr>
          <w:b/>
          <w:bCs/>
        </w:rPr>
        <w:t xml:space="preserve">3 Veiligheid en criminaliteitsbestrijding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rlaag</w:t>
      </w:r>
      <w:r w:rsidRPr="00FC2450">
        <w:rPr>
          <w:b/>
          <w:bCs/>
        </w:rPr>
        <w:t>d</w:t>
      </w:r>
      <w:r w:rsidRPr="00FC2450">
        <w:t xml:space="preserve"> met </w:t>
      </w:r>
      <w:r w:rsidRPr="005477D9">
        <w:rPr>
          <w:b/>
          <w:bCs/>
        </w:rPr>
        <w:t>€ </w:t>
      </w:r>
      <w:r>
        <w:rPr>
          <w:b/>
          <w:bCs/>
        </w:rPr>
        <w:t>178</w:t>
      </w:r>
      <w:r w:rsidRPr="00FC2450">
        <w:t xml:space="preserve"> (x € 1.000).</w:t>
      </w:r>
    </w:p>
    <w:p w:rsidR="00E52D10" w:rsidP="00E52D10" w:rsidRDefault="00E52D10" w14:paraId="0019AD88" w14:textId="77777777"/>
    <w:p w:rsidR="00E52D10" w:rsidP="00E52D10" w:rsidRDefault="00E52D10" w14:paraId="015879F4" w14:textId="72178E5D">
      <w:r>
        <w:t>II</w:t>
      </w:r>
    </w:p>
    <w:p w:rsidR="00E52D10" w:rsidP="00E52D10" w:rsidRDefault="00E52D10" w14:paraId="5B7147C2" w14:textId="77777777"/>
    <w:p w:rsidRPr="00FC2450" w:rsidR="00A17AB0" w:rsidP="00A17AB0" w:rsidRDefault="00A17AB0" w14:paraId="20BC9BCB" w14:textId="2B2F25EE">
      <w:pPr>
        <w:ind w:firstLine="284"/>
      </w:pPr>
      <w:r w:rsidRPr="00FC2450">
        <w:t xml:space="preserve">In </w:t>
      </w:r>
      <w:r w:rsidRPr="00FC2450">
        <w:rPr>
          <w:b/>
          <w:bCs/>
        </w:rPr>
        <w:t>artikel 3</w:t>
      </w:r>
      <w:r w:rsidR="00C443D7">
        <w:rPr>
          <w:b/>
          <w:bCs/>
        </w:rPr>
        <w:t>3</w:t>
      </w:r>
      <w:r>
        <w:rPr>
          <w:b/>
          <w:bCs/>
        </w:rPr>
        <w:t xml:space="preserve"> </w:t>
      </w:r>
      <w:r w:rsidR="00C443D7">
        <w:rPr>
          <w:b/>
          <w:bCs/>
        </w:rPr>
        <w:t xml:space="preserve">Veiligheid en criminaliteitsbestrijding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A46820">
        <w:rPr>
          <w:b/>
          <w:bCs/>
        </w:rPr>
        <w:t>178</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Pr="00EA69AC" w:rsidR="009A6D28" w:rsidP="009A6D28" w:rsidRDefault="00C20B86" w14:paraId="4750EC1D" w14:textId="0474828E">
      <w:r>
        <w:tab/>
      </w:r>
    </w:p>
    <w:p w:rsidRPr="00314555" w:rsidR="00B4708A" w:rsidP="00EA1CE4" w:rsidRDefault="009A6D28" w14:paraId="1CAE3FE1" w14:textId="7B6A7785">
      <w:pPr>
        <w:rPr>
          <w:b/>
          <w:bCs/>
        </w:rPr>
      </w:pPr>
      <w:r w:rsidRPr="00314555">
        <w:rPr>
          <w:b/>
          <w:bCs/>
        </w:rPr>
        <w:t>Toelichting</w:t>
      </w:r>
    </w:p>
    <w:p w:rsidRPr="00314555" w:rsidR="009A6D28" w:rsidP="00EA1CE4" w:rsidRDefault="009A6D28" w14:paraId="1F73CC61" w14:textId="77777777"/>
    <w:p w:rsidRPr="00314555" w:rsidR="00DF1BA6" w:rsidP="00DF1BA6" w:rsidRDefault="00D07B81" w14:paraId="17A4E0C4" w14:textId="6F70FE40">
      <w:r>
        <w:t xml:space="preserve">De indiener wil </w:t>
      </w:r>
      <w:r w:rsidRPr="00314555" w:rsidR="00DF1BA6">
        <w:t xml:space="preserve">onveiligheid </w:t>
      </w:r>
      <w:r>
        <w:t xml:space="preserve">voorkomen </w:t>
      </w:r>
      <w:r w:rsidRPr="00314555" w:rsidR="00DF1BA6">
        <w:t>en de grondoorzaken daarvan aan</w:t>
      </w:r>
      <w:r>
        <w:t>pakken</w:t>
      </w:r>
      <w:r w:rsidRPr="00314555" w:rsidR="00DF1BA6">
        <w:t xml:space="preserve">. Dit kabinet bezuinigt op het Centrum voor Criminaliteitspreventie en Veiligheid. Het CCV realiseert al jaren waardevolle projecten om criminaliteit te voorkomen. Zij bedenken slimme oplossingen voor het tegengaan van jeugdcriminaliteit en aanpak recidive. Het kabinet heeft op </w:t>
      </w:r>
      <w:r w:rsidR="00DF1BA6">
        <w:t>niet toegelicht hoe en waarom</w:t>
      </w:r>
      <w:r w:rsidRPr="00314555" w:rsidR="00DF1BA6">
        <w:t xml:space="preserve"> het CCV met minder geld af zou kunnen. Daarom zorgen zij er met dit amendement voor dat het CCV niet hoeft te bezuinigen op hun belangrijke en onmisbare activiteiten.</w:t>
      </w:r>
    </w:p>
    <w:p w:rsidRPr="00314555" w:rsidR="00314555" w:rsidP="00314555" w:rsidRDefault="00314555" w14:paraId="57ED60A1" w14:textId="77777777">
      <w:pPr>
        <w:rPr>
          <w:b/>
          <w:bCs/>
        </w:rPr>
      </w:pPr>
    </w:p>
    <w:tbl>
      <w:tblPr>
        <w:tblW w:w="8061" w:type="dxa"/>
        <w:tblCellMar>
          <w:left w:w="0" w:type="dxa"/>
          <w:right w:w="0" w:type="dxa"/>
        </w:tblCellMar>
        <w:tblLook w:val="04A0" w:firstRow="1" w:lastRow="0" w:firstColumn="1" w:lastColumn="0" w:noHBand="0" w:noVBand="1"/>
      </w:tblPr>
      <w:tblGrid>
        <w:gridCol w:w="3261"/>
        <w:gridCol w:w="960"/>
        <w:gridCol w:w="960"/>
        <w:gridCol w:w="960"/>
        <w:gridCol w:w="960"/>
        <w:gridCol w:w="960"/>
      </w:tblGrid>
      <w:tr w:rsidRPr="00314555" w:rsidR="00757560" w:rsidTr="00F06FF4" w14:paraId="523BF963" w14:textId="77777777">
        <w:trPr>
          <w:trHeight w:val="300"/>
        </w:trPr>
        <w:tc>
          <w:tcPr>
            <w:tcW w:w="3261" w:type="dxa"/>
            <w:noWrap/>
            <w:tcMar>
              <w:top w:w="0" w:type="dxa"/>
              <w:left w:w="70" w:type="dxa"/>
              <w:bottom w:w="0" w:type="dxa"/>
              <w:right w:w="70" w:type="dxa"/>
            </w:tcMar>
            <w:vAlign w:val="bottom"/>
            <w:hideMark/>
          </w:tcPr>
          <w:p w:rsidRPr="00314555" w:rsidR="00757560" w:rsidP="00F06FF4" w:rsidRDefault="00757560" w14:paraId="1F44874A" w14:textId="77777777">
            <w:pPr>
              <w:rPr>
                <w:b/>
                <w:bCs/>
                <w:color w:val="000000"/>
              </w:rPr>
            </w:pPr>
            <w:r w:rsidRPr="00314555">
              <w:rPr>
                <w:b/>
                <w:bCs/>
                <w:color w:val="000000"/>
              </w:rPr>
              <w:t>Jaar</w:t>
            </w:r>
          </w:p>
        </w:tc>
        <w:tc>
          <w:tcPr>
            <w:tcW w:w="960" w:type="dxa"/>
            <w:noWrap/>
            <w:tcMar>
              <w:top w:w="0" w:type="dxa"/>
              <w:left w:w="70" w:type="dxa"/>
              <w:bottom w:w="0" w:type="dxa"/>
              <w:right w:w="70" w:type="dxa"/>
            </w:tcMar>
            <w:vAlign w:val="bottom"/>
            <w:hideMark/>
          </w:tcPr>
          <w:p w:rsidRPr="00314555" w:rsidR="00757560" w:rsidP="00F06FF4" w:rsidRDefault="00757560" w14:paraId="2306DECD" w14:textId="77777777">
            <w:pPr>
              <w:rPr>
                <w:color w:val="000000"/>
              </w:rPr>
            </w:pPr>
            <w:r w:rsidRPr="00314555">
              <w:rPr>
                <w:color w:val="000000"/>
              </w:rPr>
              <w:t>2025</w:t>
            </w:r>
          </w:p>
        </w:tc>
        <w:tc>
          <w:tcPr>
            <w:tcW w:w="960" w:type="dxa"/>
            <w:noWrap/>
            <w:tcMar>
              <w:top w:w="0" w:type="dxa"/>
              <w:left w:w="70" w:type="dxa"/>
              <w:bottom w:w="0" w:type="dxa"/>
              <w:right w:w="70" w:type="dxa"/>
            </w:tcMar>
            <w:vAlign w:val="bottom"/>
            <w:hideMark/>
          </w:tcPr>
          <w:p w:rsidRPr="00314555" w:rsidR="00757560" w:rsidP="00F06FF4" w:rsidRDefault="00757560" w14:paraId="599E2BCC" w14:textId="77777777">
            <w:pPr>
              <w:rPr>
                <w:color w:val="000000"/>
              </w:rPr>
            </w:pPr>
            <w:r w:rsidRPr="00314555">
              <w:rPr>
                <w:color w:val="000000"/>
              </w:rPr>
              <w:t>2026</w:t>
            </w:r>
          </w:p>
        </w:tc>
        <w:tc>
          <w:tcPr>
            <w:tcW w:w="960" w:type="dxa"/>
            <w:noWrap/>
            <w:tcMar>
              <w:top w:w="0" w:type="dxa"/>
              <w:left w:w="70" w:type="dxa"/>
              <w:bottom w:w="0" w:type="dxa"/>
              <w:right w:w="70" w:type="dxa"/>
            </w:tcMar>
            <w:vAlign w:val="bottom"/>
            <w:hideMark/>
          </w:tcPr>
          <w:p w:rsidRPr="00314555" w:rsidR="00757560" w:rsidP="00F06FF4" w:rsidRDefault="00757560" w14:paraId="24031C55" w14:textId="77777777">
            <w:pPr>
              <w:rPr>
                <w:color w:val="000000"/>
              </w:rPr>
            </w:pPr>
            <w:r w:rsidRPr="00314555">
              <w:rPr>
                <w:color w:val="000000"/>
              </w:rPr>
              <w:t>2027</w:t>
            </w:r>
          </w:p>
        </w:tc>
        <w:tc>
          <w:tcPr>
            <w:tcW w:w="960" w:type="dxa"/>
            <w:noWrap/>
            <w:tcMar>
              <w:top w:w="0" w:type="dxa"/>
              <w:left w:w="70" w:type="dxa"/>
              <w:bottom w:w="0" w:type="dxa"/>
              <w:right w:w="70" w:type="dxa"/>
            </w:tcMar>
            <w:vAlign w:val="bottom"/>
            <w:hideMark/>
          </w:tcPr>
          <w:p w:rsidRPr="00314555" w:rsidR="00757560" w:rsidP="00F06FF4" w:rsidRDefault="00757560" w14:paraId="2662BFF3" w14:textId="77777777">
            <w:pPr>
              <w:rPr>
                <w:color w:val="000000"/>
              </w:rPr>
            </w:pPr>
            <w:r w:rsidRPr="00314555">
              <w:rPr>
                <w:color w:val="000000"/>
              </w:rPr>
              <w:t>2028</w:t>
            </w:r>
          </w:p>
        </w:tc>
        <w:tc>
          <w:tcPr>
            <w:tcW w:w="960" w:type="dxa"/>
            <w:noWrap/>
            <w:tcMar>
              <w:top w:w="0" w:type="dxa"/>
              <w:left w:w="70" w:type="dxa"/>
              <w:bottom w:w="0" w:type="dxa"/>
              <w:right w:w="70" w:type="dxa"/>
            </w:tcMar>
            <w:vAlign w:val="bottom"/>
            <w:hideMark/>
          </w:tcPr>
          <w:p w:rsidRPr="00314555" w:rsidR="00757560" w:rsidP="00F06FF4" w:rsidRDefault="00757560" w14:paraId="356A834D" w14:textId="77777777">
            <w:pPr>
              <w:rPr>
                <w:color w:val="000000"/>
              </w:rPr>
            </w:pPr>
            <w:r w:rsidRPr="00314555">
              <w:rPr>
                <w:color w:val="000000"/>
              </w:rPr>
              <w:t>2029</w:t>
            </w:r>
          </w:p>
        </w:tc>
      </w:tr>
      <w:tr w:rsidRPr="00314555" w:rsidR="00757560" w:rsidTr="00F06FF4" w14:paraId="41181B14" w14:textId="77777777">
        <w:trPr>
          <w:trHeight w:val="300"/>
        </w:trPr>
        <w:tc>
          <w:tcPr>
            <w:tcW w:w="3261" w:type="dxa"/>
            <w:noWrap/>
            <w:tcMar>
              <w:top w:w="0" w:type="dxa"/>
              <w:left w:w="70" w:type="dxa"/>
              <w:bottom w:w="0" w:type="dxa"/>
              <w:right w:w="70" w:type="dxa"/>
            </w:tcMar>
            <w:vAlign w:val="bottom"/>
            <w:hideMark/>
          </w:tcPr>
          <w:p w:rsidRPr="00314555" w:rsidR="00757560" w:rsidP="00F06FF4" w:rsidRDefault="00757560" w14:paraId="61DB31B1" w14:textId="77777777">
            <w:pPr>
              <w:rPr>
                <w:color w:val="000000"/>
              </w:rPr>
            </w:pPr>
            <w:r w:rsidRPr="00314555">
              <w:rPr>
                <w:color w:val="000000"/>
              </w:rPr>
              <w:t>Mutatie 2025 t.o.v. 2024</w:t>
            </w:r>
          </w:p>
        </w:tc>
        <w:tc>
          <w:tcPr>
            <w:tcW w:w="960" w:type="dxa"/>
            <w:noWrap/>
            <w:tcMar>
              <w:top w:w="0" w:type="dxa"/>
              <w:left w:w="70" w:type="dxa"/>
              <w:bottom w:w="0" w:type="dxa"/>
              <w:right w:w="70" w:type="dxa"/>
            </w:tcMar>
            <w:hideMark/>
          </w:tcPr>
          <w:p w:rsidRPr="00314555" w:rsidR="00757560" w:rsidP="00F06FF4" w:rsidRDefault="00757560" w14:paraId="310E2E44" w14:textId="77777777">
            <w:pPr>
              <w:rPr>
                <w:color w:val="000000"/>
              </w:rPr>
            </w:pPr>
            <w:r w:rsidRPr="00B0385C">
              <w:t>-178</w:t>
            </w:r>
          </w:p>
        </w:tc>
        <w:tc>
          <w:tcPr>
            <w:tcW w:w="960" w:type="dxa"/>
            <w:noWrap/>
            <w:tcMar>
              <w:top w:w="0" w:type="dxa"/>
              <w:left w:w="70" w:type="dxa"/>
              <w:bottom w:w="0" w:type="dxa"/>
              <w:right w:w="70" w:type="dxa"/>
            </w:tcMar>
            <w:hideMark/>
          </w:tcPr>
          <w:p w:rsidRPr="00314555" w:rsidR="00757560" w:rsidP="00F06FF4" w:rsidRDefault="00757560" w14:paraId="0811ADD0" w14:textId="77777777">
            <w:pPr>
              <w:rPr>
                <w:color w:val="000000"/>
              </w:rPr>
            </w:pPr>
            <w:r w:rsidRPr="00B0385C">
              <w:t>-445</w:t>
            </w:r>
          </w:p>
        </w:tc>
        <w:tc>
          <w:tcPr>
            <w:tcW w:w="960" w:type="dxa"/>
            <w:noWrap/>
            <w:tcMar>
              <w:top w:w="0" w:type="dxa"/>
              <w:left w:w="70" w:type="dxa"/>
              <w:bottom w:w="0" w:type="dxa"/>
              <w:right w:w="70" w:type="dxa"/>
            </w:tcMar>
            <w:hideMark/>
          </w:tcPr>
          <w:p w:rsidRPr="00314555" w:rsidR="00757560" w:rsidP="00F06FF4" w:rsidRDefault="00757560" w14:paraId="2945C680" w14:textId="77777777">
            <w:pPr>
              <w:rPr>
                <w:color w:val="000000"/>
              </w:rPr>
            </w:pPr>
            <w:r w:rsidRPr="00B0385C">
              <w:t>-691</w:t>
            </w:r>
          </w:p>
        </w:tc>
        <w:tc>
          <w:tcPr>
            <w:tcW w:w="960" w:type="dxa"/>
            <w:noWrap/>
            <w:tcMar>
              <w:top w:w="0" w:type="dxa"/>
              <w:left w:w="70" w:type="dxa"/>
              <w:bottom w:w="0" w:type="dxa"/>
              <w:right w:w="70" w:type="dxa"/>
            </w:tcMar>
            <w:hideMark/>
          </w:tcPr>
          <w:p w:rsidRPr="00314555" w:rsidR="00757560" w:rsidP="00F06FF4" w:rsidRDefault="00757560" w14:paraId="74DCF058" w14:textId="77777777">
            <w:pPr>
              <w:rPr>
                <w:color w:val="000000"/>
              </w:rPr>
            </w:pPr>
            <w:r w:rsidRPr="00B0385C">
              <w:t>-975</w:t>
            </w:r>
          </w:p>
        </w:tc>
        <w:tc>
          <w:tcPr>
            <w:tcW w:w="960" w:type="dxa"/>
            <w:noWrap/>
            <w:tcMar>
              <w:top w:w="0" w:type="dxa"/>
              <w:left w:w="70" w:type="dxa"/>
              <w:bottom w:w="0" w:type="dxa"/>
              <w:right w:w="70" w:type="dxa"/>
            </w:tcMar>
            <w:hideMark/>
          </w:tcPr>
          <w:p w:rsidRPr="00314555" w:rsidR="00757560" w:rsidP="00F06FF4" w:rsidRDefault="00757560" w14:paraId="5AFD439F" w14:textId="20B90617">
            <w:pPr>
              <w:rPr>
                <w:color w:val="000000"/>
              </w:rPr>
            </w:pPr>
            <w:r w:rsidRPr="00B0385C">
              <w:t>-1</w:t>
            </w:r>
            <w:r w:rsidR="00282622">
              <w:t>.</w:t>
            </w:r>
            <w:r w:rsidRPr="00B0385C">
              <w:t>087</w:t>
            </w:r>
          </w:p>
        </w:tc>
      </w:tr>
    </w:tbl>
    <w:p w:rsidRPr="00314555" w:rsidR="00A3057D" w:rsidP="00A3057D" w:rsidRDefault="00A3057D" w14:paraId="08951E62" w14:textId="48B6937A"/>
    <w:p w:rsidRPr="00314555" w:rsidR="00382C36" w:rsidP="00382C36" w:rsidRDefault="00382C36" w14:paraId="14266E71" w14:textId="5CD6DD14">
      <w:r w:rsidRPr="00314555">
        <w:t xml:space="preserve">Met dit amendement is structurele werking beoogd. </w:t>
      </w:r>
      <w:r w:rsidR="00D07B81">
        <w:t xml:space="preserve">Dekking vindt plaats uit </w:t>
      </w:r>
      <w:r w:rsidRPr="00314555">
        <w:t xml:space="preserve">het </w:t>
      </w:r>
      <w:r w:rsidRPr="00314555">
        <w:rPr>
          <w:color w:val="000000"/>
        </w:rPr>
        <w:t xml:space="preserve">beleidsmatig gereserveerde budget op artikel 33 uit de begroting </w:t>
      </w:r>
      <w:r w:rsidR="00D07B81">
        <w:rPr>
          <w:color w:val="000000"/>
        </w:rPr>
        <w:t xml:space="preserve">Justitie en Veiligheid voor </w:t>
      </w:r>
      <w:r w:rsidRPr="00314555">
        <w:rPr>
          <w:color w:val="000000"/>
        </w:rPr>
        <w:t xml:space="preserve">2025. </w:t>
      </w:r>
    </w:p>
    <w:p w:rsidRPr="00314555" w:rsidR="00A3057D" w:rsidP="00A3057D" w:rsidRDefault="00A3057D" w14:paraId="4C64B53F" w14:textId="77777777">
      <w:pPr>
        <w:rPr>
          <w:rFonts w:ascii="Calibri" w:hAnsi="Calibri" w:cs="Calibri" w:eastAsiaTheme="minorHAnsi"/>
          <w:sz w:val="22"/>
          <w:szCs w:val="22"/>
          <w:lang w:eastAsia="en-US"/>
          <w14:ligatures w14:val="standardContextual"/>
        </w:rPr>
      </w:pPr>
    </w:p>
    <w:p w:rsidR="00A3057D" w:rsidP="00A3057D" w:rsidRDefault="00A3057D" w14:paraId="5E918693" w14:textId="78B108DB">
      <w:r w:rsidRPr="00314555">
        <w:t>Sneller</w:t>
      </w:r>
    </w:p>
    <w:p w:rsidR="005A24FE" w:rsidP="00A3057D" w:rsidRDefault="005A24FE" w14:paraId="34528F5C" w14:textId="77777777"/>
    <w:sectPr w:rsidR="005A24F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836C" w14:textId="77777777" w:rsidR="00CD00E4" w:rsidRDefault="00CD00E4">
      <w:pPr>
        <w:spacing w:line="20" w:lineRule="exact"/>
      </w:pPr>
    </w:p>
  </w:endnote>
  <w:endnote w:type="continuationSeparator" w:id="0">
    <w:p w14:paraId="640BC66F" w14:textId="77777777" w:rsidR="00CD00E4" w:rsidRDefault="00CD00E4">
      <w:pPr>
        <w:pStyle w:val="Amendement"/>
      </w:pPr>
      <w:r>
        <w:rPr>
          <w:b w:val="0"/>
        </w:rPr>
        <w:t xml:space="preserve"> </w:t>
      </w:r>
    </w:p>
  </w:endnote>
  <w:endnote w:type="continuationNotice" w:id="1">
    <w:p w14:paraId="50C83A76" w14:textId="77777777" w:rsidR="00CD00E4" w:rsidRDefault="00CD0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897E" w14:textId="77777777" w:rsidR="00CD00E4" w:rsidRDefault="00CD00E4">
      <w:pPr>
        <w:pStyle w:val="Amendement"/>
      </w:pPr>
      <w:r>
        <w:rPr>
          <w:b w:val="0"/>
        </w:rPr>
        <w:separator/>
      </w:r>
    </w:p>
  </w:footnote>
  <w:footnote w:type="continuationSeparator" w:id="0">
    <w:p w14:paraId="14A0ED8B" w14:textId="77777777" w:rsidR="00CD00E4" w:rsidRDefault="00CD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14B2A"/>
    <w:rsid w:val="00024368"/>
    <w:rsid w:val="0007471A"/>
    <w:rsid w:val="000D17BF"/>
    <w:rsid w:val="00157CAF"/>
    <w:rsid w:val="001656EE"/>
    <w:rsid w:val="0016653D"/>
    <w:rsid w:val="001D56AF"/>
    <w:rsid w:val="001E0E21"/>
    <w:rsid w:val="001F50D2"/>
    <w:rsid w:val="00212E0A"/>
    <w:rsid w:val="002153B0"/>
    <w:rsid w:val="0021777F"/>
    <w:rsid w:val="00241DD0"/>
    <w:rsid w:val="00282622"/>
    <w:rsid w:val="002A0713"/>
    <w:rsid w:val="002D056B"/>
    <w:rsid w:val="002D2A78"/>
    <w:rsid w:val="003102D6"/>
    <w:rsid w:val="00314555"/>
    <w:rsid w:val="00337A25"/>
    <w:rsid w:val="00382C36"/>
    <w:rsid w:val="003C21AC"/>
    <w:rsid w:val="003C5218"/>
    <w:rsid w:val="003C7876"/>
    <w:rsid w:val="003D4E7A"/>
    <w:rsid w:val="003E2308"/>
    <w:rsid w:val="003E2F98"/>
    <w:rsid w:val="0042574B"/>
    <w:rsid w:val="004330ED"/>
    <w:rsid w:val="0043644A"/>
    <w:rsid w:val="00481C91"/>
    <w:rsid w:val="004911E3"/>
    <w:rsid w:val="00497D57"/>
    <w:rsid w:val="004A1E29"/>
    <w:rsid w:val="004A7DD4"/>
    <w:rsid w:val="004B50D8"/>
    <w:rsid w:val="004B5B90"/>
    <w:rsid w:val="00501109"/>
    <w:rsid w:val="00501B0F"/>
    <w:rsid w:val="005703C9"/>
    <w:rsid w:val="00597703"/>
    <w:rsid w:val="005A24FE"/>
    <w:rsid w:val="005A6097"/>
    <w:rsid w:val="005B1DCC"/>
    <w:rsid w:val="005B7323"/>
    <w:rsid w:val="005C25B9"/>
    <w:rsid w:val="005C76C1"/>
    <w:rsid w:val="00607239"/>
    <w:rsid w:val="006267E6"/>
    <w:rsid w:val="006558D2"/>
    <w:rsid w:val="00657D10"/>
    <w:rsid w:val="0066431D"/>
    <w:rsid w:val="00672D25"/>
    <w:rsid w:val="006738BC"/>
    <w:rsid w:val="006D3E69"/>
    <w:rsid w:val="006E0971"/>
    <w:rsid w:val="00705F02"/>
    <w:rsid w:val="00757560"/>
    <w:rsid w:val="007709F6"/>
    <w:rsid w:val="00781D51"/>
    <w:rsid w:val="00783215"/>
    <w:rsid w:val="007965FC"/>
    <w:rsid w:val="007D2608"/>
    <w:rsid w:val="008164E5"/>
    <w:rsid w:val="00830081"/>
    <w:rsid w:val="0084314B"/>
    <w:rsid w:val="008467D7"/>
    <w:rsid w:val="00850829"/>
    <w:rsid w:val="00852541"/>
    <w:rsid w:val="00865D47"/>
    <w:rsid w:val="0088452C"/>
    <w:rsid w:val="008A683F"/>
    <w:rsid w:val="008B3B25"/>
    <w:rsid w:val="008D7DCB"/>
    <w:rsid w:val="009055DB"/>
    <w:rsid w:val="00905ECB"/>
    <w:rsid w:val="0094602F"/>
    <w:rsid w:val="0096165D"/>
    <w:rsid w:val="00993E91"/>
    <w:rsid w:val="009A409F"/>
    <w:rsid w:val="009A6D28"/>
    <w:rsid w:val="009B5845"/>
    <w:rsid w:val="009C0C1F"/>
    <w:rsid w:val="009E1F9B"/>
    <w:rsid w:val="009F647A"/>
    <w:rsid w:val="00A10505"/>
    <w:rsid w:val="00A1288B"/>
    <w:rsid w:val="00A17AB0"/>
    <w:rsid w:val="00A3057D"/>
    <w:rsid w:val="00A46820"/>
    <w:rsid w:val="00A53203"/>
    <w:rsid w:val="00A772EB"/>
    <w:rsid w:val="00A81E8D"/>
    <w:rsid w:val="00AC7CFB"/>
    <w:rsid w:val="00AD2899"/>
    <w:rsid w:val="00B01BA6"/>
    <w:rsid w:val="00B4708A"/>
    <w:rsid w:val="00BF623B"/>
    <w:rsid w:val="00C035D4"/>
    <w:rsid w:val="00C20B86"/>
    <w:rsid w:val="00C443D7"/>
    <w:rsid w:val="00C679BF"/>
    <w:rsid w:val="00C81BBD"/>
    <w:rsid w:val="00CD00E4"/>
    <w:rsid w:val="00CD3132"/>
    <w:rsid w:val="00CE27CD"/>
    <w:rsid w:val="00CE59DD"/>
    <w:rsid w:val="00D07828"/>
    <w:rsid w:val="00D07B81"/>
    <w:rsid w:val="00D134F3"/>
    <w:rsid w:val="00D402A7"/>
    <w:rsid w:val="00D47D01"/>
    <w:rsid w:val="00D56ECD"/>
    <w:rsid w:val="00D774B3"/>
    <w:rsid w:val="00DD35A5"/>
    <w:rsid w:val="00DE2948"/>
    <w:rsid w:val="00DF1BA6"/>
    <w:rsid w:val="00DF68BE"/>
    <w:rsid w:val="00DF712A"/>
    <w:rsid w:val="00E25DF4"/>
    <w:rsid w:val="00E3485D"/>
    <w:rsid w:val="00E52D10"/>
    <w:rsid w:val="00E616B7"/>
    <w:rsid w:val="00E6619B"/>
    <w:rsid w:val="00E908D7"/>
    <w:rsid w:val="00EA1CE4"/>
    <w:rsid w:val="00EA69AC"/>
    <w:rsid w:val="00EA73B1"/>
    <w:rsid w:val="00EB40A1"/>
    <w:rsid w:val="00EB7CCA"/>
    <w:rsid w:val="00EC3112"/>
    <w:rsid w:val="00ED5E57"/>
    <w:rsid w:val="00EE1BD8"/>
    <w:rsid w:val="00EF102A"/>
    <w:rsid w:val="00F37199"/>
    <w:rsid w:val="00FA5BBE"/>
    <w:rsid w:val="00FF4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paragraph" w:styleId="Revisie">
    <w:name w:val="Revision"/>
    <w:hidden/>
    <w:uiPriority w:val="99"/>
    <w:semiHidden/>
    <w:rsid w:val="00D07B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883">
      <w:bodyDiv w:val="1"/>
      <w:marLeft w:val="0"/>
      <w:marRight w:val="0"/>
      <w:marTop w:val="0"/>
      <w:marBottom w:val="0"/>
      <w:divBdr>
        <w:top w:val="none" w:sz="0" w:space="0" w:color="auto"/>
        <w:left w:val="none" w:sz="0" w:space="0" w:color="auto"/>
        <w:bottom w:val="none" w:sz="0" w:space="0" w:color="auto"/>
        <w:right w:val="none" w:sz="0" w:space="0" w:color="auto"/>
      </w:divBdr>
    </w:div>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1314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2024-11-20T14:09:00.0000000Z</dcterms:created>
  <dcterms:modified xsi:type="dcterms:W3CDTF">2024-11-20T14:09:00.0000000Z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