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C34F2" w:rsidTr="00D9561B" w14:paraId="5375DF07" w14:textId="77777777">
        <w:trPr>
          <w:trHeight w:val="1514"/>
        </w:trPr>
        <w:tc>
          <w:tcPr>
            <w:tcW w:w="7522" w:type="dxa"/>
            <w:tcBorders>
              <w:top w:val="nil"/>
              <w:left w:val="nil"/>
              <w:bottom w:val="nil"/>
              <w:right w:val="nil"/>
            </w:tcBorders>
            <w:tcMar>
              <w:left w:w="0" w:type="dxa"/>
              <w:right w:w="0" w:type="dxa"/>
            </w:tcMar>
          </w:tcPr>
          <w:p w:rsidR="00374412" w:rsidP="00D9561B" w:rsidRDefault="000C02C7" w14:paraId="43B4AE42" w14:textId="77777777">
            <w:r>
              <w:t>De v</w:t>
            </w:r>
            <w:r w:rsidR="008E3932">
              <w:t>oorzitter van de Tweede Kamer der Staten-Generaal</w:t>
            </w:r>
          </w:p>
          <w:p w:rsidR="00374412" w:rsidP="00D9561B" w:rsidRDefault="000C02C7" w14:paraId="058E043B" w14:textId="77777777">
            <w:r>
              <w:t>Postbus 20018</w:t>
            </w:r>
          </w:p>
          <w:p w:rsidR="008E3932" w:rsidP="00D9561B" w:rsidRDefault="000C02C7" w14:paraId="3444EE4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C34F2" w:rsidTr="00FF66F9" w14:paraId="795D6626" w14:textId="77777777">
        <w:trPr>
          <w:trHeight w:val="289" w:hRule="exact"/>
        </w:trPr>
        <w:tc>
          <w:tcPr>
            <w:tcW w:w="929" w:type="dxa"/>
          </w:tcPr>
          <w:p w:rsidRPr="00434042" w:rsidR="0005404B" w:rsidP="00FF66F9" w:rsidRDefault="000C02C7" w14:paraId="6BF9E316" w14:textId="0370B7F7">
            <w:pPr>
              <w:rPr>
                <w:lang w:eastAsia="en-US"/>
              </w:rPr>
            </w:pPr>
            <w:r>
              <w:rPr>
                <w:lang w:eastAsia="en-US"/>
              </w:rPr>
              <w:t>Datum</w:t>
            </w:r>
          </w:p>
        </w:tc>
        <w:tc>
          <w:tcPr>
            <w:tcW w:w="6581" w:type="dxa"/>
          </w:tcPr>
          <w:p w:rsidRPr="00434042" w:rsidR="0005404B" w:rsidP="00FF66F9" w:rsidRDefault="005173B0" w14:paraId="6C89B122" w14:textId="4CE0C581">
            <w:pPr>
              <w:rPr>
                <w:lang w:eastAsia="en-US"/>
              </w:rPr>
            </w:pPr>
            <w:r>
              <w:rPr>
                <w:lang w:eastAsia="en-US"/>
              </w:rPr>
              <w:t>21 november 2024</w:t>
            </w:r>
          </w:p>
        </w:tc>
      </w:tr>
      <w:tr w:rsidR="00BC34F2" w:rsidTr="00FF66F9" w14:paraId="110CF2C3" w14:textId="77777777">
        <w:trPr>
          <w:trHeight w:val="368"/>
        </w:trPr>
        <w:tc>
          <w:tcPr>
            <w:tcW w:w="929" w:type="dxa"/>
          </w:tcPr>
          <w:p w:rsidR="0005404B" w:rsidP="00FF66F9" w:rsidRDefault="000C02C7" w14:paraId="0F24C94D" w14:textId="77777777">
            <w:pPr>
              <w:rPr>
                <w:lang w:eastAsia="en-US"/>
              </w:rPr>
            </w:pPr>
            <w:r>
              <w:rPr>
                <w:lang w:eastAsia="en-US"/>
              </w:rPr>
              <w:t>Betreft</w:t>
            </w:r>
          </w:p>
        </w:tc>
        <w:tc>
          <w:tcPr>
            <w:tcW w:w="6581" w:type="dxa"/>
          </w:tcPr>
          <w:p w:rsidR="0005404B" w:rsidP="00FF66F9" w:rsidRDefault="000C02C7" w14:paraId="114B4E71" w14:textId="40C90A48">
            <w:pPr>
              <w:rPr>
                <w:lang w:eastAsia="en-US"/>
              </w:rPr>
            </w:pPr>
            <w:r>
              <w:rPr>
                <w:lang w:eastAsia="en-US"/>
              </w:rPr>
              <w:t>Beleidsreactie onderzoeken voor- en vroegschoolse educatie</w:t>
            </w:r>
          </w:p>
        </w:tc>
      </w:tr>
    </w:tbl>
    <w:p w:rsidR="00BC34F2" w:rsidRDefault="00BC34F2" w14:paraId="38C9CEAC" w14:textId="0324B029"/>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F60EE" w:rsidR="00BC34F2" w:rsidTr="00A421A1" w14:paraId="7253338B" w14:textId="77777777">
        <w:tc>
          <w:tcPr>
            <w:tcW w:w="2160" w:type="dxa"/>
          </w:tcPr>
          <w:p w:rsidRPr="00F53C9D" w:rsidR="006205C0" w:rsidP="00686AED" w:rsidRDefault="000C02C7" w14:paraId="310A804A" w14:textId="77777777">
            <w:pPr>
              <w:pStyle w:val="Colofonkop"/>
              <w:framePr w:hSpace="0" w:wrap="auto" w:hAnchor="text" w:vAnchor="margin" w:xAlign="left" w:yAlign="inline"/>
            </w:pPr>
            <w:r>
              <w:t>Onderwijspersoneel en Primair Onderwijs</w:t>
            </w:r>
          </w:p>
          <w:p w:rsidR="006205C0" w:rsidP="00A421A1" w:rsidRDefault="000C02C7" w14:paraId="7AE86E9F" w14:textId="77777777">
            <w:pPr>
              <w:pStyle w:val="Huisstijl-Gegeven"/>
              <w:spacing w:after="0"/>
            </w:pPr>
            <w:r>
              <w:t xml:space="preserve">Rijnstraat 50 </w:t>
            </w:r>
          </w:p>
          <w:p w:rsidR="004425A7" w:rsidP="00E972A2" w:rsidRDefault="000C02C7" w14:paraId="41E8BE80" w14:textId="77777777">
            <w:pPr>
              <w:pStyle w:val="Huisstijl-Gegeven"/>
              <w:spacing w:after="0"/>
            </w:pPr>
            <w:r>
              <w:t>Den Haag</w:t>
            </w:r>
          </w:p>
          <w:p w:rsidR="004425A7" w:rsidP="00E972A2" w:rsidRDefault="000C02C7" w14:paraId="18E10E57" w14:textId="77777777">
            <w:pPr>
              <w:pStyle w:val="Huisstijl-Gegeven"/>
              <w:spacing w:after="0"/>
            </w:pPr>
            <w:r>
              <w:t>Postbus 16375</w:t>
            </w:r>
          </w:p>
          <w:p w:rsidR="004425A7" w:rsidP="00E972A2" w:rsidRDefault="000C02C7" w14:paraId="0CEFF148" w14:textId="77777777">
            <w:pPr>
              <w:pStyle w:val="Huisstijl-Gegeven"/>
              <w:spacing w:after="0"/>
            </w:pPr>
            <w:r>
              <w:t>2500 BJ Den Haag</w:t>
            </w:r>
          </w:p>
          <w:p w:rsidR="004425A7" w:rsidP="00E972A2" w:rsidRDefault="000C02C7" w14:paraId="6C080A2E" w14:textId="77777777">
            <w:pPr>
              <w:pStyle w:val="Huisstijl-Gegeven"/>
              <w:spacing w:after="90"/>
            </w:pPr>
            <w:r>
              <w:t>www.rijksoverheid.nl</w:t>
            </w:r>
          </w:p>
          <w:p w:rsidRPr="00D86CC6" w:rsidR="006205C0" w:rsidP="00A421A1" w:rsidRDefault="000C02C7" w14:paraId="0B7B7B4E" w14:textId="77777777">
            <w:pPr>
              <w:spacing w:line="180" w:lineRule="exact"/>
              <w:rPr>
                <w:b/>
                <w:sz w:val="13"/>
                <w:szCs w:val="13"/>
              </w:rPr>
            </w:pPr>
            <w:r>
              <w:rPr>
                <w:b/>
                <w:sz w:val="13"/>
                <w:szCs w:val="13"/>
              </w:rPr>
              <w:t>Contactpersoon</w:t>
            </w:r>
          </w:p>
          <w:p w:rsidRPr="00BF60EE" w:rsidR="006205C0" w:rsidP="00A421A1" w:rsidRDefault="006205C0" w14:paraId="3CA71EBE" w14:textId="3D5C1967">
            <w:pPr>
              <w:spacing w:line="180" w:lineRule="exact"/>
              <w:rPr>
                <w:sz w:val="13"/>
                <w:szCs w:val="13"/>
              </w:rPr>
            </w:pPr>
          </w:p>
        </w:tc>
      </w:tr>
      <w:tr w:rsidRPr="00BF60EE" w:rsidR="00BC34F2" w:rsidTr="00A421A1" w14:paraId="35F5759B" w14:textId="77777777">
        <w:trPr>
          <w:trHeight w:val="200" w:hRule="exact"/>
        </w:trPr>
        <w:tc>
          <w:tcPr>
            <w:tcW w:w="2160" w:type="dxa"/>
          </w:tcPr>
          <w:p w:rsidRPr="00BF60EE" w:rsidR="006205C0" w:rsidP="00A421A1" w:rsidRDefault="006205C0" w14:paraId="7CED4824" w14:textId="77777777">
            <w:pPr>
              <w:spacing w:after="90" w:line="180" w:lineRule="exact"/>
              <w:rPr>
                <w:sz w:val="13"/>
                <w:szCs w:val="13"/>
              </w:rPr>
            </w:pPr>
          </w:p>
        </w:tc>
      </w:tr>
      <w:tr w:rsidR="00BC34F2" w:rsidTr="00A421A1" w14:paraId="68C4A7D2" w14:textId="77777777">
        <w:trPr>
          <w:trHeight w:val="450"/>
        </w:trPr>
        <w:tc>
          <w:tcPr>
            <w:tcW w:w="2160" w:type="dxa"/>
          </w:tcPr>
          <w:p w:rsidR="00F51A76" w:rsidP="00A421A1" w:rsidRDefault="000C02C7" w14:paraId="24AD7DC6" w14:textId="77777777">
            <w:pPr>
              <w:spacing w:line="180" w:lineRule="exact"/>
              <w:rPr>
                <w:b/>
                <w:sz w:val="13"/>
                <w:szCs w:val="13"/>
              </w:rPr>
            </w:pPr>
            <w:r>
              <w:rPr>
                <w:b/>
                <w:sz w:val="13"/>
                <w:szCs w:val="13"/>
              </w:rPr>
              <w:t>Onze referentie</w:t>
            </w:r>
          </w:p>
          <w:p w:rsidRPr="00FA7882" w:rsidR="006205C0" w:rsidP="00215356" w:rsidRDefault="00616218" w14:paraId="2EBECCD4" w14:textId="0DCC64DA">
            <w:pPr>
              <w:spacing w:line="180" w:lineRule="exact"/>
              <w:rPr>
                <w:sz w:val="13"/>
                <w:szCs w:val="13"/>
              </w:rPr>
            </w:pPr>
            <w:r>
              <w:rPr>
                <w:sz w:val="13"/>
                <w:szCs w:val="13"/>
              </w:rPr>
              <w:t>49</w:t>
            </w:r>
            <w:r w:rsidR="00BF60EE">
              <w:rPr>
                <w:sz w:val="13"/>
                <w:szCs w:val="13"/>
              </w:rPr>
              <w:t>198439</w:t>
            </w:r>
          </w:p>
        </w:tc>
      </w:tr>
      <w:tr w:rsidR="00BC34F2" w:rsidTr="00D130C0" w14:paraId="1CC6E199" w14:textId="77777777">
        <w:trPr>
          <w:trHeight w:val="113"/>
        </w:trPr>
        <w:tc>
          <w:tcPr>
            <w:tcW w:w="2160" w:type="dxa"/>
          </w:tcPr>
          <w:p w:rsidRPr="00C5333A" w:rsidR="006205C0" w:rsidP="00D36088" w:rsidRDefault="000C02C7" w14:paraId="5B671614" w14:textId="77777777">
            <w:pPr>
              <w:tabs>
                <w:tab w:val="center" w:pos="1080"/>
              </w:tabs>
              <w:spacing w:line="180" w:lineRule="exact"/>
              <w:rPr>
                <w:sz w:val="13"/>
                <w:szCs w:val="13"/>
              </w:rPr>
            </w:pPr>
            <w:r>
              <w:rPr>
                <w:b/>
                <w:sz w:val="13"/>
                <w:szCs w:val="13"/>
              </w:rPr>
              <w:t>Bijlagen</w:t>
            </w:r>
          </w:p>
        </w:tc>
      </w:tr>
      <w:tr w:rsidR="00BC34F2" w:rsidTr="00D130C0" w14:paraId="0D6948C5" w14:textId="77777777">
        <w:trPr>
          <w:trHeight w:val="113"/>
        </w:trPr>
        <w:tc>
          <w:tcPr>
            <w:tcW w:w="2160" w:type="dxa"/>
          </w:tcPr>
          <w:p w:rsidRPr="00D74F66" w:rsidR="006205C0" w:rsidP="00A421A1" w:rsidRDefault="000C02C7" w14:paraId="14C96661" w14:textId="77777777">
            <w:pPr>
              <w:spacing w:after="90" w:line="180" w:lineRule="exact"/>
              <w:rPr>
                <w:sz w:val="13"/>
              </w:rPr>
            </w:pPr>
            <w:r>
              <w:rPr>
                <w:sz w:val="13"/>
              </w:rPr>
              <w:t>4</w:t>
            </w:r>
          </w:p>
        </w:tc>
      </w:tr>
    </w:tbl>
    <w:p w:rsidRPr="00251259" w:rsidR="000C02C7" w:rsidP="0007023F" w:rsidRDefault="0007023F" w14:paraId="4AED08BE" w14:textId="6F37E3CB">
      <w:r w:rsidRPr="004B3DF7">
        <w:t>I</w:t>
      </w:r>
      <w:r w:rsidRPr="00E17836">
        <w:t>n het onderwijs mag geen talent verloren gaan</w:t>
      </w:r>
      <w:r w:rsidR="00E17836">
        <w:t xml:space="preserve"> en de basisvaardigheden moeten omhoog</w:t>
      </w:r>
      <w:r w:rsidRPr="00E17836">
        <w:t xml:space="preserve">. </w:t>
      </w:r>
      <w:r w:rsidRPr="00E17836">
        <w:rPr>
          <w:szCs w:val="18"/>
        </w:rPr>
        <w:t xml:space="preserve">Hoe vroeger we achterstanden aanpakken, hoe beter. Daarom is het belangrijk om </w:t>
      </w:r>
      <w:r w:rsidRPr="00DF477A">
        <w:rPr>
          <w:szCs w:val="18"/>
        </w:rPr>
        <w:t>in te zetten</w:t>
      </w:r>
      <w:r w:rsidRPr="00E17836">
        <w:rPr>
          <w:szCs w:val="18"/>
        </w:rPr>
        <w:t xml:space="preserve"> </w:t>
      </w:r>
      <w:r w:rsidRPr="00DF477A">
        <w:rPr>
          <w:szCs w:val="18"/>
        </w:rPr>
        <w:t>op</w:t>
      </w:r>
      <w:r w:rsidRPr="00E17836">
        <w:rPr>
          <w:szCs w:val="18"/>
        </w:rPr>
        <w:t xml:space="preserve"> goede voor</w:t>
      </w:r>
      <w:r w:rsidRPr="00DF477A" w:rsidR="00BE590B">
        <w:rPr>
          <w:szCs w:val="18"/>
        </w:rPr>
        <w:t>schoolse en vroegschoolse educatie (hierna: vve) voor peuters</w:t>
      </w:r>
      <w:r w:rsidRPr="00E17836">
        <w:rPr>
          <w:szCs w:val="18"/>
        </w:rPr>
        <w:t xml:space="preserve"> en </w:t>
      </w:r>
      <w:r w:rsidRPr="00DF477A" w:rsidR="00BE590B">
        <w:rPr>
          <w:szCs w:val="18"/>
        </w:rPr>
        <w:t>kleuters die dat nodig hebben</w:t>
      </w:r>
      <w:r w:rsidR="007B43E0">
        <w:rPr>
          <w:szCs w:val="18"/>
        </w:rPr>
        <w:t>, zodat kinderen zonder achterstanden aan hun schoolloopbaan beginnen</w:t>
      </w:r>
      <w:r w:rsidRPr="00E17836">
        <w:rPr>
          <w:szCs w:val="18"/>
        </w:rPr>
        <w:t xml:space="preserve">. </w:t>
      </w:r>
      <w:r w:rsidRPr="00E17836" w:rsidR="005079AB">
        <w:t>W</w:t>
      </w:r>
      <w:r w:rsidRPr="00E17836" w:rsidR="000C02C7">
        <w:t xml:space="preserve">etenschappelijk onderzoek </w:t>
      </w:r>
      <w:r w:rsidRPr="00E17836" w:rsidR="005079AB">
        <w:t>laat zien</w:t>
      </w:r>
      <w:r w:rsidRPr="00E17836" w:rsidR="000C02C7">
        <w:t xml:space="preserve"> dat wanneer kinderen goede vve krijgen, zij in</w:t>
      </w:r>
      <w:r w:rsidR="000C02C7">
        <w:t xml:space="preserve"> deze periode</w:t>
      </w:r>
      <w:r w:rsidRPr="00251259" w:rsidR="000C02C7">
        <w:t xml:space="preserve"> </w:t>
      </w:r>
      <w:r w:rsidR="000C02C7">
        <w:t xml:space="preserve">hun </w:t>
      </w:r>
      <w:r w:rsidRPr="00251259" w:rsidR="000C02C7">
        <w:t xml:space="preserve">achterstand inlopen. </w:t>
      </w:r>
      <w:r w:rsidR="00BE590B">
        <w:t xml:space="preserve">Ook verbeteren hun schoolse vaardigheden, waar ze de rest van hun schoolloopbaan baat bij hebben. </w:t>
      </w:r>
      <w:r w:rsidR="00E17836">
        <w:t>Met een vroege aanpak</w:t>
      </w:r>
      <w:r w:rsidRPr="00251259" w:rsidR="000C02C7">
        <w:t xml:space="preserve"> voorkomen we dat kinderen al vroeg een achterstand oplopen, die later nauwelijks meer is in te halen.</w:t>
      </w:r>
    </w:p>
    <w:p w:rsidRPr="00251259" w:rsidR="000C02C7" w:rsidP="000C02C7" w:rsidRDefault="000C02C7" w14:paraId="02753B2B" w14:textId="77777777"/>
    <w:p w:rsidR="00E17836" w:rsidP="000C02C7" w:rsidRDefault="000C02C7" w14:paraId="0C9F282B" w14:textId="6DB08CEF">
      <w:r w:rsidRPr="00251259">
        <w:t>Om die reden laat ik een onderzoek uitvoeren naar kansrijke interventies die ervoor zorgen dat alle kinderen met zo min mogelijk achterstand op de basisschool starten. Een van de</w:t>
      </w:r>
      <w:r>
        <w:t xml:space="preserve"> mogelijke</w:t>
      </w:r>
      <w:r w:rsidRPr="00251259">
        <w:t xml:space="preserve"> </w:t>
      </w:r>
      <w:r w:rsidR="00E17836">
        <w:t>maatregelen</w:t>
      </w:r>
      <w:r w:rsidRPr="00251259" w:rsidR="00E17836">
        <w:t xml:space="preserve"> </w:t>
      </w:r>
      <w:r w:rsidRPr="00251259">
        <w:t>is het verplicht</w:t>
      </w:r>
      <w:r w:rsidR="00E17836">
        <w:t>en</w:t>
      </w:r>
      <w:r w:rsidRPr="00251259">
        <w:t xml:space="preserve"> van voorschoolse educatie</w:t>
      </w:r>
      <w:r w:rsidR="00E17836">
        <w:t xml:space="preserve"> in de kinderopvang</w:t>
      </w:r>
      <w:r w:rsidRPr="00251259">
        <w:t xml:space="preserve"> voor </w:t>
      </w:r>
      <w:r w:rsidR="00E17836">
        <w:t>kinderen van 2,5 tot 4 jaar die dat nodig hebben</w:t>
      </w:r>
      <w:r w:rsidRPr="00251259">
        <w:t xml:space="preserve">. Een andere </w:t>
      </w:r>
      <w:r>
        <w:t xml:space="preserve">mogelijke </w:t>
      </w:r>
      <w:r w:rsidRPr="00251259">
        <w:t>interventie is het verlagen van de leerplicht van vijf naar vier jaar.</w:t>
      </w:r>
      <w:r w:rsidR="00963AC9">
        <w:t xml:space="preserve"> Begin 2025 laat ik uw Kamer weten welke stappen dit kabinet op basis van d</w:t>
      </w:r>
      <w:r w:rsidR="00E17836">
        <w:t>at onderzoek</w:t>
      </w:r>
      <w:r w:rsidR="00963AC9">
        <w:t xml:space="preserve"> voor deze kinderen neemt. </w:t>
      </w:r>
    </w:p>
    <w:p w:rsidR="00E17836" w:rsidP="000C02C7" w:rsidRDefault="00E17836" w14:paraId="0E349345" w14:textId="77777777"/>
    <w:p w:rsidR="000C02C7" w:rsidP="000C02C7" w:rsidRDefault="00963AC9" w14:paraId="2D5C0E62" w14:textId="3A7DB9D9">
      <w:r>
        <w:t>Hierop vooruitlopend</w:t>
      </w:r>
      <w:r w:rsidR="000C02C7">
        <w:t xml:space="preserve"> informeer ik u in deze brief </w:t>
      </w:r>
      <w:r w:rsidR="000C02C7">
        <w:rPr>
          <w:szCs w:val="18"/>
        </w:rPr>
        <w:t xml:space="preserve">over een aantal voorgenomen wetswijzigingen die gemeenten helpen de knelpunten die zij ervaren rondom uitvoering van de Lokale Educatieve Agenda en vve op te lossen. Dit </w:t>
      </w:r>
      <w:r w:rsidR="00E17836">
        <w:rPr>
          <w:szCs w:val="18"/>
        </w:rPr>
        <w:t>heb ik recent toegezegd</w:t>
      </w:r>
      <w:r w:rsidR="000C02C7">
        <w:rPr>
          <w:szCs w:val="18"/>
        </w:rPr>
        <w:t xml:space="preserve"> </w:t>
      </w:r>
      <w:r>
        <w:rPr>
          <w:szCs w:val="18"/>
        </w:rPr>
        <w:t>in debat met uw Kamer</w:t>
      </w:r>
      <w:r w:rsidRPr="009F20BE" w:rsidR="000C02C7">
        <w:rPr>
          <w:szCs w:val="18"/>
        </w:rPr>
        <w:t xml:space="preserve"> </w:t>
      </w:r>
      <w:r w:rsidR="002A7835">
        <w:rPr>
          <w:szCs w:val="18"/>
        </w:rPr>
        <w:t xml:space="preserve">en </w:t>
      </w:r>
      <w:r w:rsidR="00E17836">
        <w:rPr>
          <w:szCs w:val="18"/>
        </w:rPr>
        <w:t xml:space="preserve">zo </w:t>
      </w:r>
      <w:r w:rsidR="002A7835">
        <w:rPr>
          <w:szCs w:val="18"/>
        </w:rPr>
        <w:t xml:space="preserve">geef ik </w:t>
      </w:r>
      <w:r w:rsidR="00E17836">
        <w:rPr>
          <w:szCs w:val="18"/>
        </w:rPr>
        <w:t xml:space="preserve">ook </w:t>
      </w:r>
      <w:r w:rsidR="002A7835">
        <w:t xml:space="preserve">uitvoering aan de aangenomen moties van het lid Kisteman </w:t>
      </w:r>
      <w:r w:rsidR="008A181B">
        <w:t>(</w:t>
      </w:r>
      <w:r w:rsidR="002A7835">
        <w:t>VVD</w:t>
      </w:r>
      <w:r w:rsidR="008A181B">
        <w:t>)</w:t>
      </w:r>
      <w:r w:rsidR="002A7835">
        <w:t xml:space="preserve"> en het lid Soepboer </w:t>
      </w:r>
      <w:r w:rsidR="008A181B">
        <w:t>(</w:t>
      </w:r>
      <w:r w:rsidR="002A7835">
        <w:t>NSC</w:t>
      </w:r>
      <w:r w:rsidR="008A181B">
        <w:t>)</w:t>
      </w:r>
      <w:r w:rsidR="002A7835">
        <w:t>.</w:t>
      </w:r>
      <w:r w:rsidR="002A7835">
        <w:rPr>
          <w:rStyle w:val="Voetnootmarkering"/>
        </w:rPr>
        <w:footnoteReference w:id="1"/>
      </w:r>
      <w:r w:rsidRPr="00DF477A" w:rsidR="002A7835">
        <w:rPr>
          <w:vertAlign w:val="superscript"/>
        </w:rPr>
        <w:t>,</w:t>
      </w:r>
      <w:r w:rsidR="002A7835">
        <w:rPr>
          <w:rStyle w:val="Voetnootmarkering"/>
        </w:rPr>
        <w:footnoteReference w:id="2"/>
      </w:r>
      <w:r w:rsidR="002A7835">
        <w:t xml:space="preserve"> </w:t>
      </w:r>
      <w:r w:rsidR="000C02C7">
        <w:rPr>
          <w:szCs w:val="18"/>
        </w:rPr>
        <w:t>Daarbij betrek ik tevens de</w:t>
      </w:r>
      <w:r w:rsidRPr="001C1631" w:rsidR="000C02C7">
        <w:t xml:space="preserve"> </w:t>
      </w:r>
      <w:r w:rsidR="000C02C7">
        <w:t>aanbevelingen die</w:t>
      </w:r>
      <w:r w:rsidR="00E17836">
        <w:t xml:space="preserve"> recent</w:t>
      </w:r>
      <w:r w:rsidR="000C02C7">
        <w:t xml:space="preserve"> in een zestal</w:t>
      </w:r>
      <w:r w:rsidR="00E17836">
        <w:t xml:space="preserve"> </w:t>
      </w:r>
      <w:r w:rsidR="000C02C7">
        <w:t>rapporten zijn gedaan.</w:t>
      </w:r>
      <w:r w:rsidR="000C02C7">
        <w:rPr>
          <w:rStyle w:val="Voetnootmarkering"/>
        </w:rPr>
        <w:footnoteReference w:id="3"/>
      </w:r>
    </w:p>
    <w:p w:rsidR="00A375AF" w:rsidP="000C02C7" w:rsidRDefault="00A375AF" w14:paraId="233E65DA" w14:textId="77777777">
      <w:pPr>
        <w:rPr>
          <w:i/>
          <w:iCs/>
        </w:rPr>
      </w:pPr>
      <w:r>
        <w:rPr>
          <w:i/>
          <w:iCs/>
        </w:rPr>
        <w:t xml:space="preserve"> </w:t>
      </w:r>
    </w:p>
    <w:p w:rsidR="00793FC5" w:rsidP="000C02C7" w:rsidRDefault="00793FC5" w14:paraId="2011FD49" w14:textId="77777777">
      <w:pPr>
        <w:rPr>
          <w:i/>
          <w:iCs/>
        </w:rPr>
      </w:pPr>
    </w:p>
    <w:p w:rsidR="00793FC5" w:rsidP="000C02C7" w:rsidRDefault="00793FC5" w14:paraId="176CAFBB" w14:textId="77777777">
      <w:pPr>
        <w:rPr>
          <w:i/>
          <w:iCs/>
        </w:rPr>
      </w:pPr>
    </w:p>
    <w:p w:rsidR="000C02C7" w:rsidP="000C02C7" w:rsidRDefault="000C02C7" w14:paraId="3FA07EC6" w14:textId="559D87B9">
      <w:pPr>
        <w:rPr>
          <w:i/>
          <w:iCs/>
        </w:rPr>
      </w:pPr>
      <w:r>
        <w:rPr>
          <w:i/>
          <w:iCs/>
        </w:rPr>
        <w:lastRenderedPageBreak/>
        <w:t>Versterking schoolambities vroegschoolse educatie noodzakelijk</w:t>
      </w:r>
    </w:p>
    <w:p w:rsidR="00C800AC" w:rsidP="000C02C7" w:rsidRDefault="000C02C7" w14:paraId="3E29DF06" w14:textId="30E2D185">
      <w:r>
        <w:t xml:space="preserve">Vroegschoolse educatie is de extra stimulans die </w:t>
      </w:r>
      <w:r w:rsidRPr="00C369B0">
        <w:t xml:space="preserve">basisscholen </w:t>
      </w:r>
      <w:r>
        <w:t xml:space="preserve">bieden aan kleuters </w:t>
      </w:r>
      <w:r w:rsidRPr="00C369B0">
        <w:t>die vanwege hun thuissituatie een risico op achterstand lopen</w:t>
      </w:r>
      <w:r w:rsidR="00E17836">
        <w:t xml:space="preserve">. </w:t>
      </w:r>
      <w:r w:rsidR="00C800AC">
        <w:rPr>
          <w:rFonts w:cs="Verdana"/>
          <w:lang w:eastAsia="en-US"/>
        </w:rPr>
        <w:t xml:space="preserve">We moeten er op elke school in Nederland vanuit kunnen gaan dat kleuters optimaal in hun ontwikkeling worden gestimuleerd. </w:t>
      </w:r>
      <w:r>
        <w:t xml:space="preserve">Het onderzoek van de inspectie </w:t>
      </w:r>
      <w:r w:rsidR="00E17836">
        <w:t xml:space="preserve">naar vroegschoolse educatie </w:t>
      </w:r>
      <w:r>
        <w:t>is duidelijk: de kwaliteit en de aandacht van basisscholen voor vroegschoolse educatie moet omhoog.</w:t>
      </w:r>
      <w:r>
        <w:rPr>
          <w:rStyle w:val="Voetnootmarkering"/>
        </w:rPr>
        <w:footnoteReference w:id="4"/>
      </w:r>
      <w:r>
        <w:t xml:space="preserve"> </w:t>
      </w:r>
    </w:p>
    <w:p w:rsidRPr="002C72DD" w:rsidR="00C800AC" w:rsidP="000C02C7" w:rsidRDefault="00C800AC" w14:paraId="08D16360" w14:textId="77777777"/>
    <w:p w:rsidRPr="006964C0" w:rsidR="000C02C7" w:rsidP="000C02C7" w:rsidRDefault="000C02C7" w14:paraId="290B0867" w14:textId="0257AFD8">
      <w:pPr>
        <w:rPr>
          <w:rFonts w:cs="Verdana"/>
          <w:lang w:eastAsia="en-US"/>
        </w:rPr>
      </w:pPr>
      <w:r>
        <w:rPr>
          <w:rFonts w:cs="Verdana"/>
          <w:lang w:eastAsia="en-US"/>
        </w:rPr>
        <w:t xml:space="preserve">In haar rapport concludeert de inspectie dat </w:t>
      </w:r>
      <w:r w:rsidR="00E17836">
        <w:rPr>
          <w:rFonts w:cs="Verdana"/>
          <w:lang w:eastAsia="en-US"/>
        </w:rPr>
        <w:t xml:space="preserve">wanneer </w:t>
      </w:r>
      <w:r>
        <w:rPr>
          <w:rFonts w:cs="Verdana"/>
          <w:lang w:eastAsia="en-US"/>
        </w:rPr>
        <w:t xml:space="preserve">kwaliteit van vroegschoolse educatie </w:t>
      </w:r>
      <w:r w:rsidR="00E17836">
        <w:rPr>
          <w:rFonts w:cs="Verdana"/>
          <w:lang w:eastAsia="en-US"/>
        </w:rPr>
        <w:t>op orde is, dit direct effect heeft op</w:t>
      </w:r>
      <w:r>
        <w:rPr>
          <w:rFonts w:cs="Verdana"/>
          <w:lang w:eastAsia="en-US"/>
        </w:rPr>
        <w:t xml:space="preserve"> de kwaliteitszorg op scholen. Ze ziet echter ook dat de kwaliteit van vroegschoolse educatie, tussen scholen erg verschilt. Iets meer dan de helft van de scholen stelt onvoldoende doelen en ambities op het gebied van vroegschoolse educatie. Een kwart van de scholen biedt</w:t>
      </w:r>
      <w:r w:rsidR="00C800AC">
        <w:rPr>
          <w:rFonts w:cs="Verdana"/>
          <w:lang w:eastAsia="en-US"/>
        </w:rPr>
        <w:t xml:space="preserve"> het</w:t>
      </w:r>
      <w:r>
        <w:rPr>
          <w:rFonts w:cs="Verdana"/>
          <w:lang w:eastAsia="en-US"/>
        </w:rPr>
        <w:t xml:space="preserve"> helemaal </w:t>
      </w:r>
      <w:r w:rsidR="00C800AC">
        <w:rPr>
          <w:rFonts w:cs="Verdana"/>
          <w:lang w:eastAsia="en-US"/>
        </w:rPr>
        <w:t>niet</w:t>
      </w:r>
      <w:r>
        <w:rPr>
          <w:rFonts w:cs="Verdana"/>
          <w:lang w:eastAsia="en-US"/>
        </w:rPr>
        <w:t xml:space="preserve"> aan, terwijl die scholen wel kinderen hebben die tot de doelgroep behoren. </w:t>
      </w:r>
      <w:r w:rsidR="005079AB">
        <w:rPr>
          <w:rFonts w:cs="Verdana"/>
          <w:lang w:eastAsia="en-US"/>
        </w:rPr>
        <w:t xml:space="preserve">Ik wil daarom, in lijn met het advies van de inspectie, dat scholen </w:t>
      </w:r>
      <w:r>
        <w:rPr>
          <w:rFonts w:cs="Verdana"/>
          <w:lang w:eastAsia="en-US"/>
        </w:rPr>
        <w:t>heldere ambities op het gebied van vroegschoolse educatie</w:t>
      </w:r>
      <w:r w:rsidR="005079AB">
        <w:rPr>
          <w:rFonts w:cs="Verdana"/>
          <w:lang w:eastAsia="en-US"/>
        </w:rPr>
        <w:t xml:space="preserve"> stellen en</w:t>
      </w:r>
      <w:r>
        <w:rPr>
          <w:rFonts w:cs="Verdana"/>
          <w:lang w:eastAsia="en-US"/>
        </w:rPr>
        <w:t xml:space="preserve"> leerlingen met een risico op achterstand planmatig</w:t>
      </w:r>
      <w:r w:rsidR="00C800AC">
        <w:rPr>
          <w:rFonts w:cs="Verdana"/>
          <w:lang w:eastAsia="en-US"/>
        </w:rPr>
        <w:t xml:space="preserve"> begeleiden. S</w:t>
      </w:r>
      <w:r w:rsidR="005079AB">
        <w:rPr>
          <w:rFonts w:cs="Verdana"/>
          <w:lang w:eastAsia="en-US"/>
        </w:rPr>
        <w:t xml:space="preserve">cholen </w:t>
      </w:r>
      <w:r w:rsidR="00C800AC">
        <w:rPr>
          <w:rFonts w:cs="Verdana"/>
          <w:lang w:eastAsia="en-US"/>
        </w:rPr>
        <w:t>moeten</w:t>
      </w:r>
      <w:r w:rsidR="005079AB">
        <w:rPr>
          <w:rFonts w:cs="Verdana"/>
          <w:lang w:eastAsia="en-US"/>
        </w:rPr>
        <w:t xml:space="preserve"> hierbij gebruik maken </w:t>
      </w:r>
      <w:r>
        <w:rPr>
          <w:rFonts w:cs="Verdana"/>
          <w:lang w:eastAsia="en-US"/>
        </w:rPr>
        <w:t xml:space="preserve">van </w:t>
      </w:r>
      <w:r w:rsidR="00C800AC">
        <w:rPr>
          <w:rFonts w:cs="Verdana"/>
          <w:lang w:eastAsia="en-US"/>
        </w:rPr>
        <w:t xml:space="preserve">de brede </w:t>
      </w:r>
      <w:r>
        <w:rPr>
          <w:rFonts w:cs="Verdana"/>
          <w:lang w:eastAsia="en-US"/>
        </w:rPr>
        <w:t>beschikbare kennis over wat werkt.</w:t>
      </w:r>
      <w:r w:rsidR="005079AB">
        <w:rPr>
          <w:rStyle w:val="Voetnootmarkering"/>
          <w:szCs w:val="18"/>
        </w:rPr>
        <w:footnoteReference w:id="5"/>
      </w:r>
      <w:r w:rsidRPr="00DF477A" w:rsidR="005079AB">
        <w:rPr>
          <w:szCs w:val="18"/>
          <w:vertAlign w:val="superscript"/>
        </w:rPr>
        <w:t>,</w:t>
      </w:r>
      <w:r w:rsidR="005079AB">
        <w:rPr>
          <w:rStyle w:val="Voetnootmarkering"/>
          <w:szCs w:val="18"/>
        </w:rPr>
        <w:footnoteReference w:id="6"/>
      </w:r>
      <w:r>
        <w:rPr>
          <w:rFonts w:cs="Verdana"/>
          <w:lang w:eastAsia="en-US"/>
        </w:rPr>
        <w:t xml:space="preserve"> </w:t>
      </w:r>
      <w:r w:rsidR="00DF477A">
        <w:rPr>
          <w:rFonts w:cs="Verdana"/>
          <w:lang w:eastAsia="en-US"/>
        </w:rPr>
        <w:t xml:space="preserve">Ik ga scholen hier via verschillende kanalen op wijzen. </w:t>
      </w:r>
    </w:p>
    <w:p w:rsidRPr="00D51F15" w:rsidR="000C02C7" w:rsidP="000C02C7" w:rsidRDefault="000C02C7" w14:paraId="274E2412" w14:textId="77777777"/>
    <w:p w:rsidR="000C02C7" w:rsidP="000C02C7" w:rsidRDefault="00C800AC" w14:paraId="7BCA9968" w14:textId="642418C8">
      <w:r>
        <w:t>De kleuters die vroegschoolse educatie nodig hebben, hebben idealiter ook voorschoolse educatie gevolgd</w:t>
      </w:r>
      <w:r w:rsidRPr="00C369B0">
        <w:t>.</w:t>
      </w:r>
      <w:r>
        <w:t xml:space="preserve"> </w:t>
      </w:r>
      <w:r w:rsidRPr="00651DFC" w:rsidR="000C02C7">
        <w:t>Basisscholen weten nu vaak niet</w:t>
      </w:r>
      <w:r>
        <w:t xml:space="preserve"> welke kinderen voorschoolse educatie hebben gehad</w:t>
      </w:r>
      <w:r w:rsidRPr="00651DFC" w:rsidR="000C02C7">
        <w:t xml:space="preserve">, waardoor er vaak geen sprake </w:t>
      </w:r>
      <w:r w:rsidR="005079AB">
        <w:t xml:space="preserve">is </w:t>
      </w:r>
      <w:r w:rsidRPr="00651DFC" w:rsidR="000C02C7">
        <w:t>van een doorgaande lijn</w:t>
      </w:r>
      <w:r w:rsidR="000C02C7">
        <w:t xml:space="preserve">. </w:t>
      </w:r>
      <w:r w:rsidR="005079AB">
        <w:rPr>
          <w:szCs w:val="18"/>
        </w:rPr>
        <w:t>De</w:t>
      </w:r>
      <w:r w:rsidRPr="00777E45" w:rsidR="000C02C7">
        <w:rPr>
          <w:szCs w:val="18"/>
        </w:rPr>
        <w:t xml:space="preserve"> kinderopvang </w:t>
      </w:r>
      <w:r w:rsidR="005079AB">
        <w:rPr>
          <w:szCs w:val="18"/>
        </w:rPr>
        <w:t xml:space="preserve">is nu </w:t>
      </w:r>
      <w:r w:rsidRPr="00777E45" w:rsidR="000C02C7">
        <w:rPr>
          <w:szCs w:val="18"/>
        </w:rPr>
        <w:t xml:space="preserve">alleen verplicht om gegevens over te dragen over </w:t>
      </w:r>
      <w:r w:rsidR="000C02C7">
        <w:rPr>
          <w:szCs w:val="18"/>
        </w:rPr>
        <w:t xml:space="preserve">het </w:t>
      </w:r>
      <w:r>
        <w:rPr>
          <w:szCs w:val="18"/>
        </w:rPr>
        <w:t xml:space="preserve">gevolgde </w:t>
      </w:r>
      <w:r w:rsidRPr="00777E45" w:rsidR="000C02C7">
        <w:rPr>
          <w:szCs w:val="18"/>
        </w:rPr>
        <w:t>programma</w:t>
      </w:r>
      <w:r w:rsidR="005079AB">
        <w:rPr>
          <w:szCs w:val="18"/>
        </w:rPr>
        <w:t xml:space="preserve"> en </w:t>
      </w:r>
      <w:r>
        <w:rPr>
          <w:szCs w:val="18"/>
        </w:rPr>
        <w:t xml:space="preserve">de </w:t>
      </w:r>
      <w:r w:rsidR="005079AB">
        <w:rPr>
          <w:szCs w:val="18"/>
        </w:rPr>
        <w:t>duur van</w:t>
      </w:r>
      <w:r w:rsidRPr="00777E45" w:rsidR="000C02C7">
        <w:rPr>
          <w:szCs w:val="18"/>
        </w:rPr>
        <w:t xml:space="preserve"> </w:t>
      </w:r>
      <w:r>
        <w:rPr>
          <w:szCs w:val="18"/>
        </w:rPr>
        <w:t xml:space="preserve">de </w:t>
      </w:r>
      <w:r w:rsidRPr="00777E45" w:rsidR="000C02C7">
        <w:rPr>
          <w:szCs w:val="18"/>
        </w:rPr>
        <w:t>voorschoolse educatie.</w:t>
      </w:r>
      <w:r w:rsidR="000C02C7">
        <w:rPr>
          <w:rStyle w:val="Voetnootmarkering"/>
          <w:szCs w:val="18"/>
        </w:rPr>
        <w:footnoteReference w:id="7"/>
      </w:r>
      <w:r w:rsidR="000C02C7">
        <w:rPr>
          <w:szCs w:val="18"/>
        </w:rPr>
        <w:t xml:space="preserve"> </w:t>
      </w:r>
      <w:r w:rsidR="000C02C7">
        <w:t xml:space="preserve">Ik </w:t>
      </w:r>
      <w:r w:rsidR="00DB467C">
        <w:t xml:space="preserve">bekijk </w:t>
      </w:r>
      <w:r w:rsidR="000C02C7">
        <w:t xml:space="preserve">daarom in </w:t>
      </w:r>
      <w:r w:rsidR="000C02C7">
        <w:rPr>
          <w:szCs w:val="18"/>
        </w:rPr>
        <w:t xml:space="preserve">overleg met de sector </w:t>
      </w:r>
      <w:r w:rsidR="00DB467C">
        <w:rPr>
          <w:szCs w:val="18"/>
        </w:rPr>
        <w:t>hoe</w:t>
      </w:r>
      <w:r w:rsidR="000C02C7">
        <w:rPr>
          <w:szCs w:val="18"/>
        </w:rPr>
        <w:t xml:space="preserve"> de </w:t>
      </w:r>
      <w:r w:rsidR="000C02C7">
        <w:t xml:space="preserve">informatieoverdracht tussen kinderopvang </w:t>
      </w:r>
      <w:r w:rsidRPr="00651DFC" w:rsidR="000C02C7">
        <w:t xml:space="preserve">en basisonderwijs wettelijk kan worden uitgebreid.  </w:t>
      </w:r>
    </w:p>
    <w:p w:rsidR="000C02C7" w:rsidP="000C02C7" w:rsidRDefault="000C02C7" w14:paraId="266C26F0" w14:textId="77777777">
      <w:pPr>
        <w:rPr>
          <w:rFonts w:cs="Verdana"/>
          <w:szCs w:val="18"/>
          <w:lang w:eastAsia="en-US"/>
        </w:rPr>
      </w:pPr>
    </w:p>
    <w:p w:rsidR="000C02C7" w:rsidP="000C02C7" w:rsidRDefault="000C02C7" w14:paraId="1E1E9E48" w14:textId="77777777">
      <w:pPr>
        <w:rPr>
          <w:i/>
          <w:iCs/>
        </w:rPr>
      </w:pPr>
      <w:r>
        <w:rPr>
          <w:i/>
          <w:iCs/>
        </w:rPr>
        <w:t>Kwaliteit voorschoolse educatie behouden en bereik vergroten</w:t>
      </w:r>
    </w:p>
    <w:p w:rsidR="00C800AC" w:rsidP="000C02C7" w:rsidRDefault="000C02C7" w14:paraId="4F05C454" w14:textId="3CA42F84">
      <w:bookmarkStart w:name="_Hlk180486568" w:id="0"/>
      <w:r>
        <w:t xml:space="preserve">Voorschoolse educatie is voor peuters van 2,5 tot 4 jaar die baat hebben bij extra ondersteuning in hun ontwikkeling. </w:t>
      </w:r>
      <w:r w:rsidR="00C800AC">
        <w:t xml:space="preserve">De peuters krijgen voorschoolse educatie in de kinderopvang na een indicatie van het consultatiebureau. </w:t>
      </w:r>
      <w:r>
        <w:t xml:space="preserve">Voorschoolse educatie stimuleert spelenderwijs de ontwikkeling van taal, voorbereidend rekenen, motoriek en sociaal-emotionele vaardigheden. Het beeld </w:t>
      </w:r>
      <w:r w:rsidR="00C800AC">
        <w:t xml:space="preserve">van </w:t>
      </w:r>
      <w:r>
        <w:t xml:space="preserve">de kwaliteit van </w:t>
      </w:r>
      <w:r w:rsidRPr="00503B92">
        <w:t xml:space="preserve">voorschoolse educatie is </w:t>
      </w:r>
      <w:r w:rsidR="00C800AC">
        <w:t xml:space="preserve">gelukkig rooskleuriger </w:t>
      </w:r>
      <w:r>
        <w:t xml:space="preserve">dan het beeld </w:t>
      </w:r>
      <w:r w:rsidR="00C800AC">
        <w:t xml:space="preserve">van </w:t>
      </w:r>
      <w:r>
        <w:t>vroegschoolse educatie</w:t>
      </w:r>
      <w:r w:rsidRPr="00503B92">
        <w:t xml:space="preserve">. Zowel de themarapportage van de inspectie naar voorschoolse educatie als de tussenrapportage van </w:t>
      </w:r>
      <w:r w:rsidR="00C800AC">
        <w:t xml:space="preserve">de effectstudie </w:t>
      </w:r>
      <w:r w:rsidRPr="00503B92">
        <w:t xml:space="preserve">EVENING laten zien dat er sprake is van een stijgende lijn in de educatieve kwaliteit in de </w:t>
      </w:r>
      <w:r w:rsidRPr="00503B92">
        <w:lastRenderedPageBreak/>
        <w:t>voorschoolse educatie.</w:t>
      </w:r>
      <w:r w:rsidRPr="00503B92" w:rsidR="00E51F5C">
        <w:rPr>
          <w:rStyle w:val="Voetnootmarkering"/>
          <w:szCs w:val="18"/>
        </w:rPr>
        <w:footnoteReference w:id="8"/>
      </w:r>
      <w:r w:rsidR="00E51F5C">
        <w:rPr>
          <w:vertAlign w:val="superscript"/>
        </w:rPr>
        <w:t>,</w:t>
      </w:r>
      <w:r w:rsidRPr="00503B92" w:rsidR="00E51F5C">
        <w:rPr>
          <w:rStyle w:val="Voetnootmarkering"/>
        </w:rPr>
        <w:footnoteReference w:id="9"/>
      </w:r>
      <w:r w:rsidRPr="00503B92">
        <w:t xml:space="preserve"> Daar ben ik blij mee, want juist die educatieve kwaliteit is bepalend voor de effectiviteit. </w:t>
      </w:r>
    </w:p>
    <w:p w:rsidR="007B43E0" w:rsidP="000C02C7" w:rsidRDefault="007B43E0" w14:paraId="4E30AF08" w14:textId="77777777"/>
    <w:p w:rsidRPr="00503B92" w:rsidR="000C02C7" w:rsidP="000C02C7" w:rsidRDefault="000C02C7" w14:paraId="4641B56C" w14:textId="2E8562EB">
      <w:r>
        <w:t>De stijgende lijn van de educatieve kwaliteit</w:t>
      </w:r>
      <w:r w:rsidR="00C800AC">
        <w:t>, overigens knap in tijden van personeelskrapte,</w:t>
      </w:r>
      <w:r>
        <w:t xml:space="preserve"> wil ik vasthouden. Daarom werk ik z</w:t>
      </w:r>
      <w:r w:rsidRPr="00AB2D5E">
        <w:rPr>
          <w:szCs w:val="18"/>
        </w:rPr>
        <w:t>oals eerder aangekondigd</w:t>
      </w:r>
      <w:r>
        <w:rPr>
          <w:szCs w:val="18"/>
        </w:rPr>
        <w:t>,</w:t>
      </w:r>
      <w:r w:rsidRPr="00AB2D5E">
        <w:rPr>
          <w:szCs w:val="18"/>
        </w:rPr>
        <w:t xml:space="preserve"> </w:t>
      </w:r>
      <w:r>
        <w:rPr>
          <w:szCs w:val="18"/>
        </w:rPr>
        <w:t xml:space="preserve">samen met het ministerie van SZW, de VNG, de GGD GHOR NL en de Inspectie van het Onderwijs </w:t>
      </w:r>
      <w:r w:rsidRPr="00AB2D5E">
        <w:rPr>
          <w:szCs w:val="18"/>
        </w:rPr>
        <w:t>aan</w:t>
      </w:r>
      <w:r>
        <w:rPr>
          <w:szCs w:val="18"/>
        </w:rPr>
        <w:t xml:space="preserve"> invoering van structureel toezicht op de educatieve kwaliteit van de </w:t>
      </w:r>
      <w:r w:rsidRPr="00AB2D5E">
        <w:rPr>
          <w:szCs w:val="18"/>
        </w:rPr>
        <w:t>voorschoolse educatie</w:t>
      </w:r>
      <w:r>
        <w:rPr>
          <w:szCs w:val="18"/>
        </w:rPr>
        <w:t>.</w:t>
      </w:r>
      <w:r w:rsidRPr="00AB2D5E">
        <w:rPr>
          <w:rStyle w:val="Voetnootmarkering"/>
          <w:szCs w:val="18"/>
        </w:rPr>
        <w:footnoteReference w:id="10"/>
      </w:r>
      <w:r w:rsidRPr="00545D1E">
        <w:rPr>
          <w:szCs w:val="18"/>
        </w:rPr>
        <w:t xml:space="preserve"> </w:t>
      </w:r>
      <w:r w:rsidRPr="00F103C8" w:rsidR="00F103C8">
        <w:rPr>
          <w:szCs w:val="18"/>
        </w:rPr>
        <w:t xml:space="preserve">Eerder is aan uw Kamer gecommuniceerd </w:t>
      </w:r>
      <w:r w:rsidR="00C800AC">
        <w:rPr>
          <w:szCs w:val="18"/>
        </w:rPr>
        <w:t>het structureel toezicht</w:t>
      </w:r>
      <w:r w:rsidRPr="00F103C8" w:rsidR="00F103C8">
        <w:rPr>
          <w:szCs w:val="18"/>
        </w:rPr>
        <w:t xml:space="preserve"> in te laten gaan per 1 januari 2026. In overleg met de uitvoeringspartners is besloten dat dit niet haalbaar is. Op dit moment bereid ik wetgeving voor op basis waarvan ik, in overleg met de uitvoeringspartners, de invoeringsdatum zal voorstellen.</w:t>
      </w:r>
    </w:p>
    <w:p w:rsidRPr="00503B92" w:rsidR="000C02C7" w:rsidP="000C02C7" w:rsidRDefault="000C02C7" w14:paraId="61D9BE62" w14:textId="77777777"/>
    <w:p w:rsidR="000C02C7" w:rsidP="00C800AC" w:rsidRDefault="000C02C7" w14:paraId="73BD1554" w14:textId="1DD47C00">
      <w:r w:rsidRPr="00503B92">
        <w:t xml:space="preserve">Een trend die mij wel zorgen baart is dat het aantal kinderen dat daadwerkelijk deelneemt aan voorschoolse educatie </w:t>
      </w:r>
      <w:r>
        <w:t xml:space="preserve">na een indicatie </w:t>
      </w:r>
      <w:r w:rsidRPr="00503B92">
        <w:t xml:space="preserve">licht </w:t>
      </w:r>
      <w:r w:rsidR="00C800AC">
        <w:t>daalt</w:t>
      </w:r>
      <w:r w:rsidRPr="00503B92">
        <w:t xml:space="preserve">. </w:t>
      </w:r>
      <w:r w:rsidR="009857D4">
        <w:t>O</w:t>
      </w:r>
      <w:r w:rsidRPr="00503B92">
        <w:t>ok de motie van lid Kisteman</w:t>
      </w:r>
      <w:r w:rsidR="009857D4">
        <w:t xml:space="preserve"> </w:t>
      </w:r>
      <w:r w:rsidR="008A181B">
        <w:t>(</w:t>
      </w:r>
      <w:r w:rsidR="009857D4">
        <w:t>VVD</w:t>
      </w:r>
      <w:r w:rsidR="008A181B">
        <w:t xml:space="preserve">) </w:t>
      </w:r>
      <w:r w:rsidR="009857D4">
        <w:t>vraag</w:t>
      </w:r>
      <w:r w:rsidR="00697AE8">
        <w:t>t</w:t>
      </w:r>
      <w:r w:rsidR="009857D4">
        <w:t xml:space="preserve"> hier aandacht voor</w:t>
      </w:r>
      <w:r w:rsidRPr="00503B92">
        <w:t>.</w:t>
      </w:r>
      <w:r w:rsidRPr="00503B92">
        <w:rPr>
          <w:rStyle w:val="Voetnootmarkering"/>
        </w:rPr>
        <w:footnoteReference w:id="11"/>
      </w:r>
      <w:r w:rsidR="00C800AC">
        <w:t xml:space="preserve"> Daarom wil </w:t>
      </w:r>
      <w:bookmarkEnd w:id="0"/>
      <w:r w:rsidR="00C800AC">
        <w:rPr>
          <w:szCs w:val="18"/>
        </w:rPr>
        <w:t>ik wettelijk vastleggen</w:t>
      </w:r>
      <w:r w:rsidRPr="00503B92">
        <w:rPr>
          <w:szCs w:val="18"/>
        </w:rPr>
        <w:t xml:space="preserve"> voor welke kinderen voorschoolse educatie in ieder geval is bedoeld</w:t>
      </w:r>
      <w:r w:rsidR="00C800AC">
        <w:rPr>
          <w:szCs w:val="18"/>
        </w:rPr>
        <w:t>. Zo kunnen we gerichter werken aan het verhogen van de deelname.</w:t>
      </w:r>
      <w:r w:rsidRPr="00503B92">
        <w:rPr>
          <w:szCs w:val="18"/>
        </w:rPr>
        <w:t xml:space="preserve"> </w:t>
      </w:r>
      <w:r w:rsidRPr="00503B92" w:rsidR="00696D31">
        <w:rPr>
          <w:szCs w:val="18"/>
        </w:rPr>
        <w:t xml:space="preserve">In de praktijk blijkt het voor gemeenten lastig om duidelijke criteria </w:t>
      </w:r>
      <w:r w:rsidR="00696D31">
        <w:rPr>
          <w:szCs w:val="18"/>
        </w:rPr>
        <w:t>voor hun doelgroepdefinitie</w:t>
      </w:r>
      <w:r w:rsidRPr="00503B92" w:rsidR="00696D31">
        <w:rPr>
          <w:szCs w:val="18"/>
        </w:rPr>
        <w:t xml:space="preserve"> af te spreken</w:t>
      </w:r>
      <w:r w:rsidR="00696D31">
        <w:rPr>
          <w:szCs w:val="18"/>
        </w:rPr>
        <w:t xml:space="preserve">, waardoor de </w:t>
      </w:r>
      <w:r w:rsidR="00C800AC">
        <w:rPr>
          <w:szCs w:val="18"/>
        </w:rPr>
        <w:t>doelgroepen</w:t>
      </w:r>
      <w:r w:rsidR="00696D31">
        <w:rPr>
          <w:szCs w:val="18"/>
        </w:rPr>
        <w:t xml:space="preserve"> tussen gemeenten enorm uiteenlopen.</w:t>
      </w:r>
      <w:r w:rsidRPr="00777E45" w:rsidR="00696D31">
        <w:rPr>
          <w:szCs w:val="18"/>
        </w:rPr>
        <w:t xml:space="preserve"> </w:t>
      </w:r>
      <w:r w:rsidRPr="00777E45">
        <w:rPr>
          <w:szCs w:val="18"/>
        </w:rPr>
        <w:t xml:space="preserve">Voor </w:t>
      </w:r>
      <w:r w:rsidR="00C800AC">
        <w:rPr>
          <w:szCs w:val="18"/>
        </w:rPr>
        <w:t>het</w:t>
      </w:r>
      <w:r w:rsidRPr="00777E45" w:rsidR="00C800AC">
        <w:rPr>
          <w:szCs w:val="18"/>
        </w:rPr>
        <w:t xml:space="preserve"> </w:t>
      </w:r>
      <w:r w:rsidRPr="00777E45">
        <w:rPr>
          <w:szCs w:val="18"/>
        </w:rPr>
        <w:t xml:space="preserve">landelijk kader denk ik </w:t>
      </w:r>
      <w:r>
        <w:rPr>
          <w:szCs w:val="18"/>
        </w:rPr>
        <w:t xml:space="preserve">op dit moment </w:t>
      </w:r>
      <w:r w:rsidRPr="00777E45">
        <w:rPr>
          <w:szCs w:val="18"/>
        </w:rPr>
        <w:t>aan twee kenmerken</w:t>
      </w:r>
      <w:r>
        <w:rPr>
          <w:szCs w:val="18"/>
        </w:rPr>
        <w:t xml:space="preserve">: het opleidingsniveau van de ouders </w:t>
      </w:r>
      <w:r w:rsidRPr="00777E45">
        <w:rPr>
          <w:szCs w:val="18"/>
        </w:rPr>
        <w:t xml:space="preserve">en </w:t>
      </w:r>
      <w:r>
        <w:rPr>
          <w:szCs w:val="18"/>
        </w:rPr>
        <w:t>een andere thuistaal dan Nederlands.</w:t>
      </w:r>
      <w:r w:rsidRPr="009857D4" w:rsidR="009857D4">
        <w:t xml:space="preserve"> </w:t>
      </w:r>
      <w:r w:rsidRPr="00503B92" w:rsidR="009857D4">
        <w:t xml:space="preserve">Gemeenten </w:t>
      </w:r>
      <w:r w:rsidR="00696D31">
        <w:t>behouden d</w:t>
      </w:r>
      <w:r w:rsidRPr="008A48BC" w:rsidR="00696D31">
        <w:rPr>
          <w:szCs w:val="18"/>
        </w:rPr>
        <w:t xml:space="preserve">e ruimte om </w:t>
      </w:r>
      <w:r w:rsidR="00696D31">
        <w:rPr>
          <w:szCs w:val="18"/>
        </w:rPr>
        <w:t xml:space="preserve">de </w:t>
      </w:r>
      <w:r w:rsidRPr="008A48BC" w:rsidR="00696D31">
        <w:rPr>
          <w:szCs w:val="18"/>
        </w:rPr>
        <w:t>doelgroepdefinitie aan te vullen</w:t>
      </w:r>
      <w:r w:rsidR="00696D31">
        <w:rPr>
          <w:szCs w:val="18"/>
        </w:rPr>
        <w:t>, omdat zij</w:t>
      </w:r>
      <w:r w:rsidR="009857D4">
        <w:t xml:space="preserve"> </w:t>
      </w:r>
      <w:r w:rsidRPr="00503B92" w:rsidR="009857D4">
        <w:t xml:space="preserve">lokaal het beste zicht </w:t>
      </w:r>
      <w:r w:rsidR="00696D31">
        <w:t xml:space="preserve">hebben </w:t>
      </w:r>
      <w:r w:rsidRPr="00503B92" w:rsidR="009857D4">
        <w:t xml:space="preserve">op </w:t>
      </w:r>
      <w:r w:rsidR="00696D31">
        <w:t xml:space="preserve">welke </w:t>
      </w:r>
      <w:r w:rsidRPr="00503B92" w:rsidR="009857D4">
        <w:t xml:space="preserve">kinderen </w:t>
      </w:r>
      <w:r w:rsidR="00696D31">
        <w:t xml:space="preserve">baat hebben bij vve. </w:t>
      </w:r>
      <w:r w:rsidRPr="00503B92">
        <w:rPr>
          <w:szCs w:val="18"/>
        </w:rPr>
        <w:t xml:space="preserve">Het </w:t>
      </w:r>
      <w:r>
        <w:rPr>
          <w:szCs w:val="18"/>
        </w:rPr>
        <w:t xml:space="preserve">vaststellen van een landelijke minimumdefinitie </w:t>
      </w:r>
      <w:r w:rsidRPr="00667EFD">
        <w:t>stelt de inspectie ook beter in staat om betrouwbare landelijke cijfers te verzamelen over het bereik van voorschoolse educatie. Op die manier kan gerichter worden gewerkt aan een aanpak om dit bereik te verhogen.</w:t>
      </w:r>
      <w:r>
        <w:t xml:space="preserve"> </w:t>
      </w:r>
      <w:r w:rsidRPr="009857D4" w:rsidR="00C800AC">
        <w:t xml:space="preserve">Begin 2025 reageer ik op het </w:t>
      </w:r>
      <w:r w:rsidR="00C800AC">
        <w:t xml:space="preserve">eerder genoemde </w:t>
      </w:r>
      <w:r w:rsidRPr="009857D4" w:rsidR="00C800AC">
        <w:t xml:space="preserve">onderzoek waarbij wordt gekeken naar </w:t>
      </w:r>
      <w:r w:rsidR="00C800AC">
        <w:t xml:space="preserve">meer </w:t>
      </w:r>
      <w:r w:rsidRPr="009857D4" w:rsidR="00C800AC">
        <w:t>maatregelen die de deelname aan voorschoolse educatie kunnen vergroten.</w:t>
      </w:r>
      <w:r w:rsidR="00C800AC">
        <w:t xml:space="preserve"> </w:t>
      </w:r>
      <w:bookmarkStart w:name="_Hlk179211911" w:id="1"/>
    </w:p>
    <w:p w:rsidR="000C02C7" w:rsidP="000C02C7" w:rsidRDefault="000C02C7" w14:paraId="37E81CD2" w14:textId="77777777">
      <w:pPr>
        <w:rPr>
          <w:szCs w:val="18"/>
        </w:rPr>
      </w:pPr>
    </w:p>
    <w:bookmarkEnd w:id="1"/>
    <w:p w:rsidR="000C02C7" w:rsidP="000C02C7" w:rsidRDefault="000C02C7" w14:paraId="45E19967" w14:textId="77777777">
      <w:pPr>
        <w:rPr>
          <w:i/>
          <w:iCs/>
        </w:rPr>
      </w:pPr>
      <w:r>
        <w:rPr>
          <w:i/>
          <w:iCs/>
        </w:rPr>
        <w:t xml:space="preserve">Duidelijkere kaders voor gemeentelijke beleid </w:t>
      </w:r>
    </w:p>
    <w:p w:rsidR="000C02C7" w:rsidP="000C02C7" w:rsidRDefault="000C02C7" w14:paraId="474481D7" w14:textId="19EC72CC">
      <w:pPr>
        <w:rPr>
          <w:szCs w:val="18"/>
        </w:rPr>
      </w:pPr>
      <w:r>
        <w:t xml:space="preserve">Gemeenten zijn verantwoordelijk voor het aanbieden van voorschoolse educatie en scholen zijn verantwoordelijk voor vroegschoolse educatie. Vanuit de Lokale Educatieve Agenda is de gemeente ook verplicht om met scholen en kinderopvang afspraken te maken over </w:t>
      </w:r>
      <w:r w:rsidR="00696D31">
        <w:t>vijf</w:t>
      </w:r>
      <w:r w:rsidR="00C800AC">
        <w:t xml:space="preserve"> </w:t>
      </w:r>
      <w:r>
        <w:t>thema’s: segregatie, integratie, inschrijving en toelating, onderwijsachterstandenbeleid en vve. Uit het Landelijk Rapport LEA/vve blijkt dat gemeenten en scholen met een aantal zaken worstelen, omdat hierbij vaak niet duidelijk genoeg is waar hun verantwoordelijkheid ligt.</w:t>
      </w:r>
      <w:r w:rsidRPr="00777E45">
        <w:rPr>
          <w:rStyle w:val="Voetnootmarkering"/>
          <w:szCs w:val="18"/>
        </w:rPr>
        <w:footnoteReference w:id="12"/>
      </w:r>
      <w:r>
        <w:t xml:space="preserve"> </w:t>
      </w:r>
      <w:r w:rsidR="009857D4">
        <w:t xml:space="preserve">Op de thema’s segregatie, integratie en inschrijving en toelating is voor gemeentes niet altijd helder wat hun verantwoordelijkheden zijn. </w:t>
      </w:r>
      <w:r w:rsidRPr="008A0184">
        <w:rPr>
          <w:szCs w:val="18"/>
        </w:rPr>
        <w:t xml:space="preserve">De problematiek van </w:t>
      </w:r>
      <w:r>
        <w:rPr>
          <w:szCs w:val="18"/>
        </w:rPr>
        <w:t>deze thema’s</w:t>
      </w:r>
      <w:r w:rsidRPr="008A0184">
        <w:rPr>
          <w:szCs w:val="18"/>
        </w:rPr>
        <w:t xml:space="preserve"> kan niet alleen door het onderwijsbeleid van gemeenten worden opgelost. </w:t>
      </w:r>
      <w:r w:rsidRPr="008A0184">
        <w:rPr>
          <w:szCs w:val="18"/>
        </w:rPr>
        <w:lastRenderedPageBreak/>
        <w:t>Gemeenten hebben echter wel mogelijkheden om segregatie tussen scholen tegen te gaan, bijvoorbeeld door één duidelijke lijn voor het inschrijvingsbeleid van scholen te hanteren, en die als scholen en gemeenten ook daadwerkelijk te handhaven</w:t>
      </w:r>
      <w:bookmarkStart w:name="_Hlk179211749" w:id="2"/>
      <w:r w:rsidRPr="008A0184">
        <w:rPr>
          <w:szCs w:val="18"/>
        </w:rPr>
        <w:t xml:space="preserve">. </w:t>
      </w:r>
      <w:bookmarkEnd w:id="2"/>
      <w:r w:rsidRPr="00777E45">
        <w:rPr>
          <w:szCs w:val="18"/>
        </w:rPr>
        <w:t xml:space="preserve">Ik ga </w:t>
      </w:r>
      <w:r w:rsidR="009857D4">
        <w:rPr>
          <w:szCs w:val="18"/>
        </w:rPr>
        <w:t xml:space="preserve">de handreikingen en goede voorbeelden van het </w:t>
      </w:r>
      <w:r w:rsidR="009857D4">
        <w:rPr>
          <w:i/>
          <w:iCs/>
          <w:szCs w:val="18"/>
        </w:rPr>
        <w:t xml:space="preserve">Kenniscentrum voor Gemengde Scholen </w:t>
      </w:r>
      <w:r w:rsidRPr="00777E45">
        <w:rPr>
          <w:szCs w:val="18"/>
        </w:rPr>
        <w:t>opnieuw via de geëigende communicatiekanalen onder de aandacht brengen</w:t>
      </w:r>
      <w:r>
        <w:rPr>
          <w:szCs w:val="18"/>
        </w:rPr>
        <w:t xml:space="preserve"> </w:t>
      </w:r>
      <w:r w:rsidRPr="00777E45">
        <w:rPr>
          <w:szCs w:val="18"/>
        </w:rPr>
        <w:t>van gemeenten en scholen</w:t>
      </w:r>
      <w:r>
        <w:rPr>
          <w:szCs w:val="18"/>
        </w:rPr>
        <w:t>.</w:t>
      </w:r>
      <w:r w:rsidRPr="00777E45" w:rsidR="009857D4">
        <w:rPr>
          <w:rStyle w:val="Voetnootmarkering"/>
          <w:szCs w:val="18"/>
        </w:rPr>
        <w:footnoteReference w:id="13"/>
      </w:r>
    </w:p>
    <w:p w:rsidR="000C02C7" w:rsidP="000C02C7" w:rsidRDefault="000C02C7" w14:paraId="2A35E7FA" w14:textId="77777777"/>
    <w:p w:rsidR="000C02C7" w:rsidP="000C02C7" w:rsidRDefault="000C02C7" w14:paraId="7111379C" w14:textId="325E14FB">
      <w:pPr>
        <w:rPr>
          <w:szCs w:val="18"/>
        </w:rPr>
      </w:pPr>
      <w:r>
        <w:t xml:space="preserve">Een tweede knelpunt in het LEA-overleg betreft </w:t>
      </w:r>
      <w:r w:rsidRPr="00777E45">
        <w:t>de verplichting voor gemeenten en schoolbesturen om afspraken te maken over de resultaten van vroegschoolse educatie.</w:t>
      </w:r>
      <w:r>
        <w:rPr>
          <w:rStyle w:val="Voetnootmarkering"/>
        </w:rPr>
        <w:footnoteReference w:id="14"/>
      </w:r>
      <w:r w:rsidRPr="00777E45">
        <w:t xml:space="preserve"> </w:t>
      </w:r>
      <w:r>
        <w:t xml:space="preserve">De term ‘resultaatafspraken’ associeert men sterk met </w:t>
      </w:r>
      <w:r w:rsidR="00FF20A5">
        <w:t>v</w:t>
      </w:r>
      <w:r w:rsidRPr="00B14AEE">
        <w:t>erantwoording</w:t>
      </w:r>
      <w:r w:rsidR="00EA016B">
        <w:t>. Ook is vaak niet helder dat het gaat om streefdoelen voor vve op school- of wijkniveau, waarbij idealiter ook afspraken worden gemaakt wie welke bijdrage levert om deze doelen te behalen</w:t>
      </w:r>
      <w:r w:rsidR="000C3C36">
        <w:t xml:space="preserve">. </w:t>
      </w:r>
      <w:r w:rsidRPr="00B14AEE">
        <w:t xml:space="preserve">Ik laat verkennen of en hoe dit in de regelgeving kan worden aangepast. </w:t>
      </w:r>
      <w:r w:rsidRPr="00B14AEE">
        <w:rPr>
          <w:szCs w:val="18"/>
        </w:rPr>
        <w:t xml:space="preserve">Verder </w:t>
      </w:r>
      <w:r w:rsidR="000C3C36">
        <w:rPr>
          <w:szCs w:val="18"/>
        </w:rPr>
        <w:t>ga ik na</w:t>
      </w:r>
      <w:r w:rsidRPr="00B14AEE">
        <w:rPr>
          <w:szCs w:val="18"/>
        </w:rPr>
        <w:t xml:space="preserve"> of in de regelgeving kan worden verhelderd dat gemeenten en schoolbesturen cyclisch werken aan deze gezamenlijke doelen. Dit laatste vindt plaats naar aanleiding van de motie van </w:t>
      </w:r>
      <w:r w:rsidR="00902148">
        <w:rPr>
          <w:szCs w:val="18"/>
        </w:rPr>
        <w:t>K</w:t>
      </w:r>
      <w:r w:rsidRPr="00B14AEE">
        <w:rPr>
          <w:szCs w:val="18"/>
        </w:rPr>
        <w:t>amerlid Soepboer.</w:t>
      </w:r>
      <w:r w:rsidRPr="00B14AEE">
        <w:rPr>
          <w:rStyle w:val="Voetnootmarkering"/>
          <w:szCs w:val="18"/>
        </w:rPr>
        <w:footnoteReference w:id="15"/>
      </w:r>
      <w:r w:rsidRPr="00224FAE">
        <w:rPr>
          <w:szCs w:val="18"/>
        </w:rPr>
        <w:t xml:space="preserve"> </w:t>
      </w:r>
    </w:p>
    <w:p w:rsidR="000C02C7" w:rsidP="000C02C7" w:rsidRDefault="000C02C7" w14:paraId="3C8F5B0D" w14:textId="77777777">
      <w:pPr>
        <w:rPr>
          <w:szCs w:val="18"/>
        </w:rPr>
      </w:pPr>
    </w:p>
    <w:p w:rsidR="000C02C7" w:rsidP="000C02C7" w:rsidRDefault="000C02C7" w14:paraId="62A4D378" w14:textId="52978762">
      <w:pPr>
        <w:rPr>
          <w:szCs w:val="18"/>
        </w:rPr>
      </w:pPr>
      <w:r>
        <w:rPr>
          <w:i/>
          <w:iCs/>
          <w:szCs w:val="18"/>
        </w:rPr>
        <w:t xml:space="preserve">Herprioritering gemeenten SPUK GOAB en herijking CBS-indicator </w:t>
      </w:r>
      <w:r w:rsidRPr="00B526AD">
        <w:rPr>
          <w:i/>
          <w:iCs/>
          <w:szCs w:val="18"/>
        </w:rPr>
        <w:br/>
      </w:r>
      <w:r>
        <w:rPr>
          <w:szCs w:val="18"/>
        </w:rPr>
        <w:t xml:space="preserve">Het kabinet heeft in het hoofdlijnenakkoord besloten om alle specifieke uitkeringen met 10 procent te </w:t>
      </w:r>
      <w:r w:rsidR="00C800AC">
        <w:rPr>
          <w:szCs w:val="18"/>
        </w:rPr>
        <w:t>verkleinen</w:t>
      </w:r>
      <w:r w:rsidR="007B43E0">
        <w:rPr>
          <w:szCs w:val="18"/>
        </w:rPr>
        <w:t xml:space="preserve"> en om te zetten naar een fondsuitkering</w:t>
      </w:r>
      <w:r>
        <w:rPr>
          <w:szCs w:val="18"/>
        </w:rPr>
        <w:t xml:space="preserve">. </w:t>
      </w:r>
      <w:r w:rsidR="00C800AC">
        <w:rPr>
          <w:szCs w:val="18"/>
        </w:rPr>
        <w:t>Dit geldt dus ook voor</w:t>
      </w:r>
      <w:r>
        <w:rPr>
          <w:szCs w:val="18"/>
        </w:rPr>
        <w:t xml:space="preserve"> de financiële tegemoetkoming die </w:t>
      </w:r>
      <w:r w:rsidRPr="00777E45">
        <w:rPr>
          <w:szCs w:val="18"/>
        </w:rPr>
        <w:t xml:space="preserve">gemeenten ontvangen voor het gemeentelijk onderwijsachterstandenbeleid (GOAB) </w:t>
      </w:r>
      <w:r w:rsidR="00C800AC">
        <w:rPr>
          <w:szCs w:val="18"/>
        </w:rPr>
        <w:t>via</w:t>
      </w:r>
      <w:r w:rsidRPr="00777E45" w:rsidR="00C800AC">
        <w:rPr>
          <w:szCs w:val="18"/>
        </w:rPr>
        <w:t xml:space="preserve"> </w:t>
      </w:r>
      <w:r w:rsidRPr="00777E45">
        <w:rPr>
          <w:szCs w:val="18"/>
        </w:rPr>
        <w:t>een specifieke uitkering</w:t>
      </w:r>
      <w:r w:rsidR="00C800AC">
        <w:rPr>
          <w:szCs w:val="18"/>
        </w:rPr>
        <w:t>:</w:t>
      </w:r>
      <w:r w:rsidRPr="00777E45">
        <w:rPr>
          <w:szCs w:val="18"/>
        </w:rPr>
        <w:t xml:space="preserve"> </w:t>
      </w:r>
      <w:r>
        <w:rPr>
          <w:szCs w:val="18"/>
        </w:rPr>
        <w:t xml:space="preserve">vanaf 2026 </w:t>
      </w:r>
      <w:r w:rsidR="00C800AC">
        <w:rPr>
          <w:szCs w:val="18"/>
        </w:rPr>
        <w:t xml:space="preserve">gaat het budget </w:t>
      </w:r>
      <w:r w:rsidRPr="00777E45">
        <w:rPr>
          <w:szCs w:val="18"/>
        </w:rPr>
        <w:t xml:space="preserve">met 10 procent </w:t>
      </w:r>
      <w:r w:rsidR="00C800AC">
        <w:rPr>
          <w:szCs w:val="18"/>
        </w:rPr>
        <w:t>omlaag</w:t>
      </w:r>
      <w:r w:rsidRPr="00777E45">
        <w:rPr>
          <w:szCs w:val="18"/>
        </w:rPr>
        <w:t>.</w:t>
      </w:r>
      <w:r w:rsidR="00276845">
        <w:rPr>
          <w:szCs w:val="18"/>
        </w:rPr>
        <w:t xml:space="preserve"> </w:t>
      </w:r>
      <w:r w:rsidR="00C800AC">
        <w:rPr>
          <w:szCs w:val="18"/>
        </w:rPr>
        <w:t>Ik</w:t>
      </w:r>
      <w:r w:rsidR="00276845">
        <w:rPr>
          <w:szCs w:val="18"/>
        </w:rPr>
        <w:t xml:space="preserve"> bekijk op welke manier er het beste gevolg kan worden gegeven aan de SPUK GOAB na 2026.</w:t>
      </w:r>
      <w:r w:rsidR="00C66F47">
        <w:rPr>
          <w:szCs w:val="18"/>
        </w:rPr>
        <w:t xml:space="preserve"> Ik hecht er aan dat de huidige verdeelsystematiek </w:t>
      </w:r>
      <w:r w:rsidR="00C800AC">
        <w:rPr>
          <w:szCs w:val="18"/>
        </w:rPr>
        <w:t xml:space="preserve">op basis van een indicator van het CBS </w:t>
      </w:r>
      <w:r w:rsidR="00C66F47">
        <w:rPr>
          <w:szCs w:val="18"/>
        </w:rPr>
        <w:t>gehandhaafd kan worden. Dit zorgt er namelijk voor dat de gemeenten de middelen ontvangen voor de kinderen die dit het hardst nodig hebben.</w:t>
      </w:r>
      <w:r w:rsidR="007B43E0">
        <w:rPr>
          <w:szCs w:val="18"/>
        </w:rPr>
        <w:t xml:space="preserve"> </w:t>
      </w:r>
      <w:r w:rsidR="00FD01CD">
        <w:rPr>
          <w:szCs w:val="18"/>
        </w:rPr>
        <w:t xml:space="preserve">Het kabinet besluit begin 2025 over </w:t>
      </w:r>
      <w:r w:rsidR="0007108B">
        <w:rPr>
          <w:szCs w:val="18"/>
        </w:rPr>
        <w:t>de eventuele voorzetting van specifieke uitkeringen die in 2026 doorlopen, waaronder de SPUK GOAB. D</w:t>
      </w:r>
      <w:r w:rsidR="00FD01CD">
        <w:rPr>
          <w:szCs w:val="18"/>
        </w:rPr>
        <w:t xml:space="preserve">aarover </w:t>
      </w:r>
      <w:r w:rsidR="0007108B">
        <w:rPr>
          <w:szCs w:val="18"/>
        </w:rPr>
        <w:t xml:space="preserve">zal </w:t>
      </w:r>
      <w:r w:rsidR="00FD01CD">
        <w:rPr>
          <w:szCs w:val="18"/>
        </w:rPr>
        <w:t>vervolgens ook de Kamer worden geïnformeerd.</w:t>
      </w:r>
    </w:p>
    <w:p w:rsidR="000C02C7" w:rsidP="000C02C7" w:rsidRDefault="000C02C7" w14:paraId="685182F3" w14:textId="77777777">
      <w:pPr>
        <w:rPr>
          <w:szCs w:val="18"/>
        </w:rPr>
      </w:pPr>
    </w:p>
    <w:p w:rsidR="000C02C7" w:rsidP="000C02C7" w:rsidRDefault="000C02C7" w14:paraId="1A1994BF" w14:textId="402A626C">
      <w:pPr>
        <w:spacing w:line="276" w:lineRule="auto"/>
        <w:rPr>
          <w:szCs w:val="18"/>
        </w:rPr>
      </w:pPr>
      <w:r>
        <w:rPr>
          <w:szCs w:val="18"/>
        </w:rPr>
        <w:t>Het m</w:t>
      </w:r>
      <w:r w:rsidRPr="00377F92">
        <w:rPr>
          <w:szCs w:val="18"/>
        </w:rPr>
        <w:t>eerjarig bestedingsonderzoek dat ik u met deze brief meestuur</w:t>
      </w:r>
      <w:r>
        <w:rPr>
          <w:szCs w:val="18"/>
        </w:rPr>
        <w:t>,</w:t>
      </w:r>
      <w:r w:rsidRPr="00377F92">
        <w:rPr>
          <w:szCs w:val="18"/>
        </w:rPr>
        <w:t xml:space="preserve"> </w:t>
      </w:r>
      <w:r>
        <w:rPr>
          <w:szCs w:val="18"/>
        </w:rPr>
        <w:t xml:space="preserve">maakt inzichtelijk </w:t>
      </w:r>
      <w:r w:rsidRPr="00377F92">
        <w:rPr>
          <w:szCs w:val="18"/>
        </w:rPr>
        <w:t xml:space="preserve">waaraan gemeenten de </w:t>
      </w:r>
      <w:r>
        <w:rPr>
          <w:szCs w:val="18"/>
        </w:rPr>
        <w:t xml:space="preserve">middelen van de </w:t>
      </w:r>
      <w:r w:rsidRPr="00377F92">
        <w:rPr>
          <w:szCs w:val="18"/>
        </w:rPr>
        <w:t>SPUK</w:t>
      </w:r>
      <w:r w:rsidR="00C800AC">
        <w:rPr>
          <w:szCs w:val="18"/>
        </w:rPr>
        <w:t xml:space="preserve"> </w:t>
      </w:r>
      <w:r w:rsidRPr="00377F92">
        <w:rPr>
          <w:szCs w:val="18"/>
        </w:rPr>
        <w:t>GOAB besteden.</w:t>
      </w:r>
      <w:r w:rsidRPr="00377F92">
        <w:rPr>
          <w:rStyle w:val="Voetnootmarkering"/>
          <w:szCs w:val="18"/>
        </w:rPr>
        <w:footnoteReference w:id="16"/>
      </w:r>
      <w:r w:rsidRPr="00377F92">
        <w:rPr>
          <w:szCs w:val="18"/>
        </w:rPr>
        <w:t xml:space="preserve"> </w:t>
      </w:r>
      <w:r w:rsidR="00510346">
        <w:rPr>
          <w:szCs w:val="18"/>
        </w:rPr>
        <w:t>D</w:t>
      </w:r>
      <w:r w:rsidRPr="00377F92">
        <w:rPr>
          <w:szCs w:val="18"/>
        </w:rPr>
        <w:t xml:space="preserve">e bestedingen van gemeenten aan het gemeentelijk onderwijsachterstandenbeleid </w:t>
      </w:r>
      <w:r w:rsidR="00510346">
        <w:rPr>
          <w:szCs w:val="18"/>
        </w:rPr>
        <w:t xml:space="preserve">zijn </w:t>
      </w:r>
      <w:r w:rsidRPr="00377F92">
        <w:rPr>
          <w:szCs w:val="18"/>
        </w:rPr>
        <w:t>over de gehele linie toegenomen. Uit het bestedingsonderzoek blijkt dat wanneer gemeenten er sterk op vooruit gaan qua middelen,</w:t>
      </w:r>
      <w:r w:rsidR="002E55F3">
        <w:rPr>
          <w:szCs w:val="18"/>
        </w:rPr>
        <w:t xml:space="preserve"> zoals bij de invoering van de CBS-indicator in 2019,</w:t>
      </w:r>
      <w:r w:rsidRPr="00377F92">
        <w:rPr>
          <w:szCs w:val="18"/>
        </w:rPr>
        <w:t xml:space="preserve"> zij tijd nodig hebben om beleid te maken waarvoor de middelen kunnen worden ingezet. Dat geldt zeker voor gemeenten met relatief beperkte ambtelijke capaciteit. </w:t>
      </w:r>
    </w:p>
    <w:p w:rsidRPr="00AB2D5E" w:rsidR="000C02C7" w:rsidP="000C02C7" w:rsidRDefault="000C02C7" w14:paraId="626C2F83" w14:textId="77777777">
      <w:pPr>
        <w:rPr>
          <w:szCs w:val="18"/>
        </w:rPr>
      </w:pPr>
    </w:p>
    <w:p w:rsidRPr="004C0B05" w:rsidR="000C02C7" w:rsidP="00902148" w:rsidRDefault="000C02C7" w14:paraId="01F4BF6D" w14:textId="0EFA61D8">
      <w:pPr>
        <w:rPr>
          <w:szCs w:val="18"/>
        </w:rPr>
      </w:pPr>
      <w:r w:rsidRPr="00AB2D5E">
        <w:rPr>
          <w:szCs w:val="18"/>
        </w:rPr>
        <w:t xml:space="preserve">Bij de invoering van de </w:t>
      </w:r>
      <w:r>
        <w:rPr>
          <w:szCs w:val="18"/>
        </w:rPr>
        <w:t>CBS-indicator</w:t>
      </w:r>
      <w:r w:rsidRPr="00AB2D5E">
        <w:rPr>
          <w:szCs w:val="18"/>
        </w:rPr>
        <w:t xml:space="preserve"> is aan uw Kamer toegezegd om de</w:t>
      </w:r>
      <w:r>
        <w:rPr>
          <w:szCs w:val="18"/>
        </w:rPr>
        <w:t>ze</w:t>
      </w:r>
      <w:r w:rsidRPr="00AB2D5E">
        <w:rPr>
          <w:szCs w:val="18"/>
        </w:rPr>
        <w:t xml:space="preserve"> na</w:t>
      </w:r>
      <w:r>
        <w:rPr>
          <w:szCs w:val="18"/>
        </w:rPr>
        <w:t xml:space="preserve"> vier jaar</w:t>
      </w:r>
      <w:r w:rsidRPr="00AB2D5E">
        <w:rPr>
          <w:szCs w:val="18"/>
        </w:rPr>
        <w:t xml:space="preserve"> te herijken. </w:t>
      </w:r>
      <w:r w:rsidR="00C800AC">
        <w:rPr>
          <w:szCs w:val="18"/>
        </w:rPr>
        <w:t xml:space="preserve">Hier ben ik mee bezig. </w:t>
      </w:r>
      <w:r>
        <w:rPr>
          <w:szCs w:val="18"/>
        </w:rPr>
        <w:t xml:space="preserve">In de begeleidingscommissie bestaande uit wetenschappers, </w:t>
      </w:r>
      <w:r w:rsidRPr="00AB2D5E">
        <w:rPr>
          <w:szCs w:val="18"/>
        </w:rPr>
        <w:t xml:space="preserve">vertegenwoordigers van het SCP en het CPB, de </w:t>
      </w:r>
      <w:r>
        <w:rPr>
          <w:szCs w:val="18"/>
        </w:rPr>
        <w:t>inspectie</w:t>
      </w:r>
      <w:r w:rsidRPr="00AB2D5E">
        <w:rPr>
          <w:szCs w:val="18"/>
        </w:rPr>
        <w:t xml:space="preserve">, de </w:t>
      </w:r>
      <w:r w:rsidRPr="00AB2D5E">
        <w:rPr>
          <w:szCs w:val="18"/>
        </w:rPr>
        <w:lastRenderedPageBreak/>
        <w:t>VNG en de PO-</w:t>
      </w:r>
      <w:r>
        <w:rPr>
          <w:szCs w:val="18"/>
        </w:rPr>
        <w:t>R</w:t>
      </w:r>
      <w:r w:rsidRPr="00AB2D5E">
        <w:rPr>
          <w:szCs w:val="18"/>
        </w:rPr>
        <w:t>aad</w:t>
      </w:r>
      <w:r>
        <w:rPr>
          <w:szCs w:val="18"/>
        </w:rPr>
        <w:t xml:space="preserve"> is een </w:t>
      </w:r>
      <w:r w:rsidRPr="00AB2D5E">
        <w:rPr>
          <w:szCs w:val="18"/>
        </w:rPr>
        <w:t xml:space="preserve">discussie ontstaan over de manier waarop in het model rekening wordt gehouden met de intelligentie van kinderen. De </w:t>
      </w:r>
      <w:r w:rsidRPr="004C0B05">
        <w:rPr>
          <w:szCs w:val="18"/>
        </w:rPr>
        <w:t xml:space="preserve">discussie geeft aanleiding om verschillende scenario’s te laten doorrekenen. Dit kost extra tijd, waardoor de herijkte indicator </w:t>
      </w:r>
      <w:r w:rsidR="00902148">
        <w:rPr>
          <w:szCs w:val="18"/>
        </w:rPr>
        <w:t xml:space="preserve">een jaar later, in 2026, </w:t>
      </w:r>
      <w:r w:rsidRPr="004C0B05">
        <w:rPr>
          <w:szCs w:val="18"/>
        </w:rPr>
        <w:t xml:space="preserve">zal worden </w:t>
      </w:r>
      <w:r w:rsidR="00C800AC">
        <w:rPr>
          <w:szCs w:val="18"/>
        </w:rPr>
        <w:t>gebruikt</w:t>
      </w:r>
      <w:r w:rsidRPr="004C0B05">
        <w:rPr>
          <w:szCs w:val="18"/>
        </w:rPr>
        <w:t xml:space="preserve">. </w:t>
      </w:r>
      <w:r w:rsidR="00902148">
        <w:rPr>
          <w:szCs w:val="18"/>
        </w:rPr>
        <w:t>In dat jaar zullen de scores op basis van de herijkte indicator worden berekend. De uitkering van de middelen gebaseerd op deze scores, zal dan in 2027 plaatsvinden.</w:t>
      </w:r>
      <w:r w:rsidRPr="00AB2D5E" w:rsidR="00902148">
        <w:rPr>
          <w:szCs w:val="18"/>
        </w:rPr>
        <w:t xml:space="preserve"> </w:t>
      </w:r>
      <w:r w:rsidR="00902148">
        <w:rPr>
          <w:szCs w:val="18"/>
        </w:rPr>
        <w:t>Deze vertraging is uiteraard ongewenst, maar ik hecht er aan dit proces zorgvuldig te doorlopen.</w:t>
      </w:r>
    </w:p>
    <w:p w:rsidRPr="004C0B05" w:rsidR="000C02C7" w:rsidP="000C02C7" w:rsidRDefault="000C02C7" w14:paraId="256068C7" w14:textId="77777777">
      <w:pPr>
        <w:rPr>
          <w:szCs w:val="18"/>
        </w:rPr>
      </w:pPr>
    </w:p>
    <w:p w:rsidRPr="004C0B05" w:rsidR="000C02C7" w:rsidP="000C02C7" w:rsidRDefault="000C02C7" w14:paraId="7EA06C43" w14:textId="77777777">
      <w:pPr>
        <w:rPr>
          <w:i/>
          <w:iCs/>
          <w:szCs w:val="18"/>
        </w:rPr>
      </w:pPr>
      <w:r w:rsidRPr="004C0B05">
        <w:rPr>
          <w:i/>
          <w:iCs/>
          <w:szCs w:val="18"/>
        </w:rPr>
        <w:t>Afsluiting</w:t>
      </w:r>
    </w:p>
    <w:p w:rsidRPr="004C0B05" w:rsidR="000C02C7" w:rsidP="000C02C7" w:rsidRDefault="000C02C7" w14:paraId="6B66529A" w14:textId="77777777">
      <w:pPr>
        <w:rPr>
          <w:szCs w:val="18"/>
        </w:rPr>
      </w:pPr>
      <w:r w:rsidRPr="004C0B05">
        <w:rPr>
          <w:szCs w:val="18"/>
        </w:rPr>
        <w:t xml:space="preserve">Voor- en vroegschoolse educatie heeft mijn prioriteit, waarbij ik de komende tijd vooral inzet op versterking van de vroegschoolse educatie die basisscholen aanbieden. Ongeacht de omgeving waarin kinderen opgroeien, moeten alle kinderen de kans krijgen om goed toegerust aan de basisschool te beginnen. Het is vervolgens aan basisscholen om direct voort te bouwen op de winst die kinderen hebben geboekt tijdens de voorschoolse educatie. </w:t>
      </w:r>
    </w:p>
    <w:p w:rsidRPr="004C0B05" w:rsidR="000C02C7" w:rsidP="000C02C7" w:rsidRDefault="000C02C7" w14:paraId="5E34277B" w14:textId="77777777"/>
    <w:p w:rsidRPr="004C0B05" w:rsidR="000C02C7" w:rsidP="000C02C7" w:rsidRDefault="000C02C7" w14:paraId="11DB84D6" w14:textId="77777777">
      <w:pPr>
        <w:rPr>
          <w:szCs w:val="20"/>
        </w:rPr>
      </w:pPr>
      <w:r>
        <w:t>De s</w:t>
      </w:r>
      <w:r w:rsidRPr="004C0B05">
        <w:t>taatssecretaris van Onderwijs, Cultuur en Wetenschap</w:t>
      </w:r>
      <w:r w:rsidRPr="004C0B05">
        <w:rPr>
          <w:szCs w:val="20"/>
        </w:rPr>
        <w:t>,</w:t>
      </w:r>
    </w:p>
    <w:p w:rsidRPr="004C0B05" w:rsidR="000C02C7" w:rsidP="000C02C7" w:rsidRDefault="000C02C7" w14:paraId="2D83AF7B" w14:textId="77777777">
      <w:pPr>
        <w:rPr>
          <w:szCs w:val="20"/>
        </w:rPr>
      </w:pPr>
    </w:p>
    <w:p w:rsidRPr="004C0B05" w:rsidR="000C02C7" w:rsidP="000C02C7" w:rsidRDefault="000C02C7" w14:paraId="2FEFBBD4" w14:textId="77777777">
      <w:pPr>
        <w:rPr>
          <w:szCs w:val="20"/>
        </w:rPr>
      </w:pPr>
    </w:p>
    <w:p w:rsidRPr="004C0B05" w:rsidR="000C02C7" w:rsidP="000C02C7" w:rsidRDefault="000C02C7" w14:paraId="1B058C0F" w14:textId="77777777">
      <w:pPr>
        <w:rPr>
          <w:szCs w:val="20"/>
        </w:rPr>
      </w:pPr>
    </w:p>
    <w:p w:rsidR="009E7F57" w:rsidP="000C02C7" w:rsidRDefault="009E7F57" w14:paraId="4D067A41" w14:textId="77777777">
      <w:pPr>
        <w:rPr>
          <w:szCs w:val="20"/>
        </w:rPr>
      </w:pPr>
    </w:p>
    <w:p w:rsidR="000C02C7" w:rsidP="000C02C7" w:rsidRDefault="000C02C7" w14:paraId="3EDADF56" w14:textId="5F72AA92">
      <w:pPr>
        <w:rPr>
          <w:b/>
          <w:bCs/>
          <w:szCs w:val="18"/>
        </w:rPr>
      </w:pPr>
      <w:r w:rsidRPr="004C0B05">
        <w:rPr>
          <w:szCs w:val="20"/>
        </w:rPr>
        <w:t>Mariëlle Paul</w:t>
      </w:r>
    </w:p>
    <w:p w:rsidR="00820DDA" w:rsidP="000C02C7" w:rsidRDefault="00820DDA" w14:paraId="7B1B9306" w14:textId="77777777"/>
    <w:p w:rsidR="00FF20A5" w:rsidP="000C02C7" w:rsidRDefault="00FF20A5" w14:paraId="0AB8F312" w14:textId="77777777"/>
    <w:p w:rsidR="00FF20A5" w:rsidP="000C02C7" w:rsidRDefault="00FF20A5" w14:paraId="4E8219BC" w14:textId="77777777"/>
    <w:p w:rsidR="00FF20A5" w:rsidP="000C02C7" w:rsidRDefault="00FF20A5" w14:paraId="5BEDAE63" w14:textId="77777777"/>
    <w:p w:rsidR="00FF20A5" w:rsidP="000C02C7" w:rsidRDefault="00FF20A5" w14:paraId="74C1BA05" w14:textId="77777777"/>
    <w:p w:rsidR="00FF20A5" w:rsidP="000C02C7" w:rsidRDefault="00FF20A5" w14:paraId="25DDB2DF" w14:textId="77777777"/>
    <w:p w:rsidR="00FF20A5" w:rsidP="000C02C7" w:rsidRDefault="00FF20A5" w14:paraId="496F2077" w14:textId="77777777"/>
    <w:p w:rsidR="00FF20A5" w:rsidP="000C02C7" w:rsidRDefault="00FF20A5" w14:paraId="24683EC0" w14:textId="77777777"/>
    <w:p w:rsidR="00FF20A5" w:rsidP="000C02C7" w:rsidRDefault="00FF20A5" w14:paraId="3CCC951E" w14:textId="77777777"/>
    <w:p w:rsidR="00FF20A5" w:rsidP="000C02C7" w:rsidRDefault="00FF20A5" w14:paraId="175279DE" w14:textId="77777777"/>
    <w:p w:rsidR="0079162B" w:rsidP="000C02C7" w:rsidRDefault="0079162B" w14:paraId="33AD7544" w14:textId="77777777"/>
    <w:p w:rsidR="0079162B" w:rsidP="000C02C7" w:rsidRDefault="0079162B" w14:paraId="7D9C8F92" w14:textId="77777777"/>
    <w:p w:rsidR="0079162B" w:rsidP="000C02C7" w:rsidRDefault="0079162B" w14:paraId="5BB69AF9" w14:textId="77777777"/>
    <w:p w:rsidR="0079162B" w:rsidP="000C02C7" w:rsidRDefault="0079162B" w14:paraId="59DB8CA3" w14:textId="77777777"/>
    <w:p w:rsidR="0079162B" w:rsidP="000C02C7" w:rsidRDefault="0079162B" w14:paraId="56CD9F06" w14:textId="77777777"/>
    <w:p w:rsidR="00A375AF" w:rsidP="000C02C7" w:rsidRDefault="00A375AF" w14:paraId="4DFFB8C7" w14:textId="57BD6181">
      <w:r>
        <w:t>Bijgevoegde rapporten betreffen:</w:t>
      </w:r>
    </w:p>
    <w:p w:rsidRPr="000C0E0D" w:rsidR="00A375AF" w:rsidP="00A375AF" w:rsidRDefault="00A375AF" w14:paraId="35E1CEAB" w14:textId="77777777">
      <w:pPr>
        <w:pStyle w:val="Voetnoottekst"/>
        <w:numPr>
          <w:ilvl w:val="0"/>
          <w:numId w:val="15"/>
        </w:numPr>
        <w:rPr>
          <w:rStyle w:val="Hyperlink"/>
          <w:sz w:val="16"/>
          <w:szCs w:val="16"/>
        </w:rPr>
      </w:pPr>
      <w:r w:rsidRPr="000C0E0D">
        <w:rPr>
          <w:sz w:val="16"/>
          <w:szCs w:val="16"/>
        </w:rPr>
        <w:t xml:space="preserve">Thomas van Huizen e.a. (april 2024) </w:t>
      </w:r>
      <w:r w:rsidRPr="000C0E0D">
        <w:rPr>
          <w:i/>
          <w:iCs/>
          <w:sz w:val="16"/>
          <w:szCs w:val="16"/>
        </w:rPr>
        <w:t>Tussentijds rapport EVENING</w:t>
      </w:r>
      <w:r w:rsidRPr="000C0E0D">
        <w:rPr>
          <w:sz w:val="16"/>
          <w:szCs w:val="16"/>
        </w:rPr>
        <w:t xml:space="preserve">. Utrecht: Universiteit Utrecht </w:t>
      </w:r>
      <w:hyperlink w:history="1" r:id="rId8">
        <w:r w:rsidRPr="000C0E0D">
          <w:rPr>
            <w:rStyle w:val="Hyperlink"/>
            <w:sz w:val="16"/>
            <w:szCs w:val="16"/>
          </w:rPr>
          <w:t>Tussentijds rapport april 2024 – Evening (eveningonderzoek.nl)</w:t>
        </w:r>
      </w:hyperlink>
    </w:p>
    <w:p w:rsidRPr="000C0E0D" w:rsidR="00A375AF" w:rsidP="00A375AF" w:rsidRDefault="00A375AF" w14:paraId="649F00B3" w14:textId="77777777">
      <w:pPr>
        <w:pStyle w:val="Voetnoottekst"/>
        <w:numPr>
          <w:ilvl w:val="0"/>
          <w:numId w:val="15"/>
        </w:numPr>
        <w:rPr>
          <w:sz w:val="16"/>
          <w:szCs w:val="16"/>
        </w:rPr>
      </w:pPr>
      <w:r w:rsidRPr="000C0E0D">
        <w:rPr>
          <w:sz w:val="16"/>
          <w:szCs w:val="16"/>
        </w:rPr>
        <w:t xml:space="preserve">Cebeon, juli 2024. </w:t>
      </w:r>
      <w:r w:rsidRPr="000C0E0D">
        <w:rPr>
          <w:i/>
          <w:iCs/>
          <w:sz w:val="16"/>
          <w:szCs w:val="16"/>
        </w:rPr>
        <w:t>Bestedingsonderzoek gemeentelijk onderwijsachterstandenbeleid 2022. Met analyse onderbestedingen</w:t>
      </w:r>
      <w:r w:rsidRPr="000C0E0D">
        <w:rPr>
          <w:sz w:val="16"/>
          <w:szCs w:val="16"/>
        </w:rPr>
        <w:t>.</w:t>
      </w:r>
    </w:p>
    <w:p w:rsidRPr="000C0E0D" w:rsidR="00A375AF" w:rsidP="00A375AF" w:rsidRDefault="00A375AF" w14:paraId="42EAB269" w14:textId="77777777">
      <w:pPr>
        <w:pStyle w:val="Voetnoottekst"/>
        <w:numPr>
          <w:ilvl w:val="0"/>
          <w:numId w:val="15"/>
        </w:numPr>
        <w:rPr>
          <w:sz w:val="16"/>
          <w:szCs w:val="16"/>
        </w:rPr>
      </w:pPr>
      <w:r w:rsidRPr="000C0E0D">
        <w:rPr>
          <w:sz w:val="16"/>
          <w:szCs w:val="16"/>
        </w:rPr>
        <w:t xml:space="preserve">Oberon, Sardes, juli 2024. </w:t>
      </w:r>
      <w:r w:rsidRPr="000C0E0D">
        <w:rPr>
          <w:i/>
          <w:iCs/>
          <w:sz w:val="16"/>
          <w:szCs w:val="16"/>
        </w:rPr>
        <w:t>Eindnotitie regie R&amp;D OAB-programma</w:t>
      </w:r>
      <w:r w:rsidRPr="000C0E0D">
        <w:rPr>
          <w:sz w:val="16"/>
          <w:szCs w:val="16"/>
        </w:rPr>
        <w:t>. Utrecht.</w:t>
      </w:r>
    </w:p>
    <w:p w:rsidRPr="000C0E0D" w:rsidR="00A375AF" w:rsidP="00A375AF" w:rsidRDefault="00A375AF" w14:paraId="40CB48C0" w14:textId="77777777">
      <w:pPr>
        <w:pStyle w:val="Voetnoottekst"/>
        <w:numPr>
          <w:ilvl w:val="0"/>
          <w:numId w:val="15"/>
        </w:numPr>
        <w:rPr>
          <w:sz w:val="16"/>
          <w:szCs w:val="16"/>
        </w:rPr>
      </w:pPr>
      <w:r w:rsidRPr="000C0E0D">
        <w:rPr>
          <w:sz w:val="16"/>
          <w:szCs w:val="16"/>
        </w:rPr>
        <w:t xml:space="preserve">Inspectie van het Onderwijs, september 2024. </w:t>
      </w:r>
      <w:r w:rsidRPr="000C0E0D">
        <w:rPr>
          <w:i/>
          <w:iCs/>
          <w:sz w:val="16"/>
          <w:szCs w:val="16"/>
        </w:rPr>
        <w:t>De kwaliteit van vroegschoolse educatie</w:t>
      </w:r>
      <w:r w:rsidRPr="000C0E0D">
        <w:rPr>
          <w:sz w:val="16"/>
          <w:szCs w:val="16"/>
        </w:rPr>
        <w:t xml:space="preserve">. </w:t>
      </w:r>
      <w:hyperlink w:history="1" r:id="rId9">
        <w:r w:rsidRPr="000C0E0D">
          <w:rPr>
            <w:rStyle w:val="Hyperlink"/>
            <w:sz w:val="16"/>
            <w:szCs w:val="16"/>
          </w:rPr>
          <w:t>https://www.onderwijsinspectie.nl/documenten/rapporten/2024/09/09/de-kwaliteit-van-de-vroegschoolse-educatie</w:t>
        </w:r>
      </w:hyperlink>
      <w:r w:rsidRPr="000C0E0D">
        <w:rPr>
          <w:sz w:val="16"/>
          <w:szCs w:val="16"/>
        </w:rPr>
        <w:t xml:space="preserve"> </w:t>
      </w:r>
    </w:p>
    <w:p w:rsidRPr="00820DDA" w:rsidR="00A375AF" w:rsidP="0079162B" w:rsidRDefault="00A375AF" w14:paraId="60B07408" w14:textId="318EC709">
      <w:pPr>
        <w:pStyle w:val="Voetnoottekst"/>
        <w:ind w:left="360"/>
      </w:pPr>
      <w:r w:rsidRPr="0079162B">
        <w:rPr>
          <w:sz w:val="16"/>
          <w:szCs w:val="16"/>
        </w:rPr>
        <w:t xml:space="preserve"> </w:t>
      </w:r>
    </w:p>
    <w:sectPr w:rsidRPr="00820DDA" w:rsidR="00A375AF" w:rsidSect="002F493B">
      <w:headerReference w:type="default"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5672" w14:textId="77777777" w:rsidR="008866FF" w:rsidRDefault="008866FF">
      <w:r>
        <w:separator/>
      </w:r>
    </w:p>
    <w:p w14:paraId="62FE45C1" w14:textId="77777777" w:rsidR="008866FF" w:rsidRDefault="008866FF"/>
  </w:endnote>
  <w:endnote w:type="continuationSeparator" w:id="0">
    <w:p w14:paraId="1B3F5429" w14:textId="77777777" w:rsidR="008866FF" w:rsidRDefault="008866FF">
      <w:r>
        <w:continuationSeparator/>
      </w:r>
    </w:p>
    <w:p w14:paraId="678C582C" w14:textId="77777777" w:rsidR="008866FF" w:rsidRDefault="00886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DD2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C34F2" w14:paraId="03FDE614" w14:textId="77777777" w:rsidTr="004C7E1D">
      <w:trPr>
        <w:trHeight w:hRule="exact" w:val="357"/>
      </w:trPr>
      <w:tc>
        <w:tcPr>
          <w:tcW w:w="7603" w:type="dxa"/>
          <w:shd w:val="clear" w:color="auto" w:fill="auto"/>
        </w:tcPr>
        <w:p w14:paraId="5D9DCA9A" w14:textId="77777777" w:rsidR="002F71BB" w:rsidRPr="004C7E1D" w:rsidRDefault="002F71BB" w:rsidP="004C7E1D">
          <w:pPr>
            <w:spacing w:line="180" w:lineRule="exact"/>
            <w:rPr>
              <w:sz w:val="13"/>
              <w:szCs w:val="13"/>
            </w:rPr>
          </w:pPr>
        </w:p>
      </w:tc>
      <w:tc>
        <w:tcPr>
          <w:tcW w:w="2172" w:type="dxa"/>
          <w:shd w:val="clear" w:color="auto" w:fill="auto"/>
        </w:tcPr>
        <w:p w14:paraId="097260F2" w14:textId="1170763E" w:rsidR="002F71BB" w:rsidRPr="004C7E1D" w:rsidRDefault="000C02C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173B0">
            <w:rPr>
              <w:szCs w:val="13"/>
            </w:rPr>
            <w:t>5</w:t>
          </w:r>
          <w:r w:rsidRPr="004C7E1D">
            <w:rPr>
              <w:szCs w:val="13"/>
            </w:rPr>
            <w:fldChar w:fldCharType="end"/>
          </w:r>
        </w:p>
      </w:tc>
    </w:tr>
  </w:tbl>
  <w:p w14:paraId="3E704FA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C34F2" w14:paraId="7AFC7533" w14:textId="77777777" w:rsidTr="004C7E1D">
      <w:trPr>
        <w:trHeight w:hRule="exact" w:val="357"/>
      </w:trPr>
      <w:tc>
        <w:tcPr>
          <w:tcW w:w="7709" w:type="dxa"/>
          <w:shd w:val="clear" w:color="auto" w:fill="auto"/>
        </w:tcPr>
        <w:p w14:paraId="77681805" w14:textId="77777777" w:rsidR="00D17084" w:rsidRPr="004C7E1D" w:rsidRDefault="00D17084" w:rsidP="004C7E1D">
          <w:pPr>
            <w:spacing w:line="180" w:lineRule="exact"/>
            <w:rPr>
              <w:sz w:val="13"/>
              <w:szCs w:val="13"/>
            </w:rPr>
          </w:pPr>
        </w:p>
      </w:tc>
      <w:tc>
        <w:tcPr>
          <w:tcW w:w="2060" w:type="dxa"/>
          <w:shd w:val="clear" w:color="auto" w:fill="auto"/>
        </w:tcPr>
        <w:p w14:paraId="6F6E7146" w14:textId="4648DDFB" w:rsidR="00D17084" w:rsidRPr="004C7E1D" w:rsidRDefault="000C02C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173B0">
            <w:rPr>
              <w:szCs w:val="13"/>
            </w:rPr>
            <w:t>5</w:t>
          </w:r>
          <w:r w:rsidRPr="004C7E1D">
            <w:rPr>
              <w:szCs w:val="13"/>
            </w:rPr>
            <w:fldChar w:fldCharType="end"/>
          </w:r>
        </w:p>
      </w:tc>
    </w:tr>
  </w:tbl>
  <w:p w14:paraId="42291F9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931F" w14:textId="77777777" w:rsidR="008866FF" w:rsidRDefault="008866FF">
      <w:r>
        <w:separator/>
      </w:r>
    </w:p>
    <w:p w14:paraId="4FD5D8FD" w14:textId="77777777" w:rsidR="008866FF" w:rsidRDefault="008866FF"/>
  </w:footnote>
  <w:footnote w:type="continuationSeparator" w:id="0">
    <w:p w14:paraId="3CEB066C" w14:textId="77777777" w:rsidR="008866FF" w:rsidRDefault="008866FF">
      <w:r>
        <w:continuationSeparator/>
      </w:r>
    </w:p>
    <w:p w14:paraId="1F6236A0" w14:textId="77777777" w:rsidR="008866FF" w:rsidRDefault="008866FF"/>
  </w:footnote>
  <w:footnote w:id="1">
    <w:p w14:paraId="40D7A054" w14:textId="28A41EF6" w:rsidR="002A7835" w:rsidRPr="000C0E0D" w:rsidRDefault="002A7835" w:rsidP="002A7835">
      <w:pPr>
        <w:pStyle w:val="Voetnoottekst"/>
        <w:rPr>
          <w:sz w:val="16"/>
          <w:szCs w:val="16"/>
        </w:rPr>
      </w:pPr>
      <w:r w:rsidRPr="000C0E0D">
        <w:rPr>
          <w:rStyle w:val="Voetnootmarkering"/>
          <w:sz w:val="16"/>
          <w:szCs w:val="16"/>
        </w:rPr>
        <w:footnoteRef/>
      </w:r>
      <w:r w:rsidRPr="000C0E0D">
        <w:rPr>
          <w:sz w:val="16"/>
          <w:szCs w:val="16"/>
        </w:rPr>
        <w:t xml:space="preserve"> </w:t>
      </w:r>
      <w:r w:rsidR="00E17836">
        <w:rPr>
          <w:sz w:val="16"/>
          <w:szCs w:val="16"/>
        </w:rPr>
        <w:t>T</w:t>
      </w:r>
      <w:r w:rsidRPr="000C0E0D">
        <w:rPr>
          <w:sz w:val="16"/>
          <w:szCs w:val="16"/>
        </w:rPr>
        <w:t xml:space="preserve">e weten </w:t>
      </w:r>
      <w:r w:rsidR="0040089A">
        <w:rPr>
          <w:sz w:val="16"/>
          <w:szCs w:val="16"/>
        </w:rPr>
        <w:t xml:space="preserve">de </w:t>
      </w:r>
      <w:r w:rsidRPr="000C0E0D">
        <w:rPr>
          <w:sz w:val="16"/>
          <w:szCs w:val="16"/>
        </w:rPr>
        <w:t>toezegging</w:t>
      </w:r>
      <w:r w:rsidR="00E17836">
        <w:rPr>
          <w:sz w:val="16"/>
          <w:szCs w:val="16"/>
        </w:rPr>
        <w:t>en</w:t>
      </w:r>
      <w:r w:rsidR="0040089A">
        <w:rPr>
          <w:sz w:val="16"/>
          <w:szCs w:val="16"/>
        </w:rPr>
        <w:t xml:space="preserve"> met</w:t>
      </w:r>
      <w:r w:rsidRPr="000C0E0D">
        <w:rPr>
          <w:sz w:val="16"/>
          <w:szCs w:val="16"/>
        </w:rPr>
        <w:t xml:space="preserve"> n</w:t>
      </w:r>
      <w:r w:rsidR="0040089A">
        <w:rPr>
          <w:sz w:val="16"/>
          <w:szCs w:val="16"/>
        </w:rPr>
        <w:t>ummer</w:t>
      </w:r>
      <w:r w:rsidRPr="000C0E0D">
        <w:rPr>
          <w:sz w:val="16"/>
          <w:szCs w:val="16"/>
        </w:rPr>
        <w:t xml:space="preserve"> TZ202409-047 en TZ202409-048</w:t>
      </w:r>
      <w:r w:rsidR="00E17836">
        <w:rPr>
          <w:sz w:val="16"/>
          <w:szCs w:val="16"/>
        </w:rPr>
        <w:t xml:space="preserve"> en </w:t>
      </w:r>
      <w:r w:rsidR="007118AD">
        <w:rPr>
          <w:sz w:val="16"/>
          <w:szCs w:val="16"/>
        </w:rPr>
        <w:t xml:space="preserve">de </w:t>
      </w:r>
      <w:r w:rsidR="00E17836">
        <w:rPr>
          <w:sz w:val="16"/>
          <w:szCs w:val="16"/>
        </w:rPr>
        <w:t>moties</w:t>
      </w:r>
      <w:r w:rsidR="007118AD">
        <w:rPr>
          <w:sz w:val="16"/>
          <w:szCs w:val="16"/>
        </w:rPr>
        <w:t xml:space="preserve"> Kamerstukken II, 2023-2024, </w:t>
      </w:r>
      <w:r w:rsidR="007118AD" w:rsidRPr="007118AD">
        <w:rPr>
          <w:sz w:val="16"/>
          <w:szCs w:val="16"/>
        </w:rPr>
        <w:t>31</w:t>
      </w:r>
      <w:r w:rsidR="007118AD">
        <w:rPr>
          <w:sz w:val="16"/>
          <w:szCs w:val="16"/>
        </w:rPr>
        <w:t xml:space="preserve"> </w:t>
      </w:r>
      <w:r w:rsidR="007118AD" w:rsidRPr="007118AD">
        <w:rPr>
          <w:sz w:val="16"/>
          <w:szCs w:val="16"/>
        </w:rPr>
        <w:t>293</w:t>
      </w:r>
      <w:r w:rsidR="007118AD">
        <w:rPr>
          <w:sz w:val="16"/>
          <w:szCs w:val="16"/>
        </w:rPr>
        <w:t xml:space="preserve">, nr. </w:t>
      </w:r>
      <w:r w:rsidR="007118AD" w:rsidRPr="007118AD">
        <w:rPr>
          <w:sz w:val="16"/>
          <w:szCs w:val="16"/>
        </w:rPr>
        <w:t>744</w:t>
      </w:r>
      <w:r w:rsidR="007118AD">
        <w:rPr>
          <w:sz w:val="16"/>
          <w:szCs w:val="16"/>
        </w:rPr>
        <w:t xml:space="preserve"> en 745</w:t>
      </w:r>
    </w:p>
  </w:footnote>
  <w:footnote w:id="2">
    <w:p w14:paraId="094D718F" w14:textId="77777777" w:rsidR="002A7835" w:rsidRPr="000C0E0D" w:rsidRDefault="002A7835" w:rsidP="002A7835">
      <w:pPr>
        <w:pStyle w:val="Voetnoottekst"/>
        <w:rPr>
          <w:sz w:val="16"/>
          <w:szCs w:val="16"/>
        </w:rPr>
      </w:pPr>
    </w:p>
  </w:footnote>
  <w:footnote w:id="3">
    <w:p w14:paraId="69480222" w14:textId="4DA4D084" w:rsidR="000C02C7" w:rsidRPr="000C0E0D" w:rsidRDefault="000C02C7" w:rsidP="00DF477A">
      <w:pPr>
        <w:pStyle w:val="Voetnoottekst"/>
        <w:rPr>
          <w:sz w:val="16"/>
          <w:szCs w:val="16"/>
        </w:rPr>
      </w:pPr>
      <w:r w:rsidRPr="000C0E0D">
        <w:rPr>
          <w:sz w:val="16"/>
          <w:szCs w:val="16"/>
        </w:rPr>
        <w:t xml:space="preserve"> </w:t>
      </w:r>
    </w:p>
  </w:footnote>
  <w:footnote w:id="4">
    <w:p w14:paraId="6C323DD7" w14:textId="77777777" w:rsidR="000C02C7" w:rsidRDefault="000C02C7" w:rsidP="000C02C7">
      <w:pPr>
        <w:pStyle w:val="Voetnoottekst"/>
      </w:pPr>
      <w:r w:rsidRPr="000C0E0D">
        <w:rPr>
          <w:rStyle w:val="Voetnootmarkering"/>
          <w:sz w:val="16"/>
          <w:szCs w:val="16"/>
        </w:rPr>
        <w:footnoteRef/>
      </w:r>
      <w:r w:rsidRPr="000C0E0D">
        <w:rPr>
          <w:sz w:val="16"/>
          <w:szCs w:val="16"/>
        </w:rPr>
        <w:t xml:space="preserve"> Inspectie van het Onderwijs, september 2024. </w:t>
      </w:r>
      <w:r w:rsidRPr="000C0E0D">
        <w:rPr>
          <w:i/>
          <w:iCs/>
          <w:sz w:val="16"/>
          <w:szCs w:val="16"/>
        </w:rPr>
        <w:t>De kwaliteit van vroegschoolse educatie</w:t>
      </w:r>
      <w:r w:rsidRPr="000C0E0D">
        <w:rPr>
          <w:sz w:val="16"/>
          <w:szCs w:val="16"/>
        </w:rPr>
        <w:t>.</w:t>
      </w:r>
    </w:p>
  </w:footnote>
  <w:footnote w:id="5">
    <w:p w14:paraId="0130DB14" w14:textId="77777777" w:rsidR="005079AB" w:rsidRPr="000C0E0D" w:rsidRDefault="005079AB" w:rsidP="005079AB">
      <w:pPr>
        <w:pStyle w:val="Voetnoottekst"/>
        <w:rPr>
          <w:sz w:val="16"/>
          <w:szCs w:val="16"/>
        </w:rPr>
      </w:pPr>
      <w:r w:rsidRPr="000C0E0D">
        <w:rPr>
          <w:rStyle w:val="Voetnootmarkering"/>
          <w:sz w:val="16"/>
          <w:szCs w:val="16"/>
        </w:rPr>
        <w:footnoteRef/>
      </w:r>
      <w:r w:rsidRPr="000C0E0D">
        <w:rPr>
          <w:sz w:val="16"/>
          <w:szCs w:val="16"/>
        </w:rPr>
        <w:t xml:space="preserve"> Oberon, Sardes, juli 2024. </w:t>
      </w:r>
      <w:r w:rsidRPr="000C0E0D">
        <w:rPr>
          <w:i/>
          <w:iCs/>
          <w:sz w:val="16"/>
          <w:szCs w:val="16"/>
        </w:rPr>
        <w:t>Eindnotitie regie R&amp;D OAB-programma</w:t>
      </w:r>
      <w:r w:rsidRPr="000C0E0D">
        <w:rPr>
          <w:sz w:val="16"/>
          <w:szCs w:val="16"/>
        </w:rPr>
        <w:t>. Utrecht</w:t>
      </w:r>
    </w:p>
  </w:footnote>
  <w:footnote w:id="6">
    <w:p w14:paraId="033C8A36" w14:textId="77777777" w:rsidR="005079AB" w:rsidRPr="000C0E0D" w:rsidRDefault="005079AB" w:rsidP="005079AB">
      <w:pPr>
        <w:pStyle w:val="Voetnoottekst"/>
        <w:rPr>
          <w:sz w:val="16"/>
          <w:szCs w:val="16"/>
        </w:rPr>
      </w:pPr>
      <w:r w:rsidRPr="000C0E0D">
        <w:rPr>
          <w:rStyle w:val="Voetnootmarkering"/>
          <w:sz w:val="16"/>
          <w:szCs w:val="16"/>
        </w:rPr>
        <w:footnoteRef/>
      </w:r>
      <w:r w:rsidRPr="000C0E0D">
        <w:rPr>
          <w:sz w:val="16"/>
          <w:szCs w:val="16"/>
        </w:rPr>
        <w:t xml:space="preserve"> Om dit breder en ook op de langere termijn te stimuleren, zal het Nationaal Regieorgaan Onderwijsonderzoek (NRO) als onafhankelijk kennisinstituut een belangrijke rol gaan vervullen. Dit kennisinstituut zal de centrale plek worden waar onderwijskennis wordt ontsloten en up-to-date wordt gehouden voor onderwijsprofessionals. Via de lerarenopleidingen en intermediaire organisaties kan deze kennis vervolgens een weg vinden naar de praktijk.</w:t>
      </w:r>
    </w:p>
  </w:footnote>
  <w:footnote w:id="7">
    <w:p w14:paraId="25403C79" w14:textId="77777777" w:rsidR="000C02C7" w:rsidRDefault="000C02C7" w:rsidP="000C02C7">
      <w:pPr>
        <w:pStyle w:val="Voetnoottekst"/>
      </w:pPr>
      <w:r w:rsidRPr="000C0E0D">
        <w:rPr>
          <w:rStyle w:val="Voetnootmarkering"/>
          <w:sz w:val="16"/>
          <w:szCs w:val="16"/>
        </w:rPr>
        <w:footnoteRef/>
      </w:r>
      <w:r w:rsidRPr="000C0E0D">
        <w:rPr>
          <w:sz w:val="16"/>
          <w:szCs w:val="16"/>
        </w:rPr>
        <w:t xml:space="preserve"> Artikel 167 van de Wet op het primair onderwijs, 3</w:t>
      </w:r>
      <w:r w:rsidRPr="000C0E0D">
        <w:rPr>
          <w:sz w:val="16"/>
          <w:szCs w:val="16"/>
          <w:vertAlign w:val="superscript"/>
        </w:rPr>
        <w:t>e</w:t>
      </w:r>
      <w:r w:rsidRPr="000C0E0D">
        <w:rPr>
          <w:sz w:val="16"/>
          <w:szCs w:val="16"/>
        </w:rPr>
        <w:t xml:space="preserve"> lid.</w:t>
      </w:r>
    </w:p>
  </w:footnote>
  <w:footnote w:id="8">
    <w:p w14:paraId="4F0BA240" w14:textId="77777777" w:rsidR="00E51F5C" w:rsidRPr="000C0E0D" w:rsidRDefault="00E51F5C" w:rsidP="00E51F5C">
      <w:pPr>
        <w:pStyle w:val="Voetnoottekst"/>
        <w:rPr>
          <w:sz w:val="16"/>
          <w:szCs w:val="16"/>
        </w:rPr>
      </w:pPr>
      <w:r w:rsidRPr="000C0E0D">
        <w:rPr>
          <w:rStyle w:val="Voetnootmarkering"/>
          <w:sz w:val="16"/>
          <w:szCs w:val="16"/>
        </w:rPr>
        <w:footnoteRef/>
      </w:r>
      <w:r w:rsidRPr="000C0E0D">
        <w:rPr>
          <w:sz w:val="16"/>
          <w:szCs w:val="16"/>
        </w:rPr>
        <w:t xml:space="preserve"> Kamerstukken II, 2022/23, 31293, nr. 691</w:t>
      </w:r>
    </w:p>
  </w:footnote>
  <w:footnote w:id="9">
    <w:p w14:paraId="626BD22C" w14:textId="77777777" w:rsidR="00E51F5C" w:rsidRPr="000C0E0D" w:rsidRDefault="00E51F5C" w:rsidP="00E51F5C">
      <w:pPr>
        <w:pStyle w:val="Voetnoottekst"/>
        <w:rPr>
          <w:sz w:val="16"/>
          <w:szCs w:val="16"/>
        </w:rPr>
      </w:pPr>
      <w:r w:rsidRPr="000C0E0D">
        <w:rPr>
          <w:rStyle w:val="Voetnootmarkering"/>
          <w:sz w:val="16"/>
          <w:szCs w:val="16"/>
        </w:rPr>
        <w:footnoteRef/>
      </w:r>
      <w:r w:rsidRPr="000C0E0D">
        <w:rPr>
          <w:sz w:val="16"/>
          <w:szCs w:val="16"/>
        </w:rPr>
        <w:t xml:space="preserve"> Thomas van Huizen e.a. (april 2024) </w:t>
      </w:r>
      <w:r w:rsidRPr="000C0E0D">
        <w:rPr>
          <w:i/>
          <w:iCs/>
          <w:sz w:val="16"/>
          <w:szCs w:val="16"/>
        </w:rPr>
        <w:t>Tussentijds rapport EVENING</w:t>
      </w:r>
      <w:r w:rsidRPr="000C0E0D">
        <w:rPr>
          <w:sz w:val="16"/>
          <w:szCs w:val="16"/>
        </w:rPr>
        <w:t xml:space="preserve">. Utrecht: Universiteit Utrecht </w:t>
      </w:r>
      <w:hyperlink r:id="rId1" w:history="1">
        <w:r w:rsidRPr="000C0E0D">
          <w:rPr>
            <w:rStyle w:val="Hyperlink"/>
            <w:sz w:val="16"/>
            <w:szCs w:val="16"/>
          </w:rPr>
          <w:t>Tussentijds rapport april 2024 – Evening (eveningonderzoek.nl)</w:t>
        </w:r>
      </w:hyperlink>
    </w:p>
  </w:footnote>
  <w:footnote w:id="10">
    <w:p w14:paraId="043C46E4" w14:textId="77777777" w:rsidR="000C02C7" w:rsidRPr="000C0E0D" w:rsidRDefault="000C02C7" w:rsidP="000C02C7">
      <w:pPr>
        <w:pStyle w:val="Voetnoottekst"/>
        <w:rPr>
          <w:sz w:val="16"/>
          <w:szCs w:val="16"/>
        </w:rPr>
      </w:pPr>
      <w:r w:rsidRPr="000C0E0D">
        <w:rPr>
          <w:rStyle w:val="Voetnootmarkering"/>
          <w:sz w:val="16"/>
          <w:szCs w:val="16"/>
        </w:rPr>
        <w:footnoteRef/>
      </w:r>
      <w:r w:rsidRPr="000C0E0D">
        <w:rPr>
          <w:sz w:val="16"/>
          <w:szCs w:val="16"/>
        </w:rPr>
        <w:t xml:space="preserve"> Kamerstukken II, 2023-2024, 27020, nr. 119 </w:t>
      </w:r>
    </w:p>
  </w:footnote>
  <w:footnote w:id="11">
    <w:p w14:paraId="17785D64" w14:textId="77777777" w:rsidR="000C02C7" w:rsidRPr="000C0E0D" w:rsidRDefault="000C02C7" w:rsidP="000C02C7">
      <w:pPr>
        <w:autoSpaceDE w:val="0"/>
        <w:autoSpaceDN w:val="0"/>
        <w:spacing w:line="252" w:lineRule="auto"/>
        <w:rPr>
          <w:sz w:val="16"/>
          <w:szCs w:val="16"/>
        </w:rPr>
      </w:pPr>
      <w:r w:rsidRPr="000C0E0D">
        <w:rPr>
          <w:rStyle w:val="Voetnootmarkering"/>
          <w:sz w:val="16"/>
          <w:szCs w:val="16"/>
        </w:rPr>
        <w:footnoteRef/>
      </w:r>
      <w:r w:rsidRPr="000C0E0D">
        <w:rPr>
          <w:sz w:val="16"/>
          <w:szCs w:val="16"/>
        </w:rPr>
        <w:t xml:space="preserve"> Kamerstukken 2023/24, 31293, nr. 744: De Tweede Kamer verzoekt de regering om met een plan te komen waarmee deze negatieve tendens wordt doorbroken met als doel dat meer doelgroepkinderen gebruik gaan maken van vve. </w:t>
      </w:r>
    </w:p>
  </w:footnote>
  <w:footnote w:id="12">
    <w:p w14:paraId="3E865B30" w14:textId="77777777" w:rsidR="000C02C7" w:rsidRPr="00F418CA" w:rsidRDefault="000C02C7" w:rsidP="000C02C7">
      <w:pPr>
        <w:pStyle w:val="Voetnoottekst"/>
        <w:spacing w:line="240" w:lineRule="auto"/>
        <w:rPr>
          <w:sz w:val="16"/>
          <w:szCs w:val="16"/>
        </w:rPr>
      </w:pPr>
      <w:r w:rsidRPr="000C0E0D">
        <w:rPr>
          <w:rStyle w:val="Voetnootmarkering"/>
          <w:sz w:val="16"/>
          <w:szCs w:val="16"/>
        </w:rPr>
        <w:footnoteRef/>
      </w:r>
      <w:r w:rsidRPr="000C0E0D">
        <w:rPr>
          <w:sz w:val="16"/>
          <w:szCs w:val="16"/>
        </w:rPr>
        <w:t xml:space="preserve"> Het Landelijk Rapport Lokale Educatieve Agenda/voor- en vroegschoolse educatie, maart 2023. Kamerstukken II, 2023–2024, 31 293, nr. 725</w:t>
      </w:r>
    </w:p>
  </w:footnote>
  <w:footnote w:id="13">
    <w:p w14:paraId="1F3AC14F" w14:textId="77777777" w:rsidR="009857D4" w:rsidRPr="000C0E0D" w:rsidRDefault="009857D4" w:rsidP="009857D4">
      <w:pPr>
        <w:pStyle w:val="Voetnoottekst"/>
        <w:rPr>
          <w:sz w:val="16"/>
          <w:szCs w:val="16"/>
        </w:rPr>
      </w:pPr>
      <w:r w:rsidRPr="000C0E0D">
        <w:rPr>
          <w:rStyle w:val="Voetnootmarkering"/>
          <w:sz w:val="16"/>
          <w:szCs w:val="16"/>
        </w:rPr>
        <w:footnoteRef/>
      </w:r>
      <w:r w:rsidRPr="000C0E0D">
        <w:rPr>
          <w:sz w:val="16"/>
          <w:szCs w:val="16"/>
        </w:rPr>
        <w:t xml:space="preserve"> </w:t>
      </w:r>
      <w:hyperlink r:id="rId2" w:history="1">
        <w:r w:rsidRPr="000C0E0D">
          <w:rPr>
            <w:color w:val="0000FF"/>
            <w:sz w:val="16"/>
            <w:szCs w:val="16"/>
            <w:u w:val="single"/>
          </w:rPr>
          <w:t>Kenniscentrum Gemengde Scholen – Wij willen scholen gemengder maken.</w:t>
        </w:r>
      </w:hyperlink>
    </w:p>
  </w:footnote>
  <w:footnote w:id="14">
    <w:p w14:paraId="1840AC62" w14:textId="77777777" w:rsidR="000C02C7" w:rsidRPr="000C0E0D" w:rsidRDefault="000C02C7" w:rsidP="000C02C7">
      <w:pPr>
        <w:pStyle w:val="Voetnoottekst"/>
        <w:rPr>
          <w:sz w:val="16"/>
          <w:szCs w:val="16"/>
        </w:rPr>
      </w:pPr>
      <w:r w:rsidRPr="000C0E0D">
        <w:rPr>
          <w:rStyle w:val="Voetnootmarkering"/>
          <w:sz w:val="16"/>
          <w:szCs w:val="16"/>
        </w:rPr>
        <w:footnoteRef/>
      </w:r>
      <w:r w:rsidRPr="000C0E0D">
        <w:rPr>
          <w:sz w:val="16"/>
          <w:szCs w:val="16"/>
        </w:rPr>
        <w:t xml:space="preserve"> Wet op het primair onderwijs, artikel 160, 1</w:t>
      </w:r>
      <w:r w:rsidRPr="000C0E0D">
        <w:rPr>
          <w:sz w:val="16"/>
          <w:szCs w:val="16"/>
          <w:vertAlign w:val="superscript"/>
        </w:rPr>
        <w:t>e</w:t>
      </w:r>
      <w:r w:rsidRPr="000C0E0D">
        <w:rPr>
          <w:sz w:val="16"/>
          <w:szCs w:val="16"/>
        </w:rPr>
        <w:t xml:space="preserve"> lid.</w:t>
      </w:r>
    </w:p>
  </w:footnote>
  <w:footnote w:id="15">
    <w:p w14:paraId="0421E1C7" w14:textId="77777777" w:rsidR="000C02C7" w:rsidRPr="000C0E0D" w:rsidRDefault="000C02C7" w:rsidP="000C02C7">
      <w:pPr>
        <w:autoSpaceDE w:val="0"/>
        <w:autoSpaceDN w:val="0"/>
        <w:spacing w:line="252" w:lineRule="auto"/>
        <w:rPr>
          <w:sz w:val="16"/>
          <w:szCs w:val="16"/>
        </w:rPr>
      </w:pPr>
      <w:r w:rsidRPr="000C0E0D">
        <w:rPr>
          <w:rStyle w:val="Voetnootmarkering"/>
          <w:sz w:val="16"/>
          <w:szCs w:val="16"/>
        </w:rPr>
        <w:footnoteRef/>
      </w:r>
      <w:r w:rsidRPr="000C0E0D">
        <w:rPr>
          <w:sz w:val="16"/>
          <w:szCs w:val="16"/>
        </w:rPr>
        <w:t xml:space="preserve"> Kamerstukken II 2023/24, 31293. nr. 744: De Tweede Kamer verzoekt de regering maatregelen te treffen zodat er ook een juridische verplichting komt voor het evalueren van de afspraken en de inspectie ook kan sturen op de evaluatie daarvan.</w:t>
      </w:r>
    </w:p>
  </w:footnote>
  <w:footnote w:id="16">
    <w:p w14:paraId="22DF4F49" w14:textId="77777777" w:rsidR="000C02C7" w:rsidRPr="00411198" w:rsidRDefault="000C02C7" w:rsidP="000C02C7">
      <w:pPr>
        <w:rPr>
          <w:sz w:val="16"/>
          <w:szCs w:val="16"/>
        </w:rPr>
      </w:pPr>
      <w:r w:rsidRPr="000C0E0D">
        <w:rPr>
          <w:rStyle w:val="Voetnootmarkering"/>
          <w:sz w:val="16"/>
          <w:szCs w:val="16"/>
        </w:rPr>
        <w:footnoteRef/>
      </w:r>
      <w:r w:rsidRPr="000C0E0D">
        <w:rPr>
          <w:sz w:val="16"/>
          <w:szCs w:val="16"/>
        </w:rPr>
        <w:t xml:space="preserve"> Cebeon, juli 2024. </w:t>
      </w:r>
      <w:r w:rsidRPr="000C0E0D">
        <w:rPr>
          <w:i/>
          <w:iCs/>
          <w:sz w:val="16"/>
          <w:szCs w:val="16"/>
        </w:rPr>
        <w:t>Bestedingsonderzoek gemeentelijk onderwijsachterstandenbeleid 2022. Met analyse onderbestedingen</w:t>
      </w:r>
      <w:r w:rsidRPr="000C0E0D">
        <w:rPr>
          <w:sz w:val="16"/>
          <w:szCs w:val="16"/>
        </w:rPr>
        <w:t>.</w:t>
      </w:r>
      <w:r w:rsidRPr="00C54815">
        <w:rPr>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C34F2" w14:paraId="2F2A541F" w14:textId="77777777" w:rsidTr="006D2D53">
      <w:trPr>
        <w:trHeight w:hRule="exact" w:val="400"/>
      </w:trPr>
      <w:tc>
        <w:tcPr>
          <w:tcW w:w="7518" w:type="dxa"/>
          <w:shd w:val="clear" w:color="auto" w:fill="auto"/>
        </w:tcPr>
        <w:p w14:paraId="4D757C31" w14:textId="77777777" w:rsidR="00527BD4" w:rsidRPr="00275984" w:rsidRDefault="00527BD4" w:rsidP="00BF4427">
          <w:pPr>
            <w:pStyle w:val="Huisstijl-Rubricering"/>
          </w:pPr>
        </w:p>
      </w:tc>
    </w:tr>
  </w:tbl>
  <w:p w14:paraId="05E9E77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C34F2" w14:paraId="1DC28CA3" w14:textId="77777777" w:rsidTr="003B528D">
      <w:tc>
        <w:tcPr>
          <w:tcW w:w="2160" w:type="dxa"/>
          <w:shd w:val="clear" w:color="auto" w:fill="auto"/>
        </w:tcPr>
        <w:p w14:paraId="79611DD6" w14:textId="77777777" w:rsidR="002F71BB" w:rsidRPr="000407BB" w:rsidRDefault="000C02C7" w:rsidP="005D283A">
          <w:pPr>
            <w:pStyle w:val="Colofonkop"/>
            <w:framePr w:hSpace="0" w:wrap="auto" w:vAnchor="margin" w:hAnchor="text" w:xAlign="left" w:yAlign="inline"/>
          </w:pPr>
          <w:r>
            <w:t>Onze referentie</w:t>
          </w:r>
        </w:p>
      </w:tc>
    </w:tr>
    <w:tr w:rsidR="00BC34F2" w14:paraId="6E09DDC3" w14:textId="77777777" w:rsidTr="002F71BB">
      <w:trPr>
        <w:trHeight w:val="259"/>
      </w:trPr>
      <w:tc>
        <w:tcPr>
          <w:tcW w:w="2160" w:type="dxa"/>
          <w:shd w:val="clear" w:color="auto" w:fill="auto"/>
        </w:tcPr>
        <w:p w14:paraId="4B9A0049" w14:textId="39D8E7E6" w:rsidR="00E35CF4" w:rsidRPr="005D283A" w:rsidRDefault="00616218" w:rsidP="0049501A">
          <w:pPr>
            <w:spacing w:line="180" w:lineRule="exact"/>
            <w:rPr>
              <w:sz w:val="13"/>
              <w:szCs w:val="13"/>
            </w:rPr>
          </w:pPr>
          <w:r>
            <w:rPr>
              <w:sz w:val="13"/>
              <w:szCs w:val="13"/>
            </w:rPr>
            <w:t>491</w:t>
          </w:r>
          <w:r w:rsidR="00BF60EE">
            <w:rPr>
              <w:sz w:val="13"/>
              <w:szCs w:val="13"/>
            </w:rPr>
            <w:t>89439</w:t>
          </w:r>
        </w:p>
      </w:tc>
    </w:tr>
  </w:tbl>
  <w:p w14:paraId="0B8D7B9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C34F2" w14:paraId="21784F28" w14:textId="77777777" w:rsidTr="001377D4">
      <w:trPr>
        <w:trHeight w:val="2636"/>
      </w:trPr>
      <w:tc>
        <w:tcPr>
          <w:tcW w:w="737" w:type="dxa"/>
          <w:shd w:val="clear" w:color="auto" w:fill="auto"/>
        </w:tcPr>
        <w:p w14:paraId="7841F84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5DF47AA" w14:textId="77777777" w:rsidR="00704845" w:rsidRDefault="000C02C7" w:rsidP="0047126E">
          <w:pPr>
            <w:framePr w:w="3873" w:h="2625" w:hRule="exact" w:wrap="around" w:vAnchor="page" w:hAnchor="page" w:x="6323" w:y="1"/>
          </w:pPr>
          <w:r>
            <w:rPr>
              <w:noProof/>
              <w:lang w:val="en-US" w:eastAsia="en-US"/>
            </w:rPr>
            <w:drawing>
              <wp:inline distT="0" distB="0" distL="0" distR="0" wp14:anchorId="036AC985" wp14:editId="32C1AD5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1CD0652" w14:textId="77777777" w:rsidR="00483ECA" w:rsidRDefault="00483ECA" w:rsidP="00D037A9"/>
      </w:tc>
    </w:tr>
  </w:tbl>
  <w:p w14:paraId="1F81836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C34F2" w14:paraId="6429450D" w14:textId="77777777" w:rsidTr="0008539E">
      <w:trPr>
        <w:trHeight w:hRule="exact" w:val="572"/>
      </w:trPr>
      <w:tc>
        <w:tcPr>
          <w:tcW w:w="7520" w:type="dxa"/>
          <w:shd w:val="clear" w:color="auto" w:fill="auto"/>
        </w:tcPr>
        <w:p w14:paraId="469BDAE4" w14:textId="77777777" w:rsidR="00527BD4" w:rsidRPr="00963440" w:rsidRDefault="000C02C7" w:rsidP="00210BA3">
          <w:pPr>
            <w:pStyle w:val="Huisstijl-Adres"/>
            <w:spacing w:after="0"/>
          </w:pPr>
          <w:r w:rsidRPr="009E3B07">
            <w:t>&gt;Retouradres </w:t>
          </w:r>
          <w:r>
            <w:t>Postbus 16375 2500 BJ Den Haag</w:t>
          </w:r>
          <w:r w:rsidRPr="009E3B07">
            <w:t xml:space="preserve"> </w:t>
          </w:r>
        </w:p>
      </w:tc>
    </w:tr>
    <w:tr w:rsidR="00BC34F2" w14:paraId="3CF12325" w14:textId="77777777" w:rsidTr="00E776C6">
      <w:trPr>
        <w:cantSplit/>
        <w:trHeight w:hRule="exact" w:val="238"/>
      </w:trPr>
      <w:tc>
        <w:tcPr>
          <w:tcW w:w="7520" w:type="dxa"/>
          <w:shd w:val="clear" w:color="auto" w:fill="auto"/>
        </w:tcPr>
        <w:p w14:paraId="1E4AF6F7" w14:textId="77777777" w:rsidR="00093ABC" w:rsidRPr="00963440" w:rsidRDefault="00093ABC" w:rsidP="00963440"/>
      </w:tc>
    </w:tr>
    <w:tr w:rsidR="00BC34F2" w14:paraId="267A4427" w14:textId="77777777" w:rsidTr="00E776C6">
      <w:trPr>
        <w:cantSplit/>
        <w:trHeight w:hRule="exact" w:val="1520"/>
      </w:trPr>
      <w:tc>
        <w:tcPr>
          <w:tcW w:w="7520" w:type="dxa"/>
          <w:shd w:val="clear" w:color="auto" w:fill="auto"/>
        </w:tcPr>
        <w:p w14:paraId="09DE0BE0" w14:textId="77777777" w:rsidR="00A604D3" w:rsidRPr="00963440" w:rsidRDefault="00A604D3" w:rsidP="00963440"/>
      </w:tc>
    </w:tr>
    <w:tr w:rsidR="00BC34F2" w14:paraId="6AAB6C99" w14:textId="77777777" w:rsidTr="00E776C6">
      <w:trPr>
        <w:trHeight w:hRule="exact" w:val="1077"/>
      </w:trPr>
      <w:tc>
        <w:tcPr>
          <w:tcW w:w="7520" w:type="dxa"/>
          <w:shd w:val="clear" w:color="auto" w:fill="auto"/>
        </w:tcPr>
        <w:p w14:paraId="3B95535A" w14:textId="77777777" w:rsidR="00892BA5" w:rsidRPr="00035E67" w:rsidRDefault="00892BA5" w:rsidP="00892BA5">
          <w:pPr>
            <w:tabs>
              <w:tab w:val="left" w:pos="740"/>
            </w:tabs>
            <w:autoSpaceDE w:val="0"/>
            <w:autoSpaceDN w:val="0"/>
            <w:adjustRightInd w:val="0"/>
            <w:rPr>
              <w:rFonts w:cs="Verdana"/>
              <w:szCs w:val="18"/>
            </w:rPr>
          </w:pPr>
        </w:p>
      </w:tc>
    </w:tr>
  </w:tbl>
  <w:p w14:paraId="2E35C727" w14:textId="77777777" w:rsidR="00153BD0" w:rsidRDefault="00153BD0" w:rsidP="00BC4AE3">
    <w:pPr>
      <w:pStyle w:val="Koptekst"/>
    </w:pPr>
  </w:p>
  <w:p w14:paraId="6025E973" w14:textId="77777777" w:rsidR="0044605E" w:rsidRDefault="0044605E" w:rsidP="00BC4AE3">
    <w:pPr>
      <w:pStyle w:val="Koptekst"/>
    </w:pPr>
  </w:p>
  <w:p w14:paraId="2979C927" w14:textId="77777777" w:rsidR="0044605E" w:rsidRDefault="0044605E" w:rsidP="00BC4AE3">
    <w:pPr>
      <w:pStyle w:val="Koptekst"/>
    </w:pPr>
  </w:p>
  <w:p w14:paraId="4026B7F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97CF71C">
      <w:start w:val="1"/>
      <w:numFmt w:val="bullet"/>
      <w:pStyle w:val="Lijstopsomteken"/>
      <w:lvlText w:val="•"/>
      <w:lvlJc w:val="left"/>
      <w:pPr>
        <w:tabs>
          <w:tab w:val="num" w:pos="227"/>
        </w:tabs>
        <w:ind w:left="227" w:hanging="227"/>
      </w:pPr>
      <w:rPr>
        <w:rFonts w:ascii="Verdana" w:hAnsi="Verdana" w:hint="default"/>
        <w:sz w:val="18"/>
        <w:szCs w:val="18"/>
      </w:rPr>
    </w:lvl>
    <w:lvl w:ilvl="1" w:tplc="8138C6C4" w:tentative="1">
      <w:start w:val="1"/>
      <w:numFmt w:val="bullet"/>
      <w:lvlText w:val="o"/>
      <w:lvlJc w:val="left"/>
      <w:pPr>
        <w:tabs>
          <w:tab w:val="num" w:pos="1440"/>
        </w:tabs>
        <w:ind w:left="1440" w:hanging="360"/>
      </w:pPr>
      <w:rPr>
        <w:rFonts w:ascii="Courier New" w:hAnsi="Courier New" w:cs="Courier New" w:hint="default"/>
      </w:rPr>
    </w:lvl>
    <w:lvl w:ilvl="2" w:tplc="D870D054" w:tentative="1">
      <w:start w:val="1"/>
      <w:numFmt w:val="bullet"/>
      <w:lvlText w:val=""/>
      <w:lvlJc w:val="left"/>
      <w:pPr>
        <w:tabs>
          <w:tab w:val="num" w:pos="2160"/>
        </w:tabs>
        <w:ind w:left="2160" w:hanging="360"/>
      </w:pPr>
      <w:rPr>
        <w:rFonts w:ascii="Wingdings" w:hAnsi="Wingdings" w:hint="default"/>
      </w:rPr>
    </w:lvl>
    <w:lvl w:ilvl="3" w:tplc="D3B8E6F6" w:tentative="1">
      <w:start w:val="1"/>
      <w:numFmt w:val="bullet"/>
      <w:lvlText w:val=""/>
      <w:lvlJc w:val="left"/>
      <w:pPr>
        <w:tabs>
          <w:tab w:val="num" w:pos="2880"/>
        </w:tabs>
        <w:ind w:left="2880" w:hanging="360"/>
      </w:pPr>
      <w:rPr>
        <w:rFonts w:ascii="Symbol" w:hAnsi="Symbol" w:hint="default"/>
      </w:rPr>
    </w:lvl>
    <w:lvl w:ilvl="4" w:tplc="32380AF2" w:tentative="1">
      <w:start w:val="1"/>
      <w:numFmt w:val="bullet"/>
      <w:lvlText w:val="o"/>
      <w:lvlJc w:val="left"/>
      <w:pPr>
        <w:tabs>
          <w:tab w:val="num" w:pos="3600"/>
        </w:tabs>
        <w:ind w:left="3600" w:hanging="360"/>
      </w:pPr>
      <w:rPr>
        <w:rFonts w:ascii="Courier New" w:hAnsi="Courier New" w:cs="Courier New" w:hint="default"/>
      </w:rPr>
    </w:lvl>
    <w:lvl w:ilvl="5" w:tplc="31F4CC52" w:tentative="1">
      <w:start w:val="1"/>
      <w:numFmt w:val="bullet"/>
      <w:lvlText w:val=""/>
      <w:lvlJc w:val="left"/>
      <w:pPr>
        <w:tabs>
          <w:tab w:val="num" w:pos="4320"/>
        </w:tabs>
        <w:ind w:left="4320" w:hanging="360"/>
      </w:pPr>
      <w:rPr>
        <w:rFonts w:ascii="Wingdings" w:hAnsi="Wingdings" w:hint="default"/>
      </w:rPr>
    </w:lvl>
    <w:lvl w:ilvl="6" w:tplc="05026DEA" w:tentative="1">
      <w:start w:val="1"/>
      <w:numFmt w:val="bullet"/>
      <w:lvlText w:val=""/>
      <w:lvlJc w:val="left"/>
      <w:pPr>
        <w:tabs>
          <w:tab w:val="num" w:pos="5040"/>
        </w:tabs>
        <w:ind w:left="5040" w:hanging="360"/>
      </w:pPr>
      <w:rPr>
        <w:rFonts w:ascii="Symbol" w:hAnsi="Symbol" w:hint="default"/>
      </w:rPr>
    </w:lvl>
    <w:lvl w:ilvl="7" w:tplc="371A67AC" w:tentative="1">
      <w:start w:val="1"/>
      <w:numFmt w:val="bullet"/>
      <w:lvlText w:val="o"/>
      <w:lvlJc w:val="left"/>
      <w:pPr>
        <w:tabs>
          <w:tab w:val="num" w:pos="5760"/>
        </w:tabs>
        <w:ind w:left="5760" w:hanging="360"/>
      </w:pPr>
      <w:rPr>
        <w:rFonts w:ascii="Courier New" w:hAnsi="Courier New" w:cs="Courier New" w:hint="default"/>
      </w:rPr>
    </w:lvl>
    <w:lvl w:ilvl="8" w:tplc="B7BE72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144DC06">
      <w:start w:val="1"/>
      <w:numFmt w:val="bullet"/>
      <w:pStyle w:val="Lijstopsomteken2"/>
      <w:lvlText w:val="–"/>
      <w:lvlJc w:val="left"/>
      <w:pPr>
        <w:tabs>
          <w:tab w:val="num" w:pos="227"/>
        </w:tabs>
        <w:ind w:left="227" w:firstLine="0"/>
      </w:pPr>
      <w:rPr>
        <w:rFonts w:ascii="Verdana" w:hAnsi="Verdana" w:hint="default"/>
      </w:rPr>
    </w:lvl>
    <w:lvl w:ilvl="1" w:tplc="8160B53C" w:tentative="1">
      <w:start w:val="1"/>
      <w:numFmt w:val="bullet"/>
      <w:lvlText w:val="o"/>
      <w:lvlJc w:val="left"/>
      <w:pPr>
        <w:tabs>
          <w:tab w:val="num" w:pos="1440"/>
        </w:tabs>
        <w:ind w:left="1440" w:hanging="360"/>
      </w:pPr>
      <w:rPr>
        <w:rFonts w:ascii="Courier New" w:hAnsi="Courier New" w:cs="Courier New" w:hint="default"/>
      </w:rPr>
    </w:lvl>
    <w:lvl w:ilvl="2" w:tplc="55C4A078" w:tentative="1">
      <w:start w:val="1"/>
      <w:numFmt w:val="bullet"/>
      <w:lvlText w:val=""/>
      <w:lvlJc w:val="left"/>
      <w:pPr>
        <w:tabs>
          <w:tab w:val="num" w:pos="2160"/>
        </w:tabs>
        <w:ind w:left="2160" w:hanging="360"/>
      </w:pPr>
      <w:rPr>
        <w:rFonts w:ascii="Wingdings" w:hAnsi="Wingdings" w:hint="default"/>
      </w:rPr>
    </w:lvl>
    <w:lvl w:ilvl="3" w:tplc="ABB4CC66" w:tentative="1">
      <w:start w:val="1"/>
      <w:numFmt w:val="bullet"/>
      <w:lvlText w:val=""/>
      <w:lvlJc w:val="left"/>
      <w:pPr>
        <w:tabs>
          <w:tab w:val="num" w:pos="2880"/>
        </w:tabs>
        <w:ind w:left="2880" w:hanging="360"/>
      </w:pPr>
      <w:rPr>
        <w:rFonts w:ascii="Symbol" w:hAnsi="Symbol" w:hint="default"/>
      </w:rPr>
    </w:lvl>
    <w:lvl w:ilvl="4" w:tplc="0B6CACF8" w:tentative="1">
      <w:start w:val="1"/>
      <w:numFmt w:val="bullet"/>
      <w:lvlText w:val="o"/>
      <w:lvlJc w:val="left"/>
      <w:pPr>
        <w:tabs>
          <w:tab w:val="num" w:pos="3600"/>
        </w:tabs>
        <w:ind w:left="3600" w:hanging="360"/>
      </w:pPr>
      <w:rPr>
        <w:rFonts w:ascii="Courier New" w:hAnsi="Courier New" w:cs="Courier New" w:hint="default"/>
      </w:rPr>
    </w:lvl>
    <w:lvl w:ilvl="5" w:tplc="2CD68E48" w:tentative="1">
      <w:start w:val="1"/>
      <w:numFmt w:val="bullet"/>
      <w:lvlText w:val=""/>
      <w:lvlJc w:val="left"/>
      <w:pPr>
        <w:tabs>
          <w:tab w:val="num" w:pos="4320"/>
        </w:tabs>
        <w:ind w:left="4320" w:hanging="360"/>
      </w:pPr>
      <w:rPr>
        <w:rFonts w:ascii="Wingdings" w:hAnsi="Wingdings" w:hint="default"/>
      </w:rPr>
    </w:lvl>
    <w:lvl w:ilvl="6" w:tplc="C37E2D28" w:tentative="1">
      <w:start w:val="1"/>
      <w:numFmt w:val="bullet"/>
      <w:lvlText w:val=""/>
      <w:lvlJc w:val="left"/>
      <w:pPr>
        <w:tabs>
          <w:tab w:val="num" w:pos="5040"/>
        </w:tabs>
        <w:ind w:left="5040" w:hanging="360"/>
      </w:pPr>
      <w:rPr>
        <w:rFonts w:ascii="Symbol" w:hAnsi="Symbol" w:hint="default"/>
      </w:rPr>
    </w:lvl>
    <w:lvl w:ilvl="7" w:tplc="CCD6A1B4" w:tentative="1">
      <w:start w:val="1"/>
      <w:numFmt w:val="bullet"/>
      <w:lvlText w:val="o"/>
      <w:lvlJc w:val="left"/>
      <w:pPr>
        <w:tabs>
          <w:tab w:val="num" w:pos="5760"/>
        </w:tabs>
        <w:ind w:left="5760" w:hanging="360"/>
      </w:pPr>
      <w:rPr>
        <w:rFonts w:ascii="Courier New" w:hAnsi="Courier New" w:cs="Courier New" w:hint="default"/>
      </w:rPr>
    </w:lvl>
    <w:lvl w:ilvl="8" w:tplc="E968FB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1E52FB"/>
    <w:multiLevelType w:val="hybridMultilevel"/>
    <w:tmpl w:val="5F0CC06C"/>
    <w:lvl w:ilvl="0" w:tplc="1DFEDEFE">
      <w:numFmt w:val="bullet"/>
      <w:lvlText w:val="-"/>
      <w:lvlJc w:val="left"/>
      <w:pPr>
        <w:ind w:left="360" w:hanging="360"/>
      </w:pPr>
      <w:rPr>
        <w:rFonts w:ascii="Verdana" w:eastAsia="Times New Roman" w:hAnsi="Verdana" w:cs="Times New Roman" w:hint="default"/>
        <w:color w:val="auto"/>
        <w:u w:val="no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9589293">
    <w:abstractNumId w:val="10"/>
  </w:num>
  <w:num w:numId="2" w16cid:durableId="2045016696">
    <w:abstractNumId w:val="7"/>
  </w:num>
  <w:num w:numId="3" w16cid:durableId="1132479576">
    <w:abstractNumId w:val="6"/>
  </w:num>
  <w:num w:numId="4" w16cid:durableId="805126171">
    <w:abstractNumId w:val="5"/>
  </w:num>
  <w:num w:numId="5" w16cid:durableId="424421559">
    <w:abstractNumId w:val="4"/>
  </w:num>
  <w:num w:numId="6" w16cid:durableId="1669752093">
    <w:abstractNumId w:val="8"/>
  </w:num>
  <w:num w:numId="7" w16cid:durableId="846556737">
    <w:abstractNumId w:val="3"/>
  </w:num>
  <w:num w:numId="8" w16cid:durableId="1518885126">
    <w:abstractNumId w:val="2"/>
  </w:num>
  <w:num w:numId="9" w16cid:durableId="1268345458">
    <w:abstractNumId w:val="1"/>
  </w:num>
  <w:num w:numId="10" w16cid:durableId="1104963635">
    <w:abstractNumId w:val="0"/>
  </w:num>
  <w:num w:numId="11" w16cid:durableId="763190595">
    <w:abstractNumId w:val="9"/>
  </w:num>
  <w:num w:numId="12" w16cid:durableId="940380750">
    <w:abstractNumId w:val="11"/>
  </w:num>
  <w:num w:numId="13" w16cid:durableId="662976327">
    <w:abstractNumId w:val="13"/>
  </w:num>
  <w:num w:numId="14" w16cid:durableId="74984685">
    <w:abstractNumId w:val="12"/>
  </w:num>
  <w:num w:numId="15" w16cid:durableId="201552532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163"/>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023F"/>
    <w:rsid w:val="0007108B"/>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02C7"/>
    <w:rsid w:val="000C1BA1"/>
    <w:rsid w:val="000C3C36"/>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45"/>
    <w:rsid w:val="002768F3"/>
    <w:rsid w:val="00276DA4"/>
    <w:rsid w:val="00280F74"/>
    <w:rsid w:val="00286998"/>
    <w:rsid w:val="00291AB7"/>
    <w:rsid w:val="0029422B"/>
    <w:rsid w:val="00294DCB"/>
    <w:rsid w:val="002A06CE"/>
    <w:rsid w:val="002A37B5"/>
    <w:rsid w:val="002A6722"/>
    <w:rsid w:val="002A7835"/>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55F3"/>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3128"/>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9A"/>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1E40"/>
    <w:rsid w:val="00463A63"/>
    <w:rsid w:val="00465B52"/>
    <w:rsid w:val="0046708E"/>
    <w:rsid w:val="00467D61"/>
    <w:rsid w:val="0047126E"/>
    <w:rsid w:val="004722BE"/>
    <w:rsid w:val="00472A65"/>
    <w:rsid w:val="00474463"/>
    <w:rsid w:val="00474B75"/>
    <w:rsid w:val="0048237A"/>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77E2"/>
    <w:rsid w:val="005079AB"/>
    <w:rsid w:val="00510346"/>
    <w:rsid w:val="005107B1"/>
    <w:rsid w:val="00516022"/>
    <w:rsid w:val="005173B0"/>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6218"/>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803"/>
    <w:rsid w:val="00692BA9"/>
    <w:rsid w:val="00692C30"/>
    <w:rsid w:val="00692D64"/>
    <w:rsid w:val="00696D31"/>
    <w:rsid w:val="00697AE8"/>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18AD"/>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162B"/>
    <w:rsid w:val="00793FC5"/>
    <w:rsid w:val="00797AA5"/>
    <w:rsid w:val="007A26BD"/>
    <w:rsid w:val="007A4105"/>
    <w:rsid w:val="007A4F0E"/>
    <w:rsid w:val="007A514C"/>
    <w:rsid w:val="007B0D8E"/>
    <w:rsid w:val="007B43E0"/>
    <w:rsid w:val="007B4503"/>
    <w:rsid w:val="007B7C47"/>
    <w:rsid w:val="007C03C9"/>
    <w:rsid w:val="007C16D8"/>
    <w:rsid w:val="007C406E"/>
    <w:rsid w:val="007C5183"/>
    <w:rsid w:val="007C7573"/>
    <w:rsid w:val="007E14E4"/>
    <w:rsid w:val="007E2B20"/>
    <w:rsid w:val="007F5331"/>
    <w:rsid w:val="00800CCA"/>
    <w:rsid w:val="008020F2"/>
    <w:rsid w:val="00806120"/>
    <w:rsid w:val="00810C93"/>
    <w:rsid w:val="00811856"/>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86254"/>
    <w:rsid w:val="008866FF"/>
    <w:rsid w:val="00892BA5"/>
    <w:rsid w:val="008A08AC"/>
    <w:rsid w:val="008A181B"/>
    <w:rsid w:val="008A1F5D"/>
    <w:rsid w:val="008A28F5"/>
    <w:rsid w:val="008A46B4"/>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148"/>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63AC9"/>
    <w:rsid w:val="009716D8"/>
    <w:rsid w:val="009718F9"/>
    <w:rsid w:val="009724E4"/>
    <w:rsid w:val="00972FB9"/>
    <w:rsid w:val="00975112"/>
    <w:rsid w:val="009812EB"/>
    <w:rsid w:val="00981768"/>
    <w:rsid w:val="009838BB"/>
    <w:rsid w:val="00983E8F"/>
    <w:rsid w:val="009857D4"/>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6FEE"/>
    <w:rsid w:val="009D716F"/>
    <w:rsid w:val="009E3B07"/>
    <w:rsid w:val="009E7F5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375AF"/>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3342"/>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4F2"/>
    <w:rsid w:val="00BC3B53"/>
    <w:rsid w:val="00BC3B96"/>
    <w:rsid w:val="00BC4AE3"/>
    <w:rsid w:val="00BC5B28"/>
    <w:rsid w:val="00BC7264"/>
    <w:rsid w:val="00BE17D4"/>
    <w:rsid w:val="00BE2863"/>
    <w:rsid w:val="00BE3F88"/>
    <w:rsid w:val="00BE4756"/>
    <w:rsid w:val="00BE590B"/>
    <w:rsid w:val="00BE5ED9"/>
    <w:rsid w:val="00BE7B41"/>
    <w:rsid w:val="00BF4427"/>
    <w:rsid w:val="00BF46B6"/>
    <w:rsid w:val="00BF5675"/>
    <w:rsid w:val="00BF60EE"/>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66F47"/>
    <w:rsid w:val="00C7013F"/>
    <w:rsid w:val="00C7097A"/>
    <w:rsid w:val="00C736E8"/>
    <w:rsid w:val="00C73D5F"/>
    <w:rsid w:val="00C800AC"/>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3A97"/>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97DC8"/>
    <w:rsid w:val="00DA1BA1"/>
    <w:rsid w:val="00DA241E"/>
    <w:rsid w:val="00DA51B5"/>
    <w:rsid w:val="00DB36FE"/>
    <w:rsid w:val="00DB38E3"/>
    <w:rsid w:val="00DB467C"/>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77A"/>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836"/>
    <w:rsid w:val="00E17CA2"/>
    <w:rsid w:val="00E20C25"/>
    <w:rsid w:val="00E21DE3"/>
    <w:rsid w:val="00E233D5"/>
    <w:rsid w:val="00E307D1"/>
    <w:rsid w:val="00E35710"/>
    <w:rsid w:val="00E35CF4"/>
    <w:rsid w:val="00E3731D"/>
    <w:rsid w:val="00E37811"/>
    <w:rsid w:val="00E468E4"/>
    <w:rsid w:val="00E51469"/>
    <w:rsid w:val="00E51F5C"/>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016B"/>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03C8"/>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87DD3"/>
    <w:rsid w:val="00F904FB"/>
    <w:rsid w:val="00F93F9E"/>
    <w:rsid w:val="00F950BC"/>
    <w:rsid w:val="00FA2CD7"/>
    <w:rsid w:val="00FA5AD5"/>
    <w:rsid w:val="00FA7882"/>
    <w:rsid w:val="00FB06ED"/>
    <w:rsid w:val="00FC08A4"/>
    <w:rsid w:val="00FC202F"/>
    <w:rsid w:val="00FC3165"/>
    <w:rsid w:val="00FC36AB"/>
    <w:rsid w:val="00FC4300"/>
    <w:rsid w:val="00FC7F66"/>
    <w:rsid w:val="00FD01CD"/>
    <w:rsid w:val="00FD5776"/>
    <w:rsid w:val="00FD6A55"/>
    <w:rsid w:val="00FD6CF9"/>
    <w:rsid w:val="00FE1CB6"/>
    <w:rsid w:val="00FE486B"/>
    <w:rsid w:val="00FE4F08"/>
    <w:rsid w:val="00FF192E"/>
    <w:rsid w:val="00FF20A5"/>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75DC0"/>
  <w15:docId w15:val="{42F65CB9-AC40-4C8F-888E-FDC87254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rsid w:val="000C02C7"/>
    <w:rPr>
      <w:rFonts w:ascii="Verdana" w:hAnsi="Verdana"/>
      <w:sz w:val="13"/>
      <w:lang w:val="nl-NL" w:eastAsia="nl-NL"/>
    </w:rPr>
  </w:style>
  <w:style w:type="character" w:styleId="Voetnootmarkering">
    <w:name w:val="footnote reference"/>
    <w:basedOn w:val="Standaardalinea-lettertype"/>
    <w:uiPriority w:val="99"/>
    <w:unhideWhenUsed/>
    <w:rsid w:val="000C02C7"/>
    <w:rPr>
      <w:vertAlign w:val="superscript"/>
    </w:rPr>
  </w:style>
  <w:style w:type="paragraph" w:styleId="Revisie">
    <w:name w:val="Revision"/>
    <w:hidden/>
    <w:uiPriority w:val="99"/>
    <w:semiHidden/>
    <w:rsid w:val="00963AC9"/>
    <w:rPr>
      <w:rFonts w:ascii="Verdana" w:hAnsi="Verdana"/>
      <w:sz w:val="18"/>
      <w:szCs w:val="24"/>
      <w:lang w:val="nl-NL" w:eastAsia="nl-NL"/>
    </w:rPr>
  </w:style>
  <w:style w:type="character" w:styleId="Verwijzingopmerking">
    <w:name w:val="annotation reference"/>
    <w:basedOn w:val="Standaardalinea-lettertype"/>
    <w:rsid w:val="00963AC9"/>
    <w:rPr>
      <w:sz w:val="16"/>
      <w:szCs w:val="16"/>
    </w:rPr>
  </w:style>
  <w:style w:type="paragraph" w:styleId="Tekstopmerking">
    <w:name w:val="annotation text"/>
    <w:basedOn w:val="Standaard"/>
    <w:link w:val="TekstopmerkingChar"/>
    <w:rsid w:val="00963AC9"/>
    <w:pPr>
      <w:spacing w:line="240" w:lineRule="auto"/>
    </w:pPr>
    <w:rPr>
      <w:sz w:val="20"/>
      <w:szCs w:val="20"/>
    </w:rPr>
  </w:style>
  <w:style w:type="character" w:customStyle="1" w:styleId="TekstopmerkingChar">
    <w:name w:val="Tekst opmerking Char"/>
    <w:basedOn w:val="Standaardalinea-lettertype"/>
    <w:link w:val="Tekstopmerking"/>
    <w:rsid w:val="00963AC9"/>
    <w:rPr>
      <w:rFonts w:ascii="Verdana" w:hAnsi="Verdana"/>
      <w:lang w:val="nl-NL" w:eastAsia="nl-NL"/>
    </w:rPr>
  </w:style>
  <w:style w:type="paragraph" w:styleId="Onderwerpvanopmerking">
    <w:name w:val="annotation subject"/>
    <w:basedOn w:val="Tekstopmerking"/>
    <w:next w:val="Tekstopmerking"/>
    <w:link w:val="OnderwerpvanopmerkingChar"/>
    <w:rsid w:val="00963AC9"/>
    <w:rPr>
      <w:b/>
      <w:bCs/>
    </w:rPr>
  </w:style>
  <w:style w:type="character" w:customStyle="1" w:styleId="OnderwerpvanopmerkingChar">
    <w:name w:val="Onderwerp van opmerking Char"/>
    <w:basedOn w:val="TekstopmerkingChar"/>
    <w:link w:val="Onderwerpvanopmerking"/>
    <w:rsid w:val="00963AC9"/>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eveningonderzoek.nl/resultaten/tussentijds-rapport-evening-april-2024/"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onderwijsinspectie.nl/documenten/rapporten/2024/09/09/de-kwaliteit-van-de-vroegschoolse-educatie"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gemengdescholen.nl/" TargetMode="External"/><Relationship Id="rId1" Type="http://schemas.openxmlformats.org/officeDocument/2006/relationships/hyperlink" Target="https://eveningonderzoek.nl/resultaten/tussentijds-rapport-evening-april-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1770</ap:Words>
  <ap:Characters>10587</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2024-11-20T15:25:00.0000000Z</lastPrinted>
  <dcterms:created xsi:type="dcterms:W3CDTF">2024-11-21T10:09:00.0000000Z</dcterms:created>
  <dcterms:modified xsi:type="dcterms:W3CDTF">2024-11-21T10:09:00.0000000Z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O202ZWI</vt:lpwstr>
  </property>
  <property fmtid="{D5CDD505-2E9C-101B-9397-08002B2CF9AE}" pid="3" name="Author">
    <vt:lpwstr>O202ZWI</vt:lpwstr>
  </property>
  <property fmtid="{D5CDD505-2E9C-101B-9397-08002B2CF9AE}" pid="4" name="cs_objectid">
    <vt:lpwstr>49198439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beleidsreactie rapporten vve</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O202ZWI</vt:lpwstr>
  </property>
</Properties>
</file>