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087C" w:rsidP="00EA213E" w:rsidRDefault="0046087C" w14:paraId="47538FA4" w14:textId="77777777">
      <w:pPr>
        <w:rPr>
          <w:szCs w:val="18"/>
        </w:rPr>
      </w:pPr>
    </w:p>
    <w:p w:rsidR="0046087C" w:rsidP="00EA213E" w:rsidRDefault="0046087C" w14:paraId="782CAD83" w14:textId="77777777">
      <w:pPr>
        <w:rPr>
          <w:szCs w:val="18"/>
        </w:rPr>
      </w:pPr>
    </w:p>
    <w:p w:rsidR="00091733" w:rsidP="00EA213E" w:rsidRDefault="00091733" w14:paraId="2F3D3D38" w14:textId="2361C0C3">
      <w:pPr>
        <w:rPr>
          <w:szCs w:val="18"/>
        </w:rPr>
      </w:pPr>
      <w:r>
        <w:rPr>
          <w:szCs w:val="18"/>
        </w:rPr>
        <w:t xml:space="preserve">Geachte </w:t>
      </w:r>
      <w:r w:rsidR="003E3142">
        <w:rPr>
          <w:szCs w:val="18"/>
        </w:rPr>
        <w:t>V</w:t>
      </w:r>
      <w:r>
        <w:rPr>
          <w:szCs w:val="18"/>
        </w:rPr>
        <w:t>oorzitter,</w:t>
      </w:r>
    </w:p>
    <w:p w:rsidR="00091733" w:rsidP="00EA213E" w:rsidRDefault="00091733" w14:paraId="5B626C34" w14:textId="77777777">
      <w:pPr>
        <w:rPr>
          <w:szCs w:val="18"/>
        </w:rPr>
      </w:pPr>
    </w:p>
    <w:p w:rsidR="00091733" w:rsidP="00EA213E" w:rsidRDefault="00091733" w14:paraId="69DDDF14" w14:textId="3299C118">
      <w:pPr>
        <w:rPr>
          <w:szCs w:val="18"/>
        </w:rPr>
      </w:pPr>
      <w:r>
        <w:rPr>
          <w:szCs w:val="18"/>
        </w:rPr>
        <w:t xml:space="preserve">Via deze brief </w:t>
      </w:r>
      <w:r w:rsidR="001E2095">
        <w:rPr>
          <w:szCs w:val="18"/>
        </w:rPr>
        <w:t>informeert het kabinet</w:t>
      </w:r>
      <w:r>
        <w:rPr>
          <w:szCs w:val="18"/>
        </w:rPr>
        <w:t xml:space="preserve"> </w:t>
      </w:r>
      <w:r w:rsidR="00542E5A">
        <w:rPr>
          <w:szCs w:val="18"/>
        </w:rPr>
        <w:t>de</w:t>
      </w:r>
      <w:r>
        <w:rPr>
          <w:szCs w:val="18"/>
        </w:rPr>
        <w:t xml:space="preserve"> Kamer over een aantal ontwikkelingen rondom de vergunningverlening van windparken op zee. Dit kabinet voert de Routekaart voor 21</w:t>
      </w:r>
      <w:r w:rsidR="003E3142">
        <w:rPr>
          <w:szCs w:val="18"/>
        </w:rPr>
        <w:t> </w:t>
      </w:r>
      <w:r>
        <w:rPr>
          <w:szCs w:val="18"/>
        </w:rPr>
        <w:t xml:space="preserve">gigawatt (GW) aan windenergie op zee onverkort uit. Deze windparken </w:t>
      </w:r>
      <w:r w:rsidRPr="11CD3417">
        <w:rPr>
          <w:szCs w:val="18"/>
        </w:rPr>
        <w:t>zijn</w:t>
      </w:r>
      <w:r>
        <w:rPr>
          <w:szCs w:val="18"/>
        </w:rPr>
        <w:t xml:space="preserve"> nodig om onze energieonafhankelijkheid te vergroten en om </w:t>
      </w:r>
      <w:r w:rsidRPr="76BE2FEA">
        <w:rPr>
          <w:szCs w:val="18"/>
        </w:rPr>
        <w:t xml:space="preserve">de Nederlandse </w:t>
      </w:r>
      <w:r w:rsidRPr="1CD04B33">
        <w:rPr>
          <w:szCs w:val="18"/>
        </w:rPr>
        <w:t>economie groen</w:t>
      </w:r>
      <w:r w:rsidRPr="76BE2FEA">
        <w:rPr>
          <w:szCs w:val="18"/>
        </w:rPr>
        <w:t xml:space="preserve"> te </w:t>
      </w:r>
      <w:r w:rsidRPr="43C8E574">
        <w:rPr>
          <w:szCs w:val="18"/>
        </w:rPr>
        <w:t>laten groeien.</w:t>
      </w:r>
      <w:r>
        <w:rPr>
          <w:szCs w:val="18"/>
        </w:rPr>
        <w:t xml:space="preserve"> Het realiseren van deze windparken op zee kent ook uitdagingen, zoals de ruimtelijke inpassing. Tegelijkertijd zie</w:t>
      </w:r>
      <w:r w:rsidR="00122027">
        <w:rPr>
          <w:szCs w:val="18"/>
        </w:rPr>
        <w:t>t het kabinet</w:t>
      </w:r>
      <w:r>
        <w:rPr>
          <w:szCs w:val="18"/>
        </w:rPr>
        <w:t xml:space="preserve"> kansen om met maatwerk de ruimte zo optimaal mogelijk te benutten. </w:t>
      </w:r>
    </w:p>
    <w:p w:rsidR="00091733" w:rsidP="00EA213E" w:rsidRDefault="00091733" w14:paraId="7577BC00" w14:textId="77777777">
      <w:pPr>
        <w:rPr>
          <w:szCs w:val="18"/>
        </w:rPr>
      </w:pPr>
    </w:p>
    <w:p w:rsidR="00091733" w:rsidP="00EA213E" w:rsidRDefault="001E2095" w14:paraId="7FC3FA72" w14:textId="3BCDB705">
      <w:r>
        <w:t>Deze brief gaat daarom</w:t>
      </w:r>
      <w:r w:rsidRPr="02D29312" w:rsidR="00091733">
        <w:t xml:space="preserve"> eerst in op de vergunningverlening (ook wel tenders genoemd</w:t>
      </w:r>
      <w:r w:rsidRPr="173906FB" w:rsidR="00091733">
        <w:rPr>
          <w:szCs w:val="18"/>
        </w:rPr>
        <w:t xml:space="preserve">) </w:t>
      </w:r>
      <w:r w:rsidRPr="02D29312" w:rsidR="00091733">
        <w:t xml:space="preserve">van deze windparken en de bijbehorende kavelgrootte. Dit is </w:t>
      </w:r>
      <w:r w:rsidR="00D45A30">
        <w:t>de</w:t>
      </w:r>
      <w:r w:rsidRPr="02D29312" w:rsidR="00091733">
        <w:t xml:space="preserve"> Kamer </w:t>
      </w:r>
      <w:r w:rsidR="00CC0DDB">
        <w:t>eerder</w:t>
      </w:r>
      <w:r w:rsidRPr="02D29312" w:rsidR="00CC0DDB">
        <w:t xml:space="preserve"> </w:t>
      </w:r>
      <w:r w:rsidRPr="02D29312" w:rsidR="00091733">
        <w:t xml:space="preserve">toegezegd door </w:t>
      </w:r>
      <w:r>
        <w:t>de voormalige Minister voor Klimaat en Energie</w:t>
      </w:r>
      <w:r w:rsidRPr="02D29312" w:rsidR="00091733">
        <w:rPr>
          <w:rStyle w:val="Voetnootmarkering"/>
        </w:rPr>
        <w:footnoteReference w:id="2"/>
      </w:r>
      <w:r w:rsidRPr="02D29312" w:rsidR="075135D2">
        <w:t xml:space="preserve">. </w:t>
      </w:r>
      <w:r w:rsidRPr="02D29312" w:rsidR="00091733">
        <w:t>Vervolgens informeer</w:t>
      </w:r>
      <w:r>
        <w:t>t het kabinet</w:t>
      </w:r>
      <w:r w:rsidRPr="02D29312" w:rsidR="00091733">
        <w:t xml:space="preserve"> </w:t>
      </w:r>
      <w:r w:rsidR="00032810">
        <w:t>de</w:t>
      </w:r>
      <w:r w:rsidRPr="02D29312" w:rsidR="00091733">
        <w:t xml:space="preserve"> Kamer over de maatwerkaanpak die </w:t>
      </w:r>
      <w:r w:rsidR="000A1671">
        <w:t>het kabinet</w:t>
      </w:r>
      <w:r w:rsidRPr="02D29312" w:rsidR="00091733">
        <w:t xml:space="preserve"> gebruik</w:t>
      </w:r>
      <w:r w:rsidR="000A1671">
        <w:t>t</w:t>
      </w:r>
      <w:r w:rsidRPr="02D29312" w:rsidR="00091733">
        <w:t xml:space="preserve"> om deze windparken op zee in te passen naast bestaande en toekomstige mijnbouwactiviteiten. </w:t>
      </w:r>
      <w:r w:rsidRPr="02D29312" w:rsidR="00091733">
        <w:rPr>
          <w:rFonts w:eastAsia="Calibri" w:cs="Calibri"/>
        </w:rPr>
        <w:t xml:space="preserve">Ook </w:t>
      </w:r>
      <w:r>
        <w:rPr>
          <w:rFonts w:eastAsia="Calibri" w:cs="Calibri"/>
        </w:rPr>
        <w:t>gaat deze brief</w:t>
      </w:r>
      <w:r w:rsidRPr="02D29312" w:rsidR="00091733">
        <w:rPr>
          <w:rFonts w:eastAsia="Calibri" w:cs="Calibri"/>
        </w:rPr>
        <w:t xml:space="preserve"> in op de toezegging die tijdens het Commissiedebat Klimaat en Energie van 12 september jl. </w:t>
      </w:r>
      <w:r w:rsidR="00CC0DDB">
        <w:rPr>
          <w:rFonts w:eastAsia="Calibri" w:cs="Calibri"/>
        </w:rPr>
        <w:t>is</w:t>
      </w:r>
      <w:r w:rsidRPr="02D29312" w:rsidR="00CC0DDB">
        <w:rPr>
          <w:rFonts w:eastAsia="Calibri" w:cs="Calibri"/>
        </w:rPr>
        <w:t xml:space="preserve"> </w:t>
      </w:r>
      <w:r w:rsidRPr="02D29312" w:rsidR="00091733">
        <w:rPr>
          <w:rFonts w:eastAsia="Calibri" w:cs="Calibri"/>
        </w:rPr>
        <w:t xml:space="preserve">gedaan om in de eerstvolgende brief over windenergie op zee in te gaan op </w:t>
      </w:r>
      <w:r w:rsidRPr="02D29312" w:rsidR="00091733">
        <w:rPr>
          <w:rFonts w:eastAsia="Calibri" w:cs="Calibri"/>
          <w:i/>
          <w:iCs/>
        </w:rPr>
        <w:t xml:space="preserve">Contract for Difference (CfD) </w:t>
      </w:r>
      <w:r w:rsidRPr="02D29312" w:rsidR="00091733">
        <w:rPr>
          <w:rFonts w:eastAsia="Calibri" w:cs="Calibri"/>
        </w:rPr>
        <w:t>en aansluittarieven (hierna: invoedingstarief).</w:t>
      </w:r>
      <w:r w:rsidRPr="02D29312" w:rsidR="00091733">
        <w:rPr>
          <w:rStyle w:val="Voetnootmarkering"/>
          <w:rFonts w:eastAsia="Calibri" w:cs="Calibri"/>
        </w:rPr>
        <w:footnoteReference w:id="3"/>
      </w:r>
      <w:r w:rsidR="00091733">
        <w:rPr>
          <w:szCs w:val="18"/>
        </w:rPr>
        <w:t xml:space="preserve"> </w:t>
      </w:r>
      <w:r w:rsidRPr="02D29312" w:rsidR="006A59B1">
        <w:t xml:space="preserve">Tot </w:t>
      </w:r>
      <w:r>
        <w:t>slot licht</w:t>
      </w:r>
      <w:r w:rsidRPr="02D29312" w:rsidR="00091733">
        <w:t xml:space="preserve"> deze brief toe hoe </w:t>
      </w:r>
      <w:r w:rsidR="000A1671">
        <w:t>het kabinet</w:t>
      </w:r>
      <w:r w:rsidRPr="02D29312" w:rsidR="00091733">
        <w:t xml:space="preserve"> de subsidie voor het eerste demonstratieproject waterstof op zee (Demo 1) beoog</w:t>
      </w:r>
      <w:r w:rsidR="000A1671">
        <w:t>t</w:t>
      </w:r>
      <w:r w:rsidRPr="02D29312" w:rsidR="00091733">
        <w:t xml:space="preserve"> toe te kennen, zoals aangekondigd in de Kamerbrief van 10 juni jl. over de voortgang van de voorbereiding van de projecten</w:t>
      </w:r>
      <w:bookmarkStart w:name="_Ref179215092" w:id="0"/>
      <w:r w:rsidRPr="02D29312" w:rsidR="00091733">
        <w:rPr>
          <w:rStyle w:val="Voetnootmarkering"/>
        </w:rPr>
        <w:footnoteReference w:id="4"/>
      </w:r>
      <w:bookmarkEnd w:id="0"/>
      <w:r w:rsidR="00091733">
        <w:rPr>
          <w:szCs w:val="18"/>
        </w:rPr>
        <w:t>.</w:t>
      </w:r>
      <w:r w:rsidRPr="5C7D7A8F" w:rsidR="00091733">
        <w:rPr>
          <w:szCs w:val="18"/>
        </w:rPr>
        <w:t xml:space="preserve"> </w:t>
      </w:r>
    </w:p>
    <w:p w:rsidRPr="00E60259" w:rsidR="00091733" w:rsidP="00EA213E" w:rsidRDefault="00091733" w14:paraId="56CB03B5" w14:textId="77777777">
      <w:pPr>
        <w:rPr>
          <w:szCs w:val="18"/>
        </w:rPr>
      </w:pPr>
    </w:p>
    <w:p w:rsidR="00091733" w:rsidP="00EA213E" w:rsidRDefault="00091733" w14:paraId="1C6BF51B" w14:textId="77777777">
      <w:pPr>
        <w:rPr>
          <w:b/>
          <w:bCs/>
          <w:szCs w:val="18"/>
        </w:rPr>
      </w:pPr>
      <w:r>
        <w:rPr>
          <w:b/>
          <w:bCs/>
          <w:szCs w:val="18"/>
        </w:rPr>
        <w:t>Vergunningverlening en kavelgrootte</w:t>
      </w:r>
    </w:p>
    <w:p w:rsidR="00091733" w:rsidP="00EA213E" w:rsidRDefault="00091733" w14:paraId="74A6D2DD" w14:textId="4DF40AAA">
      <w:pPr>
        <w:rPr>
          <w:vertAlign w:val="subscript"/>
        </w:rPr>
      </w:pPr>
      <w:r w:rsidRPr="02D29312">
        <w:t>De eerstvolgende windparken op zee vergun</w:t>
      </w:r>
      <w:r w:rsidR="000A1671">
        <w:t>t het kabinet</w:t>
      </w:r>
      <w:r w:rsidRPr="02D29312">
        <w:t xml:space="preserve"> via de procedure van een vergelijkende toets met financieel bod. Hiermee kan </w:t>
      </w:r>
      <w:r w:rsidR="000A1671">
        <w:t>het kabinet</w:t>
      </w:r>
      <w:r w:rsidRPr="02D29312">
        <w:t xml:space="preserve"> windparkontwikkelaars stimuleren om met oplossingen te komen die bijdragen aan de uitrol van windenergie op zee op de langere termijn. De aanvraagperiode </w:t>
      </w:r>
      <w:r w:rsidRPr="02D29312">
        <w:lastRenderedPageBreak/>
        <w:t xml:space="preserve">voor deze vergunningen zal in het derde kwartaal van 2025 sluiten en de realisatie van de windparken staat gepland in 2030 en 2031. Hierover is </w:t>
      </w:r>
      <w:r w:rsidR="00A1232A">
        <w:t>de</w:t>
      </w:r>
      <w:r w:rsidRPr="02D29312">
        <w:t xml:space="preserve"> Kamer reeds geïnformeerd met een brief</w:t>
      </w:r>
      <w:bookmarkStart w:name="_Ref181283958" w:id="1"/>
      <w:r w:rsidRPr="02D29312">
        <w:rPr>
          <w:rStyle w:val="Voetnootmarkering"/>
        </w:rPr>
        <w:footnoteReference w:id="5"/>
      </w:r>
      <w:bookmarkEnd w:id="1"/>
      <w:r w:rsidRPr="02D29312" w:rsidR="6ED43DC6">
        <w:rPr>
          <w:vertAlign w:val="subscript"/>
        </w:rPr>
        <w:t>.</w:t>
      </w:r>
    </w:p>
    <w:p w:rsidR="00091733" w:rsidP="00EA213E" w:rsidRDefault="00091733" w14:paraId="1268C9DA" w14:textId="77777777">
      <w:pPr>
        <w:rPr>
          <w:szCs w:val="18"/>
        </w:rPr>
      </w:pPr>
    </w:p>
    <w:p w:rsidR="00CC0DDB" w:rsidP="00EA213E" w:rsidRDefault="00091733" w14:paraId="1F969B91" w14:textId="4237C2F5">
      <w:r w:rsidRPr="02D29312">
        <w:t xml:space="preserve">Zoals </w:t>
      </w:r>
      <w:r w:rsidR="00CC0DDB">
        <w:t>de voormalige Minister voor Klimaat en Energie eerder</w:t>
      </w:r>
      <w:r w:rsidRPr="02D29312">
        <w:t xml:space="preserve"> heeft geconstateerd</w:t>
      </w:r>
      <w:r w:rsidR="00EA213E">
        <w:t>,</w:t>
      </w:r>
      <w:r w:rsidRPr="02D29312">
        <w:t xml:space="preserve"> zijn er uitdagingen in de businesscase van windenergie op zee, wat gevolgen kan hebben voor de investeringsbereidheid onder windparkontwikkelaars</w:t>
      </w:r>
      <w:r w:rsidR="00697556">
        <w:fldChar w:fldCharType="begin"/>
      </w:r>
      <w:r w:rsidR="00697556">
        <w:instrText xml:space="preserve"> NOTEREF _Ref181283958 \f \h </w:instrText>
      </w:r>
      <w:r w:rsidR="00697556">
        <w:fldChar w:fldCharType="separate"/>
      </w:r>
      <w:r w:rsidRPr="007B0577" w:rsidR="00697556">
        <w:rPr>
          <w:rStyle w:val="Voetnootmarkering"/>
        </w:rPr>
        <w:t>4</w:t>
      </w:r>
      <w:r w:rsidR="00697556">
        <w:fldChar w:fldCharType="end"/>
      </w:r>
      <w:r w:rsidRPr="02D29312" w:rsidR="5D7FDCA8">
        <w:t xml:space="preserve">. </w:t>
      </w:r>
      <w:r w:rsidRPr="02D29312">
        <w:t>Om het doel van 21 GW aan windenergie op zee te behalen, is het een van mijn prioriteiten om het investeringsklimaat voor windparken op zee gezond te houden. Zo houd</w:t>
      </w:r>
      <w:r w:rsidR="000A1671">
        <w:t>t het kabinet</w:t>
      </w:r>
      <w:r w:rsidRPr="02D29312">
        <w:t xml:space="preserve"> hier op korte termijn bij de vormgeving van de vergunningverleningsprocedure voor IJmuiden Ver Gamma en Nederwiek I rekening mee door het aantal kostenverhogende maatregelen te beperken om de businesscase van windparken op zee niet verder onder druk te zetten. Voor de langere termijn kijk</w:t>
      </w:r>
      <w:r w:rsidR="000A1671">
        <w:t>t het kabinet</w:t>
      </w:r>
      <w:r w:rsidRPr="02D29312">
        <w:t xml:space="preserve"> ook naar andere opties, zoals tweezijdige </w:t>
      </w:r>
      <w:r w:rsidR="007D327B">
        <w:rPr>
          <w:i/>
          <w:iCs/>
        </w:rPr>
        <w:t>C</w:t>
      </w:r>
      <w:r w:rsidRPr="02D29312">
        <w:rPr>
          <w:i/>
          <w:iCs/>
        </w:rPr>
        <w:t>ontract for difference (CfD)</w:t>
      </w:r>
      <w:r w:rsidRPr="34120DD6">
        <w:rPr>
          <w:szCs w:val="18"/>
        </w:rPr>
        <w:t>.</w:t>
      </w:r>
      <w:r w:rsidRPr="02D29312">
        <w:t xml:space="preserve"> </w:t>
      </w:r>
      <w:r w:rsidR="00CC0DDB">
        <w:t>Deze opties worden</w:t>
      </w:r>
      <w:r w:rsidRPr="02D29312">
        <w:t xml:space="preserve"> verderop in deze brief </w:t>
      </w:r>
      <w:r w:rsidR="00CC0DDB">
        <w:t>toegelicht.</w:t>
      </w:r>
    </w:p>
    <w:p w:rsidR="00091733" w:rsidP="00EA213E" w:rsidRDefault="00091733" w14:paraId="3EF4621E" w14:textId="4BB5FC23">
      <w:r w:rsidRPr="02D29312">
        <w:t xml:space="preserve"> </w:t>
      </w:r>
    </w:p>
    <w:p w:rsidR="00091733" w:rsidP="00EA213E" w:rsidRDefault="00091733" w14:paraId="7DC6770D" w14:textId="3D8452A9">
      <w:pPr>
        <w:rPr>
          <w:szCs w:val="18"/>
        </w:rPr>
      </w:pPr>
      <w:r>
        <w:rPr>
          <w:szCs w:val="18"/>
        </w:rPr>
        <w:t>Daarnaast he</w:t>
      </w:r>
      <w:r w:rsidR="000A1671">
        <w:rPr>
          <w:szCs w:val="18"/>
        </w:rPr>
        <w:t>eft het kabinet</w:t>
      </w:r>
      <w:r>
        <w:rPr>
          <w:szCs w:val="18"/>
        </w:rPr>
        <w:t xml:space="preserve"> ervoor gekozen om de kavelgrootte te verkleinen van 2 GW naar 1 GW zodat de benodigde investering per project lager is en de (financiële) risico’s voor windparkontwikkelaars verminderd</w:t>
      </w:r>
      <w:r w:rsidRPr="300326C9">
        <w:rPr>
          <w:szCs w:val="18"/>
        </w:rPr>
        <w:t xml:space="preserve"> en beter </w:t>
      </w:r>
      <w:r w:rsidRPr="29C7E12C">
        <w:rPr>
          <w:szCs w:val="18"/>
        </w:rPr>
        <w:t>gesprei</w:t>
      </w:r>
      <w:r>
        <w:rPr>
          <w:szCs w:val="18"/>
        </w:rPr>
        <w:t xml:space="preserve">d worden. </w:t>
      </w:r>
      <w:r w:rsidRPr="00E52C76">
        <w:rPr>
          <w:szCs w:val="18"/>
        </w:rPr>
        <w:t>Deze kavels heten voortaan IJmuiden Ver kavels Gamma-A en Gamma-B en Nederwiek kavels I-A en I-B</w:t>
      </w:r>
      <w:r>
        <w:rPr>
          <w:szCs w:val="18"/>
        </w:rPr>
        <w:t xml:space="preserve">. In de bijlage </w:t>
      </w:r>
      <w:r w:rsidR="00CC0DDB">
        <w:rPr>
          <w:szCs w:val="18"/>
        </w:rPr>
        <w:t>is</w:t>
      </w:r>
      <w:r>
        <w:rPr>
          <w:szCs w:val="18"/>
        </w:rPr>
        <w:t xml:space="preserve"> een kaart vinden waarin de splitsing van de kavels is weergegeven. In totaal gaat het nog steeds om 4 GW opgesteld vermogen aan windenergie op zee. </w:t>
      </w:r>
    </w:p>
    <w:p w:rsidR="00091733" w:rsidP="00EA213E" w:rsidRDefault="00091733" w14:paraId="7608D30A" w14:textId="77777777">
      <w:pPr>
        <w:rPr>
          <w:szCs w:val="18"/>
        </w:rPr>
      </w:pPr>
    </w:p>
    <w:p w:rsidR="00091733" w:rsidP="00EA213E" w:rsidRDefault="00091733" w14:paraId="41D22097" w14:textId="6A328758">
      <w:pPr>
        <w:rPr>
          <w:szCs w:val="18"/>
        </w:rPr>
      </w:pPr>
      <w:r>
        <w:rPr>
          <w:szCs w:val="18"/>
        </w:rPr>
        <w:t xml:space="preserve">TenneT sluit deze windparken met 2 GW gelijkstroomplatforms aan op het elektriciteitsnet. Bij de oplevering van een gelijkstroomverbinding zijn er in vergelijking met een wisselstroomverbinding meer wederzijdse afhankelijkheden tussen TenneT en de windparkontwikkelaar(s), omdat een gelijkstroomverbinding nog moet worden getest op vol vermogen. Dit betekent dat er door het splitsen van de kavels mogelijk drie partijen (TenneT en twee </w:t>
      </w:r>
      <w:r w:rsidRPr="7B2F5C89">
        <w:rPr>
          <w:szCs w:val="18"/>
        </w:rPr>
        <w:t xml:space="preserve">verschillende </w:t>
      </w:r>
      <w:r>
        <w:rPr>
          <w:szCs w:val="18"/>
        </w:rPr>
        <w:t xml:space="preserve">windparkontwikkelaars) moeten samenwerken op één platform. </w:t>
      </w:r>
      <w:r w:rsidR="000A1671">
        <w:rPr>
          <w:szCs w:val="18"/>
        </w:rPr>
        <w:t xml:space="preserve">Het kabinet is </w:t>
      </w:r>
      <w:r>
        <w:rPr>
          <w:szCs w:val="18"/>
        </w:rPr>
        <w:t xml:space="preserve">blij dat TenneT de testprocedure heeft kunnen aanpassen, waardoor er minder afhankelijkheden </w:t>
      </w:r>
      <w:r w:rsidRPr="2300AA29">
        <w:rPr>
          <w:szCs w:val="18"/>
        </w:rPr>
        <w:t xml:space="preserve">zijn </w:t>
      </w:r>
      <w:r>
        <w:rPr>
          <w:szCs w:val="18"/>
        </w:rPr>
        <w:t xml:space="preserve">tussen de planningen van de realisatie van de twee windparken die op hetzelfde platform moeten worden aangesloten. Tegelijkertijd vergt dit een nauwe samenwerking tussen alle partijen om op een veilige en tijdige manier de windparken te realiseren. </w:t>
      </w:r>
      <w:r w:rsidR="000A1671">
        <w:rPr>
          <w:szCs w:val="18"/>
        </w:rPr>
        <w:t>Het kabinet heeft</w:t>
      </w:r>
      <w:r w:rsidRPr="5B33238C">
        <w:rPr>
          <w:szCs w:val="18"/>
        </w:rPr>
        <w:t xml:space="preserve"> er vertrouwen in dat </w:t>
      </w:r>
      <w:r w:rsidRPr="062EC71E">
        <w:rPr>
          <w:szCs w:val="18"/>
        </w:rPr>
        <w:t xml:space="preserve">TenneT en de </w:t>
      </w:r>
      <w:r w:rsidRPr="229407C4">
        <w:rPr>
          <w:szCs w:val="18"/>
        </w:rPr>
        <w:t xml:space="preserve">windparkontwikkelaars </w:t>
      </w:r>
      <w:r w:rsidRPr="36B6FC78">
        <w:rPr>
          <w:szCs w:val="18"/>
        </w:rPr>
        <w:t xml:space="preserve">hierin </w:t>
      </w:r>
      <w:r w:rsidRPr="06E02607">
        <w:rPr>
          <w:szCs w:val="18"/>
        </w:rPr>
        <w:t xml:space="preserve">constructief </w:t>
      </w:r>
      <w:r w:rsidRPr="031BC139">
        <w:rPr>
          <w:szCs w:val="18"/>
        </w:rPr>
        <w:t xml:space="preserve">kunnen </w:t>
      </w:r>
      <w:r w:rsidRPr="29E6C849">
        <w:rPr>
          <w:szCs w:val="18"/>
        </w:rPr>
        <w:t>samenwerken.</w:t>
      </w:r>
    </w:p>
    <w:p w:rsidR="00091733" w:rsidP="00EA213E" w:rsidRDefault="00091733" w14:paraId="353905DE" w14:textId="38A4BF63">
      <w:pPr>
        <w:rPr>
          <w:szCs w:val="18"/>
        </w:rPr>
      </w:pPr>
      <w:r>
        <w:rPr>
          <w:szCs w:val="18"/>
        </w:rPr>
        <w:t>Het splitsen van de kavels heeft geen gevolgen voor de planning van de vergunningverleningsprocedures en de realisatie</w:t>
      </w:r>
      <w:r w:rsidR="00D82BE4">
        <w:rPr>
          <w:szCs w:val="18"/>
        </w:rPr>
        <w:t xml:space="preserve"> en</w:t>
      </w:r>
      <w:r w:rsidR="00A52238">
        <w:rPr>
          <w:szCs w:val="18"/>
        </w:rPr>
        <w:t xml:space="preserve"> </w:t>
      </w:r>
      <w:r>
        <w:rPr>
          <w:szCs w:val="18"/>
        </w:rPr>
        <w:t xml:space="preserve">biedt als bijkomend voordeel kansen om zoveel mogelijk windparken volgens planning te realiseren. Dit betekent dat </w:t>
      </w:r>
      <w:r w:rsidR="000A1671">
        <w:rPr>
          <w:szCs w:val="18"/>
        </w:rPr>
        <w:t>het kabinet</w:t>
      </w:r>
      <w:r>
        <w:rPr>
          <w:szCs w:val="18"/>
        </w:rPr>
        <w:t xml:space="preserve"> bij deze vergunningsronde in totaal 3 GW zal vergunnen. </w:t>
      </w:r>
      <w:r w:rsidR="00CC0DDB">
        <w:rPr>
          <w:szCs w:val="18"/>
        </w:rPr>
        <w:t>Verderop in deze brief wordt toegelicht</w:t>
      </w:r>
      <w:r>
        <w:rPr>
          <w:szCs w:val="18"/>
        </w:rPr>
        <w:t xml:space="preserve"> waarom de inpassing van Nederwiek kavel I-B meer tijd vraagt. </w:t>
      </w:r>
    </w:p>
    <w:p w:rsidR="00091733" w:rsidP="00EA213E" w:rsidRDefault="00091733" w14:paraId="7933C08E" w14:textId="260F2318">
      <w:pPr>
        <w:rPr>
          <w:b/>
          <w:bCs/>
          <w:szCs w:val="18"/>
        </w:rPr>
      </w:pPr>
    </w:p>
    <w:p w:rsidR="0046087C" w:rsidP="00EA213E" w:rsidRDefault="0046087C" w14:paraId="1F143114" w14:textId="77777777">
      <w:pPr>
        <w:rPr>
          <w:b/>
          <w:bCs/>
          <w:szCs w:val="18"/>
        </w:rPr>
      </w:pPr>
    </w:p>
    <w:p w:rsidR="00A73CA2" w:rsidP="00EA213E" w:rsidRDefault="00A73CA2" w14:paraId="04637575" w14:textId="267CDC17">
      <w:pPr>
        <w:rPr>
          <w:b/>
          <w:bCs/>
          <w:szCs w:val="18"/>
        </w:rPr>
      </w:pPr>
      <w:r>
        <w:rPr>
          <w:b/>
          <w:bCs/>
          <w:szCs w:val="18"/>
        </w:rPr>
        <w:lastRenderedPageBreak/>
        <w:t>Omgang met ruimte voor visserij</w:t>
      </w:r>
    </w:p>
    <w:p w:rsidRPr="003F368C" w:rsidR="007232FF" w:rsidP="00EA213E" w:rsidRDefault="00D30913" w14:paraId="4E068DB1" w14:textId="68885F39">
      <w:r w:rsidRPr="003F368C">
        <w:t>In het Regee</w:t>
      </w:r>
      <w:r w:rsidRPr="003F368C" w:rsidR="004642C4">
        <w:t>r</w:t>
      </w:r>
      <w:r w:rsidRPr="003F368C">
        <w:t>programma ge</w:t>
      </w:r>
      <w:r w:rsidRPr="003F368C" w:rsidR="0078295E">
        <w:t>e</w:t>
      </w:r>
      <w:r w:rsidRPr="003F368C">
        <w:t xml:space="preserve">ft het kabinet aan </w:t>
      </w:r>
      <w:r w:rsidRPr="003F368C" w:rsidR="004F6FB7">
        <w:t xml:space="preserve">de huidige routekaart windenergie op zee (21 GW) onverkort uit te voeren. </w:t>
      </w:r>
      <w:r w:rsidRPr="003F368C" w:rsidR="00032810">
        <w:t>De</w:t>
      </w:r>
      <w:r w:rsidRPr="003F368C" w:rsidR="00FD520B">
        <w:t xml:space="preserve"> Kamer</w:t>
      </w:r>
      <w:r w:rsidRPr="003F368C" w:rsidR="00367178">
        <w:t xml:space="preserve"> </w:t>
      </w:r>
      <w:r w:rsidRPr="003F368C" w:rsidR="00032810">
        <w:t xml:space="preserve">heeft gevraagd </w:t>
      </w:r>
      <w:r w:rsidRPr="003F368C" w:rsidR="00367178">
        <w:t xml:space="preserve">om inzichtelijk maken hoe meer rekening gehouden wordt met de ruimte voor verschillende soorten visserij in balans met andere spelers op de Noordzee, waarbij de </w:t>
      </w:r>
      <w:r w:rsidRPr="003F368C" w:rsidR="006A2126">
        <w:t xml:space="preserve">ambities </w:t>
      </w:r>
      <w:r w:rsidRPr="003F368C" w:rsidR="00E002B9">
        <w:t xml:space="preserve">voor </w:t>
      </w:r>
      <w:r w:rsidRPr="003F368C" w:rsidR="00367178">
        <w:t>wind</w:t>
      </w:r>
      <w:r w:rsidRPr="003F368C" w:rsidR="00E002B9">
        <w:t xml:space="preserve">energie </w:t>
      </w:r>
      <w:r w:rsidRPr="003F368C" w:rsidR="00367178">
        <w:t>op</w:t>
      </w:r>
      <w:r w:rsidRPr="003F368C" w:rsidR="00E002B9">
        <w:t xml:space="preserve"> zee</w:t>
      </w:r>
      <w:r w:rsidRPr="003F368C" w:rsidR="00367178">
        <w:t xml:space="preserve"> doorgang kunnen vinden</w:t>
      </w:r>
      <w:r w:rsidRPr="003F368C" w:rsidR="00367178">
        <w:rPr>
          <w:rStyle w:val="Voetnootmarkering"/>
        </w:rPr>
        <w:footnoteReference w:id="6"/>
      </w:r>
      <w:r w:rsidRPr="003F368C" w:rsidR="00A31F4A">
        <w:t xml:space="preserve">. </w:t>
      </w:r>
      <w:r w:rsidRPr="003F368C" w:rsidR="0092436C">
        <w:t xml:space="preserve">Naar aanleiding van deze </w:t>
      </w:r>
      <w:r w:rsidRPr="003F368C" w:rsidR="008C3A08">
        <w:t>doelstelling</w:t>
      </w:r>
      <w:r w:rsidRPr="003F368C" w:rsidR="0092436C">
        <w:t xml:space="preserve"> </w:t>
      </w:r>
      <w:r w:rsidRPr="003F368C" w:rsidR="000A1671">
        <w:t>heeft het kabinet</w:t>
      </w:r>
      <w:r w:rsidRPr="003F368C" w:rsidR="00DA63BD">
        <w:t xml:space="preserve"> verkend welke mogelijkheden </w:t>
      </w:r>
      <w:r w:rsidRPr="003F368C" w:rsidR="000A1671">
        <w:t>het kabinet heeft</w:t>
      </w:r>
      <w:r w:rsidRPr="003F368C" w:rsidR="00DA63BD">
        <w:t xml:space="preserve"> om hieraan invulling te geven </w:t>
      </w:r>
      <w:r w:rsidRPr="003F368C" w:rsidR="00CB4430">
        <w:t>bij de</w:t>
      </w:r>
      <w:r w:rsidRPr="003F368C" w:rsidR="008E6DD9">
        <w:t xml:space="preserve"> </w:t>
      </w:r>
      <w:r w:rsidRPr="003F368C" w:rsidR="00026C0A">
        <w:t>besluiten waarop deze b</w:t>
      </w:r>
      <w:r w:rsidRPr="003F368C" w:rsidR="00DA63BD">
        <w:t>r</w:t>
      </w:r>
      <w:r w:rsidRPr="003F368C" w:rsidR="00026C0A">
        <w:t>ief betrekking heeft</w:t>
      </w:r>
      <w:r w:rsidRPr="003F368C" w:rsidR="00FA0F24">
        <w:t>.</w:t>
      </w:r>
      <w:r w:rsidRPr="003F368C" w:rsidR="00345EA5">
        <w:t xml:space="preserve"> </w:t>
      </w:r>
      <w:r w:rsidR="00CC0DDB">
        <w:t xml:space="preserve">Hieronder wordt toegelicht </w:t>
      </w:r>
      <w:r w:rsidRPr="003F368C" w:rsidR="00345EA5">
        <w:t xml:space="preserve">hoe </w:t>
      </w:r>
      <w:r w:rsidR="00F57AB9">
        <w:t>het kabi</w:t>
      </w:r>
      <w:r w:rsidRPr="001E2095" w:rsidR="00F57AB9">
        <w:t>net</w:t>
      </w:r>
      <w:r w:rsidRPr="003F368C" w:rsidR="00345EA5">
        <w:t xml:space="preserve"> al bij de uitvoering van de huidige routekaart wind op zee meer rekening houd</w:t>
      </w:r>
      <w:r w:rsidR="00CC0DDB">
        <w:t>t</w:t>
      </w:r>
      <w:r w:rsidRPr="003F368C" w:rsidR="00345EA5">
        <w:t xml:space="preserve"> met visserij.</w:t>
      </w:r>
      <w:r w:rsidRPr="003F368C" w:rsidR="004A2171">
        <w:t xml:space="preserve"> </w:t>
      </w:r>
      <w:r w:rsidRPr="003F368C" w:rsidR="0097524C">
        <w:t xml:space="preserve">Daarbij </w:t>
      </w:r>
      <w:r w:rsidR="00CC0DDB">
        <w:t>wordt onderscheid gemaakt tussen</w:t>
      </w:r>
      <w:r w:rsidRPr="003F368C" w:rsidR="0097524C">
        <w:t xml:space="preserve"> de volgende </w:t>
      </w:r>
      <w:r w:rsidRPr="003F368C" w:rsidR="00AD5022">
        <w:t>vier</w:t>
      </w:r>
      <w:r w:rsidRPr="003F368C" w:rsidR="0097524C">
        <w:t xml:space="preserve"> stappen in het proces om te komen tot windparken op zee:</w:t>
      </w:r>
    </w:p>
    <w:p w:rsidRPr="003F368C" w:rsidR="002F6E09" w:rsidP="00EA213E" w:rsidRDefault="002F6E09" w14:paraId="375FB1B3" w14:textId="77777777"/>
    <w:p w:rsidRPr="003F368C" w:rsidR="00FF2D1D" w:rsidP="00EA213E" w:rsidRDefault="0097524C" w14:paraId="4C60856D" w14:textId="2B765A13">
      <w:pPr>
        <w:pStyle w:val="Lijstalinea"/>
        <w:numPr>
          <w:ilvl w:val="0"/>
          <w:numId w:val="20"/>
        </w:numPr>
      </w:pPr>
      <w:r w:rsidRPr="003F368C">
        <w:t>Het aanwijzen van windenergiegebieden op zee</w:t>
      </w:r>
      <w:r w:rsidRPr="003F368C" w:rsidR="005D0DFA">
        <w:t xml:space="preserve">. </w:t>
      </w:r>
      <w:r w:rsidRPr="003F368C" w:rsidR="007A0AF2">
        <w:t>De windenergiegebieden IJmuiden Ver en Nederwiek zijn door het vorige kabinet in maart 2022 aangewezen en/of herbevestigd in het nu geldende Programma Noordzee 2022-2027. Destijds heeft het kabinet hierbij een afweging gemaakt van de (ruimtelijke) belangen van windenergie en andere belangen op zee, waaronder visserij. Het Programma Noordzee 2022-2027 is zelfbindend voor de rijksoverheid</w:t>
      </w:r>
      <w:r w:rsidR="00883B8A">
        <w:t>.</w:t>
      </w:r>
    </w:p>
    <w:p w:rsidRPr="000A1671" w:rsidR="00FF2D1D" w:rsidP="00EA213E" w:rsidRDefault="005D0DFA" w14:paraId="75DCCB02" w14:textId="5322F61C">
      <w:pPr>
        <w:pStyle w:val="Lijstalinea"/>
        <w:numPr>
          <w:ilvl w:val="0"/>
          <w:numId w:val="20"/>
        </w:numPr>
        <w:rPr>
          <w:rStyle w:val="cf01"/>
          <w:rFonts w:ascii="Verdana" w:hAnsi="Verdana" w:cs="Times New Roman"/>
          <w:szCs w:val="24"/>
        </w:rPr>
      </w:pPr>
      <w:r w:rsidRPr="003F368C">
        <w:t xml:space="preserve">Het nemen van kavelbesluiten. </w:t>
      </w:r>
      <w:r w:rsidRPr="003F368C" w:rsidR="007A0AF2">
        <w:t xml:space="preserve">Binnen aangewezen windenergiegebieden kan </w:t>
      </w:r>
      <w:r w:rsidR="00F57AB9">
        <w:t>de Minister van Klimaat en Groene Groei</w:t>
      </w:r>
      <w:r w:rsidRPr="003F368C" w:rsidR="00887F1D">
        <w:t>,</w:t>
      </w:r>
      <w:r w:rsidRPr="000A1671" w:rsidR="00887F1D">
        <w:t xml:space="preserve"> </w:t>
      </w:r>
      <w:r w:rsidRPr="003F368C" w:rsidR="00887F1D">
        <w:t>in overeenstemming met de Minister van</w:t>
      </w:r>
      <w:r w:rsidRPr="003F368C" w:rsidR="009C1107">
        <w:t xml:space="preserve"> </w:t>
      </w:r>
      <w:r w:rsidRPr="003F368C" w:rsidR="00887F1D">
        <w:t>Infrastructuur en Waterstaat, de Minister van Volkshuisvesting en Ruimtelijke Ordening en de</w:t>
      </w:r>
      <w:r w:rsidRPr="003F368C" w:rsidR="009C1107">
        <w:t xml:space="preserve"> </w:t>
      </w:r>
      <w:r w:rsidRPr="003F368C" w:rsidR="00887F1D">
        <w:t>Staatssecretaris van Landbouw, Visserij, Voedselzekerheid en Natuur</w:t>
      </w:r>
      <w:r w:rsidRPr="003F368C" w:rsidR="009C1107">
        <w:t xml:space="preserve">, </w:t>
      </w:r>
      <w:r w:rsidRPr="003F368C" w:rsidR="007A0AF2">
        <w:t xml:space="preserve">kavelbesluiten nemen en </w:t>
      </w:r>
      <w:r w:rsidRPr="003F368C" w:rsidR="002215A4">
        <w:t>vergunningen verlenen</w:t>
      </w:r>
      <w:r w:rsidRPr="003F368C" w:rsidR="007A0AF2">
        <w:t>. Deze besluiten zien uitsluitend op het windpark en niet op de ruimte tussen de windturbines.</w:t>
      </w:r>
      <w:r w:rsidRPr="003F368C" w:rsidR="003673A9">
        <w:t xml:space="preserve"> </w:t>
      </w:r>
      <w:r w:rsidRPr="003F368C" w:rsidR="0071224C">
        <w:t>Die ruimte valt onder medegebruik</w:t>
      </w:r>
      <w:r w:rsidR="00CC0DDB">
        <w:t xml:space="preserve"> (stap 4)</w:t>
      </w:r>
      <w:r w:rsidRPr="003F368C" w:rsidR="0071224C">
        <w:t>.</w:t>
      </w:r>
      <w:r w:rsidRPr="003F368C" w:rsidR="007A0AF2">
        <w:t xml:space="preserve"> </w:t>
      </w:r>
      <w:r w:rsidRPr="003F368C" w:rsidR="002D1B30">
        <w:t>In</w:t>
      </w:r>
      <w:r w:rsidRPr="003F368C" w:rsidR="008367B1">
        <w:t xml:space="preserve"> de kavelbesluiten </w:t>
      </w:r>
      <w:r w:rsidRPr="003F368C" w:rsidR="002D1B30">
        <w:t>neem</w:t>
      </w:r>
      <w:r w:rsidR="00F57AB9">
        <w:t xml:space="preserve">t het </w:t>
      </w:r>
      <w:r w:rsidRPr="001E2095" w:rsidR="00F57AB9">
        <w:t>kabinet</w:t>
      </w:r>
      <w:r w:rsidRPr="003F368C" w:rsidR="002D1B30">
        <w:t xml:space="preserve"> een ver</w:t>
      </w:r>
      <w:r w:rsidRPr="003F368C" w:rsidR="007329FB">
        <w:t>plichtend voorschrift op voor natuur-inclusief bouwen</w:t>
      </w:r>
      <w:r w:rsidRPr="003F368C" w:rsidR="00822DC8">
        <w:t>, met als</w:t>
      </w:r>
      <w:r w:rsidRPr="003F368C" w:rsidR="00A5334F">
        <w:t xml:space="preserve"> doel </w:t>
      </w:r>
      <w:r w:rsidRPr="003F368C" w:rsidR="00B64E53">
        <w:t xml:space="preserve">dat de vergunninghouder </w:t>
      </w:r>
      <w:r w:rsidRPr="003F368C" w:rsidR="00C43FB6">
        <w:t xml:space="preserve">maatregelen </w:t>
      </w:r>
      <w:r w:rsidRPr="003F368C" w:rsidR="00623AE3">
        <w:t xml:space="preserve">treft </w:t>
      </w:r>
      <w:r w:rsidRPr="003F368C" w:rsidR="0051093B">
        <w:t xml:space="preserve">ter vergroting </w:t>
      </w:r>
      <w:r w:rsidRPr="003F368C" w:rsidR="00A5334F">
        <w:t xml:space="preserve">van </w:t>
      </w:r>
      <w:r w:rsidRPr="003F368C" w:rsidR="0051093B">
        <w:t xml:space="preserve">het </w:t>
      </w:r>
      <w:r w:rsidRPr="003F368C" w:rsidR="00822DC8">
        <w:t>geschikte</w:t>
      </w:r>
      <w:r w:rsidRPr="003F368C" w:rsidR="0051093B">
        <w:t xml:space="preserve"> habitat voor van nature i</w:t>
      </w:r>
      <w:r w:rsidRPr="003F368C" w:rsidR="00822DC8">
        <w:t>n de Noordzee voortkomende soorten.</w:t>
      </w:r>
      <w:r w:rsidRPr="003F368C" w:rsidR="00BB7C83">
        <w:t xml:space="preserve"> Dit houdt in dat </w:t>
      </w:r>
      <w:r w:rsidRPr="003F368C" w:rsidR="00AB5BD0">
        <w:t>de erosiebes</w:t>
      </w:r>
      <w:r w:rsidRPr="003F368C" w:rsidR="00F5231F">
        <w:t>c</w:t>
      </w:r>
      <w:r w:rsidRPr="003F368C" w:rsidR="00AB5BD0">
        <w:t xml:space="preserve">herming </w:t>
      </w:r>
      <w:r w:rsidRPr="003F368C" w:rsidR="003E135A">
        <w:t>of ad</w:t>
      </w:r>
      <w:r w:rsidRPr="003F368C" w:rsidR="00B65B12">
        <w:t>ditionele structuren</w:t>
      </w:r>
      <w:r w:rsidRPr="003F368C" w:rsidR="00AB5BD0">
        <w:t xml:space="preserve"> rondom de fundering van de windturbines van dusdanige aard </w:t>
      </w:r>
      <w:r w:rsidRPr="003F368C" w:rsidR="00147DFE">
        <w:t>zijn</w:t>
      </w:r>
      <w:r w:rsidRPr="003F368C" w:rsidR="001527DD">
        <w:t xml:space="preserve"> dat</w:t>
      </w:r>
      <w:r w:rsidRPr="003F368C" w:rsidR="00AB5BD0">
        <w:t xml:space="preserve"> </w:t>
      </w:r>
      <w:r w:rsidRPr="003F368C" w:rsidR="00AD1E32">
        <w:t xml:space="preserve">het </w:t>
      </w:r>
      <w:r w:rsidRPr="003F368C" w:rsidR="00AB5BD0">
        <w:t xml:space="preserve">zeeleven </w:t>
      </w:r>
      <w:r w:rsidRPr="003F368C" w:rsidR="00AD1E32">
        <w:t>hiervan kan profiteren</w:t>
      </w:r>
      <w:r w:rsidRPr="003F368C" w:rsidR="00AB5BD0">
        <w:t xml:space="preserve">. </w:t>
      </w:r>
      <w:r w:rsidRPr="003F368C" w:rsidR="001E5F3B">
        <w:t>Dit ondersteunt ook vissoorten, waaronder kabeljauw</w:t>
      </w:r>
      <w:r w:rsidRPr="003F368C" w:rsidR="00CD0A25">
        <w:t xml:space="preserve"> en begeleidende </w:t>
      </w:r>
      <w:r w:rsidRPr="003F368C" w:rsidR="00160195">
        <w:t>biodiversiteit</w:t>
      </w:r>
      <w:r w:rsidRPr="003F368C" w:rsidR="001E5F3B">
        <w:t xml:space="preserve">. </w:t>
      </w:r>
      <w:r w:rsidRPr="003F368C" w:rsidR="00F5231F">
        <w:t>Voor IJmuiden Ver Gamma</w:t>
      </w:r>
      <w:r w:rsidRPr="003F368C" w:rsidR="00790FDF">
        <w:t>-A en</w:t>
      </w:r>
      <w:r w:rsidRPr="003F368C" w:rsidR="00A06C57">
        <w:t xml:space="preserve"> </w:t>
      </w:r>
      <w:r w:rsidR="00CC0DDB">
        <w:t>Gamma</w:t>
      </w:r>
      <w:r w:rsidRPr="003F368C" w:rsidR="00790FDF">
        <w:t>-B en Nederwiek I-A</w:t>
      </w:r>
      <w:r w:rsidRPr="003F368C" w:rsidR="00F5231F">
        <w:t xml:space="preserve"> ver</w:t>
      </w:r>
      <w:r w:rsidRPr="003F368C" w:rsidR="001E5F3B">
        <w:t>dubbel</w:t>
      </w:r>
      <w:r w:rsidR="00F57AB9">
        <w:t>t het kabin</w:t>
      </w:r>
      <w:r w:rsidRPr="001E2095" w:rsidR="00F57AB9">
        <w:t>et</w:t>
      </w:r>
      <w:r w:rsidRPr="003F368C" w:rsidR="00F5231F">
        <w:t xml:space="preserve"> deze verplichting van </w:t>
      </w:r>
      <w:r w:rsidRPr="003F368C" w:rsidR="00E671E0">
        <w:t xml:space="preserve">ten minste </w:t>
      </w:r>
      <w:r w:rsidRPr="003F368C" w:rsidR="00F5231F">
        <w:t>20%</w:t>
      </w:r>
      <w:r w:rsidRPr="003F368C" w:rsidR="001E5F3B">
        <w:t xml:space="preserve"> naar 40% van de tu</w:t>
      </w:r>
      <w:r w:rsidRPr="003F368C" w:rsidR="00625F48">
        <w:t>r</w:t>
      </w:r>
      <w:r w:rsidRPr="003F368C" w:rsidR="001E5F3B">
        <w:t>binefunderingen.</w:t>
      </w:r>
    </w:p>
    <w:p w:rsidRPr="000A1671" w:rsidR="00624083" w:rsidP="00EA213E" w:rsidRDefault="0025743A" w14:paraId="7A76EB3A" w14:textId="5D38CFC8">
      <w:pPr>
        <w:pStyle w:val="Lijstalinea"/>
        <w:numPr>
          <w:ilvl w:val="0"/>
          <w:numId w:val="20"/>
        </w:numPr>
        <w:rPr>
          <w:szCs w:val="18"/>
        </w:rPr>
      </w:pPr>
      <w:r w:rsidRPr="003F368C">
        <w:rPr>
          <w:rStyle w:val="cf01"/>
          <w:rFonts w:ascii="Verdana" w:hAnsi="Verdana" w:cs="Times New Roman"/>
          <w:szCs w:val="24"/>
        </w:rPr>
        <w:t xml:space="preserve">Het </w:t>
      </w:r>
      <w:r w:rsidRPr="003F368C">
        <w:t>vergunnen van kavels.</w:t>
      </w:r>
      <w:r w:rsidRPr="003F368C" w:rsidR="00990774">
        <w:t xml:space="preserve"> Hierbij </w:t>
      </w:r>
      <w:r w:rsidRPr="001E2095" w:rsidR="00F57AB9">
        <w:t>heeft</w:t>
      </w:r>
      <w:r w:rsidR="00F57AB9">
        <w:t xml:space="preserve"> het kabinet</w:t>
      </w:r>
      <w:r w:rsidRPr="003F368C" w:rsidR="007A0AF2">
        <w:t xml:space="preserve"> de mogelijkheid om een vergunningprocedure (tender) te kiezen waarbij </w:t>
      </w:r>
      <w:r w:rsidRPr="003F368C" w:rsidR="00F57AB9">
        <w:t>het kabinet</w:t>
      </w:r>
      <w:r w:rsidRPr="003F368C" w:rsidR="007A0AF2">
        <w:t xml:space="preserve"> ook kwalitatieve criteria meeweeg</w:t>
      </w:r>
      <w:r w:rsidR="00F57AB9">
        <w:t>t</w:t>
      </w:r>
      <w:r w:rsidRPr="003F368C" w:rsidR="007A0AF2">
        <w:t xml:space="preserve"> die een stimulans geven aan wenselijke ontwikkelingen die (op termijn) de uitrol van windenergie op zee ondersteunen. Zo zijn bij voorgaande vergunningenprocedures prikkels gegeven voor de ontwikkeling en toepassing van voorzieningen die de Noordzeenatuur ontzien en/of ondersteunen alsook maatregelen die netcongestie verminderen. </w:t>
      </w:r>
      <w:r w:rsidRPr="003F368C" w:rsidR="00624083">
        <w:rPr>
          <w:szCs w:val="18"/>
        </w:rPr>
        <w:t xml:space="preserve">Er is een uitgesproken wens van de </w:t>
      </w:r>
      <w:r w:rsidR="00906DC7">
        <w:rPr>
          <w:szCs w:val="18"/>
        </w:rPr>
        <w:t>visserij</w:t>
      </w:r>
      <w:r w:rsidRPr="003F368C" w:rsidR="00624083">
        <w:rPr>
          <w:szCs w:val="18"/>
        </w:rPr>
        <w:t xml:space="preserve">sector om te onderzoeken hoe we (nieuwe) vormen van </w:t>
      </w:r>
      <w:r w:rsidRPr="003F368C" w:rsidR="00624083">
        <w:rPr>
          <w:szCs w:val="18"/>
        </w:rPr>
        <w:lastRenderedPageBreak/>
        <w:t xml:space="preserve">voedselproductie binnen windparken zouden kunnen stimuleren en eventueel </w:t>
      </w:r>
      <w:r w:rsidRPr="003F368C" w:rsidR="00A0193A">
        <w:rPr>
          <w:szCs w:val="18"/>
        </w:rPr>
        <w:t>meenemen</w:t>
      </w:r>
      <w:r w:rsidRPr="003F368C" w:rsidR="00624083">
        <w:rPr>
          <w:szCs w:val="18"/>
        </w:rPr>
        <w:t xml:space="preserve"> in de tendercriteria. Op dit moment is onvoldoende informatie beschikbaar om een dergelijk criterium goed vorm te geven. </w:t>
      </w:r>
      <w:r w:rsidR="00883B8A">
        <w:rPr>
          <w:szCs w:val="18"/>
        </w:rPr>
        <w:t xml:space="preserve">Het kabinet zal </w:t>
      </w:r>
      <w:r w:rsidRPr="003F368C" w:rsidR="00624083">
        <w:rPr>
          <w:szCs w:val="18"/>
        </w:rPr>
        <w:t>kijken of er mogelijkheden zijn om in toekomstige windparken voedselproductie te stimuleren.</w:t>
      </w:r>
      <w:r w:rsidRPr="000A1671" w:rsidR="00624083">
        <w:rPr>
          <w:szCs w:val="18"/>
        </w:rPr>
        <w:t>  </w:t>
      </w:r>
    </w:p>
    <w:p w:rsidRPr="003F368C" w:rsidR="00A63F99" w:rsidP="00EA213E" w:rsidRDefault="00A63F99" w14:paraId="11F1EAEB" w14:textId="112C0683">
      <w:pPr>
        <w:pStyle w:val="Lijstalinea"/>
        <w:numPr>
          <w:ilvl w:val="0"/>
          <w:numId w:val="20"/>
        </w:numPr>
      </w:pPr>
      <w:r w:rsidRPr="003F368C">
        <w:t>Visserij en/of voedselproductie in de ruimte tussen de windturbines is mogelijk in het kader van medegebruik van windparken op zee. De minister van Infrastructuur en Waterstaat is verantwoordelijk voor het beleid voor medegebruik op zee</w:t>
      </w:r>
      <w:r w:rsidRPr="003F368C">
        <w:rPr>
          <w:rFonts w:asciiTheme="minorHAnsi" w:hAnsiTheme="minorHAnsi" w:cstheme="minorHAnsi"/>
          <w:sz w:val="22"/>
          <w:szCs w:val="22"/>
        </w:rPr>
        <w:t xml:space="preserve">. </w:t>
      </w:r>
      <w:r w:rsidRPr="003F368C">
        <w:t xml:space="preserve">Op dit moment zijn aquacultuur (bijvoorbeeld schelpdierkweek en zeewierkweek) en passieve visserij toegestane medegebruiksvormen voor voedselproductie. Op dit moment laat de </w:t>
      </w:r>
      <w:r w:rsidR="00906DC7">
        <w:rPr>
          <w:rStyle w:val="cf01"/>
          <w:rFonts w:ascii="Verdana" w:hAnsi="Verdana" w:cstheme="minorHAnsi"/>
        </w:rPr>
        <w:t>S</w:t>
      </w:r>
      <w:r w:rsidRPr="003F368C">
        <w:rPr>
          <w:rStyle w:val="cf01"/>
          <w:rFonts w:ascii="Verdana" w:hAnsi="Verdana" w:cstheme="minorHAnsi"/>
        </w:rPr>
        <w:t>taatssecretaris van Landbouw,</w:t>
      </w:r>
      <w:r w:rsidR="00906DC7">
        <w:rPr>
          <w:rStyle w:val="cf01"/>
          <w:rFonts w:ascii="Verdana" w:hAnsi="Verdana" w:cstheme="minorHAnsi"/>
        </w:rPr>
        <w:t xml:space="preserve"> </w:t>
      </w:r>
      <w:r w:rsidRPr="003F368C">
        <w:rPr>
          <w:rStyle w:val="cf01"/>
          <w:rFonts w:ascii="Verdana" w:hAnsi="Verdana" w:cstheme="minorHAnsi"/>
        </w:rPr>
        <w:t xml:space="preserve">Visserij, Voedselzekerheid en Natuur, in overleg met de </w:t>
      </w:r>
      <w:r w:rsidR="00906DC7">
        <w:rPr>
          <w:rStyle w:val="cf01"/>
          <w:rFonts w:ascii="Verdana" w:hAnsi="Verdana" w:cstheme="minorHAnsi"/>
        </w:rPr>
        <w:t>M</w:t>
      </w:r>
      <w:r w:rsidRPr="003F368C">
        <w:rPr>
          <w:rStyle w:val="cf01"/>
          <w:rFonts w:ascii="Verdana" w:hAnsi="Verdana" w:cstheme="minorHAnsi"/>
        </w:rPr>
        <w:t xml:space="preserve">inister van Infrastructuur en Waterstaat, </w:t>
      </w:r>
      <w:r w:rsidR="00883B8A">
        <w:rPr>
          <w:rStyle w:val="cf01"/>
          <w:rFonts w:ascii="Verdana" w:hAnsi="Verdana" w:cstheme="minorHAnsi"/>
        </w:rPr>
        <w:t xml:space="preserve">de </w:t>
      </w:r>
      <w:r w:rsidR="00906DC7">
        <w:rPr>
          <w:rStyle w:val="cf01"/>
          <w:rFonts w:ascii="Verdana" w:hAnsi="Verdana" w:cstheme="minorHAnsi"/>
        </w:rPr>
        <w:t>M</w:t>
      </w:r>
      <w:r w:rsidR="00883B8A">
        <w:rPr>
          <w:rStyle w:val="cf01"/>
          <w:rFonts w:ascii="Verdana" w:hAnsi="Verdana" w:cstheme="minorHAnsi"/>
        </w:rPr>
        <w:t>inister van Klimaat en Groene groei</w:t>
      </w:r>
      <w:r w:rsidRPr="003F368C" w:rsidR="00883B8A">
        <w:rPr>
          <w:rStyle w:val="cf01"/>
          <w:rFonts w:ascii="Verdana" w:hAnsi="Verdana" w:cstheme="minorHAnsi"/>
        </w:rPr>
        <w:t xml:space="preserve"> </w:t>
      </w:r>
      <w:r w:rsidRPr="003F368C">
        <w:rPr>
          <w:rStyle w:val="cf01"/>
          <w:rFonts w:ascii="Verdana" w:hAnsi="Verdana" w:cstheme="minorHAnsi"/>
        </w:rPr>
        <w:t>en de visserijsector onderzoek doen naar verdere mogelijkheden voor visserij in windparken in de toekomst, waaronder actieve visserij. Dit in het kader van de motie van der Plas</w:t>
      </w:r>
      <w:r w:rsidRPr="003F368C">
        <w:rPr>
          <w:rStyle w:val="Voetnootmarkering"/>
          <w:rFonts w:cstheme="minorHAnsi"/>
          <w:szCs w:val="18"/>
        </w:rPr>
        <w:footnoteReference w:id="7"/>
      </w:r>
      <w:r w:rsidRPr="003F368C">
        <w:rPr>
          <w:rStyle w:val="cf01"/>
          <w:rFonts w:ascii="Verdana" w:hAnsi="Verdana" w:cstheme="minorHAnsi"/>
        </w:rPr>
        <w:t xml:space="preserve">. </w:t>
      </w:r>
      <w:r w:rsidRPr="003F368C" w:rsidDel="00373DD4">
        <w:t xml:space="preserve"> </w:t>
      </w:r>
    </w:p>
    <w:p w:rsidRPr="00A73CA2" w:rsidR="00A63F99" w:rsidP="00EA213E" w:rsidRDefault="00A63F99" w14:paraId="29283601" w14:textId="77777777">
      <w:pPr>
        <w:pStyle w:val="Lijstalinea"/>
      </w:pPr>
    </w:p>
    <w:p w:rsidR="00091733" w:rsidP="00EA213E" w:rsidRDefault="00091733" w14:paraId="6CB6EF06" w14:textId="12343DCE">
      <w:pPr>
        <w:rPr>
          <w:b/>
          <w:bCs/>
          <w:szCs w:val="18"/>
        </w:rPr>
      </w:pPr>
      <w:r>
        <w:rPr>
          <w:b/>
          <w:bCs/>
          <w:szCs w:val="18"/>
        </w:rPr>
        <w:t>Ruimtelijke inpassing Nederwiek kavel I-B</w:t>
      </w:r>
    </w:p>
    <w:p w:rsidRPr="00A758A7" w:rsidR="00091733" w:rsidP="00EA213E" w:rsidRDefault="00091733" w14:paraId="40FCB8B5" w14:textId="61029592">
      <w:pPr>
        <w:pStyle w:val="Geenafstand"/>
        <w:spacing w:line="240" w:lineRule="atLeast"/>
        <w:rPr>
          <w:rFonts w:ascii="Verdana" w:hAnsi="Verdana" w:eastAsia="Calibri" w:cs="Calibri"/>
          <w:sz w:val="18"/>
          <w:szCs w:val="18"/>
        </w:rPr>
      </w:pPr>
      <w:r w:rsidRPr="02D29312">
        <w:rPr>
          <w:rFonts w:ascii="Verdana" w:hAnsi="Verdana" w:eastAsia="Calibri" w:cs="Calibri"/>
          <w:sz w:val="18"/>
          <w:szCs w:val="18"/>
        </w:rPr>
        <w:t xml:space="preserve">Op de Noordzee wil </w:t>
      </w:r>
      <w:r w:rsidR="000A1671">
        <w:rPr>
          <w:rFonts w:ascii="Verdana" w:hAnsi="Verdana" w:eastAsia="Calibri" w:cs="Calibri"/>
          <w:sz w:val="18"/>
          <w:szCs w:val="18"/>
        </w:rPr>
        <w:t>het kabinet</w:t>
      </w:r>
      <w:r w:rsidR="00CC0DDB">
        <w:rPr>
          <w:rFonts w:ascii="Verdana" w:hAnsi="Verdana" w:eastAsia="Calibri" w:cs="Calibri"/>
          <w:sz w:val="18"/>
          <w:szCs w:val="18"/>
        </w:rPr>
        <w:t xml:space="preserve"> </w:t>
      </w:r>
      <w:r w:rsidRPr="02D29312">
        <w:rPr>
          <w:rFonts w:ascii="Verdana" w:hAnsi="Verdana" w:eastAsia="Calibri" w:cs="Calibri"/>
          <w:sz w:val="18"/>
          <w:szCs w:val="18"/>
        </w:rPr>
        <w:t xml:space="preserve">meerdere beleidsdoelstellingen </w:t>
      </w:r>
      <w:r w:rsidR="00906DC7">
        <w:rPr>
          <w:rFonts w:ascii="Verdana" w:hAnsi="Verdana" w:eastAsia="Calibri" w:cs="Calibri"/>
          <w:sz w:val="18"/>
          <w:szCs w:val="18"/>
        </w:rPr>
        <w:t xml:space="preserve">op het gebied van energie </w:t>
      </w:r>
      <w:r w:rsidRPr="02D29312">
        <w:rPr>
          <w:rFonts w:ascii="Verdana" w:hAnsi="Verdana" w:eastAsia="Calibri" w:cs="Calibri"/>
          <w:sz w:val="18"/>
          <w:szCs w:val="18"/>
        </w:rPr>
        <w:t>realiseren: reductie van CO</w:t>
      </w:r>
      <w:r w:rsidRPr="00F10C79">
        <w:rPr>
          <w:rFonts w:ascii="Verdana" w:hAnsi="Verdana" w:eastAsia="Calibri" w:cs="Calibri"/>
          <w:sz w:val="18"/>
          <w:szCs w:val="18"/>
          <w:vertAlign w:val="subscript"/>
        </w:rPr>
        <w:t>2</w:t>
      </w:r>
      <w:r w:rsidRPr="02D29312">
        <w:rPr>
          <w:rFonts w:ascii="Verdana" w:hAnsi="Verdana" w:eastAsia="Calibri" w:cs="Calibri"/>
          <w:sz w:val="18"/>
          <w:szCs w:val="18"/>
        </w:rPr>
        <w:t>-uitstoot door verduurzaming van de elektriciteitsproductie (windenergie op zee) en de afvang en opslag van CO</w:t>
      </w:r>
      <w:r w:rsidRPr="00F10C79">
        <w:rPr>
          <w:rFonts w:ascii="Verdana" w:hAnsi="Verdana" w:eastAsia="Calibri" w:cs="Calibri"/>
          <w:sz w:val="18"/>
          <w:szCs w:val="18"/>
          <w:vertAlign w:val="subscript"/>
        </w:rPr>
        <w:t>2</w:t>
      </w:r>
      <w:r w:rsidRPr="02D29312">
        <w:rPr>
          <w:rFonts w:ascii="Verdana" w:hAnsi="Verdana" w:eastAsia="Calibri" w:cs="Calibri"/>
          <w:sz w:val="18"/>
          <w:szCs w:val="18"/>
        </w:rPr>
        <w:t xml:space="preserve"> (CCS) alsmede energieonafhankelijkheid door productie van aardgas en elektriciteit (windenergie op zee). Maatwerk biedt kansen om de beperkte ruimte zo optimaal mogelijk te benutten waarmee zoveel mogelijk belangen worden meegenomen. </w:t>
      </w:r>
    </w:p>
    <w:p w:rsidR="00091733" w:rsidP="00EA213E" w:rsidRDefault="00091733" w14:paraId="3A46D796" w14:textId="77777777">
      <w:pPr>
        <w:tabs>
          <w:tab w:val="left" w:pos="567"/>
        </w:tabs>
        <w:rPr>
          <w:rFonts w:ascii="Calibri" w:hAnsi="Calibri" w:eastAsia="Calibri" w:cs="Calibri"/>
        </w:rPr>
      </w:pPr>
    </w:p>
    <w:p w:rsidRPr="001A6D8D" w:rsidR="00091733" w:rsidP="00EA213E" w:rsidRDefault="00091733" w14:paraId="617D0C72" w14:textId="433704CF">
      <w:pPr>
        <w:pStyle w:val="Geenafstand"/>
        <w:spacing w:line="240" w:lineRule="atLeast"/>
        <w:rPr>
          <w:rFonts w:ascii="Verdana" w:hAnsi="Verdana" w:eastAsia="Calibri" w:cs="Calibri"/>
          <w:sz w:val="18"/>
          <w:szCs w:val="18"/>
        </w:rPr>
      </w:pPr>
      <w:r w:rsidRPr="00EA213E">
        <w:rPr>
          <w:rFonts w:ascii="Verdana" w:hAnsi="Verdana" w:eastAsia="Calibri" w:cs="Calibri"/>
          <w:sz w:val="18"/>
          <w:szCs w:val="18"/>
        </w:rPr>
        <w:t>Nederwiek is door het kabinet in het Programma Noordzee 2022-2027 aangewezen als windenergiegebied</w:t>
      </w:r>
      <w:r w:rsidRPr="00EA213E" w:rsidR="722C91D3">
        <w:rPr>
          <w:rFonts w:ascii="Verdana" w:hAnsi="Verdana" w:eastAsia="Calibri" w:cs="Calibri"/>
          <w:sz w:val="18"/>
          <w:szCs w:val="18"/>
        </w:rPr>
        <w:t>. Ook</w:t>
      </w:r>
      <w:r w:rsidRPr="00EA213E" w:rsidR="004138AD">
        <w:rPr>
          <w:rFonts w:ascii="Verdana" w:hAnsi="Verdana" w:eastAsia="Calibri" w:cs="Calibri"/>
          <w:sz w:val="18"/>
          <w:szCs w:val="18"/>
        </w:rPr>
        <w:t xml:space="preserve"> </w:t>
      </w:r>
      <w:r w:rsidRPr="00EA213E" w:rsidR="355C947F">
        <w:rPr>
          <w:rFonts w:ascii="Verdana" w:hAnsi="Verdana" w:eastAsia="Calibri" w:cs="Calibri"/>
          <w:sz w:val="18"/>
          <w:szCs w:val="18"/>
        </w:rPr>
        <w:t xml:space="preserve">is </w:t>
      </w:r>
      <w:r w:rsidRPr="00EA213E" w:rsidR="6C885BA0">
        <w:rPr>
          <w:rFonts w:ascii="Verdana" w:hAnsi="Verdana" w:eastAsia="Calibri" w:cs="Calibri"/>
          <w:sz w:val="18"/>
          <w:szCs w:val="18"/>
        </w:rPr>
        <w:t xml:space="preserve">een voorgenomen scheepvaartroute </w:t>
      </w:r>
      <w:r w:rsidRPr="00EA213E">
        <w:rPr>
          <w:rFonts w:ascii="Verdana" w:hAnsi="Verdana" w:eastAsia="Calibri" w:cs="Calibri"/>
          <w:sz w:val="18"/>
          <w:szCs w:val="18"/>
        </w:rPr>
        <w:t>tussen Nederwiek (zuid) en (noord)</w:t>
      </w:r>
      <w:r w:rsidRPr="00EA213E" w:rsidR="635E58D8">
        <w:rPr>
          <w:rFonts w:ascii="Verdana" w:hAnsi="Verdana" w:eastAsia="Calibri" w:cs="Calibri"/>
          <w:sz w:val="18"/>
          <w:szCs w:val="18"/>
        </w:rPr>
        <w:t xml:space="preserve"> aangewezen</w:t>
      </w:r>
      <w:r w:rsidRPr="00EA213E">
        <w:rPr>
          <w:rFonts w:ascii="Verdana" w:hAnsi="Verdana" w:eastAsia="Calibri" w:cs="Calibri"/>
          <w:sz w:val="18"/>
          <w:szCs w:val="18"/>
        </w:rPr>
        <w:t xml:space="preserve">. </w:t>
      </w:r>
      <w:r w:rsidRPr="00EA213E" w:rsidR="2ACB66E0">
        <w:rPr>
          <w:rFonts w:ascii="Verdana" w:hAnsi="Verdana" w:eastAsia="Calibri" w:cs="Calibri"/>
          <w:sz w:val="18"/>
          <w:szCs w:val="18"/>
        </w:rPr>
        <w:t>M</w:t>
      </w:r>
      <w:r w:rsidRPr="00EA213E">
        <w:rPr>
          <w:rFonts w:ascii="Verdana" w:hAnsi="Verdana" w:eastAsia="Calibri" w:cs="Calibri"/>
          <w:sz w:val="18"/>
          <w:szCs w:val="18"/>
        </w:rPr>
        <w:t>idden</w:t>
      </w:r>
      <w:r w:rsidRPr="00EA213E" w:rsidR="59F1D9DD">
        <w:rPr>
          <w:rFonts w:ascii="Verdana" w:hAnsi="Verdana" w:eastAsia="Calibri" w:cs="Calibri"/>
          <w:sz w:val="18"/>
          <w:szCs w:val="18"/>
        </w:rPr>
        <w:t xml:space="preserve"> </w:t>
      </w:r>
      <w:r w:rsidRPr="00EA213E" w:rsidR="45CA3EAA">
        <w:rPr>
          <w:rFonts w:ascii="Verdana" w:hAnsi="Verdana" w:eastAsia="Calibri" w:cs="Calibri"/>
          <w:sz w:val="18"/>
          <w:szCs w:val="18"/>
        </w:rPr>
        <w:t>in</w:t>
      </w:r>
      <w:r w:rsidRPr="00EA213E" w:rsidR="39217A07">
        <w:rPr>
          <w:rFonts w:ascii="Verdana" w:hAnsi="Verdana" w:eastAsia="Calibri" w:cs="Calibri"/>
          <w:sz w:val="18"/>
          <w:szCs w:val="18"/>
        </w:rPr>
        <w:t xml:space="preserve"> deze route</w:t>
      </w:r>
      <w:r w:rsidRPr="00EA213E" w:rsidR="367746AA">
        <w:rPr>
          <w:rFonts w:ascii="Verdana" w:hAnsi="Verdana" w:eastAsia="Calibri" w:cs="Calibri"/>
          <w:sz w:val="18"/>
          <w:szCs w:val="18"/>
        </w:rPr>
        <w:t xml:space="preserve"> </w:t>
      </w:r>
      <w:r w:rsidRPr="00EA213E">
        <w:rPr>
          <w:rFonts w:ascii="Verdana" w:hAnsi="Verdana" w:eastAsia="Calibri" w:cs="Calibri"/>
          <w:sz w:val="18"/>
          <w:szCs w:val="18"/>
        </w:rPr>
        <w:t>ligt gasdoorvoerplatform K13-A. De kavels Nederwiek I-A en I-B liggen iets ten zuiden van K13-A. Dit platform vervult een cruciale systeemrol in de West Gas Transport (WGT-)leiding</w:t>
      </w:r>
      <w:r w:rsidRPr="00EA213E" w:rsidR="276F9D07">
        <w:rPr>
          <w:rFonts w:ascii="Verdana" w:hAnsi="Verdana" w:eastAsia="Calibri" w:cs="Calibri"/>
          <w:sz w:val="18"/>
          <w:szCs w:val="18"/>
        </w:rPr>
        <w:t xml:space="preserve"> om gas naar land te brengen</w:t>
      </w:r>
      <w:r w:rsidRPr="00EA213E">
        <w:rPr>
          <w:rFonts w:ascii="Verdana" w:hAnsi="Verdana" w:eastAsia="Calibri" w:cs="Calibri"/>
          <w:sz w:val="18"/>
          <w:szCs w:val="18"/>
        </w:rPr>
        <w:t>. K13-A blijft naar verwachting nog decennia operationeel</w:t>
      </w:r>
      <w:r w:rsidRPr="00EA213E" w:rsidR="6DD01030">
        <w:rPr>
          <w:rFonts w:ascii="Verdana" w:hAnsi="Verdana" w:eastAsia="Calibri" w:cs="Calibri"/>
          <w:sz w:val="18"/>
          <w:szCs w:val="18"/>
        </w:rPr>
        <w:t>.</w:t>
      </w:r>
      <w:r w:rsidRPr="00EA213E">
        <w:rPr>
          <w:rFonts w:ascii="Verdana" w:hAnsi="Verdana" w:eastAsia="Calibri" w:cs="Calibri"/>
          <w:sz w:val="18"/>
          <w:szCs w:val="18"/>
        </w:rPr>
        <w:t xml:space="preserve"> </w:t>
      </w:r>
      <w:r w:rsidRPr="00EA213E" w:rsidR="76F226E6">
        <w:rPr>
          <w:rFonts w:ascii="Verdana" w:hAnsi="Verdana" w:eastAsia="Calibri" w:cs="Calibri"/>
          <w:sz w:val="18"/>
          <w:szCs w:val="18"/>
        </w:rPr>
        <w:t>Om veilig op het platform te kunnen werken en om het platform met een helikopter te bereiken</w:t>
      </w:r>
      <w:r w:rsidRPr="00EA213E" w:rsidR="5F6C8D75">
        <w:rPr>
          <w:rFonts w:ascii="Verdana" w:hAnsi="Verdana" w:eastAsia="Calibri" w:cs="Calibri"/>
          <w:sz w:val="18"/>
          <w:szCs w:val="18"/>
        </w:rPr>
        <w:t xml:space="preserve"> is een obstakelvrije zone nodig</w:t>
      </w:r>
      <w:r w:rsidRPr="00EA213E">
        <w:rPr>
          <w:rFonts w:ascii="Verdana" w:hAnsi="Verdana" w:eastAsia="Calibri" w:cs="Calibri"/>
          <w:sz w:val="18"/>
          <w:szCs w:val="18"/>
        </w:rPr>
        <w:t xml:space="preserve">. De voorbereiding van de windparken in Nederwiek nabij K13-A is daarmee het eerste maatwerktraject, conform het ontwerpproces in Programma Noordzee 2022-2027 en zoals aangekondigd in de </w:t>
      </w:r>
      <w:r w:rsidR="00906DC7">
        <w:rPr>
          <w:rFonts w:ascii="Verdana" w:hAnsi="Verdana" w:eastAsia="Calibri" w:cs="Calibri"/>
          <w:sz w:val="18"/>
          <w:szCs w:val="18"/>
        </w:rPr>
        <w:t xml:space="preserve">bijbehorende </w:t>
      </w:r>
      <w:r w:rsidRPr="00EA213E">
        <w:rPr>
          <w:rFonts w:ascii="Verdana" w:hAnsi="Verdana" w:eastAsia="Calibri" w:cs="Calibri"/>
          <w:sz w:val="18"/>
          <w:szCs w:val="18"/>
        </w:rPr>
        <w:t>Kamerbrief</w:t>
      </w:r>
      <w:r w:rsidRPr="00EA213E">
        <w:rPr>
          <w:rStyle w:val="Voetnootmarkering"/>
          <w:rFonts w:ascii="Verdana" w:hAnsi="Verdana" w:eastAsia="Calibri" w:cs="Calibri"/>
          <w:sz w:val="18"/>
          <w:szCs w:val="18"/>
        </w:rPr>
        <w:footnoteReference w:id="8"/>
      </w:r>
      <w:r w:rsidRPr="00EA213E" w:rsidR="606AF16C">
        <w:rPr>
          <w:rFonts w:ascii="Verdana" w:hAnsi="Verdana" w:eastAsia="Calibri" w:cs="Calibri"/>
          <w:sz w:val="18"/>
          <w:szCs w:val="18"/>
        </w:rPr>
        <w:t xml:space="preserve">. </w:t>
      </w:r>
      <w:r w:rsidRPr="00EA213E" w:rsidR="6C9D7006">
        <w:rPr>
          <w:rFonts w:ascii="Verdana" w:hAnsi="Verdana" w:eastAsia="Calibri" w:cs="Calibri"/>
          <w:sz w:val="18"/>
          <w:szCs w:val="18"/>
        </w:rPr>
        <w:t xml:space="preserve">Om te zorgen dat </w:t>
      </w:r>
      <w:r w:rsidRPr="00EA213E" w:rsidR="1C110169">
        <w:rPr>
          <w:rFonts w:ascii="Verdana" w:hAnsi="Verdana" w:eastAsia="Calibri" w:cs="Calibri"/>
          <w:sz w:val="18"/>
          <w:szCs w:val="18"/>
        </w:rPr>
        <w:t xml:space="preserve">er voldoende afstand tussen </w:t>
      </w:r>
      <w:r w:rsidRPr="00EA213E" w:rsidR="6C9D7006">
        <w:rPr>
          <w:rFonts w:ascii="Verdana" w:hAnsi="Verdana" w:eastAsia="Calibri" w:cs="Calibri"/>
          <w:sz w:val="18"/>
          <w:szCs w:val="18"/>
        </w:rPr>
        <w:t xml:space="preserve">het platform </w:t>
      </w:r>
      <w:r w:rsidRPr="00EA213E" w:rsidR="1C348161">
        <w:rPr>
          <w:rFonts w:ascii="Verdana" w:hAnsi="Verdana" w:eastAsia="Calibri" w:cs="Calibri"/>
          <w:sz w:val="18"/>
          <w:szCs w:val="18"/>
        </w:rPr>
        <w:t xml:space="preserve">en </w:t>
      </w:r>
      <w:r w:rsidRPr="00EA213E" w:rsidR="11494433">
        <w:rPr>
          <w:rFonts w:ascii="Verdana" w:hAnsi="Verdana" w:eastAsia="Calibri" w:cs="Calibri"/>
          <w:sz w:val="18"/>
          <w:szCs w:val="18"/>
        </w:rPr>
        <w:t xml:space="preserve">het windpark </w:t>
      </w:r>
      <w:r w:rsidRPr="00EA213E" w:rsidR="4FE2DAD6">
        <w:rPr>
          <w:rFonts w:ascii="Verdana" w:hAnsi="Verdana" w:eastAsia="Calibri" w:cs="Calibri"/>
          <w:sz w:val="18"/>
          <w:szCs w:val="18"/>
        </w:rPr>
        <w:t xml:space="preserve">blijft </w:t>
      </w:r>
      <w:r w:rsidRPr="00EA213E" w:rsidR="6C9D7006">
        <w:rPr>
          <w:rFonts w:ascii="Verdana" w:hAnsi="Verdana" w:eastAsia="Calibri" w:cs="Calibri"/>
          <w:sz w:val="18"/>
          <w:szCs w:val="18"/>
        </w:rPr>
        <w:t>zijn verschillende verkennende onderzoeken uit</w:t>
      </w:r>
      <w:r w:rsidRPr="00EA213E" w:rsidR="234456B9">
        <w:rPr>
          <w:rFonts w:ascii="Verdana" w:hAnsi="Verdana" w:eastAsia="Calibri" w:cs="Calibri"/>
          <w:sz w:val="18"/>
          <w:szCs w:val="18"/>
        </w:rPr>
        <w:t>gevoerd over luchtzijdige bereikbaarheid</w:t>
      </w:r>
      <w:r w:rsidRPr="00EA213E">
        <w:rPr>
          <w:rStyle w:val="Voetnootmarkering"/>
          <w:rFonts w:ascii="Verdana" w:hAnsi="Verdana" w:eastAsia="Calibri" w:cs="Calibri"/>
          <w:sz w:val="18"/>
          <w:szCs w:val="18"/>
        </w:rPr>
        <w:footnoteReference w:id="9"/>
      </w:r>
      <w:r w:rsidRPr="00EA213E" w:rsidR="0CC67B75">
        <w:rPr>
          <w:rFonts w:ascii="Verdana" w:hAnsi="Verdana" w:eastAsia="Calibri" w:cs="Calibri"/>
          <w:sz w:val="18"/>
          <w:szCs w:val="18"/>
        </w:rPr>
        <w:t xml:space="preserve">. </w:t>
      </w:r>
      <w:r w:rsidRPr="00EA213E" w:rsidR="572787F3">
        <w:rPr>
          <w:rFonts w:ascii="Verdana" w:hAnsi="Verdana" w:eastAsia="Calibri" w:cs="Calibri"/>
          <w:sz w:val="18"/>
          <w:szCs w:val="18"/>
        </w:rPr>
        <w:t xml:space="preserve">Beslisinformatie </w:t>
      </w:r>
      <w:r w:rsidRPr="00EA213E" w:rsidR="3A333D64">
        <w:rPr>
          <w:rFonts w:ascii="Verdana" w:hAnsi="Verdana" w:eastAsia="Calibri" w:cs="Calibri"/>
          <w:sz w:val="18"/>
          <w:szCs w:val="18"/>
        </w:rPr>
        <w:t xml:space="preserve">om de obstakelvrije ruimte te bepalen </w:t>
      </w:r>
      <w:r w:rsidRPr="00EA213E" w:rsidR="572787F3">
        <w:rPr>
          <w:rFonts w:ascii="Verdana" w:hAnsi="Verdana" w:eastAsia="Calibri" w:cs="Calibri"/>
          <w:sz w:val="18"/>
          <w:szCs w:val="18"/>
        </w:rPr>
        <w:t xml:space="preserve">volgt </w:t>
      </w:r>
      <w:r w:rsidRPr="00EA213E" w:rsidR="7086B56A">
        <w:rPr>
          <w:rFonts w:ascii="Verdana" w:hAnsi="Verdana" w:eastAsia="Calibri" w:cs="Calibri"/>
          <w:sz w:val="18"/>
          <w:szCs w:val="18"/>
        </w:rPr>
        <w:t>uit de</w:t>
      </w:r>
      <w:r w:rsidRPr="00EA213E">
        <w:rPr>
          <w:rFonts w:ascii="Verdana" w:hAnsi="Verdana" w:eastAsia="Calibri" w:cs="Calibri"/>
          <w:sz w:val="18"/>
          <w:szCs w:val="18"/>
        </w:rPr>
        <w:t xml:space="preserve"> Flight Operational Safety Assessment (FOSA). Deze studie toont aan dat wanneer kavel I-B wordt gerealiseerd het platform K13-A </w:t>
      </w:r>
      <w:r w:rsidRPr="00EA213E" w:rsidR="6496150A">
        <w:rPr>
          <w:rFonts w:ascii="Verdana" w:hAnsi="Verdana" w:eastAsia="Calibri" w:cs="Calibri"/>
          <w:sz w:val="18"/>
          <w:szCs w:val="18"/>
        </w:rPr>
        <w:t xml:space="preserve">dusdanig </w:t>
      </w:r>
      <w:r w:rsidRPr="00EA213E">
        <w:rPr>
          <w:rFonts w:ascii="Verdana" w:hAnsi="Verdana" w:eastAsia="Calibri" w:cs="Calibri"/>
          <w:sz w:val="18"/>
          <w:szCs w:val="18"/>
        </w:rPr>
        <w:t>minder vaak bereikt kan worden middels de nu gangbare vliegprocedures</w:t>
      </w:r>
      <w:r w:rsidRPr="00EA213E" w:rsidR="20600463">
        <w:rPr>
          <w:rFonts w:ascii="Verdana" w:hAnsi="Verdana" w:eastAsia="Calibri" w:cs="Calibri"/>
          <w:sz w:val="18"/>
          <w:szCs w:val="18"/>
        </w:rPr>
        <w:t xml:space="preserve"> dat</w:t>
      </w:r>
      <w:r w:rsidRPr="00EA213E">
        <w:rPr>
          <w:rFonts w:ascii="Verdana" w:hAnsi="Verdana" w:eastAsia="Calibri" w:cs="Calibri"/>
          <w:sz w:val="18"/>
          <w:szCs w:val="18"/>
        </w:rPr>
        <w:t xml:space="preserve"> de veiligheid van dit platform </w:t>
      </w:r>
      <w:r w:rsidRPr="00EA213E">
        <w:rPr>
          <w:rFonts w:ascii="Verdana" w:hAnsi="Verdana" w:eastAsia="Calibri" w:cs="Calibri"/>
          <w:sz w:val="18"/>
          <w:szCs w:val="18"/>
        </w:rPr>
        <w:lastRenderedPageBreak/>
        <w:t xml:space="preserve">en de mensen die er werken in het geding komen. Daarom kan het ontwerpkavelbesluit Nederwiek I-B nu niet genomen worden en kan </w:t>
      </w:r>
      <w:r w:rsidR="00883B8A">
        <w:rPr>
          <w:rFonts w:ascii="Verdana" w:hAnsi="Verdana" w:eastAsia="Calibri" w:cs="Calibri"/>
          <w:sz w:val="18"/>
          <w:szCs w:val="18"/>
        </w:rPr>
        <w:t>het ka</w:t>
      </w:r>
      <w:r w:rsidRPr="001E2095" w:rsidR="00883B8A">
        <w:rPr>
          <w:rFonts w:ascii="Verdana" w:hAnsi="Verdana" w:eastAsia="Calibri" w:cs="Calibri"/>
          <w:sz w:val="18"/>
          <w:szCs w:val="18"/>
        </w:rPr>
        <w:t>binet</w:t>
      </w:r>
      <w:r w:rsidR="00906DC7">
        <w:rPr>
          <w:rFonts w:ascii="Verdana" w:hAnsi="Verdana" w:eastAsia="Calibri" w:cs="Calibri"/>
          <w:sz w:val="18"/>
          <w:szCs w:val="18"/>
        </w:rPr>
        <w:t xml:space="preserve"> </w:t>
      </w:r>
      <w:r w:rsidRPr="001E2095">
        <w:rPr>
          <w:rFonts w:ascii="Verdana" w:hAnsi="Verdana" w:eastAsia="Calibri" w:cs="Calibri"/>
          <w:sz w:val="18"/>
          <w:szCs w:val="18"/>
        </w:rPr>
        <w:t>ook</w:t>
      </w:r>
      <w:r w:rsidRPr="00EA213E">
        <w:rPr>
          <w:rFonts w:ascii="Verdana" w:hAnsi="Verdana" w:eastAsia="Calibri" w:cs="Calibri"/>
          <w:sz w:val="18"/>
          <w:szCs w:val="18"/>
        </w:rPr>
        <w:t xml:space="preserve"> geen vergunningverleningsprocedure starten. Wel </w:t>
      </w:r>
      <w:r w:rsidRPr="001A6D8D">
        <w:rPr>
          <w:rFonts w:ascii="Verdana" w:hAnsi="Verdana" w:eastAsia="Calibri" w:cs="Calibri"/>
          <w:sz w:val="18"/>
          <w:szCs w:val="18"/>
        </w:rPr>
        <w:t>heb</w:t>
      </w:r>
      <w:r w:rsidR="00906DC7">
        <w:rPr>
          <w:rFonts w:ascii="Verdana" w:hAnsi="Verdana" w:eastAsia="Calibri" w:cs="Calibri"/>
          <w:sz w:val="18"/>
          <w:szCs w:val="18"/>
        </w:rPr>
        <w:t>ben</w:t>
      </w:r>
      <w:r w:rsidRPr="001A6D8D">
        <w:rPr>
          <w:rFonts w:ascii="Verdana" w:hAnsi="Verdana" w:eastAsia="Calibri" w:cs="Calibri"/>
          <w:sz w:val="18"/>
          <w:szCs w:val="18"/>
        </w:rPr>
        <w:t xml:space="preserve"> de </w:t>
      </w:r>
      <w:r w:rsidR="00906DC7">
        <w:rPr>
          <w:rFonts w:ascii="Verdana" w:hAnsi="Verdana" w:eastAsia="Calibri" w:cs="Calibri"/>
          <w:sz w:val="18"/>
          <w:szCs w:val="18"/>
        </w:rPr>
        <w:t>M</w:t>
      </w:r>
      <w:r w:rsidRPr="001A6D8D">
        <w:rPr>
          <w:rFonts w:ascii="Verdana" w:hAnsi="Verdana" w:eastAsia="Calibri" w:cs="Calibri"/>
          <w:sz w:val="18"/>
          <w:szCs w:val="18"/>
        </w:rPr>
        <w:t>inister van I</w:t>
      </w:r>
      <w:r w:rsidR="009F2A47">
        <w:rPr>
          <w:rFonts w:ascii="Verdana" w:hAnsi="Verdana" w:eastAsia="Calibri" w:cs="Calibri"/>
          <w:sz w:val="18"/>
          <w:szCs w:val="18"/>
        </w:rPr>
        <w:t>nfrastructuur en Waterstaat</w:t>
      </w:r>
      <w:r w:rsidRPr="001A6D8D">
        <w:rPr>
          <w:rFonts w:ascii="Verdana" w:hAnsi="Verdana" w:eastAsia="Calibri" w:cs="Calibri"/>
          <w:sz w:val="18"/>
          <w:szCs w:val="18"/>
        </w:rPr>
        <w:t xml:space="preserve"> </w:t>
      </w:r>
      <w:r w:rsidR="00906DC7">
        <w:rPr>
          <w:rFonts w:ascii="Verdana" w:hAnsi="Verdana" w:eastAsia="Calibri" w:cs="Calibri"/>
          <w:sz w:val="18"/>
          <w:szCs w:val="18"/>
        </w:rPr>
        <w:t xml:space="preserve">en de Minister van Klimaat en Groene Groei </w:t>
      </w:r>
      <w:r w:rsidRPr="001A6D8D">
        <w:rPr>
          <w:rFonts w:ascii="Verdana" w:hAnsi="Verdana" w:eastAsia="Calibri" w:cs="Calibri"/>
          <w:sz w:val="18"/>
          <w:szCs w:val="18"/>
        </w:rPr>
        <w:t xml:space="preserve">voor K13-A een proefproject opgestart voor een innovatieve, ruimtebesparende en veilige manier van vliegen – Point in Space (PinS). De resultaten worden verwacht </w:t>
      </w:r>
      <w:r w:rsidR="00906DC7">
        <w:rPr>
          <w:rFonts w:ascii="Verdana" w:hAnsi="Verdana" w:eastAsia="Calibri" w:cs="Calibri"/>
          <w:sz w:val="18"/>
          <w:szCs w:val="18"/>
        </w:rPr>
        <w:t xml:space="preserve">in de </w:t>
      </w:r>
      <w:r w:rsidRPr="001A6D8D" w:rsidR="46EE1948">
        <w:rPr>
          <w:rFonts w:ascii="Verdana" w:hAnsi="Verdana" w:eastAsia="Calibri" w:cs="Calibri"/>
          <w:sz w:val="18"/>
          <w:szCs w:val="18"/>
        </w:rPr>
        <w:t>tweede helft</w:t>
      </w:r>
      <w:r w:rsidRPr="001A6D8D">
        <w:rPr>
          <w:rFonts w:ascii="Verdana" w:hAnsi="Verdana" w:eastAsia="Calibri" w:cs="Calibri"/>
          <w:sz w:val="18"/>
          <w:szCs w:val="18"/>
        </w:rPr>
        <w:t xml:space="preserve"> 2025. Bij zekerheid over de slagingskans van PinS voor platform K13-A kan de publicatie van het ontwerpkavelbesluit Nederwiek I-B in gang worden gezet. </w:t>
      </w:r>
    </w:p>
    <w:p w:rsidRPr="00A758A7" w:rsidR="00091733" w:rsidP="00EA213E" w:rsidRDefault="000A1671" w14:paraId="155350BA" w14:textId="06E24F68">
      <w:pPr>
        <w:pStyle w:val="Geenafstand"/>
        <w:spacing w:line="240" w:lineRule="atLeast"/>
        <w:rPr>
          <w:rFonts w:ascii="Verdana" w:hAnsi="Verdana" w:eastAsia="Calibri" w:cs="Calibri"/>
          <w:sz w:val="18"/>
          <w:szCs w:val="18"/>
        </w:rPr>
      </w:pPr>
      <w:r>
        <w:rPr>
          <w:rFonts w:ascii="Verdana" w:hAnsi="Verdana" w:eastAsia="Calibri" w:cs="Calibri"/>
          <w:sz w:val="18"/>
          <w:szCs w:val="18"/>
        </w:rPr>
        <w:t>Het kabinet</w:t>
      </w:r>
      <w:r w:rsidRPr="00A758A7" w:rsidR="00091733">
        <w:rPr>
          <w:rFonts w:ascii="Verdana" w:hAnsi="Verdana" w:eastAsia="Calibri" w:cs="Calibri"/>
          <w:sz w:val="18"/>
          <w:szCs w:val="18"/>
        </w:rPr>
        <w:t xml:space="preserve"> streef</w:t>
      </w:r>
      <w:r>
        <w:rPr>
          <w:rFonts w:ascii="Verdana" w:hAnsi="Verdana" w:eastAsia="Calibri" w:cs="Calibri"/>
          <w:sz w:val="18"/>
          <w:szCs w:val="18"/>
        </w:rPr>
        <w:t>t</w:t>
      </w:r>
      <w:r w:rsidRPr="00A758A7" w:rsidR="00091733">
        <w:rPr>
          <w:rFonts w:ascii="Verdana" w:hAnsi="Verdana" w:eastAsia="Calibri" w:cs="Calibri"/>
          <w:sz w:val="18"/>
          <w:szCs w:val="18"/>
        </w:rPr>
        <w:t xml:space="preserve"> ernaar om de vergunning van Nederwiek I-B gelijktijdig te verlenen met de vergunningen voor Nederwiek II en III. </w:t>
      </w:r>
      <w:r w:rsidR="00906DC7">
        <w:rPr>
          <w:rFonts w:ascii="Verdana" w:hAnsi="Verdana" w:eastAsia="Calibri" w:cs="Calibri"/>
          <w:sz w:val="18"/>
          <w:szCs w:val="18"/>
        </w:rPr>
        <w:t xml:space="preserve">In de volgende update van het ontwikkelkader windenergie op zee wordt de nieuwe realisatieplanning van Nederwiek I-B opgenomen. </w:t>
      </w:r>
      <w:r w:rsidRPr="00A758A7" w:rsidR="00091733">
        <w:rPr>
          <w:rFonts w:ascii="Verdana" w:hAnsi="Verdana" w:eastAsia="Calibri" w:cs="Calibri"/>
          <w:sz w:val="18"/>
          <w:szCs w:val="18"/>
        </w:rPr>
        <w:t xml:space="preserve">Deze planning levert mogelijk meerkosten op voor TenneT, maar heeft geen invloed op het behalen van de 21 GW wind op zee aan het eind van 2032. </w:t>
      </w:r>
    </w:p>
    <w:p w:rsidR="16BA0905" w:rsidP="00EA213E" w:rsidRDefault="16BA0905" w14:paraId="099A2E8D" w14:textId="0719B12B">
      <w:pPr>
        <w:pStyle w:val="Geenafstand"/>
        <w:spacing w:line="240" w:lineRule="atLeast"/>
        <w:rPr>
          <w:rFonts w:ascii="Verdana" w:hAnsi="Verdana" w:eastAsia="Calibri" w:cs="Calibri"/>
          <w:sz w:val="18"/>
          <w:szCs w:val="18"/>
        </w:rPr>
      </w:pPr>
    </w:p>
    <w:p w:rsidRPr="009B5142" w:rsidR="750733D2" w:rsidP="00EA213E" w:rsidRDefault="7529B4CB" w14:paraId="51BABFD1" w14:textId="330D0F97">
      <w:pPr>
        <w:pStyle w:val="Geenafstand"/>
        <w:spacing w:line="240" w:lineRule="atLeast"/>
        <w:rPr>
          <w:rFonts w:eastAsia="Calibri" w:cs="Calibri"/>
        </w:rPr>
      </w:pPr>
      <w:r w:rsidRPr="009B5142">
        <w:rPr>
          <w:rFonts w:ascii="Verdana" w:hAnsi="Verdana" w:eastAsia="Calibri" w:cs="Calibri"/>
          <w:sz w:val="18"/>
          <w:szCs w:val="18"/>
        </w:rPr>
        <w:t>Ter voorbereiding van kavelbesluit Doordewind I wordt een</w:t>
      </w:r>
      <w:r w:rsidRPr="27C3AF61" w:rsidR="1E6518CC">
        <w:rPr>
          <w:rFonts w:ascii="Verdana" w:hAnsi="Verdana" w:eastAsia="Calibri" w:cs="Calibri"/>
          <w:sz w:val="18"/>
          <w:szCs w:val="18"/>
        </w:rPr>
        <w:t xml:space="preserve"> gelijksoortig</w:t>
      </w:r>
      <w:r w:rsidRPr="27C3AF61">
        <w:rPr>
          <w:rFonts w:ascii="Verdana" w:hAnsi="Verdana" w:eastAsia="Calibri" w:cs="Calibri"/>
          <w:sz w:val="18"/>
          <w:szCs w:val="18"/>
        </w:rPr>
        <w:t xml:space="preserve"> </w:t>
      </w:r>
      <w:r w:rsidRPr="009B5142">
        <w:rPr>
          <w:rFonts w:ascii="Verdana" w:hAnsi="Verdana" w:eastAsia="Calibri" w:cs="Calibri"/>
          <w:sz w:val="18"/>
          <w:szCs w:val="18"/>
        </w:rPr>
        <w:t>maatwerktraject uitgevoerd. Inmiddels is de haalbaarheidsstudie</w:t>
      </w:r>
      <w:r w:rsidR="007C6077">
        <w:rPr>
          <w:rStyle w:val="Voetnootmarkering"/>
          <w:rFonts w:ascii="Verdana" w:hAnsi="Verdana" w:eastAsia="Calibri" w:cs="Calibri"/>
          <w:sz w:val="18"/>
          <w:szCs w:val="18"/>
        </w:rPr>
        <w:footnoteReference w:id="10"/>
      </w:r>
      <w:r w:rsidRPr="009B5142" w:rsidR="238368EB">
        <w:rPr>
          <w:rFonts w:ascii="Verdana" w:hAnsi="Verdana" w:eastAsia="Calibri" w:cs="Calibri"/>
          <w:sz w:val="18"/>
          <w:szCs w:val="18"/>
        </w:rPr>
        <w:t xml:space="preserve"> uitgevoerd</w:t>
      </w:r>
      <w:r w:rsidRPr="009B5142">
        <w:rPr>
          <w:rFonts w:ascii="Verdana" w:hAnsi="Verdana" w:eastAsia="Calibri" w:cs="Calibri"/>
          <w:sz w:val="18"/>
          <w:szCs w:val="18"/>
        </w:rPr>
        <w:t xml:space="preserve"> </w:t>
      </w:r>
      <w:r w:rsidRPr="63ED46D7" w:rsidR="4BCB9D6F">
        <w:rPr>
          <w:rFonts w:ascii="Verdana" w:hAnsi="Verdana" w:eastAsia="Calibri" w:cs="Calibri"/>
          <w:sz w:val="18"/>
          <w:szCs w:val="18"/>
        </w:rPr>
        <w:t xml:space="preserve">voor de </w:t>
      </w:r>
      <w:r w:rsidRPr="70D71699" w:rsidR="29A22131">
        <w:rPr>
          <w:rFonts w:ascii="Verdana" w:hAnsi="Verdana" w:eastAsia="Calibri" w:cs="Calibri"/>
          <w:sz w:val="18"/>
          <w:szCs w:val="18"/>
        </w:rPr>
        <w:t>inpassing van vier gas- en olie</w:t>
      </w:r>
      <w:r w:rsidRPr="70D71699" w:rsidR="4BCB9D6F">
        <w:rPr>
          <w:rFonts w:ascii="Verdana" w:hAnsi="Verdana" w:eastAsia="Calibri" w:cs="Calibri"/>
          <w:sz w:val="18"/>
          <w:szCs w:val="18"/>
        </w:rPr>
        <w:t>platforms</w:t>
      </w:r>
      <w:r w:rsidRPr="63ED46D7" w:rsidR="4BCB9D6F">
        <w:rPr>
          <w:rFonts w:ascii="Verdana" w:hAnsi="Verdana" w:eastAsia="Calibri" w:cs="Calibri"/>
          <w:sz w:val="18"/>
          <w:szCs w:val="18"/>
        </w:rPr>
        <w:t xml:space="preserve"> in en om het windenergiegebied</w:t>
      </w:r>
      <w:r w:rsidRPr="27C3AF61" w:rsidR="16FEB46E">
        <w:rPr>
          <w:rFonts w:ascii="Verdana" w:hAnsi="Verdana" w:eastAsia="Calibri" w:cs="Calibri"/>
          <w:sz w:val="18"/>
          <w:szCs w:val="18"/>
        </w:rPr>
        <w:t xml:space="preserve">. </w:t>
      </w:r>
      <w:r w:rsidRPr="70D71699" w:rsidR="16FEB46E">
        <w:rPr>
          <w:rFonts w:ascii="Verdana" w:hAnsi="Verdana" w:eastAsia="Calibri" w:cs="Calibri"/>
          <w:sz w:val="18"/>
          <w:szCs w:val="18"/>
        </w:rPr>
        <w:t>Momenteel</w:t>
      </w:r>
      <w:r w:rsidRPr="009B5142">
        <w:rPr>
          <w:rFonts w:ascii="Verdana" w:hAnsi="Verdana" w:eastAsia="Calibri" w:cs="Calibri"/>
          <w:sz w:val="18"/>
          <w:szCs w:val="18"/>
        </w:rPr>
        <w:t xml:space="preserve"> loopt de FOSA om de exacte locatie van het windpark te bepalen</w:t>
      </w:r>
      <w:r w:rsidRPr="18FA283D" w:rsidR="6E311499">
        <w:rPr>
          <w:rFonts w:ascii="Verdana" w:hAnsi="Verdana" w:eastAsia="Calibri" w:cs="Calibri"/>
          <w:sz w:val="18"/>
          <w:szCs w:val="18"/>
        </w:rPr>
        <w:t xml:space="preserve"> en </w:t>
      </w:r>
      <w:r w:rsidRPr="278C411A" w:rsidR="6E311499">
        <w:rPr>
          <w:rFonts w:ascii="Verdana" w:hAnsi="Verdana" w:eastAsia="Calibri" w:cs="Calibri"/>
          <w:sz w:val="18"/>
          <w:szCs w:val="18"/>
        </w:rPr>
        <w:t>tegelijkertijd</w:t>
      </w:r>
      <w:r w:rsidRPr="18FA283D" w:rsidR="6E311499">
        <w:rPr>
          <w:rFonts w:ascii="Verdana" w:hAnsi="Verdana" w:eastAsia="Calibri" w:cs="Calibri"/>
          <w:sz w:val="18"/>
          <w:szCs w:val="18"/>
        </w:rPr>
        <w:t xml:space="preserve"> veilige helikopterbereikbaarheid te borgen</w:t>
      </w:r>
      <w:r w:rsidRPr="009B5142">
        <w:rPr>
          <w:rFonts w:ascii="Verdana" w:hAnsi="Verdana" w:eastAsia="Calibri" w:cs="Calibri"/>
          <w:sz w:val="18"/>
          <w:szCs w:val="18"/>
        </w:rPr>
        <w:t xml:space="preserve">. </w:t>
      </w:r>
      <w:r w:rsidR="00906DC7">
        <w:rPr>
          <w:rFonts w:ascii="Verdana" w:hAnsi="Verdana" w:eastAsia="Calibri" w:cs="Calibri"/>
          <w:sz w:val="18"/>
          <w:szCs w:val="18"/>
        </w:rPr>
        <w:t xml:space="preserve">De Kamer </w:t>
      </w:r>
      <w:r w:rsidRPr="009B5142">
        <w:rPr>
          <w:rFonts w:ascii="Verdana" w:hAnsi="Verdana" w:eastAsia="Calibri" w:cs="Calibri"/>
          <w:sz w:val="18"/>
          <w:szCs w:val="18"/>
        </w:rPr>
        <w:t xml:space="preserve">wordt hier </w:t>
      </w:r>
      <w:r w:rsidR="009B5142">
        <w:rPr>
          <w:rFonts w:ascii="Verdana" w:hAnsi="Verdana" w:eastAsia="Calibri" w:cs="Calibri"/>
          <w:sz w:val="18"/>
          <w:szCs w:val="18"/>
        </w:rPr>
        <w:t>in de loop van</w:t>
      </w:r>
      <w:r w:rsidRPr="009B5142">
        <w:rPr>
          <w:rFonts w:ascii="Verdana" w:hAnsi="Verdana" w:eastAsia="Calibri" w:cs="Calibri"/>
          <w:sz w:val="18"/>
          <w:szCs w:val="18"/>
        </w:rPr>
        <w:t xml:space="preserve"> 2025 nader over geïnformeerd.</w:t>
      </w:r>
    </w:p>
    <w:p w:rsidRPr="00B73681" w:rsidR="00091733" w:rsidP="00EA213E" w:rsidRDefault="00091733" w14:paraId="7184B918" w14:textId="577559C4"/>
    <w:p w:rsidRPr="00814A27" w:rsidR="00091733" w:rsidP="00EA213E" w:rsidRDefault="00091733" w14:paraId="0BBDC5AF" w14:textId="77777777">
      <w:pPr>
        <w:rPr>
          <w:rFonts w:eastAsia="Calibri" w:cs="Calibri"/>
          <w:b/>
          <w:i/>
          <w:szCs w:val="18"/>
        </w:rPr>
      </w:pPr>
      <w:r w:rsidRPr="00DA5D38">
        <w:rPr>
          <w:rFonts w:eastAsia="Calibri" w:cs="Calibri"/>
          <w:b/>
          <w:szCs w:val="18"/>
        </w:rPr>
        <w:t xml:space="preserve">Invoedingstarieven en tweezijdige </w:t>
      </w:r>
      <w:r w:rsidRPr="00DA5D38">
        <w:rPr>
          <w:rFonts w:eastAsia="Calibri" w:cs="Calibri"/>
          <w:b/>
          <w:i/>
          <w:szCs w:val="18"/>
        </w:rPr>
        <w:t>contract for difference</w:t>
      </w:r>
      <w:r w:rsidRPr="00814A27">
        <w:rPr>
          <w:rFonts w:eastAsia="Calibri" w:cs="Calibri"/>
          <w:b/>
          <w:bCs/>
          <w:i/>
          <w:iCs/>
          <w:szCs w:val="18"/>
        </w:rPr>
        <w:t xml:space="preserve"> (CfD)</w:t>
      </w:r>
    </w:p>
    <w:p w:rsidR="00091733" w:rsidP="00EA213E" w:rsidRDefault="00091733" w14:paraId="0BB7D712" w14:textId="0EC5DBC9">
      <w:pPr>
        <w:rPr>
          <w:rFonts w:eastAsia="Calibri" w:cs="Calibri"/>
          <w:szCs w:val="18"/>
        </w:rPr>
      </w:pPr>
      <w:r w:rsidRPr="02D29312">
        <w:rPr>
          <w:rFonts w:eastAsia="Calibri" w:cs="Calibri"/>
        </w:rPr>
        <w:t xml:space="preserve">In het Commissiedebat Klimaat en Energie van 12 september 2024 </w:t>
      </w:r>
      <w:r w:rsidR="00906DC7">
        <w:rPr>
          <w:rFonts w:eastAsia="Calibri" w:cs="Calibri"/>
        </w:rPr>
        <w:t>is</w:t>
      </w:r>
      <w:r w:rsidRPr="02D29312">
        <w:rPr>
          <w:rFonts w:eastAsia="Calibri" w:cs="Calibri"/>
        </w:rPr>
        <w:t xml:space="preserve"> toegezegd om schriftelijk in te gaan op invoedingstarieven in combinatie met een zogenoemd </w:t>
      </w:r>
      <w:r w:rsidR="00DD135E">
        <w:rPr>
          <w:rFonts w:eastAsia="Calibri" w:cs="Calibri"/>
          <w:i/>
          <w:iCs/>
        </w:rPr>
        <w:t>C</w:t>
      </w:r>
      <w:r w:rsidRPr="02D29312">
        <w:rPr>
          <w:rFonts w:eastAsia="Calibri" w:cs="Calibri"/>
          <w:i/>
          <w:iCs/>
        </w:rPr>
        <w:t xml:space="preserve">ontract for </w:t>
      </w:r>
      <w:r w:rsidR="00DD135E">
        <w:rPr>
          <w:rFonts w:eastAsia="Calibri" w:cs="Calibri"/>
          <w:i/>
          <w:iCs/>
        </w:rPr>
        <w:t>D</w:t>
      </w:r>
      <w:r w:rsidRPr="02D29312">
        <w:rPr>
          <w:rFonts w:eastAsia="Calibri" w:cs="Calibri"/>
          <w:i/>
          <w:iCs/>
        </w:rPr>
        <w:t>ifference (CfD).</w:t>
      </w:r>
      <w:r w:rsidRPr="02D29312">
        <w:rPr>
          <w:rStyle w:val="Voetnootmarkering"/>
          <w:rFonts w:eastAsia="Calibri" w:cs="Calibri"/>
        </w:rPr>
        <w:footnoteReference w:id="11"/>
      </w:r>
      <w:r w:rsidRPr="02D29312">
        <w:rPr>
          <w:rFonts w:eastAsia="Calibri" w:cs="Calibri"/>
        </w:rPr>
        <w:t xml:space="preserve"> Bij een invoedingstarief betalen grote producenten van elektriciteit geld aan netbeheerders voor het invoeden van stroom op het elektriciteitsnet. Hiermee dragen zij financieel bij aan de stijgende kosten van het verzwaren en uitbreiden van het elektriciteitsnet. In het debat werd de suggestie gedaan om dit te combineren met een CfD</w:t>
      </w:r>
      <w:r w:rsidRPr="02D29312">
        <w:rPr>
          <w:rFonts w:eastAsia="Calibri" w:cs="Calibri"/>
          <w:i/>
          <w:iCs/>
        </w:rPr>
        <w:t xml:space="preserve"> </w:t>
      </w:r>
      <w:r w:rsidRPr="02D29312">
        <w:rPr>
          <w:rFonts w:eastAsia="Calibri" w:cs="Calibri"/>
        </w:rPr>
        <w:t xml:space="preserve">om zo de business case van ontwikkelaars bij een invoedingstarief te verbeteren. </w:t>
      </w:r>
      <w:r w:rsidRPr="02D29312">
        <w:rPr>
          <w:rFonts w:eastAsia="Verdana" w:cs="Verdana"/>
        </w:rPr>
        <w:t>Een CfD is een mechanisme waarmee over een langere periode stabiele prijzen worden aangeboden aan windparkontwikkelaars zodat deze worden gestimuleerd om te investeren in grote energieproducerende activa</w:t>
      </w:r>
      <w:r w:rsidR="00906DC7">
        <w:rPr>
          <w:rFonts w:eastAsia="Verdana" w:cs="Verdana"/>
        </w:rPr>
        <w:t>,</w:t>
      </w:r>
      <w:r w:rsidRPr="02D29312">
        <w:rPr>
          <w:rFonts w:eastAsia="Verdana" w:cs="Verdana"/>
        </w:rPr>
        <w:t xml:space="preserve"> zoals windparken</w:t>
      </w:r>
      <w:r w:rsidR="00906DC7">
        <w:rPr>
          <w:rFonts w:eastAsia="Verdana" w:cs="Verdana"/>
        </w:rPr>
        <w:t>,</w:t>
      </w:r>
      <w:r w:rsidRPr="02D29312">
        <w:rPr>
          <w:rFonts w:eastAsia="Verdana" w:cs="Verdana"/>
        </w:rPr>
        <w:t xml:space="preserve"> die hoge investeringskosten vooraf kennen. Zo hebben zij meer zekerheid dat ze deze investering terugverdienen. De overheid neemt hierbij een deel van het risico over van marktpartijen door subsidie te verlenen bij relatief lage elektriciteitsprijzen. Tegelijkertijd ontvangt de overheid een vergoeding van producenten bij relatief hoge energieprijzen, waardoor het mee kan delen in eventuele winsten. </w:t>
      </w:r>
      <w:r w:rsidRPr="02D29312">
        <w:rPr>
          <w:rFonts w:eastAsia="Calibri" w:cs="Calibri"/>
        </w:rPr>
        <w:t xml:space="preserve">Varianten op dit mechanisme worden in een aantal andere Europese landen al gebruikt voor windparken op zee. Het </w:t>
      </w:r>
      <w:r w:rsidRPr="001E2095">
        <w:rPr>
          <w:rFonts w:eastAsia="Calibri" w:cs="Calibri"/>
        </w:rPr>
        <w:t xml:space="preserve">is </w:t>
      </w:r>
      <w:r w:rsidRPr="001E2095" w:rsidR="00F57AB9">
        <w:rPr>
          <w:rFonts w:eastAsia="Calibri" w:cs="Calibri"/>
        </w:rPr>
        <w:t>het</w:t>
      </w:r>
      <w:r w:rsidR="00F57AB9">
        <w:rPr>
          <w:rFonts w:eastAsia="Calibri" w:cs="Calibri"/>
        </w:rPr>
        <w:t xml:space="preserve"> streven van dit kabinet</w:t>
      </w:r>
      <w:r w:rsidRPr="02D29312">
        <w:rPr>
          <w:rFonts w:eastAsia="Calibri" w:cs="Calibri"/>
        </w:rPr>
        <w:t xml:space="preserve"> om ook in de toekomst windparken op zee subsidievrij te blijven vergunnen zoals ook in de laatste rondes is gelukt. </w:t>
      </w:r>
      <w:r w:rsidR="00F57AB9">
        <w:rPr>
          <w:rFonts w:eastAsia="Calibri" w:cs="Calibri"/>
        </w:rPr>
        <w:t xml:space="preserve">Het kabinet </w:t>
      </w:r>
      <w:r w:rsidRPr="001E2095" w:rsidR="00F57AB9">
        <w:rPr>
          <w:rFonts w:eastAsia="Calibri" w:cs="Calibri"/>
        </w:rPr>
        <w:t>ziet</w:t>
      </w:r>
      <w:r w:rsidRPr="02D29312">
        <w:rPr>
          <w:rFonts w:eastAsia="Calibri" w:cs="Calibri"/>
        </w:rPr>
        <w:t xml:space="preserve"> een subsidie of CfD als een vangnet indien de businesscase voor </w:t>
      </w:r>
      <w:r w:rsidRPr="02D29312">
        <w:rPr>
          <w:rFonts w:eastAsia="Calibri" w:cs="Calibri"/>
        </w:rPr>
        <w:lastRenderedPageBreak/>
        <w:t xml:space="preserve">windparken tijdelijk onvoldoende toereikend is om de windparken subsidievrij te vergunnen. </w:t>
      </w:r>
    </w:p>
    <w:p w:rsidRPr="00350F0C" w:rsidR="00091733" w:rsidP="00EA213E" w:rsidRDefault="00091733" w14:paraId="26C294CC" w14:textId="33324E21">
      <w:pPr>
        <w:rPr>
          <w:rFonts w:eastAsia="Calibri" w:cs="Calibri"/>
          <w:i/>
          <w:szCs w:val="18"/>
        </w:rPr>
      </w:pPr>
      <w:r w:rsidRPr="02D29312">
        <w:rPr>
          <w:rFonts w:eastAsia="Calibri" w:cs="Calibri"/>
        </w:rPr>
        <w:t>Op dit moment wordt in het Interdepartementaal Beleidsonderzoek (IBO) bekostiging elektriciteitsinfrastructuur onderzoek gedaan naar de mogelijkheden om elektriciteitsnetten anders te bekostigen dan nu het geval is</w:t>
      </w:r>
      <w:r w:rsidRPr="02D29312">
        <w:rPr>
          <w:rStyle w:val="Voetnootmarkering"/>
          <w:rFonts w:eastAsia="Calibri" w:cs="Calibri"/>
        </w:rPr>
        <w:footnoteReference w:id="12"/>
      </w:r>
      <w:r w:rsidRPr="02D29312">
        <w:rPr>
          <w:rFonts w:eastAsia="Calibri" w:cs="Calibri"/>
        </w:rPr>
        <w:t xml:space="preserve">. In het onderzoek wordt ook gekeken naar een invoedingstarief en de gevolgen daarvan, onder andere voor producenten, naast andere scenario’s. Daarbij is belangrijk dat kosten rechtvaardig worden verdeeld en ook gedragen kunnen worden. Verder wil </w:t>
      </w:r>
      <w:r w:rsidRPr="003F368C" w:rsidR="00F57AB9">
        <w:rPr>
          <w:rFonts w:eastAsia="Calibri" w:cs="Calibri"/>
        </w:rPr>
        <w:t>het kabinet</w:t>
      </w:r>
      <w:r w:rsidRPr="02D29312">
        <w:rPr>
          <w:rFonts w:eastAsia="Calibri" w:cs="Calibri"/>
        </w:rPr>
        <w:t xml:space="preserve"> dat de energietransitie ambitieus door kan blijven gaan, </w:t>
      </w:r>
      <w:r w:rsidRPr="00906DC7">
        <w:rPr>
          <w:rFonts w:eastAsia="Calibri" w:cs="Calibri"/>
        </w:rPr>
        <w:t xml:space="preserve">waarbij een goede verdeling van de kosten essentieel is. Dit najaar zal </w:t>
      </w:r>
      <w:r w:rsidRPr="003F368C" w:rsidR="004155CF">
        <w:rPr>
          <w:rFonts w:eastAsia="Calibri" w:cs="Calibri"/>
        </w:rPr>
        <w:t>het kabinet</w:t>
      </w:r>
      <w:r w:rsidRPr="00906DC7">
        <w:rPr>
          <w:rFonts w:eastAsia="Calibri" w:cs="Calibri"/>
        </w:rPr>
        <w:t xml:space="preserve"> in een brief aan </w:t>
      </w:r>
      <w:r w:rsidRPr="00906DC7" w:rsidR="00B84D00">
        <w:rPr>
          <w:rFonts w:eastAsia="Calibri" w:cs="Calibri"/>
        </w:rPr>
        <w:t>de</w:t>
      </w:r>
      <w:r w:rsidRPr="00906DC7">
        <w:rPr>
          <w:rFonts w:eastAsia="Calibri" w:cs="Calibri"/>
        </w:rPr>
        <w:t xml:space="preserve"> Kamer breder ingaan op de verdeling van netkosten. </w:t>
      </w:r>
      <w:r w:rsidR="00906DC7">
        <w:rPr>
          <w:rFonts w:eastAsia="Calibri" w:cs="Calibri"/>
        </w:rPr>
        <w:t>D</w:t>
      </w:r>
      <w:r w:rsidRPr="02D29312" w:rsidR="00AB7EB7">
        <w:rPr>
          <w:rFonts w:eastAsia="Calibri" w:cs="Calibri"/>
        </w:rPr>
        <w:t xml:space="preserve">e uitkomst van het IBO </w:t>
      </w:r>
      <w:r w:rsidR="00906DC7">
        <w:rPr>
          <w:rFonts w:eastAsia="Calibri" w:cs="Calibri"/>
        </w:rPr>
        <w:t xml:space="preserve">wordt </w:t>
      </w:r>
      <w:r w:rsidRPr="02D29312" w:rsidR="00AB7EB7">
        <w:rPr>
          <w:rFonts w:eastAsia="Calibri" w:cs="Calibri"/>
        </w:rPr>
        <w:t xml:space="preserve">in de eerste helft van 2025 </w:t>
      </w:r>
      <w:r w:rsidR="00906DC7">
        <w:rPr>
          <w:rFonts w:eastAsia="Calibri" w:cs="Calibri"/>
        </w:rPr>
        <w:t>verwacht, waarna</w:t>
      </w:r>
      <w:r w:rsidRPr="02D29312" w:rsidR="00AB7EB7">
        <w:rPr>
          <w:rFonts w:eastAsia="Calibri" w:cs="Calibri"/>
        </w:rPr>
        <w:t xml:space="preserve"> </w:t>
      </w:r>
      <w:r w:rsidR="00B84D00">
        <w:rPr>
          <w:rFonts w:eastAsia="Calibri" w:cs="Calibri"/>
        </w:rPr>
        <w:t>de</w:t>
      </w:r>
      <w:r w:rsidRPr="02D29312" w:rsidR="00AB7EB7">
        <w:rPr>
          <w:rFonts w:eastAsia="Calibri" w:cs="Calibri"/>
        </w:rPr>
        <w:t xml:space="preserve"> Kamer hierover </w:t>
      </w:r>
      <w:r w:rsidR="00906DC7">
        <w:rPr>
          <w:rFonts w:eastAsia="Calibri" w:cs="Calibri"/>
        </w:rPr>
        <w:t xml:space="preserve">zal worden geïnformeerd. </w:t>
      </w:r>
      <w:r w:rsidRPr="02D29312">
        <w:rPr>
          <w:rFonts w:eastAsia="Calibri" w:cs="Calibri"/>
        </w:rPr>
        <w:t>Daarnaast onderzoek</w:t>
      </w:r>
      <w:r w:rsidR="004B3DA9">
        <w:rPr>
          <w:rFonts w:eastAsia="Calibri" w:cs="Calibri"/>
        </w:rPr>
        <w:t>t het ka</w:t>
      </w:r>
      <w:r w:rsidRPr="001E2095" w:rsidR="004B3DA9">
        <w:rPr>
          <w:rFonts w:eastAsia="Calibri" w:cs="Calibri"/>
        </w:rPr>
        <w:t>binet</w:t>
      </w:r>
      <w:r w:rsidRPr="02D29312">
        <w:rPr>
          <w:rFonts w:eastAsia="Calibri" w:cs="Calibri"/>
        </w:rPr>
        <w:t xml:space="preserve"> de mogelijkheden om een CfD toe te passen binnen de SDE++ voor zon-PV en windenergie op land. Ook kijk</w:t>
      </w:r>
      <w:r w:rsidR="004B3DA9">
        <w:rPr>
          <w:rFonts w:eastAsia="Calibri" w:cs="Calibri"/>
        </w:rPr>
        <w:t>t het kabinet</w:t>
      </w:r>
      <w:r w:rsidRPr="02D29312">
        <w:rPr>
          <w:rFonts w:eastAsia="Calibri" w:cs="Calibri"/>
        </w:rPr>
        <w:t xml:space="preserve"> naar eventuele toepassing voor </w:t>
      </w:r>
      <w:r w:rsidR="00906DC7">
        <w:rPr>
          <w:rFonts w:eastAsia="Calibri" w:cs="Calibri"/>
        </w:rPr>
        <w:t>w</w:t>
      </w:r>
      <w:r w:rsidRPr="02D29312">
        <w:rPr>
          <w:rFonts w:eastAsia="Calibri" w:cs="Calibri"/>
        </w:rPr>
        <w:t>ind</w:t>
      </w:r>
      <w:r w:rsidR="00906DC7">
        <w:rPr>
          <w:rFonts w:eastAsia="Calibri" w:cs="Calibri"/>
        </w:rPr>
        <w:t>energie</w:t>
      </w:r>
      <w:r w:rsidRPr="02D29312">
        <w:rPr>
          <w:rFonts w:eastAsia="Calibri" w:cs="Calibri"/>
        </w:rPr>
        <w:t xml:space="preserve"> op zee. </w:t>
      </w:r>
      <w:r w:rsidR="004155CF">
        <w:rPr>
          <w:rFonts w:eastAsia="Calibri" w:cs="Calibri"/>
        </w:rPr>
        <w:t>Het kabinet</w:t>
      </w:r>
      <w:r w:rsidRPr="02D29312">
        <w:rPr>
          <w:rFonts w:eastAsia="Calibri" w:cs="Calibri"/>
        </w:rPr>
        <w:t xml:space="preserve"> zal </w:t>
      </w:r>
      <w:r w:rsidR="00B84D00">
        <w:rPr>
          <w:rFonts w:eastAsia="Calibri" w:cs="Calibri"/>
        </w:rPr>
        <w:t>de</w:t>
      </w:r>
      <w:r w:rsidRPr="02D29312">
        <w:rPr>
          <w:rFonts w:eastAsia="Calibri" w:cs="Calibri"/>
        </w:rPr>
        <w:t xml:space="preserve"> Kamer in het voorjaar informeren over de toepassing van en ontwerpkeuzes voor CfD's voor zon-PV en windenergie op land</w:t>
      </w:r>
      <w:r w:rsidRPr="02D29312" w:rsidR="00AB7EB7">
        <w:rPr>
          <w:rFonts w:eastAsia="Calibri" w:cs="Calibri"/>
        </w:rPr>
        <w:t xml:space="preserve"> en over</w:t>
      </w:r>
      <w:r w:rsidRPr="02D29312">
        <w:rPr>
          <w:rFonts w:eastAsia="Calibri" w:cs="Calibri"/>
        </w:rPr>
        <w:t xml:space="preserve"> de eventuele toepassing van CfD's voor </w:t>
      </w:r>
      <w:r w:rsidR="00DD0ECA">
        <w:rPr>
          <w:rFonts w:eastAsia="Calibri" w:cs="Calibri"/>
        </w:rPr>
        <w:t>w</w:t>
      </w:r>
      <w:r w:rsidRPr="02D29312">
        <w:rPr>
          <w:rFonts w:eastAsia="Calibri" w:cs="Calibri"/>
        </w:rPr>
        <w:t>ind</w:t>
      </w:r>
      <w:r w:rsidR="00DD0ECA">
        <w:rPr>
          <w:rFonts w:eastAsia="Calibri" w:cs="Calibri"/>
        </w:rPr>
        <w:t>energie</w:t>
      </w:r>
      <w:r w:rsidRPr="02D29312">
        <w:rPr>
          <w:rFonts w:eastAsia="Calibri" w:cs="Calibri"/>
        </w:rPr>
        <w:t xml:space="preserve"> op zee. </w:t>
      </w:r>
    </w:p>
    <w:p w:rsidR="00091733" w:rsidP="00EA213E" w:rsidRDefault="00091733" w14:paraId="11D325FC" w14:textId="77777777">
      <w:pPr>
        <w:rPr>
          <w:rFonts w:eastAsia="Calibri" w:cs="Calibri"/>
          <w:szCs w:val="18"/>
        </w:rPr>
      </w:pPr>
    </w:p>
    <w:p w:rsidRPr="00CA3128" w:rsidR="00091733" w:rsidP="00EA213E" w:rsidRDefault="00091733" w14:paraId="6C650026" w14:textId="77777777">
      <w:pPr>
        <w:rPr>
          <w:b/>
          <w:szCs w:val="18"/>
        </w:rPr>
      </w:pPr>
      <w:r w:rsidRPr="00CA3128">
        <w:rPr>
          <w:rFonts w:eastAsia="Calibri" w:cs="Calibri"/>
          <w:b/>
          <w:szCs w:val="18"/>
        </w:rPr>
        <w:t>Subsidie voor eerste demonstratieproject waterstof op zee (Demo 1)</w:t>
      </w:r>
    </w:p>
    <w:p w:rsidR="00091733" w:rsidP="00EA213E" w:rsidRDefault="00091733" w14:paraId="79C39635" w14:textId="79875D6A">
      <w:pPr>
        <w:rPr>
          <w:szCs w:val="18"/>
        </w:rPr>
      </w:pPr>
      <w:r w:rsidRPr="60110B85">
        <w:rPr>
          <w:szCs w:val="18"/>
        </w:rPr>
        <w:t xml:space="preserve">Vlak voor de zomer is </w:t>
      </w:r>
      <w:r w:rsidR="00B84D00">
        <w:rPr>
          <w:szCs w:val="18"/>
        </w:rPr>
        <w:t>de</w:t>
      </w:r>
      <w:r w:rsidRPr="60110B85">
        <w:rPr>
          <w:szCs w:val="18"/>
        </w:rPr>
        <w:t xml:space="preserve"> Kamer geïnformeerd over de voortgang van de voorbereiding van de twee demonstratieprojecten waterstof op zee</w:t>
      </w:r>
      <w:r w:rsidRPr="003C6E85">
        <w:rPr>
          <w:rStyle w:val="Voetnootmarkering"/>
          <w:rFonts w:eastAsia="Calibri" w:cs="Calibri"/>
        </w:rPr>
        <w:fldChar w:fldCharType="begin"/>
      </w:r>
      <w:r w:rsidRPr="003C6E85">
        <w:rPr>
          <w:rStyle w:val="Voetnootmarkering"/>
          <w:rFonts w:eastAsia="Calibri" w:cs="Calibri"/>
        </w:rPr>
        <w:instrText xml:space="preserve"> NOTEREF _Ref179215092 \h </w:instrText>
      </w:r>
      <w:r>
        <w:rPr>
          <w:rStyle w:val="Voetnootmarkering"/>
          <w:rFonts w:eastAsia="Calibri" w:cs="Calibri"/>
        </w:rPr>
        <w:instrText xml:space="preserve"> \* MERGEFORMAT </w:instrText>
      </w:r>
      <w:r w:rsidRPr="003C6E85">
        <w:rPr>
          <w:rStyle w:val="Voetnootmarkering"/>
          <w:rFonts w:eastAsia="Calibri" w:cs="Calibri"/>
        </w:rPr>
      </w:r>
      <w:r w:rsidRPr="003C6E85">
        <w:rPr>
          <w:rStyle w:val="Voetnootmarkering"/>
          <w:rFonts w:eastAsia="Calibri" w:cs="Calibri"/>
        </w:rPr>
        <w:fldChar w:fldCharType="separate"/>
      </w:r>
      <w:r w:rsidRPr="003C6E85">
        <w:rPr>
          <w:rStyle w:val="Voetnootmarkering"/>
          <w:rFonts w:eastAsia="Calibri" w:cs="Calibri"/>
        </w:rPr>
        <w:t>3</w:t>
      </w:r>
      <w:r w:rsidRPr="003C6E85">
        <w:rPr>
          <w:rStyle w:val="Voetnootmarkering"/>
          <w:rFonts w:eastAsia="Calibri" w:cs="Calibri"/>
        </w:rPr>
        <w:fldChar w:fldCharType="end"/>
      </w:r>
      <w:r w:rsidRPr="60110B85">
        <w:rPr>
          <w:szCs w:val="18"/>
        </w:rPr>
        <w:t xml:space="preserve">. </w:t>
      </w:r>
      <w:r w:rsidRPr="001A3131">
        <w:rPr>
          <w:szCs w:val="18"/>
        </w:rPr>
        <w:t xml:space="preserve">De demonstratie en opschaling van waterstof op zee is nodig voor de verdere uitrol van windenergie op zee en voor de verduurzaming van onze industrie omdat niet alle windenergie van zee elektrisch aan land gebracht kan worden en in de industrie efficiënt ingezet kan worden. </w:t>
      </w:r>
      <w:r w:rsidR="004155CF">
        <w:rPr>
          <w:szCs w:val="18"/>
        </w:rPr>
        <w:t>Hier wordt toegelicht</w:t>
      </w:r>
      <w:r>
        <w:rPr>
          <w:szCs w:val="18"/>
        </w:rPr>
        <w:t xml:space="preserve"> hoe</w:t>
      </w:r>
      <w:r w:rsidRPr="60110B85">
        <w:rPr>
          <w:szCs w:val="18"/>
        </w:rPr>
        <w:t xml:space="preserve"> </w:t>
      </w:r>
      <w:r w:rsidRPr="003F368C" w:rsidR="004B3DA9">
        <w:rPr>
          <w:szCs w:val="18"/>
        </w:rPr>
        <w:t>het kabinet</w:t>
      </w:r>
      <w:r w:rsidRPr="60110B85">
        <w:rPr>
          <w:szCs w:val="18"/>
        </w:rPr>
        <w:t xml:space="preserve"> een consortium zal selecteren voor de realisatie van het eerste demonstratieproject (Demo 1) en hoe </w:t>
      </w:r>
      <w:r w:rsidRPr="003F368C" w:rsidR="00F57AB9">
        <w:rPr>
          <w:szCs w:val="18"/>
        </w:rPr>
        <w:t>het kabinet</w:t>
      </w:r>
      <w:r w:rsidRPr="60110B85">
        <w:rPr>
          <w:szCs w:val="18"/>
        </w:rPr>
        <w:t xml:space="preserve"> de subsidie voor het project wil</w:t>
      </w:r>
      <w:r>
        <w:rPr>
          <w:szCs w:val="18"/>
        </w:rPr>
        <w:t xml:space="preserve"> toekennen</w:t>
      </w:r>
      <w:r w:rsidRPr="60110B85">
        <w:rPr>
          <w:szCs w:val="18"/>
        </w:rPr>
        <w:t xml:space="preserve">. </w:t>
      </w:r>
    </w:p>
    <w:p w:rsidR="004F79CF" w:rsidP="00EA213E" w:rsidRDefault="004F79CF" w14:paraId="729D563E" w14:textId="77777777">
      <w:pPr>
        <w:rPr>
          <w:szCs w:val="18"/>
        </w:rPr>
      </w:pPr>
    </w:p>
    <w:p w:rsidRPr="00F10C79" w:rsidR="00CA5310" w:rsidP="00EA213E" w:rsidRDefault="00CA5310" w14:paraId="2C0581ED" w14:textId="027C8F9E">
      <w:pPr>
        <w:rPr>
          <w:i/>
          <w:iCs/>
          <w:szCs w:val="18"/>
        </w:rPr>
      </w:pPr>
      <w:r w:rsidRPr="00F10C79">
        <w:rPr>
          <w:i/>
          <w:iCs/>
          <w:szCs w:val="18"/>
        </w:rPr>
        <w:t>Over Demo 1</w:t>
      </w:r>
    </w:p>
    <w:p w:rsidRPr="00812935" w:rsidR="00091733" w:rsidP="00EA213E" w:rsidRDefault="00091733" w14:paraId="2221EA49" w14:textId="5917AA96">
      <w:r w:rsidRPr="450F0576">
        <w:t xml:space="preserve">Het project Demo 1 </w:t>
      </w:r>
      <w:r w:rsidRPr="450F0576" w:rsidR="006B6F81">
        <w:t>vraagt om</w:t>
      </w:r>
      <w:r w:rsidRPr="450F0576">
        <w:t xml:space="preserve"> samenwerking tussen markt, netbeheerders en Rijk. Gezien het zeer innovatieve karakter van het project blijft deze samenwerking </w:t>
      </w:r>
      <w:r w:rsidRPr="450F0576" w:rsidR="002E3540">
        <w:t>in het project</w:t>
      </w:r>
      <w:r w:rsidRPr="450F0576">
        <w:t xml:space="preserve"> ook na het toekennen van subsidie nodig. Zo zal het consortium een nauwe samenwerking en afstemming hebben met Gasunie en TenneT en </w:t>
      </w:r>
      <w:r w:rsidRPr="450F0576" w:rsidR="00C54CA1">
        <w:t>dient</w:t>
      </w:r>
      <w:r w:rsidRPr="1F93F865" w:rsidR="00C54CA1">
        <w:rPr>
          <w:szCs w:val="18"/>
        </w:rPr>
        <w:t xml:space="preserve"> </w:t>
      </w:r>
      <w:r w:rsidRPr="450F0576">
        <w:t>het consortium bij Rijkswaterstaat een vergunning aan</w:t>
      </w:r>
      <w:r w:rsidRPr="450F0576" w:rsidR="00C54CA1">
        <w:t xml:space="preserve"> te </w:t>
      </w:r>
      <w:r w:rsidRPr="450F0576">
        <w:t xml:space="preserve">vragen. </w:t>
      </w:r>
      <w:r>
        <w:t xml:space="preserve">Van het consortium verwacht </w:t>
      </w:r>
      <w:r w:rsidRPr="003F368C" w:rsidR="001E2095">
        <w:t>het kabinet</w:t>
      </w:r>
      <w:r>
        <w:t xml:space="preserve"> dat zij een elektrolyse-installatie van indicatief 30-50 MW met daarvoor benodigde structuur realiseren nabij het TenneT-platform in het windpark op zee Hollandse Kust (noord) en dat zij dit aansluiten middels een kabel op de klantaansluiting van </w:t>
      </w:r>
      <w:r w:rsidR="59AB8C4E">
        <w:t>di</w:t>
      </w:r>
      <w:r>
        <w:t xml:space="preserve">t TenneT-platform. Aan Gasunie is gevraagd om de geproduceerde waterstof via een pijpleiding naar land te vervoeren en aan te sluiten op het </w:t>
      </w:r>
      <w:r w:rsidR="6FCE7D44">
        <w:t xml:space="preserve">landelijke </w:t>
      </w:r>
      <w:r>
        <w:t>waterstofnetwerk</w:t>
      </w:r>
      <w:r w:rsidR="3FCBF0B3">
        <w:t xml:space="preserve"> </w:t>
      </w:r>
      <w:r w:rsidR="62CD5EA0">
        <w:t>(Noordzeekanaalgebied)</w:t>
      </w:r>
      <w:r>
        <w:t xml:space="preserve">. </w:t>
      </w:r>
      <w:r w:rsidR="08CE81F2">
        <w:t>Gezien de meerwaarde van dit project voor de opschaling van waterstof op zee is dit project en daarmee d</w:t>
      </w:r>
      <w:r w:rsidR="6EF0EA95">
        <w:t xml:space="preserve">eze aanlanding van nationaal belang </w:t>
      </w:r>
      <w:r w:rsidR="4E520014">
        <w:t>en zal</w:t>
      </w:r>
      <w:r w:rsidR="5DE27AE3">
        <w:t xml:space="preserve"> </w:t>
      </w:r>
      <w:r w:rsidR="092F8E45">
        <w:t>hier</w:t>
      </w:r>
      <w:r w:rsidR="5DE27AE3">
        <w:t xml:space="preserve">voor </w:t>
      </w:r>
      <w:r w:rsidR="4E520014">
        <w:t>een projectprocedure</w:t>
      </w:r>
      <w:r w:rsidR="7240C4B6">
        <w:t xml:space="preserve"> worden doorlopen</w:t>
      </w:r>
      <w:r w:rsidR="4E520014">
        <w:t>.</w:t>
      </w:r>
      <w:r>
        <w:t xml:space="preserve"> De voorbereiding van deze aanlanding vindt parallel plaats aan de voorbereidingen </w:t>
      </w:r>
      <w:r>
        <w:lastRenderedPageBreak/>
        <w:t>van het consortium. Nauwe afstemming over voortgang is dan ook onmisbaar.</w:t>
      </w:r>
      <w:r w:rsidR="79FFBA17">
        <w:t xml:space="preserve"> </w:t>
      </w:r>
      <w:r w:rsidRPr="02D29312">
        <w:t>Het consortium zal zelf een vergunning</w:t>
      </w:r>
      <w:r w:rsidRPr="000F5E8F">
        <w:rPr>
          <w:szCs w:val="18"/>
        </w:rPr>
        <w:t xml:space="preserve"> </w:t>
      </w:r>
      <w:r w:rsidRPr="02D29312">
        <w:t>aanvragen voor het project bij Rijkswaterstaat. Ter voorbereiding van onder andere deze vergunningaanvraag is reeds een vooronderzoek naar milieueffecten van waterstofproductie op zee uitgevoerd</w:t>
      </w:r>
      <w:r w:rsidRPr="02D29312">
        <w:rPr>
          <w:rStyle w:val="Voetnootmarkering"/>
        </w:rPr>
        <w:footnoteReference w:id="13"/>
      </w:r>
      <w:r w:rsidRPr="02D29312">
        <w:t xml:space="preserve">. Dit vooronderzoek biedt een basis voor vergunningverlening van Demo 1 maar ook aanleiding voor vervolgonderzoek. Dit vervolgonderzoek </w:t>
      </w:r>
      <w:r w:rsidR="009D336D">
        <w:t>zal</w:t>
      </w:r>
      <w:r w:rsidRPr="02D29312">
        <w:t xml:space="preserve"> worden opgepakt in voorbereidende studies voor vergunningverlening of het onderzoeksprogramma. </w:t>
      </w:r>
    </w:p>
    <w:p w:rsidR="00E20F3B" w:rsidP="00EA213E" w:rsidRDefault="00E20F3B" w14:paraId="214FD814" w14:textId="77777777">
      <w:pPr>
        <w:rPr>
          <w:i/>
          <w:szCs w:val="18"/>
        </w:rPr>
      </w:pPr>
    </w:p>
    <w:p w:rsidR="00091733" w:rsidP="00EA213E" w:rsidRDefault="00091733" w14:paraId="0A25BC7A" w14:textId="386BF983">
      <w:pPr>
        <w:rPr>
          <w:i/>
          <w:iCs/>
          <w:szCs w:val="18"/>
        </w:rPr>
      </w:pPr>
      <w:r>
        <w:rPr>
          <w:i/>
          <w:szCs w:val="18"/>
        </w:rPr>
        <w:t>O</w:t>
      </w:r>
      <w:r w:rsidRPr="00003D08">
        <w:rPr>
          <w:i/>
          <w:szCs w:val="18"/>
        </w:rPr>
        <w:t>proep tot voorstellen en maatwerksubsidie</w:t>
      </w:r>
    </w:p>
    <w:p w:rsidR="00091733" w:rsidP="00EA213E" w:rsidRDefault="00091733" w14:paraId="64BC5282" w14:textId="77D98869">
      <w:pPr>
        <w:rPr>
          <w:szCs w:val="18"/>
        </w:rPr>
      </w:pPr>
      <w:r w:rsidRPr="48A5F344">
        <w:rPr>
          <w:szCs w:val="18"/>
        </w:rPr>
        <w:t xml:space="preserve">Het consortium dat </w:t>
      </w:r>
      <w:r w:rsidRPr="77D1BC63">
        <w:rPr>
          <w:szCs w:val="18"/>
        </w:rPr>
        <w:t xml:space="preserve">Demo 1 </w:t>
      </w:r>
      <w:r w:rsidRPr="1F93F865">
        <w:rPr>
          <w:szCs w:val="18"/>
        </w:rPr>
        <w:t xml:space="preserve">mag realiseren zal </w:t>
      </w:r>
      <w:r w:rsidR="00F57AB9">
        <w:rPr>
          <w:szCs w:val="18"/>
        </w:rPr>
        <w:t>het kabinet</w:t>
      </w:r>
      <w:r w:rsidR="00DD0ECA">
        <w:rPr>
          <w:szCs w:val="18"/>
        </w:rPr>
        <w:t xml:space="preserve"> </w:t>
      </w:r>
      <w:r w:rsidRPr="1F93F865">
        <w:rPr>
          <w:szCs w:val="18"/>
        </w:rPr>
        <w:t>selecteren</w:t>
      </w:r>
      <w:r w:rsidRPr="77D1BC63">
        <w:rPr>
          <w:szCs w:val="18"/>
        </w:rPr>
        <w:t xml:space="preserve"> door middel van een ‘oproep tot voorstellen’ (</w:t>
      </w:r>
      <w:r w:rsidRPr="77D1BC63">
        <w:rPr>
          <w:i/>
          <w:iCs/>
          <w:szCs w:val="18"/>
        </w:rPr>
        <w:t>call for proposals</w:t>
      </w:r>
      <w:r w:rsidRPr="77D1BC63">
        <w:rPr>
          <w:szCs w:val="18"/>
        </w:rPr>
        <w:t xml:space="preserve">). </w:t>
      </w:r>
      <w:r>
        <w:rPr>
          <w:szCs w:val="18"/>
        </w:rPr>
        <w:t xml:space="preserve">Na het selecteren van een consortium zal een maatwerksubsidie worden uitgewerkt </w:t>
      </w:r>
      <w:r w:rsidRPr="48A5F344">
        <w:rPr>
          <w:szCs w:val="18"/>
        </w:rPr>
        <w:t>en voor akkoord aan de Europese Commissie worden voorgelegd.</w:t>
      </w:r>
      <w:r>
        <w:rPr>
          <w:szCs w:val="18"/>
        </w:rPr>
        <w:t xml:space="preserve"> </w:t>
      </w:r>
      <w:r w:rsidRPr="001A3131">
        <w:rPr>
          <w:szCs w:val="18"/>
        </w:rPr>
        <w:t>Gezien de staat van de technologie van waterstof</w:t>
      </w:r>
      <w:r>
        <w:rPr>
          <w:szCs w:val="18"/>
        </w:rPr>
        <w:t>productie</w:t>
      </w:r>
      <w:r w:rsidRPr="001A3131">
        <w:rPr>
          <w:szCs w:val="18"/>
        </w:rPr>
        <w:t xml:space="preserve"> op zee en de verwachting dat eerste projecten niet rendabel zijn, is er subsidie nodig om </w:t>
      </w:r>
      <w:r>
        <w:rPr>
          <w:szCs w:val="18"/>
        </w:rPr>
        <w:t xml:space="preserve">de </w:t>
      </w:r>
      <w:r w:rsidRPr="001A3131">
        <w:rPr>
          <w:szCs w:val="18"/>
        </w:rPr>
        <w:t xml:space="preserve">projecten te realiseren. </w:t>
      </w:r>
      <w:r>
        <w:rPr>
          <w:szCs w:val="18"/>
        </w:rPr>
        <w:t xml:space="preserve">Deze subsidie kwalificeert als staatssteun en vergt derhalve goedkeuring van de Europese Commissie. Op het moment dat het concept van de oproep tot voorstellen wordt geconsulteerd, zal </w:t>
      </w:r>
      <w:r w:rsidR="00F57AB9">
        <w:rPr>
          <w:szCs w:val="18"/>
        </w:rPr>
        <w:t>het kabinet</w:t>
      </w:r>
      <w:r>
        <w:rPr>
          <w:szCs w:val="18"/>
        </w:rPr>
        <w:t xml:space="preserve"> in contact treden met de Europese Commissie. </w:t>
      </w:r>
    </w:p>
    <w:p w:rsidR="005A1647" w:rsidP="00EA213E" w:rsidRDefault="005A1647" w14:paraId="1C9F5312" w14:textId="77777777">
      <w:pPr>
        <w:rPr>
          <w:szCs w:val="18"/>
        </w:rPr>
      </w:pPr>
    </w:p>
    <w:p w:rsidR="00091733" w:rsidP="00EA213E" w:rsidRDefault="00091733" w14:paraId="27B63C4A" w14:textId="6F531343">
      <w:pPr>
        <w:rPr>
          <w:szCs w:val="18"/>
        </w:rPr>
      </w:pPr>
      <w:r w:rsidRPr="02D29312">
        <w:t xml:space="preserve">Vanuit het Klimaatfonds is 380 miljoen euro beschikbaar voor de realisatie van Demo 1. Deze middelen zijn bedoeld voor de realisatie van het gehele project, inclusief de infrastructuur voor het transport en het transport van de geproduceerde waterstof. Voor dit laatste </w:t>
      </w:r>
      <w:r w:rsidR="00F57AB9">
        <w:t>heeft het kabinet</w:t>
      </w:r>
      <w:r w:rsidRPr="02D29312">
        <w:t xml:space="preserve"> Gasunie, als aanstaande waterstofnetbeheerder op zee, gevraagd om een aanlanding voor te bereiden</w:t>
      </w:r>
      <w:r w:rsidRPr="02D29312">
        <w:rPr>
          <w:rStyle w:val="Voetnootmarkering"/>
        </w:rPr>
        <w:footnoteReference w:id="14"/>
      </w:r>
      <w:r w:rsidRPr="001A3131">
        <w:rPr>
          <w:szCs w:val="18"/>
        </w:rPr>
        <w:t xml:space="preserve">. </w:t>
      </w:r>
      <w:r w:rsidRPr="02D29312">
        <w:t>Het consortium zal kosten maken voor de voorbereiding, realisatie en operatie van de elektrolyse-installatie. Om de elektrolyse-installatie te laten draaien is elektriciteit nodig. Het consortium kan hiervoor gebruik maken van de klantaansluiting op het TenneT-platform in Hollandse Kust (noord). Hier zijn kosten aan verbonden. Op zee is nog niet eerder gebruik gemaakt van een klantaansluiting. Daarom werkt de ACM op dit moment aan de structuur voor het bepalen van het tarief voor dit gebruik. Waarschijnlijk is deze structuur op het moment van het publiceren van de oproep tot voorstellen nog niet definitief bepaald. In dat geval kan een consortium werken met een voorgeschreven aanname</w:t>
      </w:r>
      <w:r w:rsidRPr="77D1BC63">
        <w:rPr>
          <w:szCs w:val="18"/>
        </w:rPr>
        <w:t xml:space="preserve">. </w:t>
      </w:r>
    </w:p>
    <w:p w:rsidR="005A1647" w:rsidP="00EA213E" w:rsidRDefault="005A1647" w14:paraId="1AF38B3E" w14:textId="77777777">
      <w:pPr>
        <w:rPr>
          <w:szCs w:val="18"/>
        </w:rPr>
      </w:pPr>
    </w:p>
    <w:p w:rsidR="00091733" w:rsidP="00EA213E" w:rsidRDefault="00091733" w14:paraId="1533AE6A" w14:textId="44A55CA1">
      <w:pPr>
        <w:rPr>
          <w:szCs w:val="18"/>
        </w:rPr>
      </w:pPr>
      <w:r w:rsidRPr="2ED081E0">
        <w:rPr>
          <w:szCs w:val="18"/>
        </w:rPr>
        <w:t xml:space="preserve">Door </w:t>
      </w:r>
      <w:r>
        <w:rPr>
          <w:szCs w:val="18"/>
        </w:rPr>
        <w:t xml:space="preserve">in het project </w:t>
      </w:r>
      <w:r w:rsidRPr="2ED081E0">
        <w:rPr>
          <w:szCs w:val="18"/>
        </w:rPr>
        <w:t xml:space="preserve">marktpartijen te laten </w:t>
      </w:r>
      <w:r>
        <w:rPr>
          <w:szCs w:val="18"/>
        </w:rPr>
        <w:t>samenwerken</w:t>
      </w:r>
      <w:r w:rsidRPr="2ED081E0">
        <w:rPr>
          <w:szCs w:val="18"/>
        </w:rPr>
        <w:t xml:space="preserve">, een netbeheerder het transport te laten organiseren en als Rijk het project voor te bereiden, zal waardevolle kennis en ervaring worden opgedaan voor toekomstige projecten. Om de in de projecten opgedane kennis en ervaring optimaal te benutten en waar nodig aan te vullen, start </w:t>
      </w:r>
      <w:r w:rsidR="00F57AB9">
        <w:rPr>
          <w:szCs w:val="18"/>
        </w:rPr>
        <w:t>het kabinet</w:t>
      </w:r>
      <w:r w:rsidRPr="2ED081E0">
        <w:rPr>
          <w:szCs w:val="18"/>
        </w:rPr>
        <w:t xml:space="preserve"> een onderzoeksprogramma. </w:t>
      </w:r>
      <w:r w:rsidR="00F57AB9">
        <w:rPr>
          <w:szCs w:val="18"/>
        </w:rPr>
        <w:t>Het kabinet heeft</w:t>
      </w:r>
      <w:r w:rsidRPr="2ED081E0">
        <w:rPr>
          <w:szCs w:val="18"/>
        </w:rPr>
        <w:t xml:space="preserve"> TNO en RVO gevraagd om dit onderzoeksprogramma te organiseren en </w:t>
      </w:r>
      <w:r w:rsidRPr="2ED081E0">
        <w:rPr>
          <w:szCs w:val="18"/>
        </w:rPr>
        <w:lastRenderedPageBreak/>
        <w:t xml:space="preserve">vorm te geven. De kennis uit projecten wordt hierin verzameld, aanvullend onderzoek wordt gestart en de opgedane kennis wordt gedeeld </w:t>
      </w:r>
      <w:r>
        <w:rPr>
          <w:szCs w:val="18"/>
        </w:rPr>
        <w:t>op</w:t>
      </w:r>
      <w:r w:rsidRPr="2ED081E0">
        <w:rPr>
          <w:szCs w:val="18"/>
        </w:rPr>
        <w:t xml:space="preserve"> het kennisdelingsplatform HEROW.</w:t>
      </w:r>
      <w:r w:rsidRPr="004F0A52" w:rsidR="004F0A52">
        <w:rPr>
          <w:szCs w:val="18"/>
        </w:rPr>
        <w:t xml:space="preserve"> </w:t>
      </w:r>
      <w:r w:rsidR="00237E4A">
        <w:rPr>
          <w:szCs w:val="18"/>
        </w:rPr>
        <w:t>Ook d</w:t>
      </w:r>
      <w:r w:rsidR="004F0A52">
        <w:rPr>
          <w:szCs w:val="18"/>
        </w:rPr>
        <w:t>e kennis die voortkomt uit de projectvoorbereiding en -realisatie van Demo 1</w:t>
      </w:r>
      <w:r w:rsidRPr="77D1BC63" w:rsidR="004F0A52">
        <w:rPr>
          <w:szCs w:val="18"/>
        </w:rPr>
        <w:t xml:space="preserve"> zal met het onderzoeksprogramma worden gedeeld en vice versa.</w:t>
      </w:r>
    </w:p>
    <w:p w:rsidR="00091733" w:rsidP="00EA213E" w:rsidRDefault="00091733" w14:paraId="7AB6CF94" w14:textId="77777777">
      <w:pPr>
        <w:rPr>
          <w:b/>
          <w:bCs/>
          <w:szCs w:val="18"/>
        </w:rPr>
      </w:pPr>
    </w:p>
    <w:p w:rsidRPr="00402C01" w:rsidR="00091733" w:rsidP="00EA213E" w:rsidRDefault="00091733" w14:paraId="715F4FF2" w14:textId="77777777">
      <w:pPr>
        <w:rPr>
          <w:b/>
          <w:bCs/>
          <w:szCs w:val="18"/>
        </w:rPr>
      </w:pPr>
      <w:r>
        <w:rPr>
          <w:b/>
          <w:bCs/>
          <w:szCs w:val="18"/>
        </w:rPr>
        <w:t xml:space="preserve">Binnenkort te verwachten brieven over windenergie op zee </w:t>
      </w:r>
    </w:p>
    <w:p w:rsidR="005B09DF" w:rsidP="00EA213E" w:rsidRDefault="00091733" w14:paraId="0B2C09B0" w14:textId="1742DC00">
      <w:pPr>
        <w:rPr>
          <w:szCs w:val="18"/>
        </w:rPr>
      </w:pPr>
      <w:r w:rsidRPr="58FD1355">
        <w:rPr>
          <w:szCs w:val="18"/>
        </w:rPr>
        <w:t xml:space="preserve">Naast de beleidsontwikkelingen die in deze brief </w:t>
      </w:r>
      <w:r w:rsidR="004155CF">
        <w:rPr>
          <w:szCs w:val="18"/>
        </w:rPr>
        <w:t>zijn</w:t>
      </w:r>
      <w:r w:rsidRPr="58FD1355">
        <w:rPr>
          <w:szCs w:val="18"/>
        </w:rPr>
        <w:t xml:space="preserve"> toegelicht, zijn er enkele andere relevante ontwikkelingen </w:t>
      </w:r>
      <w:r w:rsidRPr="00DD0ECA">
        <w:rPr>
          <w:szCs w:val="18"/>
        </w:rPr>
        <w:t xml:space="preserve">waarover </w:t>
      </w:r>
      <w:r w:rsidRPr="003F368C" w:rsidR="004155CF">
        <w:rPr>
          <w:szCs w:val="18"/>
        </w:rPr>
        <w:t>het kabinet</w:t>
      </w:r>
      <w:r w:rsidRPr="58FD1355">
        <w:rPr>
          <w:szCs w:val="18"/>
        </w:rPr>
        <w:t xml:space="preserve"> </w:t>
      </w:r>
      <w:r w:rsidR="00B84D00">
        <w:rPr>
          <w:szCs w:val="18"/>
        </w:rPr>
        <w:t>de</w:t>
      </w:r>
      <w:r w:rsidRPr="58FD1355">
        <w:rPr>
          <w:szCs w:val="18"/>
        </w:rPr>
        <w:t xml:space="preserve"> Kamer binnenkort zal informeren. </w:t>
      </w:r>
    </w:p>
    <w:p w:rsidR="00DD0ECA" w:rsidP="00EA213E" w:rsidRDefault="00DD0ECA" w14:paraId="0CB02DA8" w14:textId="77777777">
      <w:pPr>
        <w:rPr>
          <w:szCs w:val="18"/>
        </w:rPr>
      </w:pPr>
    </w:p>
    <w:p w:rsidR="005B09DF" w:rsidP="00EA213E" w:rsidRDefault="00091733" w14:paraId="24DEB5AB" w14:textId="7795FB15">
      <w:pPr>
        <w:rPr>
          <w:szCs w:val="18"/>
        </w:rPr>
      </w:pPr>
      <w:r w:rsidRPr="5F016615">
        <w:rPr>
          <w:szCs w:val="18"/>
        </w:rPr>
        <w:t xml:space="preserve">Eind dit jaar of begin volgend </w:t>
      </w:r>
      <w:r w:rsidRPr="00DD0ECA">
        <w:rPr>
          <w:szCs w:val="18"/>
        </w:rPr>
        <w:t>jaar stuur</w:t>
      </w:r>
      <w:r w:rsidRPr="003F368C" w:rsidR="004155CF">
        <w:rPr>
          <w:szCs w:val="18"/>
        </w:rPr>
        <w:t>t het kabinet</w:t>
      </w:r>
      <w:r w:rsidRPr="5F016615">
        <w:rPr>
          <w:szCs w:val="18"/>
        </w:rPr>
        <w:t xml:space="preserve"> </w:t>
      </w:r>
      <w:r w:rsidR="00B84D00">
        <w:rPr>
          <w:szCs w:val="18"/>
        </w:rPr>
        <w:t>de</w:t>
      </w:r>
      <w:r w:rsidRPr="5F016615">
        <w:rPr>
          <w:szCs w:val="18"/>
        </w:rPr>
        <w:t xml:space="preserve"> Kamer een brief over het aanpassen van het </w:t>
      </w:r>
      <w:r w:rsidR="00DD0ECA">
        <w:rPr>
          <w:szCs w:val="18"/>
        </w:rPr>
        <w:t>o</w:t>
      </w:r>
      <w:r w:rsidRPr="5F016615">
        <w:rPr>
          <w:szCs w:val="18"/>
        </w:rPr>
        <w:t>ntwikkelkader windenergie op zee. Hierin specificeer</w:t>
      </w:r>
      <w:r w:rsidR="00F57AB9">
        <w:rPr>
          <w:szCs w:val="18"/>
        </w:rPr>
        <w:t>t het kabinet</w:t>
      </w:r>
      <w:r w:rsidRPr="5F016615">
        <w:rPr>
          <w:szCs w:val="18"/>
        </w:rPr>
        <w:t xml:space="preserve"> de kaders van het net op zee, inclusief de opdracht aan TenneT voor de aanleg hiervan. </w:t>
      </w:r>
    </w:p>
    <w:p w:rsidR="00DD0ECA" w:rsidP="00EA213E" w:rsidRDefault="00DD0ECA" w14:paraId="6D5A7791" w14:textId="77777777">
      <w:pPr>
        <w:rPr>
          <w:szCs w:val="18"/>
        </w:rPr>
      </w:pPr>
    </w:p>
    <w:p w:rsidR="005B09DF" w:rsidP="00EA213E" w:rsidRDefault="00091733" w14:paraId="142BE6F0" w14:textId="6705D0A3">
      <w:pPr>
        <w:rPr>
          <w:szCs w:val="18"/>
        </w:rPr>
      </w:pPr>
      <w:r w:rsidRPr="5F016615">
        <w:rPr>
          <w:szCs w:val="18"/>
        </w:rPr>
        <w:t xml:space="preserve">In mei 2024 </w:t>
      </w:r>
      <w:r w:rsidR="004155CF">
        <w:rPr>
          <w:szCs w:val="18"/>
        </w:rPr>
        <w:t>is</w:t>
      </w:r>
      <w:r w:rsidRPr="5F016615">
        <w:rPr>
          <w:szCs w:val="18"/>
        </w:rPr>
        <w:t xml:space="preserve"> </w:t>
      </w:r>
      <w:r w:rsidR="00B84D00">
        <w:rPr>
          <w:szCs w:val="18"/>
        </w:rPr>
        <w:t>de</w:t>
      </w:r>
      <w:r w:rsidRPr="5F016615">
        <w:rPr>
          <w:szCs w:val="18"/>
        </w:rPr>
        <w:t xml:space="preserve"> </w:t>
      </w:r>
      <w:r w:rsidR="003E3142">
        <w:rPr>
          <w:szCs w:val="18"/>
        </w:rPr>
        <w:t>K</w:t>
      </w:r>
      <w:r w:rsidRPr="5F016615">
        <w:rPr>
          <w:szCs w:val="18"/>
        </w:rPr>
        <w:t xml:space="preserve">amer geïnformeerd over </w:t>
      </w:r>
      <w:r w:rsidR="00F57AB9">
        <w:rPr>
          <w:szCs w:val="18"/>
        </w:rPr>
        <w:t>de inzet van het kabinet</w:t>
      </w:r>
      <w:r w:rsidRPr="5F016615">
        <w:rPr>
          <w:szCs w:val="18"/>
        </w:rPr>
        <w:t xml:space="preserve"> om zowel mijnbouwactiviteiten als windparken ruimtelijk in te passen door middel van maatwerkinstrumentarium. In dit kader zijn verschillende trajecten gestart. </w:t>
      </w:r>
      <w:r w:rsidR="004155CF">
        <w:rPr>
          <w:szCs w:val="18"/>
        </w:rPr>
        <w:t>U</w:t>
      </w:r>
      <w:r w:rsidRPr="5F016615">
        <w:rPr>
          <w:rFonts w:eastAsia="Verdana" w:cs="Verdana"/>
          <w:color w:val="000000" w:themeColor="text1"/>
          <w:szCs w:val="18"/>
        </w:rPr>
        <w:t>iterlijk begin 2025</w:t>
      </w:r>
      <w:r w:rsidRPr="5F016615">
        <w:rPr>
          <w:szCs w:val="18"/>
        </w:rPr>
        <w:t xml:space="preserve"> </w:t>
      </w:r>
      <w:r w:rsidR="004155CF">
        <w:rPr>
          <w:szCs w:val="18"/>
        </w:rPr>
        <w:t xml:space="preserve">wordt de </w:t>
      </w:r>
      <w:r w:rsidRPr="00DD0ECA" w:rsidR="004155CF">
        <w:rPr>
          <w:szCs w:val="18"/>
        </w:rPr>
        <w:t>K</w:t>
      </w:r>
      <w:r w:rsidR="004155CF">
        <w:rPr>
          <w:szCs w:val="18"/>
        </w:rPr>
        <w:t xml:space="preserve">amer geïnformeerd </w:t>
      </w:r>
      <w:r w:rsidRPr="5F016615">
        <w:rPr>
          <w:szCs w:val="18"/>
        </w:rPr>
        <w:t xml:space="preserve">over de voortgang hiervan. </w:t>
      </w:r>
    </w:p>
    <w:p w:rsidR="00DD0ECA" w:rsidP="00EA213E" w:rsidRDefault="00DD0ECA" w14:paraId="384A3956" w14:textId="77777777">
      <w:pPr>
        <w:rPr>
          <w:szCs w:val="18"/>
        </w:rPr>
      </w:pPr>
    </w:p>
    <w:p w:rsidR="00091733" w:rsidP="00EA213E" w:rsidRDefault="00091733" w14:paraId="1C400234" w14:textId="7DF84B7B">
      <w:pPr>
        <w:rPr>
          <w:szCs w:val="18"/>
        </w:rPr>
      </w:pPr>
      <w:r w:rsidRPr="3D39CA11">
        <w:rPr>
          <w:szCs w:val="18"/>
        </w:rPr>
        <w:t xml:space="preserve">Daarnaast </w:t>
      </w:r>
      <w:r w:rsidR="00DD0ECA">
        <w:rPr>
          <w:szCs w:val="18"/>
        </w:rPr>
        <w:t>heeft</w:t>
      </w:r>
      <w:r w:rsidRPr="3D39CA11" w:rsidR="00DD0ECA">
        <w:rPr>
          <w:szCs w:val="18"/>
        </w:rPr>
        <w:t xml:space="preserve"> </w:t>
      </w:r>
      <w:r w:rsidR="00F57AB9">
        <w:rPr>
          <w:szCs w:val="18"/>
        </w:rPr>
        <w:t>het kabinet</w:t>
      </w:r>
      <w:r w:rsidRPr="3D39CA11">
        <w:rPr>
          <w:szCs w:val="18"/>
        </w:rPr>
        <w:t xml:space="preserve"> </w:t>
      </w:r>
      <w:r w:rsidR="00DD0ECA">
        <w:rPr>
          <w:szCs w:val="18"/>
        </w:rPr>
        <w:t>deze maand</w:t>
      </w:r>
      <w:r w:rsidRPr="3D39CA11">
        <w:rPr>
          <w:szCs w:val="18"/>
        </w:rPr>
        <w:t xml:space="preserve"> de ontwerp-kavelbesluiten en de concept-tenderregelingen voor de windparken IJmuiden Ver Gamma-A en </w:t>
      </w:r>
      <w:r w:rsidR="00DD0ECA">
        <w:rPr>
          <w:szCs w:val="18"/>
        </w:rPr>
        <w:t>Gamma-</w:t>
      </w:r>
      <w:r w:rsidRPr="3D39CA11">
        <w:rPr>
          <w:szCs w:val="18"/>
        </w:rPr>
        <w:t xml:space="preserve">B en Nederwiek 1-A </w:t>
      </w:r>
      <w:r w:rsidR="00DD0ECA">
        <w:rPr>
          <w:szCs w:val="18"/>
        </w:rPr>
        <w:t>gepubliceerd</w:t>
      </w:r>
      <w:r w:rsidRPr="3D39CA11">
        <w:rPr>
          <w:szCs w:val="18"/>
        </w:rPr>
        <w:t>.</w:t>
      </w:r>
      <w:r w:rsidRPr="5F016615">
        <w:rPr>
          <w:szCs w:val="18"/>
        </w:rPr>
        <w:t xml:space="preserve"> </w:t>
      </w:r>
    </w:p>
    <w:p w:rsidR="00DD0ECA" w:rsidP="00EA213E" w:rsidRDefault="00DD0ECA" w14:paraId="5D7AE1E4" w14:textId="77777777">
      <w:pPr>
        <w:rPr>
          <w:szCs w:val="18"/>
        </w:rPr>
      </w:pPr>
    </w:p>
    <w:p w:rsidR="00091733" w:rsidP="00EA213E" w:rsidRDefault="00091733" w14:paraId="5EA156A3" w14:textId="3974984F">
      <w:pPr>
        <w:rPr>
          <w:szCs w:val="18"/>
        </w:rPr>
      </w:pPr>
      <w:r w:rsidRPr="5F016615">
        <w:rPr>
          <w:szCs w:val="18"/>
        </w:rPr>
        <w:t xml:space="preserve">Met deze brieven en stukken </w:t>
      </w:r>
      <w:r w:rsidRPr="1F93F865">
        <w:rPr>
          <w:szCs w:val="18"/>
        </w:rPr>
        <w:t xml:space="preserve">ten behoeve van de vergunningverlening </w:t>
      </w:r>
      <w:r w:rsidRPr="5F016615">
        <w:rPr>
          <w:szCs w:val="18"/>
        </w:rPr>
        <w:t>blijf</w:t>
      </w:r>
      <w:r w:rsidR="00F57AB9">
        <w:rPr>
          <w:szCs w:val="18"/>
        </w:rPr>
        <w:t>t het kabinet</w:t>
      </w:r>
      <w:r w:rsidRPr="5F016615">
        <w:rPr>
          <w:szCs w:val="18"/>
        </w:rPr>
        <w:t xml:space="preserve"> stevig inzetten op de realisatie van windparken op zee en de hiervoor benodigde beleidsontwikkelingen. </w:t>
      </w:r>
    </w:p>
    <w:p w:rsidR="00091733" w:rsidP="00EA213E" w:rsidRDefault="00091733" w14:paraId="6E858B92" w14:textId="77777777">
      <w:pPr>
        <w:rPr>
          <w:szCs w:val="18"/>
        </w:rPr>
      </w:pPr>
    </w:p>
    <w:p w:rsidR="00091733" w:rsidP="00EA213E" w:rsidRDefault="00091733" w14:paraId="14485082" w14:textId="1B280DE6">
      <w:pPr>
        <w:rPr>
          <w:szCs w:val="18"/>
        </w:rPr>
      </w:pPr>
    </w:p>
    <w:p w:rsidR="00091733" w:rsidP="00EA213E" w:rsidRDefault="00091733" w14:paraId="7A59491C" w14:textId="77777777">
      <w:pPr>
        <w:rPr>
          <w:szCs w:val="18"/>
        </w:rPr>
      </w:pPr>
    </w:p>
    <w:p w:rsidR="00091733" w:rsidP="00EA213E" w:rsidRDefault="00091733" w14:paraId="0E9D4296" w14:textId="77777777">
      <w:pPr>
        <w:rPr>
          <w:szCs w:val="18"/>
        </w:rPr>
      </w:pPr>
    </w:p>
    <w:p w:rsidR="00091733" w:rsidP="00EA213E" w:rsidRDefault="00091733" w14:paraId="5A2D697D" w14:textId="38CD257E">
      <w:pPr>
        <w:rPr>
          <w:szCs w:val="18"/>
        </w:rPr>
      </w:pPr>
      <w:r>
        <w:rPr>
          <w:szCs w:val="18"/>
        </w:rPr>
        <w:t>Sophie Hermans</w:t>
      </w:r>
    </w:p>
    <w:p w:rsidR="00091733" w:rsidP="00EA213E" w:rsidRDefault="00911023" w14:paraId="3B8E2C1F" w14:textId="6DBEF1A8">
      <w:pPr>
        <w:rPr>
          <w:szCs w:val="18"/>
        </w:rPr>
      </w:pPr>
      <w:r>
        <w:rPr>
          <w:szCs w:val="18"/>
        </w:rPr>
        <w:t>Minister van Klimaat en Groene Groei</w:t>
      </w:r>
    </w:p>
    <w:p w:rsidR="00091733" w:rsidP="00EA213E" w:rsidRDefault="00091733" w14:paraId="583F7807" w14:textId="77777777">
      <w:pPr>
        <w:rPr>
          <w:szCs w:val="18"/>
        </w:rPr>
      </w:pPr>
    </w:p>
    <w:p w:rsidR="003036B5" w:rsidP="00EA213E" w:rsidRDefault="003036B5" w14:paraId="692F8E65" w14:textId="77777777">
      <w:pPr>
        <w:rPr>
          <w:b/>
          <w:bCs/>
          <w:szCs w:val="18"/>
        </w:rPr>
      </w:pPr>
      <w:r>
        <w:rPr>
          <w:b/>
          <w:bCs/>
          <w:szCs w:val="18"/>
        </w:rPr>
        <w:br w:type="page"/>
      </w:r>
    </w:p>
    <w:p w:rsidR="00091733" w:rsidP="00EA213E" w:rsidRDefault="00091733" w14:paraId="13B0A61B" w14:textId="5F7A12C9">
      <w:pPr>
        <w:rPr>
          <w:b/>
          <w:bCs/>
          <w:szCs w:val="18"/>
        </w:rPr>
      </w:pPr>
      <w:r>
        <w:rPr>
          <w:b/>
          <w:bCs/>
          <w:szCs w:val="18"/>
        </w:rPr>
        <w:lastRenderedPageBreak/>
        <w:t>Bijlage 1: kaart IJmuiden Ver Gamma-A en -B, Nederwiek I-A en I-B</w:t>
      </w:r>
    </w:p>
    <w:p w:rsidRPr="004636A3" w:rsidR="00091733" w:rsidP="00EA213E" w:rsidRDefault="00091733" w14:paraId="7AE102B7" w14:textId="77777777">
      <w:pPr>
        <w:rPr>
          <w:b/>
          <w:szCs w:val="18"/>
        </w:rPr>
      </w:pPr>
      <w:r>
        <w:rPr>
          <w:b/>
          <w:bCs/>
          <w:noProof/>
          <w:szCs w:val="18"/>
        </w:rPr>
        <w:drawing>
          <wp:inline distT="0" distB="0" distL="0" distR="0" wp14:anchorId="25322D6E" wp14:editId="11058DAF">
            <wp:extent cx="4134356" cy="5401733"/>
            <wp:effectExtent l="0" t="0" r="6350" b="0"/>
            <wp:docPr id="794124602" name="Afbeelding 4" descr="Afbeelding met tekst, kaart, atl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124602" name="Afbeelding 4" descr="Afbeelding met tekst, kaart, atla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4071" cy="5414426"/>
                    </a:xfrm>
                    <a:prstGeom prst="rect">
                      <a:avLst/>
                    </a:prstGeom>
                  </pic:spPr>
                </pic:pic>
              </a:graphicData>
            </a:graphic>
          </wp:inline>
        </w:drawing>
      </w:r>
    </w:p>
    <w:p w:rsidRPr="002822CA" w:rsidR="00340ECA" w:rsidP="00EA213E" w:rsidRDefault="00340ECA" w14:paraId="69A794F8" w14:textId="77777777"/>
    <w:p w:rsidR="007F439C" w:rsidP="00EA213E" w:rsidRDefault="00CB4458" w14:paraId="5D0AECCC" w14:textId="77777777">
      <w:r>
        <w:br/>
      </w:r>
    </w:p>
    <w:p w:rsidR="00721AE1" w:rsidP="00EA213E" w:rsidRDefault="00721AE1" w14:paraId="072B2DDF" w14:textId="77777777"/>
    <w:p w:rsidR="00664678" w:rsidP="00EA213E" w:rsidRDefault="00664678" w14:paraId="55271B81" w14:textId="77777777"/>
    <w:sectPr w:rsidR="00664678" w:rsidSect="00D604B3">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AE68E" w14:textId="77777777" w:rsidR="003E6B75" w:rsidRDefault="003E6B75">
      <w:r>
        <w:separator/>
      </w:r>
    </w:p>
    <w:p w14:paraId="10EB8013" w14:textId="77777777" w:rsidR="003E6B75" w:rsidRDefault="003E6B75"/>
  </w:endnote>
  <w:endnote w:type="continuationSeparator" w:id="0">
    <w:p w14:paraId="64E2578E" w14:textId="77777777" w:rsidR="003E6B75" w:rsidRDefault="003E6B75">
      <w:r>
        <w:continuationSeparator/>
      </w:r>
    </w:p>
    <w:p w14:paraId="5A45D094" w14:textId="77777777" w:rsidR="003E6B75" w:rsidRDefault="003E6B75"/>
  </w:endnote>
  <w:endnote w:type="continuationNotice" w:id="1">
    <w:p w14:paraId="49023C0B" w14:textId="77777777" w:rsidR="003E6B75" w:rsidRDefault="003E6B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4D8E" w14:textId="77777777" w:rsidR="00365F22" w:rsidRDefault="00365F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1E1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E1676" w14:paraId="03B7D3FF" w14:textId="77777777" w:rsidTr="00CA6A25">
      <w:trPr>
        <w:trHeight w:hRule="exact" w:val="240"/>
      </w:trPr>
      <w:tc>
        <w:tcPr>
          <w:tcW w:w="7601" w:type="dxa"/>
          <w:shd w:val="clear" w:color="auto" w:fill="auto"/>
        </w:tcPr>
        <w:p w14:paraId="34EBCBCC" w14:textId="77777777" w:rsidR="00527BD4" w:rsidRDefault="00527BD4" w:rsidP="003F1F6B">
          <w:pPr>
            <w:pStyle w:val="Huisstijl-Rubricering"/>
          </w:pPr>
        </w:p>
      </w:tc>
      <w:tc>
        <w:tcPr>
          <w:tcW w:w="2156" w:type="dxa"/>
        </w:tcPr>
        <w:p w14:paraId="54F630B8" w14:textId="38F617E9" w:rsidR="00527BD4" w:rsidRPr="00645414" w:rsidRDefault="00CB445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365F22">
              <w:t>9</w:t>
            </w:r>
          </w:fldSimple>
        </w:p>
      </w:tc>
    </w:tr>
  </w:tbl>
  <w:p w14:paraId="3E4C864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E1676" w14:paraId="4BDEAC80" w14:textId="77777777" w:rsidTr="00CA6A25">
      <w:trPr>
        <w:trHeight w:hRule="exact" w:val="240"/>
      </w:trPr>
      <w:tc>
        <w:tcPr>
          <w:tcW w:w="7601" w:type="dxa"/>
          <w:shd w:val="clear" w:color="auto" w:fill="auto"/>
        </w:tcPr>
        <w:p w14:paraId="71AFF621" w14:textId="77777777" w:rsidR="00527BD4" w:rsidRDefault="00527BD4" w:rsidP="008C356D">
          <w:pPr>
            <w:pStyle w:val="Huisstijl-Rubricering"/>
          </w:pPr>
        </w:p>
      </w:tc>
      <w:tc>
        <w:tcPr>
          <w:tcW w:w="2170" w:type="dxa"/>
        </w:tcPr>
        <w:p w14:paraId="068232AC" w14:textId="3DD59737" w:rsidR="00527BD4" w:rsidRPr="00ED539E" w:rsidRDefault="00CB445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365F22">
              <w:t>9</w:t>
            </w:r>
          </w:fldSimple>
        </w:p>
      </w:tc>
    </w:tr>
  </w:tbl>
  <w:p w14:paraId="388C974C" w14:textId="77777777" w:rsidR="00527BD4" w:rsidRPr="00BC3B53" w:rsidRDefault="00527BD4" w:rsidP="008C356D">
    <w:pPr>
      <w:pStyle w:val="Voettekst"/>
      <w:spacing w:line="240" w:lineRule="auto"/>
      <w:rPr>
        <w:sz w:val="2"/>
        <w:szCs w:val="2"/>
      </w:rPr>
    </w:pPr>
  </w:p>
  <w:p w14:paraId="04950E9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E6D6" w14:textId="77777777" w:rsidR="003E6B75" w:rsidRDefault="003E6B75">
      <w:r>
        <w:separator/>
      </w:r>
    </w:p>
    <w:p w14:paraId="648B74C9" w14:textId="77777777" w:rsidR="003E6B75" w:rsidRDefault="003E6B75"/>
  </w:footnote>
  <w:footnote w:type="continuationSeparator" w:id="0">
    <w:p w14:paraId="4DAA8ADC" w14:textId="77777777" w:rsidR="003E6B75" w:rsidRDefault="003E6B75">
      <w:r>
        <w:continuationSeparator/>
      </w:r>
    </w:p>
    <w:p w14:paraId="229DF689" w14:textId="77777777" w:rsidR="003E6B75" w:rsidRDefault="003E6B75"/>
  </w:footnote>
  <w:footnote w:type="continuationNotice" w:id="1">
    <w:p w14:paraId="3E7A35EF" w14:textId="77777777" w:rsidR="003E6B75" w:rsidRDefault="003E6B75">
      <w:pPr>
        <w:spacing w:line="240" w:lineRule="auto"/>
      </w:pPr>
    </w:p>
  </w:footnote>
  <w:footnote w:id="2">
    <w:p w14:paraId="65E7406B" w14:textId="77777777" w:rsidR="00091733" w:rsidRPr="006524D4" w:rsidRDefault="00091733" w:rsidP="00091733">
      <w:pPr>
        <w:pStyle w:val="Voetnoottekst"/>
        <w:rPr>
          <w:szCs w:val="13"/>
        </w:rPr>
      </w:pPr>
      <w:r w:rsidRPr="006524D4">
        <w:rPr>
          <w:rStyle w:val="Voetnootmarkering"/>
          <w:szCs w:val="13"/>
        </w:rPr>
        <w:footnoteRef/>
      </w:r>
      <w:r w:rsidRPr="006524D4">
        <w:rPr>
          <w:szCs w:val="13"/>
        </w:rPr>
        <w:t xml:space="preserve"> Geen toezeggingsnummer; toezegging over kavelgrootte is gedaan tijdens het Commissiedebat over het Nationaal Plan Energiesysteem, gehouden op 8 februari 2024. </w:t>
      </w:r>
    </w:p>
  </w:footnote>
  <w:footnote w:id="3">
    <w:p w14:paraId="739F293A" w14:textId="77777777" w:rsidR="00091733" w:rsidRPr="006524D4" w:rsidRDefault="00091733" w:rsidP="00091733">
      <w:pPr>
        <w:pStyle w:val="Voetnoottekst"/>
        <w:rPr>
          <w:szCs w:val="13"/>
        </w:rPr>
      </w:pPr>
      <w:r w:rsidRPr="006524D4">
        <w:rPr>
          <w:rStyle w:val="Voetnootmarkering"/>
          <w:szCs w:val="13"/>
        </w:rPr>
        <w:footnoteRef/>
      </w:r>
      <w:r w:rsidRPr="006524D4">
        <w:rPr>
          <w:szCs w:val="13"/>
        </w:rPr>
        <w:t xml:space="preserve"> TZ202409-003.</w:t>
      </w:r>
    </w:p>
  </w:footnote>
  <w:footnote w:id="4">
    <w:p w14:paraId="081F2857" w14:textId="12BDB910" w:rsidR="00091733" w:rsidRDefault="00091733" w:rsidP="005026BD">
      <w:pPr>
        <w:pStyle w:val="Voetnoottekst"/>
      </w:pPr>
      <w:r>
        <w:rPr>
          <w:rStyle w:val="Voetnootmarkering"/>
        </w:rPr>
        <w:footnoteRef/>
      </w:r>
      <w:r>
        <w:t xml:space="preserve"> </w:t>
      </w:r>
      <w:r w:rsidR="00E27E56">
        <w:t xml:space="preserve">Kamerstuk </w:t>
      </w:r>
      <w:r w:rsidR="00A8257E">
        <w:t xml:space="preserve">33561, nr. </w:t>
      </w:r>
      <w:r w:rsidR="005026BD">
        <w:t>64</w:t>
      </w:r>
      <w:r w:rsidR="00DD0ECA">
        <w:t>.</w:t>
      </w:r>
    </w:p>
  </w:footnote>
  <w:footnote w:id="5">
    <w:p w14:paraId="2E5B3AAB" w14:textId="1CD54EE7" w:rsidR="00091733" w:rsidRDefault="00091733" w:rsidP="00091733">
      <w:pPr>
        <w:pStyle w:val="Voetnoottekst"/>
      </w:pPr>
      <w:r>
        <w:rPr>
          <w:rStyle w:val="Voetnootmarkering"/>
        </w:rPr>
        <w:footnoteRef/>
      </w:r>
      <w:r>
        <w:t xml:space="preserve"> Kamerstuk 33561, nr. 62</w:t>
      </w:r>
      <w:r w:rsidR="00DD0ECA">
        <w:t>.</w:t>
      </w:r>
    </w:p>
  </w:footnote>
  <w:footnote w:id="6">
    <w:p w14:paraId="1AD0C2A2" w14:textId="083243AF" w:rsidR="00367178" w:rsidRDefault="00367178">
      <w:pPr>
        <w:pStyle w:val="Voetnoottekst"/>
      </w:pPr>
      <w:r>
        <w:rPr>
          <w:rStyle w:val="Voetnootmarkering"/>
        </w:rPr>
        <w:footnoteRef/>
      </w:r>
      <w:r>
        <w:t xml:space="preserve"> </w:t>
      </w:r>
      <w:r w:rsidR="004368F9">
        <w:t>Motie Erkens c.s.,</w:t>
      </w:r>
      <w:r>
        <w:t xml:space="preserve"> </w:t>
      </w:r>
      <w:r w:rsidR="00850FB0">
        <w:t>Kamerstuk 36550</w:t>
      </w:r>
      <w:r w:rsidR="005E397F">
        <w:t xml:space="preserve"> XIII</w:t>
      </w:r>
      <w:r w:rsidR="00850FB0">
        <w:t>, nr. 6</w:t>
      </w:r>
      <w:r w:rsidR="005E397F">
        <w:t>.</w:t>
      </w:r>
    </w:p>
  </w:footnote>
  <w:footnote w:id="7">
    <w:p w14:paraId="5D606562" w14:textId="7102F73A" w:rsidR="00A63F99" w:rsidRDefault="00A63F99" w:rsidP="00A63F99">
      <w:pPr>
        <w:pStyle w:val="Voetnoottekst"/>
      </w:pPr>
      <w:r>
        <w:rPr>
          <w:rStyle w:val="Voetnootmarkering"/>
        </w:rPr>
        <w:footnoteRef/>
      </w:r>
      <w:r>
        <w:t xml:space="preserve"> </w:t>
      </w:r>
      <w:r w:rsidRPr="00812EBB">
        <w:t>Kamerstuk 21501-32, nr. 1500</w:t>
      </w:r>
      <w:r>
        <w:t>.</w:t>
      </w:r>
    </w:p>
  </w:footnote>
  <w:footnote w:id="8">
    <w:p w14:paraId="30EDCC90" w14:textId="32B999FF" w:rsidR="00091733" w:rsidRDefault="00091733" w:rsidP="00091733">
      <w:pPr>
        <w:pStyle w:val="Voetnoottekst"/>
      </w:pPr>
      <w:r>
        <w:rPr>
          <w:rStyle w:val="Voetnootmarkering"/>
        </w:rPr>
        <w:footnoteRef/>
      </w:r>
      <w:r>
        <w:t xml:space="preserve"> </w:t>
      </w:r>
      <w:r w:rsidRPr="00CB4458">
        <w:rPr>
          <w:rFonts w:eastAsia="Aptos" w:cs="Aptos"/>
          <w:szCs w:val="13"/>
        </w:rPr>
        <w:t xml:space="preserve">Zie: </w:t>
      </w:r>
      <w:hyperlink r:id="rId1" w:history="1">
        <w:r w:rsidRPr="00CB4458">
          <w:rPr>
            <w:rStyle w:val="Hyperlink"/>
            <w:rFonts w:eastAsia="Aptos" w:cs="Aptos"/>
            <w:szCs w:val="13"/>
          </w:rPr>
          <w:t>www.rijksoverheid.nl/documenten/kamerstukken/2023/05/17/ruimtelijke-samenhang-windparken-en-mijnbouwactiviteiten-op-zee</w:t>
        </w:r>
      </w:hyperlink>
      <w:r w:rsidR="00DD0ECA">
        <w:rPr>
          <w:rStyle w:val="Hyperlink"/>
          <w:rFonts w:eastAsia="Aptos" w:cs="Aptos"/>
          <w:szCs w:val="13"/>
        </w:rPr>
        <w:t>.</w:t>
      </w:r>
    </w:p>
  </w:footnote>
  <w:footnote w:id="9">
    <w:p w14:paraId="56ECB1F9" w14:textId="42B40207" w:rsidR="02D29312" w:rsidRPr="00F10C79" w:rsidRDefault="02D29312" w:rsidP="00F10C79">
      <w:pPr>
        <w:pStyle w:val="Voetnoottekst"/>
      </w:pPr>
      <w:r w:rsidRPr="02D29312">
        <w:rPr>
          <w:rStyle w:val="Voetnootmarkering"/>
          <w:lang w:val="en-US"/>
        </w:rPr>
        <w:footnoteRef/>
      </w:r>
      <w:r w:rsidRPr="00F10C79">
        <w:t xml:space="preserve"> Zie </w:t>
      </w:r>
      <w:hyperlink r:id="rId2" w:history="1">
        <w:r w:rsidRPr="00F10C79">
          <w:rPr>
            <w:rStyle w:val="Hyperlink"/>
          </w:rPr>
          <w:t>Aviation Studies · Offshorewind RVO</w:t>
        </w:r>
      </w:hyperlink>
      <w:r w:rsidRPr="00F10C79">
        <w:t>: 1) To70 (2022) algemene bereikbaarheidsstudie; 2) PVS Aero (2023) Feasibility and accessibility assessment K13A; en 3) To70 (2024) optimalisatie verkaveling windparken Nederwiek I en II</w:t>
      </w:r>
      <w:r w:rsidR="00DD0ECA">
        <w:t>.</w:t>
      </w:r>
    </w:p>
  </w:footnote>
  <w:footnote w:id="10">
    <w:p w14:paraId="55CC6618" w14:textId="213335A2" w:rsidR="007C6077" w:rsidRPr="000F0CC6" w:rsidRDefault="007C6077">
      <w:pPr>
        <w:pStyle w:val="Voetnoottekst"/>
        <w:rPr>
          <w:lang w:val="en-US"/>
        </w:rPr>
      </w:pPr>
      <w:r>
        <w:rPr>
          <w:rStyle w:val="Voetnootmarkering"/>
        </w:rPr>
        <w:footnoteRef/>
      </w:r>
      <w:r w:rsidRPr="000F0CC6">
        <w:rPr>
          <w:lang w:val="en-US"/>
        </w:rPr>
        <w:t xml:space="preserve"> </w:t>
      </w:r>
      <w:r w:rsidR="00E568B4" w:rsidRPr="00E568B4">
        <w:rPr>
          <w:lang w:val="en-US"/>
        </w:rPr>
        <w:t xml:space="preserve">Zie </w:t>
      </w:r>
      <w:hyperlink r:id="rId3" w:history="1">
        <w:r w:rsidR="00E568B4" w:rsidRPr="00E568B4">
          <w:rPr>
            <w:rStyle w:val="Hyperlink"/>
            <w:lang w:val="en-US"/>
          </w:rPr>
          <w:t>Aviation Studies · Offshorewind RVO</w:t>
        </w:r>
      </w:hyperlink>
      <w:r w:rsidR="00E568B4" w:rsidRPr="00E568B4">
        <w:rPr>
          <w:lang w:val="en-US"/>
        </w:rPr>
        <w:t>:</w:t>
      </w:r>
      <w:r w:rsidRPr="000F0CC6">
        <w:rPr>
          <w:lang w:val="en-US"/>
        </w:rPr>
        <w:t xml:space="preserve"> </w:t>
      </w:r>
      <w:r w:rsidR="000F0CC6" w:rsidRPr="00F10C79">
        <w:rPr>
          <w:lang w:val="en-US"/>
        </w:rPr>
        <w:t>PVS Aero (202</w:t>
      </w:r>
      <w:r w:rsidR="000F0CC6">
        <w:rPr>
          <w:lang w:val="en-US"/>
        </w:rPr>
        <w:t>4</w:t>
      </w:r>
      <w:r w:rsidR="000F0CC6" w:rsidRPr="00F10C79">
        <w:rPr>
          <w:lang w:val="en-US"/>
        </w:rPr>
        <w:t xml:space="preserve">) Feasibility and accessibility assessment </w:t>
      </w:r>
      <w:r w:rsidR="00F5561A">
        <w:rPr>
          <w:lang w:val="en-US"/>
        </w:rPr>
        <w:t>G and T platforms Doordewind and Ten Noorden van de Waddeneilanden</w:t>
      </w:r>
      <w:r w:rsidR="00DD0ECA">
        <w:rPr>
          <w:lang w:val="en-US"/>
        </w:rPr>
        <w:t>.</w:t>
      </w:r>
    </w:p>
  </w:footnote>
  <w:footnote w:id="11">
    <w:p w14:paraId="3D73F74B" w14:textId="77777777" w:rsidR="00091733" w:rsidRPr="00E568B4" w:rsidRDefault="00091733" w:rsidP="00091733">
      <w:pPr>
        <w:pStyle w:val="Voetnoottekst"/>
        <w:rPr>
          <w:szCs w:val="13"/>
        </w:rPr>
      </w:pPr>
      <w:r w:rsidRPr="006524D4">
        <w:rPr>
          <w:rStyle w:val="Voetnootmarkering"/>
          <w:szCs w:val="13"/>
        </w:rPr>
        <w:footnoteRef/>
      </w:r>
      <w:r w:rsidRPr="00E568B4">
        <w:rPr>
          <w:szCs w:val="13"/>
        </w:rPr>
        <w:t xml:space="preserve"> TZ202409-003. </w:t>
      </w:r>
    </w:p>
  </w:footnote>
  <w:footnote w:id="12">
    <w:p w14:paraId="24E2D53C" w14:textId="6C2342B5" w:rsidR="00091733" w:rsidRPr="00CD237D" w:rsidRDefault="00091733" w:rsidP="00091733">
      <w:pPr>
        <w:pStyle w:val="Voetnoottekst"/>
      </w:pPr>
      <w:r>
        <w:rPr>
          <w:rStyle w:val="Voetnootmarkering"/>
        </w:rPr>
        <w:footnoteRef/>
      </w:r>
      <w:r w:rsidRPr="00CD237D">
        <w:t xml:space="preserve"> </w:t>
      </w:r>
      <w:hyperlink r:id="rId4" w:history="1">
        <w:r>
          <w:rPr>
            <w:rStyle w:val="Hyperlink"/>
          </w:rPr>
          <w:t>BIJLAGE 12: TAAKOPDRACHT INTERDEPARTEMENTAAL BELEIDSONDERZOEK | Ministerie van Financiën - Rijksoverheid (rijksfinancien.nl)</w:t>
        </w:r>
      </w:hyperlink>
      <w:r w:rsidR="00DD0ECA">
        <w:rPr>
          <w:rStyle w:val="Hyperlink"/>
        </w:rPr>
        <w:t>.</w:t>
      </w:r>
    </w:p>
  </w:footnote>
  <w:footnote w:id="13">
    <w:p w14:paraId="2D1B223C" w14:textId="483C2FFE" w:rsidR="00091733" w:rsidRPr="00985B69" w:rsidRDefault="00091733" w:rsidP="00091733">
      <w:pPr>
        <w:pStyle w:val="Voetnoottekst"/>
        <w:rPr>
          <w:lang w:val="en-US"/>
        </w:rPr>
      </w:pPr>
      <w:r w:rsidRPr="00CA3128">
        <w:rPr>
          <w:rStyle w:val="Voetnootmarkering"/>
          <w:szCs w:val="13"/>
        </w:rPr>
        <w:footnoteRef/>
      </w:r>
      <w:r w:rsidRPr="00CA3128">
        <w:rPr>
          <w:szCs w:val="13"/>
          <w:lang w:val="en-US"/>
        </w:rPr>
        <w:t xml:space="preserve"> </w:t>
      </w:r>
      <w:hyperlink r:id="rId5" w:history="1">
        <w:r w:rsidRPr="00CA3128">
          <w:rPr>
            <w:rStyle w:val="Hyperlink"/>
            <w:szCs w:val="13"/>
            <w:lang w:val="en-US"/>
          </w:rPr>
          <w:t>Preliminary study on the environmental effects of hydrogen production at sea - Noordzeeloket</w:t>
        </w:r>
      </w:hyperlink>
      <w:r w:rsidRPr="00CA3128">
        <w:rPr>
          <w:szCs w:val="13"/>
          <w:lang w:val="en-US"/>
        </w:rPr>
        <w:t xml:space="preserve">  (Witteveen+Bos, 2024)</w:t>
      </w:r>
      <w:r w:rsidR="00DD0ECA">
        <w:rPr>
          <w:szCs w:val="13"/>
          <w:lang w:val="en-US"/>
        </w:rPr>
        <w:t>.</w:t>
      </w:r>
    </w:p>
  </w:footnote>
  <w:footnote w:id="14">
    <w:p w14:paraId="04FD1D8F" w14:textId="6C6BE790" w:rsidR="00091733" w:rsidRPr="00CA3128" w:rsidRDefault="00091733" w:rsidP="00091733">
      <w:pPr>
        <w:pStyle w:val="Voetnoottekst"/>
        <w:rPr>
          <w:szCs w:val="13"/>
        </w:rPr>
      </w:pPr>
      <w:r w:rsidRPr="00CA3128">
        <w:rPr>
          <w:rStyle w:val="Voetnootmarkering"/>
          <w:szCs w:val="13"/>
        </w:rPr>
        <w:footnoteRef/>
      </w:r>
      <w:r w:rsidRPr="00CA3128">
        <w:rPr>
          <w:szCs w:val="13"/>
        </w:rPr>
        <w:t xml:space="preserve"> Als onderdeel van deze voorbereiding is TNO gevraagd om te onderzoeken welke mogelijkheden er zijn om de geproduceerde waterstof bij te mengen in aardgas en eventueel vervolgens weer te ontmengen. Uit dit </w:t>
      </w:r>
      <w:r w:rsidRPr="003334CA">
        <w:rPr>
          <w:szCs w:val="13"/>
        </w:rPr>
        <w:t>onderzoek</w:t>
      </w:r>
      <w:r w:rsidRPr="00CA3128">
        <w:rPr>
          <w:szCs w:val="13"/>
        </w:rPr>
        <w:t xml:space="preserve"> blijkt dat het bijmengen van waterstof uitdagingen geeft voor eindgebruikers.</w:t>
      </w:r>
      <w:r w:rsidRPr="00F10C79">
        <w:rPr>
          <w:szCs w:val="13"/>
        </w:rPr>
        <w:t xml:space="preserve"> </w:t>
      </w:r>
      <w:r w:rsidR="00FB6D70">
        <w:rPr>
          <w:szCs w:val="13"/>
        </w:rPr>
        <w:t>De studie is</w:t>
      </w:r>
      <w:r w:rsidR="0010493A">
        <w:rPr>
          <w:szCs w:val="13"/>
        </w:rPr>
        <w:t xml:space="preserve"> als bijlage van deze brief </w:t>
      </w:r>
      <w:r w:rsidR="00BE51EF">
        <w:rPr>
          <w:szCs w:val="13"/>
        </w:rPr>
        <w:t>meegestuurd.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6AA8" w14:textId="77777777" w:rsidR="00365F22" w:rsidRDefault="00365F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E1676" w14:paraId="2BD933DA" w14:textId="77777777" w:rsidTr="00A50CF6">
      <w:tc>
        <w:tcPr>
          <w:tcW w:w="2156" w:type="dxa"/>
          <w:shd w:val="clear" w:color="auto" w:fill="auto"/>
        </w:tcPr>
        <w:p w14:paraId="142D606F" w14:textId="77777777" w:rsidR="00527BD4" w:rsidRPr="005819CE" w:rsidRDefault="00CB4458" w:rsidP="00A50CF6">
          <w:pPr>
            <w:pStyle w:val="Huisstijl-Adres"/>
            <w:rPr>
              <w:b/>
            </w:rPr>
          </w:pPr>
          <w:r>
            <w:rPr>
              <w:b/>
            </w:rPr>
            <w:t>Directoraat-generaal Klimaat en Energie</w:t>
          </w:r>
          <w:r w:rsidRPr="005819CE">
            <w:rPr>
              <w:b/>
            </w:rPr>
            <w:br/>
          </w:r>
          <w:r>
            <w:t>Directie Realisatie Energietransitie</w:t>
          </w:r>
        </w:p>
      </w:tc>
    </w:tr>
    <w:tr w:rsidR="004E1676" w14:paraId="11E462AD" w14:textId="77777777" w:rsidTr="00A50CF6">
      <w:trPr>
        <w:trHeight w:hRule="exact" w:val="200"/>
      </w:trPr>
      <w:tc>
        <w:tcPr>
          <w:tcW w:w="2156" w:type="dxa"/>
          <w:shd w:val="clear" w:color="auto" w:fill="auto"/>
        </w:tcPr>
        <w:p w14:paraId="46A70E82" w14:textId="77777777" w:rsidR="00527BD4" w:rsidRPr="005819CE" w:rsidRDefault="00527BD4" w:rsidP="00A50CF6"/>
      </w:tc>
    </w:tr>
    <w:tr w:rsidR="004E1676" w14:paraId="3F2560CA" w14:textId="77777777" w:rsidTr="00502512">
      <w:trPr>
        <w:trHeight w:hRule="exact" w:val="774"/>
      </w:trPr>
      <w:tc>
        <w:tcPr>
          <w:tcW w:w="2156" w:type="dxa"/>
          <w:shd w:val="clear" w:color="auto" w:fill="auto"/>
        </w:tcPr>
        <w:p w14:paraId="01AA4B56" w14:textId="77777777" w:rsidR="00527BD4" w:rsidRDefault="00CB4458" w:rsidP="003A5290">
          <w:pPr>
            <w:pStyle w:val="Huisstijl-Kopje"/>
          </w:pPr>
          <w:r>
            <w:t>Ons kenmerk</w:t>
          </w:r>
        </w:p>
        <w:p w14:paraId="7D18D677" w14:textId="77777777" w:rsidR="00502512" w:rsidRPr="00502512" w:rsidRDefault="00CB4458" w:rsidP="003A5290">
          <w:pPr>
            <w:pStyle w:val="Huisstijl-Kopje"/>
            <w:rPr>
              <w:b w:val="0"/>
            </w:rPr>
          </w:pPr>
          <w:r>
            <w:rPr>
              <w:b w:val="0"/>
            </w:rPr>
            <w:t>DGKE-DRE</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94334459</w:t>
              </w:r>
              <w:r w:rsidR="00721AE1">
                <w:rPr>
                  <w:b w:val="0"/>
                </w:rPr>
                <w:fldChar w:fldCharType="end"/>
              </w:r>
            </w:sdtContent>
          </w:sdt>
        </w:p>
        <w:p w14:paraId="3CE88439" w14:textId="77777777" w:rsidR="00527BD4" w:rsidRPr="005819CE" w:rsidRDefault="00527BD4" w:rsidP="00361A56">
          <w:pPr>
            <w:pStyle w:val="Huisstijl-Kopje"/>
          </w:pPr>
        </w:p>
      </w:tc>
    </w:tr>
  </w:tbl>
  <w:p w14:paraId="17FEF64F" w14:textId="77777777" w:rsidR="00527BD4" w:rsidRDefault="00527BD4" w:rsidP="008C356D">
    <w:pPr>
      <w:pStyle w:val="Koptekst"/>
      <w:rPr>
        <w:rFonts w:cs="Verdana-Bold"/>
        <w:b/>
        <w:bCs/>
        <w:smallCaps/>
        <w:szCs w:val="18"/>
      </w:rPr>
    </w:pPr>
  </w:p>
  <w:p w14:paraId="2B3BEEC5" w14:textId="77777777" w:rsidR="00527BD4" w:rsidRDefault="00527BD4" w:rsidP="008C356D"/>
  <w:p w14:paraId="3543CCA4" w14:textId="77777777" w:rsidR="00527BD4" w:rsidRPr="00740712" w:rsidRDefault="00527BD4" w:rsidP="008C356D"/>
  <w:p w14:paraId="050E7797" w14:textId="77777777" w:rsidR="00527BD4" w:rsidRPr="00217880" w:rsidRDefault="00527BD4" w:rsidP="008C356D">
    <w:pPr>
      <w:spacing w:line="0" w:lineRule="atLeast"/>
      <w:rPr>
        <w:sz w:val="2"/>
        <w:szCs w:val="2"/>
      </w:rPr>
    </w:pPr>
  </w:p>
  <w:p w14:paraId="170E7E53" w14:textId="77777777" w:rsidR="00527BD4" w:rsidRDefault="00527BD4" w:rsidP="004F44C2">
    <w:pPr>
      <w:pStyle w:val="Koptekst"/>
      <w:rPr>
        <w:rFonts w:cs="Verdana-Bold"/>
        <w:b/>
        <w:bCs/>
        <w:smallCaps/>
        <w:szCs w:val="18"/>
      </w:rPr>
    </w:pPr>
  </w:p>
  <w:p w14:paraId="2210FEE9" w14:textId="77777777" w:rsidR="00527BD4" w:rsidRDefault="00527BD4" w:rsidP="004F44C2"/>
  <w:p w14:paraId="010FF270" w14:textId="77777777" w:rsidR="00527BD4" w:rsidRPr="00740712" w:rsidRDefault="00527BD4" w:rsidP="004F44C2"/>
  <w:p w14:paraId="5BD4523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E1676" w14:paraId="4199B392" w14:textId="77777777" w:rsidTr="00751A6A">
      <w:trPr>
        <w:trHeight w:val="2636"/>
      </w:trPr>
      <w:tc>
        <w:tcPr>
          <w:tcW w:w="737" w:type="dxa"/>
          <w:shd w:val="clear" w:color="auto" w:fill="auto"/>
        </w:tcPr>
        <w:p w14:paraId="26D5EB8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B84BC3" w14:textId="77777777" w:rsidR="00527BD4" w:rsidRDefault="00CB4458"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FA03315" wp14:editId="7FD47CE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43F75DE" w14:textId="77777777" w:rsidR="007269E3" w:rsidRDefault="007269E3" w:rsidP="00651CEE">
          <w:pPr>
            <w:framePr w:w="6340" w:h="2750" w:hRule="exact" w:hSpace="180" w:wrap="around" w:vAnchor="page" w:hAnchor="text" w:x="3873" w:y="-140"/>
            <w:spacing w:line="240" w:lineRule="auto"/>
          </w:pPr>
        </w:p>
      </w:tc>
    </w:tr>
  </w:tbl>
  <w:p w14:paraId="408AAD7F" w14:textId="77777777" w:rsidR="00527BD4" w:rsidRDefault="00527BD4" w:rsidP="00D0609E">
    <w:pPr>
      <w:framePr w:w="6340" w:h="2750" w:hRule="exact" w:hSpace="180" w:wrap="around" w:vAnchor="page" w:hAnchor="text" w:x="3873" w:y="-140"/>
    </w:pPr>
  </w:p>
  <w:p w14:paraId="232EC99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E1676" w:rsidRPr="00A52238" w14:paraId="40279FFD" w14:textId="77777777" w:rsidTr="00A50CF6">
      <w:tc>
        <w:tcPr>
          <w:tcW w:w="2160" w:type="dxa"/>
          <w:shd w:val="clear" w:color="auto" w:fill="auto"/>
        </w:tcPr>
        <w:p w14:paraId="54F86146" w14:textId="77777777" w:rsidR="00527BD4" w:rsidRPr="00911023" w:rsidRDefault="00CB4458" w:rsidP="00A50CF6">
          <w:pPr>
            <w:pStyle w:val="Huisstijl-Adres"/>
            <w:rPr>
              <w:b/>
            </w:rPr>
          </w:pPr>
          <w:r w:rsidRPr="00911023">
            <w:rPr>
              <w:b/>
            </w:rPr>
            <w:t>Directoraat-generaal Klimaat en Energie</w:t>
          </w:r>
          <w:r w:rsidRPr="00911023">
            <w:rPr>
              <w:b/>
            </w:rPr>
            <w:br/>
          </w:r>
          <w:r w:rsidRPr="00911023">
            <w:t>Directie Realisatie Energietransitie</w:t>
          </w:r>
        </w:p>
        <w:p w14:paraId="57B895D7" w14:textId="77777777" w:rsidR="00527BD4" w:rsidRPr="00911023" w:rsidRDefault="00CB4458" w:rsidP="00A50CF6">
          <w:pPr>
            <w:pStyle w:val="Huisstijl-Adres"/>
          </w:pPr>
          <w:r w:rsidRPr="00911023">
            <w:rPr>
              <w:b/>
            </w:rPr>
            <w:t>Bezoekadres</w:t>
          </w:r>
          <w:r w:rsidRPr="00911023">
            <w:rPr>
              <w:b/>
            </w:rPr>
            <w:br/>
          </w:r>
          <w:r w:rsidRPr="00911023">
            <w:t>Bezuidenhoutseweg 73</w:t>
          </w:r>
          <w:r w:rsidRPr="00911023">
            <w:br/>
            <w:t>2594 AC Den Haag</w:t>
          </w:r>
        </w:p>
        <w:p w14:paraId="5F594A05" w14:textId="77777777" w:rsidR="00EF495B" w:rsidRPr="00911023" w:rsidRDefault="00CB4458" w:rsidP="0098788A">
          <w:pPr>
            <w:pStyle w:val="Huisstijl-Adres"/>
          </w:pPr>
          <w:r w:rsidRPr="00911023">
            <w:rPr>
              <w:b/>
            </w:rPr>
            <w:t>Postadres</w:t>
          </w:r>
          <w:r w:rsidRPr="00911023">
            <w:rPr>
              <w:b/>
            </w:rPr>
            <w:br/>
          </w:r>
          <w:r w:rsidRPr="00911023">
            <w:t>Postbus 20401</w:t>
          </w:r>
          <w:r w:rsidRPr="00911023">
            <w:br/>
            <w:t>2500 EK Den Haag</w:t>
          </w:r>
        </w:p>
        <w:p w14:paraId="7F7997C0" w14:textId="77777777" w:rsidR="00EF495B" w:rsidRPr="00911023" w:rsidRDefault="00CB4458" w:rsidP="0098788A">
          <w:pPr>
            <w:pStyle w:val="Huisstijl-Adres"/>
          </w:pPr>
          <w:r w:rsidRPr="00911023">
            <w:rPr>
              <w:b/>
            </w:rPr>
            <w:t>Overheidsidentificatienr</w:t>
          </w:r>
          <w:r w:rsidRPr="00911023">
            <w:rPr>
              <w:b/>
            </w:rPr>
            <w:br/>
          </w:r>
          <w:r w:rsidR="00F323ED" w:rsidRPr="00911023">
            <w:t>00000001003214369000</w:t>
          </w:r>
        </w:p>
        <w:p w14:paraId="5C6C41DD" w14:textId="75658C13" w:rsidR="00527BD4" w:rsidRPr="00911023" w:rsidRDefault="00CB4458" w:rsidP="00A50CF6">
          <w:pPr>
            <w:pStyle w:val="Huisstijl-Adres"/>
            <w:rPr>
              <w:u w:val="single"/>
            </w:rPr>
          </w:pPr>
          <w:r w:rsidRPr="00911023">
            <w:t>T</w:t>
          </w:r>
          <w:r w:rsidRPr="00911023">
            <w:tab/>
            <w:t>070 379 8911 (algemeen)</w:t>
          </w:r>
          <w:r w:rsidRPr="00911023">
            <w:br/>
          </w:r>
          <w:r w:rsidR="006F751F" w:rsidRPr="00911023">
            <w:t>F</w:t>
          </w:r>
          <w:r w:rsidR="006F751F" w:rsidRPr="00911023">
            <w:tab/>
            <w:t>0</w:t>
          </w:r>
          <w:r w:rsidRPr="00911023">
            <w:t>70 378 6100</w:t>
          </w:r>
          <w:r w:rsidR="006F751F" w:rsidRPr="00911023">
            <w:t xml:space="preserve"> (algemeen)</w:t>
          </w:r>
          <w:r w:rsidR="006F751F" w:rsidRPr="00911023">
            <w:br/>
          </w:r>
          <w:r w:rsidRPr="00911023">
            <w:t>www.rijksoverheid.nl/kgg</w:t>
          </w:r>
        </w:p>
      </w:tc>
    </w:tr>
    <w:tr w:rsidR="004E1676" w:rsidRPr="00A52238" w14:paraId="46C33D25" w14:textId="77777777" w:rsidTr="00A50CF6">
      <w:trPr>
        <w:trHeight w:hRule="exact" w:val="200"/>
      </w:trPr>
      <w:tc>
        <w:tcPr>
          <w:tcW w:w="2160" w:type="dxa"/>
          <w:shd w:val="clear" w:color="auto" w:fill="auto"/>
        </w:tcPr>
        <w:p w14:paraId="4B318B8B" w14:textId="77777777" w:rsidR="00527BD4" w:rsidRPr="00911023" w:rsidRDefault="00527BD4" w:rsidP="00A50CF6"/>
      </w:tc>
    </w:tr>
    <w:tr w:rsidR="004E1676" w14:paraId="31DBF63D" w14:textId="77777777" w:rsidTr="00A50CF6">
      <w:tc>
        <w:tcPr>
          <w:tcW w:w="2160" w:type="dxa"/>
          <w:shd w:val="clear" w:color="auto" w:fill="auto"/>
        </w:tcPr>
        <w:p w14:paraId="4B0D92A0" w14:textId="77777777" w:rsidR="000C0163" w:rsidRPr="00911023" w:rsidRDefault="00CB4458" w:rsidP="000C0163">
          <w:pPr>
            <w:pStyle w:val="Huisstijl-Kopje"/>
          </w:pPr>
          <w:r w:rsidRPr="00911023">
            <w:t xml:space="preserve">Ons kenmerk </w:t>
          </w:r>
        </w:p>
        <w:p w14:paraId="62BEEA53" w14:textId="5938186A" w:rsidR="000C0163" w:rsidRPr="00911023" w:rsidRDefault="00CB4458" w:rsidP="000C0163">
          <w:pPr>
            <w:pStyle w:val="Huisstijl-Gegeven"/>
          </w:pPr>
          <w:r w:rsidRPr="00911023">
            <w:t>DGKE-DRE</w:t>
          </w:r>
          <w:r w:rsidR="00926AE2" w:rsidRPr="00911023">
            <w:t xml:space="preserve"> / </w:t>
          </w:r>
          <w:r w:rsidR="00F11331">
            <w:t xml:space="preserve"> </w:t>
          </w:r>
          <w:r w:rsidR="00F11331" w:rsidRPr="00F11331">
            <w:t>94334459</w:t>
          </w:r>
        </w:p>
        <w:p w14:paraId="3180B63C" w14:textId="481B1950" w:rsidR="00527BD4" w:rsidRPr="00911023" w:rsidRDefault="00911023" w:rsidP="00911023">
          <w:pPr>
            <w:pStyle w:val="Huisstijl-Kopje"/>
            <w:rPr>
              <w:b w:val="0"/>
              <w:bCs/>
            </w:rPr>
          </w:pPr>
          <w:r>
            <w:t>Bijlagen</w:t>
          </w:r>
          <w:r>
            <w:br/>
          </w:r>
          <w:r w:rsidR="00EA213E">
            <w:rPr>
              <w:b w:val="0"/>
              <w:bCs/>
            </w:rPr>
            <w:t>2</w:t>
          </w:r>
        </w:p>
      </w:tc>
    </w:tr>
  </w:tbl>
  <w:p w14:paraId="5E823ED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E1676" w14:paraId="5B1BE168" w14:textId="77777777" w:rsidTr="007610AA">
      <w:trPr>
        <w:trHeight w:val="400"/>
      </w:trPr>
      <w:tc>
        <w:tcPr>
          <w:tcW w:w="7520" w:type="dxa"/>
          <w:gridSpan w:val="2"/>
          <w:shd w:val="clear" w:color="auto" w:fill="auto"/>
        </w:tcPr>
        <w:p w14:paraId="45B20FFB" w14:textId="77777777" w:rsidR="00527BD4" w:rsidRPr="00BC3B53" w:rsidRDefault="00CB4458" w:rsidP="00A50CF6">
          <w:pPr>
            <w:pStyle w:val="Huisstijl-Retouradres"/>
          </w:pPr>
          <w:r>
            <w:t>&gt; Retouradres Postbus 20401 2500 EK Den Haag</w:t>
          </w:r>
        </w:p>
      </w:tc>
    </w:tr>
    <w:tr w:rsidR="004E1676" w14:paraId="295E2829" w14:textId="77777777" w:rsidTr="007610AA">
      <w:tc>
        <w:tcPr>
          <w:tcW w:w="7520" w:type="dxa"/>
          <w:gridSpan w:val="2"/>
          <w:shd w:val="clear" w:color="auto" w:fill="auto"/>
        </w:tcPr>
        <w:p w14:paraId="57A328B9" w14:textId="77777777" w:rsidR="00527BD4" w:rsidRPr="00983E8F" w:rsidRDefault="00527BD4" w:rsidP="00A50CF6">
          <w:pPr>
            <w:pStyle w:val="Huisstijl-Rubricering"/>
          </w:pPr>
        </w:p>
      </w:tc>
    </w:tr>
    <w:tr w:rsidR="004E1676" w14:paraId="16C6082A" w14:textId="77777777" w:rsidTr="007610AA">
      <w:trPr>
        <w:trHeight w:hRule="exact" w:val="2440"/>
      </w:trPr>
      <w:tc>
        <w:tcPr>
          <w:tcW w:w="7520" w:type="dxa"/>
          <w:gridSpan w:val="2"/>
          <w:shd w:val="clear" w:color="auto" w:fill="auto"/>
        </w:tcPr>
        <w:p w14:paraId="123E82DA" w14:textId="77777777" w:rsidR="00911023" w:rsidRDefault="00911023" w:rsidP="00911023">
          <w:pPr>
            <w:pStyle w:val="Huisstijl-NAW"/>
          </w:pPr>
          <w:r w:rsidRPr="00D24199">
            <w:t xml:space="preserve">De </w:t>
          </w:r>
          <w:r>
            <w:t>V</w:t>
          </w:r>
          <w:r w:rsidRPr="00D24199">
            <w:t xml:space="preserve">oorzitter van de Tweede Kamer </w:t>
          </w:r>
        </w:p>
        <w:p w14:paraId="032E94A1" w14:textId="77777777" w:rsidR="00911023" w:rsidRDefault="00911023" w:rsidP="00911023">
          <w:pPr>
            <w:pStyle w:val="Huisstijl-NAW"/>
          </w:pPr>
          <w:r w:rsidRPr="00D24199">
            <w:t>der Staten-Generaal</w:t>
          </w:r>
        </w:p>
        <w:p w14:paraId="2D089724" w14:textId="77777777" w:rsidR="00911023" w:rsidRPr="00EE5E84" w:rsidRDefault="00911023" w:rsidP="00911023">
          <w:pPr>
            <w:rPr>
              <w:lang w:val="de-DE"/>
            </w:rPr>
          </w:pPr>
          <w:r w:rsidRPr="00EE5E84">
            <w:rPr>
              <w:lang w:val="de-DE"/>
            </w:rPr>
            <w:t>Prinses Irenestraat 6</w:t>
          </w:r>
        </w:p>
        <w:p w14:paraId="3D9B11D4" w14:textId="77777777" w:rsidR="00911023" w:rsidRDefault="00911023" w:rsidP="00911023">
          <w:pPr>
            <w:rPr>
              <w:lang w:val="de-DE"/>
            </w:rPr>
          </w:pPr>
          <w:r w:rsidRPr="00EE5E84">
            <w:rPr>
              <w:lang w:val="de-DE"/>
            </w:rPr>
            <w:t>2595 BD  DEN H</w:t>
          </w:r>
          <w:r>
            <w:rPr>
              <w:lang w:val="de-DE"/>
            </w:rPr>
            <w:t>AAG</w:t>
          </w:r>
        </w:p>
        <w:p w14:paraId="1C377667" w14:textId="30323C42" w:rsidR="00527BD4" w:rsidRDefault="00527BD4" w:rsidP="00A50CF6">
          <w:pPr>
            <w:pStyle w:val="Huisstijl-NAW"/>
          </w:pPr>
        </w:p>
      </w:tc>
    </w:tr>
    <w:tr w:rsidR="004E1676" w14:paraId="527D7111" w14:textId="77777777" w:rsidTr="007610AA">
      <w:trPr>
        <w:trHeight w:hRule="exact" w:val="400"/>
      </w:trPr>
      <w:tc>
        <w:tcPr>
          <w:tcW w:w="7520" w:type="dxa"/>
          <w:gridSpan w:val="2"/>
          <w:shd w:val="clear" w:color="auto" w:fill="auto"/>
        </w:tcPr>
        <w:p w14:paraId="4633F65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E1676" w14:paraId="0AB84EF0" w14:textId="77777777" w:rsidTr="007610AA">
      <w:trPr>
        <w:trHeight w:val="240"/>
      </w:trPr>
      <w:tc>
        <w:tcPr>
          <w:tcW w:w="900" w:type="dxa"/>
          <w:shd w:val="clear" w:color="auto" w:fill="auto"/>
        </w:tcPr>
        <w:p w14:paraId="31678BBE" w14:textId="77777777" w:rsidR="00527BD4" w:rsidRPr="007709EF" w:rsidRDefault="00CB4458" w:rsidP="00A50CF6">
          <w:pPr>
            <w:rPr>
              <w:szCs w:val="18"/>
            </w:rPr>
          </w:pPr>
          <w:r>
            <w:rPr>
              <w:szCs w:val="18"/>
            </w:rPr>
            <w:t>Datum</w:t>
          </w:r>
        </w:p>
      </w:tc>
      <w:tc>
        <w:tcPr>
          <w:tcW w:w="6620" w:type="dxa"/>
          <w:shd w:val="clear" w:color="auto" w:fill="auto"/>
        </w:tcPr>
        <w:p w14:paraId="6C68C772" w14:textId="08E6B6A4" w:rsidR="00527BD4" w:rsidRPr="007709EF" w:rsidRDefault="00365F22" w:rsidP="00A50CF6">
          <w:r>
            <w:t>21 november 2024</w:t>
          </w:r>
        </w:p>
      </w:tc>
    </w:tr>
    <w:tr w:rsidR="004E1676" w14:paraId="056908BA" w14:textId="77777777" w:rsidTr="007610AA">
      <w:trPr>
        <w:trHeight w:val="240"/>
      </w:trPr>
      <w:tc>
        <w:tcPr>
          <w:tcW w:w="900" w:type="dxa"/>
          <w:shd w:val="clear" w:color="auto" w:fill="auto"/>
        </w:tcPr>
        <w:p w14:paraId="5BB8FDAA" w14:textId="1AE89692" w:rsidR="00527BD4" w:rsidRPr="007709EF" w:rsidRDefault="00CB4458" w:rsidP="00A50CF6">
          <w:pPr>
            <w:rPr>
              <w:szCs w:val="18"/>
            </w:rPr>
          </w:pPr>
          <w:r>
            <w:rPr>
              <w:szCs w:val="18"/>
            </w:rPr>
            <w:t>Betreft</w:t>
          </w:r>
        </w:p>
      </w:tc>
      <w:tc>
        <w:tcPr>
          <w:tcW w:w="6620" w:type="dxa"/>
          <w:shd w:val="clear" w:color="auto" w:fill="auto"/>
        </w:tcPr>
        <w:p w14:paraId="62E8509A" w14:textId="659E148A" w:rsidR="00527BD4" w:rsidRPr="007709EF" w:rsidRDefault="00091733" w:rsidP="00A50CF6">
          <w:r>
            <w:t>Update Routekaart wind op zee en waterstofdemonstratieproject 1</w:t>
          </w:r>
        </w:p>
      </w:tc>
    </w:tr>
  </w:tbl>
  <w:p w14:paraId="298086D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DF019BA">
      <w:start w:val="1"/>
      <w:numFmt w:val="bullet"/>
      <w:pStyle w:val="Lijstopsomteken"/>
      <w:lvlText w:val="•"/>
      <w:lvlJc w:val="left"/>
      <w:pPr>
        <w:tabs>
          <w:tab w:val="num" w:pos="227"/>
        </w:tabs>
        <w:ind w:left="227" w:hanging="227"/>
      </w:pPr>
      <w:rPr>
        <w:rFonts w:ascii="Verdana" w:hAnsi="Verdana" w:hint="default"/>
        <w:sz w:val="18"/>
        <w:szCs w:val="18"/>
      </w:rPr>
    </w:lvl>
    <w:lvl w:ilvl="1" w:tplc="7ECA7468" w:tentative="1">
      <w:start w:val="1"/>
      <w:numFmt w:val="bullet"/>
      <w:lvlText w:val="o"/>
      <w:lvlJc w:val="left"/>
      <w:pPr>
        <w:tabs>
          <w:tab w:val="num" w:pos="1440"/>
        </w:tabs>
        <w:ind w:left="1440" w:hanging="360"/>
      </w:pPr>
      <w:rPr>
        <w:rFonts w:ascii="Courier New" w:hAnsi="Courier New" w:cs="Courier New" w:hint="default"/>
      </w:rPr>
    </w:lvl>
    <w:lvl w:ilvl="2" w:tplc="1A22F064" w:tentative="1">
      <w:start w:val="1"/>
      <w:numFmt w:val="bullet"/>
      <w:lvlText w:val=""/>
      <w:lvlJc w:val="left"/>
      <w:pPr>
        <w:tabs>
          <w:tab w:val="num" w:pos="2160"/>
        </w:tabs>
        <w:ind w:left="2160" w:hanging="360"/>
      </w:pPr>
      <w:rPr>
        <w:rFonts w:ascii="Wingdings" w:hAnsi="Wingdings" w:hint="default"/>
      </w:rPr>
    </w:lvl>
    <w:lvl w:ilvl="3" w:tplc="AD5C22F0" w:tentative="1">
      <w:start w:val="1"/>
      <w:numFmt w:val="bullet"/>
      <w:lvlText w:val=""/>
      <w:lvlJc w:val="left"/>
      <w:pPr>
        <w:tabs>
          <w:tab w:val="num" w:pos="2880"/>
        </w:tabs>
        <w:ind w:left="2880" w:hanging="360"/>
      </w:pPr>
      <w:rPr>
        <w:rFonts w:ascii="Symbol" w:hAnsi="Symbol" w:hint="default"/>
      </w:rPr>
    </w:lvl>
    <w:lvl w:ilvl="4" w:tplc="9DBE2B60" w:tentative="1">
      <w:start w:val="1"/>
      <w:numFmt w:val="bullet"/>
      <w:lvlText w:val="o"/>
      <w:lvlJc w:val="left"/>
      <w:pPr>
        <w:tabs>
          <w:tab w:val="num" w:pos="3600"/>
        </w:tabs>
        <w:ind w:left="3600" w:hanging="360"/>
      </w:pPr>
      <w:rPr>
        <w:rFonts w:ascii="Courier New" w:hAnsi="Courier New" w:cs="Courier New" w:hint="default"/>
      </w:rPr>
    </w:lvl>
    <w:lvl w:ilvl="5" w:tplc="68AABBB8" w:tentative="1">
      <w:start w:val="1"/>
      <w:numFmt w:val="bullet"/>
      <w:lvlText w:val=""/>
      <w:lvlJc w:val="left"/>
      <w:pPr>
        <w:tabs>
          <w:tab w:val="num" w:pos="4320"/>
        </w:tabs>
        <w:ind w:left="4320" w:hanging="360"/>
      </w:pPr>
      <w:rPr>
        <w:rFonts w:ascii="Wingdings" w:hAnsi="Wingdings" w:hint="default"/>
      </w:rPr>
    </w:lvl>
    <w:lvl w:ilvl="6" w:tplc="2F80BECA" w:tentative="1">
      <w:start w:val="1"/>
      <w:numFmt w:val="bullet"/>
      <w:lvlText w:val=""/>
      <w:lvlJc w:val="left"/>
      <w:pPr>
        <w:tabs>
          <w:tab w:val="num" w:pos="5040"/>
        </w:tabs>
        <w:ind w:left="5040" w:hanging="360"/>
      </w:pPr>
      <w:rPr>
        <w:rFonts w:ascii="Symbol" w:hAnsi="Symbol" w:hint="default"/>
      </w:rPr>
    </w:lvl>
    <w:lvl w:ilvl="7" w:tplc="063683FC" w:tentative="1">
      <w:start w:val="1"/>
      <w:numFmt w:val="bullet"/>
      <w:lvlText w:val="o"/>
      <w:lvlJc w:val="left"/>
      <w:pPr>
        <w:tabs>
          <w:tab w:val="num" w:pos="5760"/>
        </w:tabs>
        <w:ind w:left="5760" w:hanging="360"/>
      </w:pPr>
      <w:rPr>
        <w:rFonts w:ascii="Courier New" w:hAnsi="Courier New" w:cs="Courier New" w:hint="default"/>
      </w:rPr>
    </w:lvl>
    <w:lvl w:ilvl="8" w:tplc="D33082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42D0A"/>
    <w:multiLevelType w:val="hybridMultilevel"/>
    <w:tmpl w:val="F09C29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95C0A9A">
      <w:start w:val="1"/>
      <w:numFmt w:val="bullet"/>
      <w:pStyle w:val="Lijstopsomteken2"/>
      <w:lvlText w:val="–"/>
      <w:lvlJc w:val="left"/>
      <w:pPr>
        <w:tabs>
          <w:tab w:val="num" w:pos="227"/>
        </w:tabs>
        <w:ind w:left="227" w:firstLine="0"/>
      </w:pPr>
      <w:rPr>
        <w:rFonts w:ascii="Verdana" w:hAnsi="Verdana" w:hint="default"/>
      </w:rPr>
    </w:lvl>
    <w:lvl w:ilvl="1" w:tplc="3A54078E" w:tentative="1">
      <w:start w:val="1"/>
      <w:numFmt w:val="bullet"/>
      <w:lvlText w:val="o"/>
      <w:lvlJc w:val="left"/>
      <w:pPr>
        <w:tabs>
          <w:tab w:val="num" w:pos="1440"/>
        </w:tabs>
        <w:ind w:left="1440" w:hanging="360"/>
      </w:pPr>
      <w:rPr>
        <w:rFonts w:ascii="Courier New" w:hAnsi="Courier New" w:cs="Courier New" w:hint="default"/>
      </w:rPr>
    </w:lvl>
    <w:lvl w:ilvl="2" w:tplc="3FD64076" w:tentative="1">
      <w:start w:val="1"/>
      <w:numFmt w:val="bullet"/>
      <w:lvlText w:val=""/>
      <w:lvlJc w:val="left"/>
      <w:pPr>
        <w:tabs>
          <w:tab w:val="num" w:pos="2160"/>
        </w:tabs>
        <w:ind w:left="2160" w:hanging="360"/>
      </w:pPr>
      <w:rPr>
        <w:rFonts w:ascii="Wingdings" w:hAnsi="Wingdings" w:hint="default"/>
      </w:rPr>
    </w:lvl>
    <w:lvl w:ilvl="3" w:tplc="5120A1C6" w:tentative="1">
      <w:start w:val="1"/>
      <w:numFmt w:val="bullet"/>
      <w:lvlText w:val=""/>
      <w:lvlJc w:val="left"/>
      <w:pPr>
        <w:tabs>
          <w:tab w:val="num" w:pos="2880"/>
        </w:tabs>
        <w:ind w:left="2880" w:hanging="360"/>
      </w:pPr>
      <w:rPr>
        <w:rFonts w:ascii="Symbol" w:hAnsi="Symbol" w:hint="default"/>
      </w:rPr>
    </w:lvl>
    <w:lvl w:ilvl="4" w:tplc="B666195C" w:tentative="1">
      <w:start w:val="1"/>
      <w:numFmt w:val="bullet"/>
      <w:lvlText w:val="o"/>
      <w:lvlJc w:val="left"/>
      <w:pPr>
        <w:tabs>
          <w:tab w:val="num" w:pos="3600"/>
        </w:tabs>
        <w:ind w:left="3600" w:hanging="360"/>
      </w:pPr>
      <w:rPr>
        <w:rFonts w:ascii="Courier New" w:hAnsi="Courier New" w:cs="Courier New" w:hint="default"/>
      </w:rPr>
    </w:lvl>
    <w:lvl w:ilvl="5" w:tplc="4F12D8CC" w:tentative="1">
      <w:start w:val="1"/>
      <w:numFmt w:val="bullet"/>
      <w:lvlText w:val=""/>
      <w:lvlJc w:val="left"/>
      <w:pPr>
        <w:tabs>
          <w:tab w:val="num" w:pos="4320"/>
        </w:tabs>
        <w:ind w:left="4320" w:hanging="360"/>
      </w:pPr>
      <w:rPr>
        <w:rFonts w:ascii="Wingdings" w:hAnsi="Wingdings" w:hint="default"/>
      </w:rPr>
    </w:lvl>
    <w:lvl w:ilvl="6" w:tplc="96C2FC3E" w:tentative="1">
      <w:start w:val="1"/>
      <w:numFmt w:val="bullet"/>
      <w:lvlText w:val=""/>
      <w:lvlJc w:val="left"/>
      <w:pPr>
        <w:tabs>
          <w:tab w:val="num" w:pos="5040"/>
        </w:tabs>
        <w:ind w:left="5040" w:hanging="360"/>
      </w:pPr>
      <w:rPr>
        <w:rFonts w:ascii="Symbol" w:hAnsi="Symbol" w:hint="default"/>
      </w:rPr>
    </w:lvl>
    <w:lvl w:ilvl="7" w:tplc="5F7698E0" w:tentative="1">
      <w:start w:val="1"/>
      <w:numFmt w:val="bullet"/>
      <w:lvlText w:val="o"/>
      <w:lvlJc w:val="left"/>
      <w:pPr>
        <w:tabs>
          <w:tab w:val="num" w:pos="5760"/>
        </w:tabs>
        <w:ind w:left="5760" w:hanging="360"/>
      </w:pPr>
      <w:rPr>
        <w:rFonts w:ascii="Courier New" w:hAnsi="Courier New" w:cs="Courier New" w:hint="default"/>
      </w:rPr>
    </w:lvl>
    <w:lvl w:ilvl="8" w:tplc="586A2D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74731"/>
    <w:multiLevelType w:val="hybridMultilevel"/>
    <w:tmpl w:val="CFAEF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804A9C"/>
    <w:multiLevelType w:val="hybridMultilevel"/>
    <w:tmpl w:val="77DE1F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DB6994"/>
    <w:multiLevelType w:val="hybridMultilevel"/>
    <w:tmpl w:val="879A86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AECAB73"/>
    <w:multiLevelType w:val="hybridMultilevel"/>
    <w:tmpl w:val="FFFFFFFF"/>
    <w:lvl w:ilvl="0" w:tplc="988CD4B2">
      <w:start w:val="1"/>
      <w:numFmt w:val="bullet"/>
      <w:lvlText w:val="-"/>
      <w:lvlJc w:val="left"/>
      <w:pPr>
        <w:ind w:left="360" w:hanging="360"/>
      </w:pPr>
      <w:rPr>
        <w:rFonts w:ascii="Aptos" w:hAnsi="Aptos" w:hint="default"/>
      </w:rPr>
    </w:lvl>
    <w:lvl w:ilvl="1" w:tplc="70BC3B58">
      <w:start w:val="1"/>
      <w:numFmt w:val="bullet"/>
      <w:lvlText w:val="o"/>
      <w:lvlJc w:val="left"/>
      <w:pPr>
        <w:ind w:left="1440" w:hanging="360"/>
      </w:pPr>
      <w:rPr>
        <w:rFonts w:ascii="Courier New" w:hAnsi="Courier New" w:hint="default"/>
      </w:rPr>
    </w:lvl>
    <w:lvl w:ilvl="2" w:tplc="0DCCB2B6">
      <w:start w:val="1"/>
      <w:numFmt w:val="bullet"/>
      <w:lvlText w:val=""/>
      <w:lvlJc w:val="left"/>
      <w:pPr>
        <w:ind w:left="2160" w:hanging="360"/>
      </w:pPr>
      <w:rPr>
        <w:rFonts w:ascii="Wingdings" w:hAnsi="Wingdings" w:hint="default"/>
      </w:rPr>
    </w:lvl>
    <w:lvl w:ilvl="3" w:tplc="6CF8F1B8">
      <w:start w:val="1"/>
      <w:numFmt w:val="bullet"/>
      <w:lvlText w:val=""/>
      <w:lvlJc w:val="left"/>
      <w:pPr>
        <w:ind w:left="2880" w:hanging="360"/>
      </w:pPr>
      <w:rPr>
        <w:rFonts w:ascii="Symbol" w:hAnsi="Symbol" w:hint="default"/>
      </w:rPr>
    </w:lvl>
    <w:lvl w:ilvl="4" w:tplc="D862A72E">
      <w:start w:val="1"/>
      <w:numFmt w:val="bullet"/>
      <w:lvlText w:val="o"/>
      <w:lvlJc w:val="left"/>
      <w:pPr>
        <w:ind w:left="3600" w:hanging="360"/>
      </w:pPr>
      <w:rPr>
        <w:rFonts w:ascii="Courier New" w:hAnsi="Courier New" w:hint="default"/>
      </w:rPr>
    </w:lvl>
    <w:lvl w:ilvl="5" w:tplc="1B84DC56">
      <w:start w:val="1"/>
      <w:numFmt w:val="bullet"/>
      <w:lvlText w:val=""/>
      <w:lvlJc w:val="left"/>
      <w:pPr>
        <w:ind w:left="4320" w:hanging="360"/>
      </w:pPr>
      <w:rPr>
        <w:rFonts w:ascii="Wingdings" w:hAnsi="Wingdings" w:hint="default"/>
      </w:rPr>
    </w:lvl>
    <w:lvl w:ilvl="6" w:tplc="59C200B2">
      <w:start w:val="1"/>
      <w:numFmt w:val="bullet"/>
      <w:lvlText w:val=""/>
      <w:lvlJc w:val="left"/>
      <w:pPr>
        <w:ind w:left="5040" w:hanging="360"/>
      </w:pPr>
      <w:rPr>
        <w:rFonts w:ascii="Symbol" w:hAnsi="Symbol" w:hint="default"/>
      </w:rPr>
    </w:lvl>
    <w:lvl w:ilvl="7" w:tplc="1C9C04AC">
      <w:start w:val="1"/>
      <w:numFmt w:val="bullet"/>
      <w:lvlText w:val="o"/>
      <w:lvlJc w:val="left"/>
      <w:pPr>
        <w:ind w:left="5760" w:hanging="360"/>
      </w:pPr>
      <w:rPr>
        <w:rFonts w:ascii="Courier New" w:hAnsi="Courier New" w:hint="default"/>
      </w:rPr>
    </w:lvl>
    <w:lvl w:ilvl="8" w:tplc="A90CE460">
      <w:start w:val="1"/>
      <w:numFmt w:val="bullet"/>
      <w:lvlText w:val=""/>
      <w:lvlJc w:val="left"/>
      <w:pPr>
        <w:ind w:left="6480" w:hanging="360"/>
      </w:pPr>
      <w:rPr>
        <w:rFonts w:ascii="Wingdings" w:hAnsi="Wingdings" w:hint="default"/>
      </w:rPr>
    </w:lvl>
  </w:abstractNum>
  <w:abstractNum w:abstractNumId="19" w15:restartNumberingAfterBreak="0">
    <w:nsid w:val="7D521504"/>
    <w:multiLevelType w:val="hybridMultilevel"/>
    <w:tmpl w:val="D72429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4913914">
    <w:abstractNumId w:val="10"/>
  </w:num>
  <w:num w:numId="2" w16cid:durableId="29038756">
    <w:abstractNumId w:val="7"/>
  </w:num>
  <w:num w:numId="3" w16cid:durableId="1949190823">
    <w:abstractNumId w:val="6"/>
  </w:num>
  <w:num w:numId="4" w16cid:durableId="1892955683">
    <w:abstractNumId w:val="5"/>
  </w:num>
  <w:num w:numId="5" w16cid:durableId="620039961">
    <w:abstractNumId w:val="4"/>
  </w:num>
  <w:num w:numId="6" w16cid:durableId="1851216253">
    <w:abstractNumId w:val="8"/>
  </w:num>
  <w:num w:numId="7" w16cid:durableId="648244184">
    <w:abstractNumId w:val="3"/>
  </w:num>
  <w:num w:numId="8" w16cid:durableId="1279607443">
    <w:abstractNumId w:val="2"/>
  </w:num>
  <w:num w:numId="9" w16cid:durableId="2097748178">
    <w:abstractNumId w:val="1"/>
  </w:num>
  <w:num w:numId="10" w16cid:durableId="177626635">
    <w:abstractNumId w:val="0"/>
  </w:num>
  <w:num w:numId="11" w16cid:durableId="1171289986">
    <w:abstractNumId w:val="9"/>
  </w:num>
  <w:num w:numId="12" w16cid:durableId="1187065767">
    <w:abstractNumId w:val="12"/>
  </w:num>
  <w:num w:numId="13" w16cid:durableId="1175267999">
    <w:abstractNumId w:val="15"/>
  </w:num>
  <w:num w:numId="14" w16cid:durableId="1095780608">
    <w:abstractNumId w:val="13"/>
  </w:num>
  <w:num w:numId="15" w16cid:durableId="376121836">
    <w:abstractNumId w:val="19"/>
  </w:num>
  <w:num w:numId="16" w16cid:durableId="788159015">
    <w:abstractNumId w:val="18"/>
  </w:num>
  <w:num w:numId="17" w16cid:durableId="353775366">
    <w:abstractNumId w:val="17"/>
  </w:num>
  <w:num w:numId="18" w16cid:durableId="1711103097">
    <w:abstractNumId w:val="11"/>
  </w:num>
  <w:num w:numId="19" w16cid:durableId="1099907704">
    <w:abstractNumId w:val="14"/>
  </w:num>
  <w:num w:numId="20" w16cid:durableId="86560602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4AF"/>
    <w:rsid w:val="000049FB"/>
    <w:rsid w:val="00007DF5"/>
    <w:rsid w:val="00011BB8"/>
    <w:rsid w:val="000133F7"/>
    <w:rsid w:val="00013862"/>
    <w:rsid w:val="00013F6D"/>
    <w:rsid w:val="00016012"/>
    <w:rsid w:val="00016EA5"/>
    <w:rsid w:val="00020189"/>
    <w:rsid w:val="00020EE4"/>
    <w:rsid w:val="00021960"/>
    <w:rsid w:val="00022001"/>
    <w:rsid w:val="000239FB"/>
    <w:rsid w:val="00023E9A"/>
    <w:rsid w:val="00026BC6"/>
    <w:rsid w:val="00026C0A"/>
    <w:rsid w:val="00027425"/>
    <w:rsid w:val="00027CB2"/>
    <w:rsid w:val="000311D6"/>
    <w:rsid w:val="00032810"/>
    <w:rsid w:val="00032B84"/>
    <w:rsid w:val="00033CDD"/>
    <w:rsid w:val="00034A84"/>
    <w:rsid w:val="00035E67"/>
    <w:rsid w:val="000366F3"/>
    <w:rsid w:val="00042A5B"/>
    <w:rsid w:val="00045C77"/>
    <w:rsid w:val="00052371"/>
    <w:rsid w:val="0006024D"/>
    <w:rsid w:val="00071193"/>
    <w:rsid w:val="000717EA"/>
    <w:rsid w:val="00071F28"/>
    <w:rsid w:val="00073BD4"/>
    <w:rsid w:val="00074079"/>
    <w:rsid w:val="000741EB"/>
    <w:rsid w:val="00074CF8"/>
    <w:rsid w:val="00083B9E"/>
    <w:rsid w:val="000845AF"/>
    <w:rsid w:val="000870B1"/>
    <w:rsid w:val="00091733"/>
    <w:rsid w:val="00092799"/>
    <w:rsid w:val="00092C5F"/>
    <w:rsid w:val="000959B8"/>
    <w:rsid w:val="00096680"/>
    <w:rsid w:val="000A052A"/>
    <w:rsid w:val="000A0E58"/>
    <w:rsid w:val="000A0F36"/>
    <w:rsid w:val="000A1671"/>
    <w:rsid w:val="000A174A"/>
    <w:rsid w:val="000A3E0A"/>
    <w:rsid w:val="000A65AC"/>
    <w:rsid w:val="000A7159"/>
    <w:rsid w:val="000B2522"/>
    <w:rsid w:val="000B7281"/>
    <w:rsid w:val="000B7FAB"/>
    <w:rsid w:val="000C0163"/>
    <w:rsid w:val="000C1BA1"/>
    <w:rsid w:val="000C3EA9"/>
    <w:rsid w:val="000D0225"/>
    <w:rsid w:val="000D6639"/>
    <w:rsid w:val="000D7E73"/>
    <w:rsid w:val="000E2850"/>
    <w:rsid w:val="000E50D4"/>
    <w:rsid w:val="000E6D11"/>
    <w:rsid w:val="000E7895"/>
    <w:rsid w:val="000F0CC6"/>
    <w:rsid w:val="000F161D"/>
    <w:rsid w:val="000F2587"/>
    <w:rsid w:val="000F3CAA"/>
    <w:rsid w:val="0010179A"/>
    <w:rsid w:val="00102ABB"/>
    <w:rsid w:val="0010493A"/>
    <w:rsid w:val="0011283F"/>
    <w:rsid w:val="00114AC1"/>
    <w:rsid w:val="00115C0F"/>
    <w:rsid w:val="00117AC4"/>
    <w:rsid w:val="00117C7D"/>
    <w:rsid w:val="00121BF0"/>
    <w:rsid w:val="00122027"/>
    <w:rsid w:val="00123704"/>
    <w:rsid w:val="00124AEF"/>
    <w:rsid w:val="001267EE"/>
    <w:rsid w:val="001270C7"/>
    <w:rsid w:val="0012724C"/>
    <w:rsid w:val="00130393"/>
    <w:rsid w:val="00132540"/>
    <w:rsid w:val="00133F0F"/>
    <w:rsid w:val="00141272"/>
    <w:rsid w:val="00143D56"/>
    <w:rsid w:val="00144BE6"/>
    <w:rsid w:val="0014786A"/>
    <w:rsid w:val="00147B1E"/>
    <w:rsid w:val="00147DFE"/>
    <w:rsid w:val="001516A4"/>
    <w:rsid w:val="00151E5F"/>
    <w:rsid w:val="001527DD"/>
    <w:rsid w:val="00153E28"/>
    <w:rsid w:val="0015421B"/>
    <w:rsid w:val="001565EB"/>
    <w:rsid w:val="001569AB"/>
    <w:rsid w:val="00160195"/>
    <w:rsid w:val="00164D63"/>
    <w:rsid w:val="0016688A"/>
    <w:rsid w:val="0016725C"/>
    <w:rsid w:val="00171DAC"/>
    <w:rsid w:val="00171FF2"/>
    <w:rsid w:val="001726F3"/>
    <w:rsid w:val="00172A9A"/>
    <w:rsid w:val="00173C51"/>
    <w:rsid w:val="00174CC2"/>
    <w:rsid w:val="00176CC6"/>
    <w:rsid w:val="00181BE4"/>
    <w:rsid w:val="00182F9D"/>
    <w:rsid w:val="00185576"/>
    <w:rsid w:val="00185951"/>
    <w:rsid w:val="001913CA"/>
    <w:rsid w:val="00191CD2"/>
    <w:rsid w:val="00196B8B"/>
    <w:rsid w:val="001976FA"/>
    <w:rsid w:val="001A23E5"/>
    <w:rsid w:val="001A2BEA"/>
    <w:rsid w:val="001A3762"/>
    <w:rsid w:val="001A40A7"/>
    <w:rsid w:val="001A4231"/>
    <w:rsid w:val="001A50D4"/>
    <w:rsid w:val="001A5D71"/>
    <w:rsid w:val="001A66A1"/>
    <w:rsid w:val="001A6D8D"/>
    <w:rsid w:val="001A6D93"/>
    <w:rsid w:val="001A7C9E"/>
    <w:rsid w:val="001B30CE"/>
    <w:rsid w:val="001C32EC"/>
    <w:rsid w:val="001C38BD"/>
    <w:rsid w:val="001C4D5A"/>
    <w:rsid w:val="001D237A"/>
    <w:rsid w:val="001D4D5F"/>
    <w:rsid w:val="001D4D90"/>
    <w:rsid w:val="001D7C48"/>
    <w:rsid w:val="001E2095"/>
    <w:rsid w:val="001E34C6"/>
    <w:rsid w:val="001E3DA8"/>
    <w:rsid w:val="001E5581"/>
    <w:rsid w:val="001E5C8E"/>
    <w:rsid w:val="001E5F3B"/>
    <w:rsid w:val="001E5FBA"/>
    <w:rsid w:val="001F1600"/>
    <w:rsid w:val="001F3C70"/>
    <w:rsid w:val="001F689B"/>
    <w:rsid w:val="00200D88"/>
    <w:rsid w:val="00201F68"/>
    <w:rsid w:val="0020287C"/>
    <w:rsid w:val="0020299F"/>
    <w:rsid w:val="00204591"/>
    <w:rsid w:val="002070CE"/>
    <w:rsid w:val="002116DF"/>
    <w:rsid w:val="00211B4D"/>
    <w:rsid w:val="00211CBC"/>
    <w:rsid w:val="00212F2A"/>
    <w:rsid w:val="00214F2B"/>
    <w:rsid w:val="00217880"/>
    <w:rsid w:val="002215A4"/>
    <w:rsid w:val="00222D66"/>
    <w:rsid w:val="00224A8A"/>
    <w:rsid w:val="00226CB5"/>
    <w:rsid w:val="00227131"/>
    <w:rsid w:val="002276B5"/>
    <w:rsid w:val="002309A8"/>
    <w:rsid w:val="00235A3B"/>
    <w:rsid w:val="00236CFE"/>
    <w:rsid w:val="00237D47"/>
    <w:rsid w:val="00237E4A"/>
    <w:rsid w:val="002428E3"/>
    <w:rsid w:val="00243031"/>
    <w:rsid w:val="0024676D"/>
    <w:rsid w:val="00254DA2"/>
    <w:rsid w:val="002559F2"/>
    <w:rsid w:val="0025743A"/>
    <w:rsid w:val="00260BAF"/>
    <w:rsid w:val="00262305"/>
    <w:rsid w:val="002639ED"/>
    <w:rsid w:val="002650F7"/>
    <w:rsid w:val="00271A8E"/>
    <w:rsid w:val="00272C6D"/>
    <w:rsid w:val="00273F3B"/>
    <w:rsid w:val="00274DB7"/>
    <w:rsid w:val="00275984"/>
    <w:rsid w:val="002768E0"/>
    <w:rsid w:val="002770A6"/>
    <w:rsid w:val="002773A7"/>
    <w:rsid w:val="0027745B"/>
    <w:rsid w:val="00280F74"/>
    <w:rsid w:val="00282118"/>
    <w:rsid w:val="00282141"/>
    <w:rsid w:val="002822CA"/>
    <w:rsid w:val="00283576"/>
    <w:rsid w:val="002848B8"/>
    <w:rsid w:val="00284913"/>
    <w:rsid w:val="00286998"/>
    <w:rsid w:val="00287EC4"/>
    <w:rsid w:val="00291AB7"/>
    <w:rsid w:val="002921E3"/>
    <w:rsid w:val="002927BA"/>
    <w:rsid w:val="00292EB2"/>
    <w:rsid w:val="0029422B"/>
    <w:rsid w:val="00295DB0"/>
    <w:rsid w:val="002965D9"/>
    <w:rsid w:val="00296DAE"/>
    <w:rsid w:val="00297CED"/>
    <w:rsid w:val="002A0938"/>
    <w:rsid w:val="002A60BA"/>
    <w:rsid w:val="002B153C"/>
    <w:rsid w:val="002B4075"/>
    <w:rsid w:val="002B4B68"/>
    <w:rsid w:val="002B5199"/>
    <w:rsid w:val="002B52FC"/>
    <w:rsid w:val="002B5F5F"/>
    <w:rsid w:val="002B6E01"/>
    <w:rsid w:val="002B7F2F"/>
    <w:rsid w:val="002B7FF5"/>
    <w:rsid w:val="002C2830"/>
    <w:rsid w:val="002C7BFC"/>
    <w:rsid w:val="002D001A"/>
    <w:rsid w:val="002D1B30"/>
    <w:rsid w:val="002D28E2"/>
    <w:rsid w:val="002D317B"/>
    <w:rsid w:val="002D3587"/>
    <w:rsid w:val="002D502D"/>
    <w:rsid w:val="002D6024"/>
    <w:rsid w:val="002E0F69"/>
    <w:rsid w:val="002E3540"/>
    <w:rsid w:val="002E493E"/>
    <w:rsid w:val="002E4C64"/>
    <w:rsid w:val="002F09C1"/>
    <w:rsid w:val="002F22C4"/>
    <w:rsid w:val="002F25CA"/>
    <w:rsid w:val="002F5147"/>
    <w:rsid w:val="002F6E09"/>
    <w:rsid w:val="002F7ABD"/>
    <w:rsid w:val="003024C4"/>
    <w:rsid w:val="003036B5"/>
    <w:rsid w:val="00303AF7"/>
    <w:rsid w:val="00303B96"/>
    <w:rsid w:val="00303BE7"/>
    <w:rsid w:val="00306537"/>
    <w:rsid w:val="00312597"/>
    <w:rsid w:val="0031456B"/>
    <w:rsid w:val="00315B49"/>
    <w:rsid w:val="00316B3D"/>
    <w:rsid w:val="00322F0D"/>
    <w:rsid w:val="003240B1"/>
    <w:rsid w:val="003240DA"/>
    <w:rsid w:val="00324ECD"/>
    <w:rsid w:val="00327BA5"/>
    <w:rsid w:val="0033005C"/>
    <w:rsid w:val="0033299F"/>
    <w:rsid w:val="0033326F"/>
    <w:rsid w:val="00334154"/>
    <w:rsid w:val="003372C4"/>
    <w:rsid w:val="0033753D"/>
    <w:rsid w:val="00340ECA"/>
    <w:rsid w:val="00341FA0"/>
    <w:rsid w:val="003442ED"/>
    <w:rsid w:val="00344F3D"/>
    <w:rsid w:val="00345299"/>
    <w:rsid w:val="00345EA5"/>
    <w:rsid w:val="00351A8D"/>
    <w:rsid w:val="003526BB"/>
    <w:rsid w:val="00352BCF"/>
    <w:rsid w:val="00352DFB"/>
    <w:rsid w:val="00353328"/>
    <w:rsid w:val="00353932"/>
    <w:rsid w:val="0035464B"/>
    <w:rsid w:val="00361A56"/>
    <w:rsid w:val="0036252A"/>
    <w:rsid w:val="003625F6"/>
    <w:rsid w:val="00364D9D"/>
    <w:rsid w:val="00365F22"/>
    <w:rsid w:val="00367178"/>
    <w:rsid w:val="003673A9"/>
    <w:rsid w:val="00370503"/>
    <w:rsid w:val="00371048"/>
    <w:rsid w:val="003710FD"/>
    <w:rsid w:val="00371455"/>
    <w:rsid w:val="003717A0"/>
    <w:rsid w:val="0037396C"/>
    <w:rsid w:val="00373DD4"/>
    <w:rsid w:val="0037421D"/>
    <w:rsid w:val="00376093"/>
    <w:rsid w:val="00376207"/>
    <w:rsid w:val="003811DA"/>
    <w:rsid w:val="00383DA1"/>
    <w:rsid w:val="00385F30"/>
    <w:rsid w:val="00393696"/>
    <w:rsid w:val="00393963"/>
    <w:rsid w:val="00394976"/>
    <w:rsid w:val="00395575"/>
    <w:rsid w:val="00395672"/>
    <w:rsid w:val="00396920"/>
    <w:rsid w:val="003A06C8"/>
    <w:rsid w:val="003A0C01"/>
    <w:rsid w:val="003A0D7C"/>
    <w:rsid w:val="003A5290"/>
    <w:rsid w:val="003B0155"/>
    <w:rsid w:val="003B2BAB"/>
    <w:rsid w:val="003B2C27"/>
    <w:rsid w:val="003B66A9"/>
    <w:rsid w:val="003B7EE7"/>
    <w:rsid w:val="003C2584"/>
    <w:rsid w:val="003C2CCB"/>
    <w:rsid w:val="003C6124"/>
    <w:rsid w:val="003C67AD"/>
    <w:rsid w:val="003D16BB"/>
    <w:rsid w:val="003D3635"/>
    <w:rsid w:val="003D39EC"/>
    <w:rsid w:val="003D4315"/>
    <w:rsid w:val="003D4B68"/>
    <w:rsid w:val="003D55F1"/>
    <w:rsid w:val="003D5DED"/>
    <w:rsid w:val="003E135A"/>
    <w:rsid w:val="003E1ECC"/>
    <w:rsid w:val="003E2574"/>
    <w:rsid w:val="003E3142"/>
    <w:rsid w:val="003E3758"/>
    <w:rsid w:val="003E3DD5"/>
    <w:rsid w:val="003E4F50"/>
    <w:rsid w:val="003E5468"/>
    <w:rsid w:val="003E6B75"/>
    <w:rsid w:val="003E6C67"/>
    <w:rsid w:val="003F07C6"/>
    <w:rsid w:val="003F10C8"/>
    <w:rsid w:val="003F1F6B"/>
    <w:rsid w:val="003F368C"/>
    <w:rsid w:val="003F3757"/>
    <w:rsid w:val="003F38BD"/>
    <w:rsid w:val="003F44B7"/>
    <w:rsid w:val="003F53AD"/>
    <w:rsid w:val="004008E9"/>
    <w:rsid w:val="00401104"/>
    <w:rsid w:val="00405AB8"/>
    <w:rsid w:val="0040765F"/>
    <w:rsid w:val="00407AE2"/>
    <w:rsid w:val="00411EA6"/>
    <w:rsid w:val="00413123"/>
    <w:rsid w:val="004138AD"/>
    <w:rsid w:val="00413B2E"/>
    <w:rsid w:val="00413D48"/>
    <w:rsid w:val="00413E1E"/>
    <w:rsid w:val="004155CF"/>
    <w:rsid w:val="00415EF5"/>
    <w:rsid w:val="00416B13"/>
    <w:rsid w:val="00417B6E"/>
    <w:rsid w:val="00423771"/>
    <w:rsid w:val="0042515D"/>
    <w:rsid w:val="00427923"/>
    <w:rsid w:val="0043056B"/>
    <w:rsid w:val="0043194E"/>
    <w:rsid w:val="00433E21"/>
    <w:rsid w:val="00434FD2"/>
    <w:rsid w:val="004368F9"/>
    <w:rsid w:val="00441632"/>
    <w:rsid w:val="00441AC2"/>
    <w:rsid w:val="0044249B"/>
    <w:rsid w:val="0044722E"/>
    <w:rsid w:val="0045023C"/>
    <w:rsid w:val="00451A5B"/>
    <w:rsid w:val="00452BCD"/>
    <w:rsid w:val="00452CEA"/>
    <w:rsid w:val="0045774D"/>
    <w:rsid w:val="0046087C"/>
    <w:rsid w:val="004615AB"/>
    <w:rsid w:val="004638E6"/>
    <w:rsid w:val="004642C4"/>
    <w:rsid w:val="00464F59"/>
    <w:rsid w:val="004657AA"/>
    <w:rsid w:val="00465B52"/>
    <w:rsid w:val="0046708E"/>
    <w:rsid w:val="00467C16"/>
    <w:rsid w:val="0047067B"/>
    <w:rsid w:val="004710C3"/>
    <w:rsid w:val="004722B2"/>
    <w:rsid w:val="0047267E"/>
    <w:rsid w:val="00472A65"/>
    <w:rsid w:val="00474463"/>
    <w:rsid w:val="00474B75"/>
    <w:rsid w:val="00480C86"/>
    <w:rsid w:val="00481694"/>
    <w:rsid w:val="00483F0B"/>
    <w:rsid w:val="00490635"/>
    <w:rsid w:val="00491D36"/>
    <w:rsid w:val="00493D55"/>
    <w:rsid w:val="00494758"/>
    <w:rsid w:val="00496319"/>
    <w:rsid w:val="004968D9"/>
    <w:rsid w:val="00497279"/>
    <w:rsid w:val="004A1151"/>
    <w:rsid w:val="004A163B"/>
    <w:rsid w:val="004A1A8A"/>
    <w:rsid w:val="004A1AF7"/>
    <w:rsid w:val="004A1DD4"/>
    <w:rsid w:val="004A2171"/>
    <w:rsid w:val="004A4B15"/>
    <w:rsid w:val="004A5A80"/>
    <w:rsid w:val="004A670A"/>
    <w:rsid w:val="004A7B33"/>
    <w:rsid w:val="004B2425"/>
    <w:rsid w:val="004B3CBF"/>
    <w:rsid w:val="004B3DA9"/>
    <w:rsid w:val="004B5465"/>
    <w:rsid w:val="004B5B3B"/>
    <w:rsid w:val="004B5F80"/>
    <w:rsid w:val="004B70F0"/>
    <w:rsid w:val="004C21A8"/>
    <w:rsid w:val="004C6C32"/>
    <w:rsid w:val="004D0849"/>
    <w:rsid w:val="004D0936"/>
    <w:rsid w:val="004D0E60"/>
    <w:rsid w:val="004D505E"/>
    <w:rsid w:val="004D72CA"/>
    <w:rsid w:val="004E1676"/>
    <w:rsid w:val="004E2242"/>
    <w:rsid w:val="004E42A2"/>
    <w:rsid w:val="004F0A52"/>
    <w:rsid w:val="004F2ED5"/>
    <w:rsid w:val="004F354A"/>
    <w:rsid w:val="004F42FF"/>
    <w:rsid w:val="004F44C2"/>
    <w:rsid w:val="004F6FB7"/>
    <w:rsid w:val="004F79CF"/>
    <w:rsid w:val="005016EB"/>
    <w:rsid w:val="00501F05"/>
    <w:rsid w:val="00502512"/>
    <w:rsid w:val="005026BD"/>
    <w:rsid w:val="00503FD2"/>
    <w:rsid w:val="00505262"/>
    <w:rsid w:val="00506E2A"/>
    <w:rsid w:val="0051093B"/>
    <w:rsid w:val="00512211"/>
    <w:rsid w:val="00512549"/>
    <w:rsid w:val="005142CA"/>
    <w:rsid w:val="00516022"/>
    <w:rsid w:val="005200E1"/>
    <w:rsid w:val="00521CEE"/>
    <w:rsid w:val="00522093"/>
    <w:rsid w:val="0052782D"/>
    <w:rsid w:val="00527BD4"/>
    <w:rsid w:val="00537095"/>
    <w:rsid w:val="005403C8"/>
    <w:rsid w:val="00541629"/>
    <w:rsid w:val="005429DC"/>
    <w:rsid w:val="00542E5A"/>
    <w:rsid w:val="005452FC"/>
    <w:rsid w:val="00554B3A"/>
    <w:rsid w:val="00555DFE"/>
    <w:rsid w:val="005565F9"/>
    <w:rsid w:val="0056250B"/>
    <w:rsid w:val="00563F1B"/>
    <w:rsid w:val="0056583D"/>
    <w:rsid w:val="00566B75"/>
    <w:rsid w:val="00573041"/>
    <w:rsid w:val="00575B80"/>
    <w:rsid w:val="0057620F"/>
    <w:rsid w:val="005818FB"/>
    <w:rsid w:val="005819CE"/>
    <w:rsid w:val="0058298D"/>
    <w:rsid w:val="00584C1A"/>
    <w:rsid w:val="0058748F"/>
    <w:rsid w:val="00590B6E"/>
    <w:rsid w:val="005923D7"/>
    <w:rsid w:val="00593C2B"/>
    <w:rsid w:val="00594650"/>
    <w:rsid w:val="00595231"/>
    <w:rsid w:val="00596166"/>
    <w:rsid w:val="00597DF9"/>
    <w:rsid w:val="00597F64"/>
    <w:rsid w:val="005A1647"/>
    <w:rsid w:val="005A207F"/>
    <w:rsid w:val="005A2F35"/>
    <w:rsid w:val="005A48AF"/>
    <w:rsid w:val="005A750D"/>
    <w:rsid w:val="005B09DF"/>
    <w:rsid w:val="005B09E8"/>
    <w:rsid w:val="005B0F32"/>
    <w:rsid w:val="005B3814"/>
    <w:rsid w:val="005B463E"/>
    <w:rsid w:val="005C34E1"/>
    <w:rsid w:val="005C3FE0"/>
    <w:rsid w:val="005C4715"/>
    <w:rsid w:val="005C57CA"/>
    <w:rsid w:val="005C740C"/>
    <w:rsid w:val="005C79E0"/>
    <w:rsid w:val="005D0C8E"/>
    <w:rsid w:val="005D0DFA"/>
    <w:rsid w:val="005D30F2"/>
    <w:rsid w:val="005D625B"/>
    <w:rsid w:val="005E35C4"/>
    <w:rsid w:val="005E397F"/>
    <w:rsid w:val="005E6471"/>
    <w:rsid w:val="005F0052"/>
    <w:rsid w:val="005F036A"/>
    <w:rsid w:val="005F211A"/>
    <w:rsid w:val="005F3CC1"/>
    <w:rsid w:val="005F62D3"/>
    <w:rsid w:val="005F63B4"/>
    <w:rsid w:val="005F6A49"/>
    <w:rsid w:val="005F6D11"/>
    <w:rsid w:val="00600CF0"/>
    <w:rsid w:val="006048F4"/>
    <w:rsid w:val="00604988"/>
    <w:rsid w:val="0060660A"/>
    <w:rsid w:val="00613068"/>
    <w:rsid w:val="00613B1D"/>
    <w:rsid w:val="006170C8"/>
    <w:rsid w:val="00617A44"/>
    <w:rsid w:val="006202B6"/>
    <w:rsid w:val="00623AE3"/>
    <w:rsid w:val="00624083"/>
    <w:rsid w:val="0062409A"/>
    <w:rsid w:val="00625CD0"/>
    <w:rsid w:val="00625EE0"/>
    <w:rsid w:val="00625F48"/>
    <w:rsid w:val="0062627D"/>
    <w:rsid w:val="00627432"/>
    <w:rsid w:val="00630530"/>
    <w:rsid w:val="00630976"/>
    <w:rsid w:val="00632184"/>
    <w:rsid w:val="00642F63"/>
    <w:rsid w:val="006448E4"/>
    <w:rsid w:val="00645414"/>
    <w:rsid w:val="00647358"/>
    <w:rsid w:val="00651B90"/>
    <w:rsid w:val="00651CEE"/>
    <w:rsid w:val="00653606"/>
    <w:rsid w:val="006540F9"/>
    <w:rsid w:val="00654D07"/>
    <w:rsid w:val="006610E9"/>
    <w:rsid w:val="00661591"/>
    <w:rsid w:val="00663B75"/>
    <w:rsid w:val="00664678"/>
    <w:rsid w:val="006653AD"/>
    <w:rsid w:val="0066632F"/>
    <w:rsid w:val="0066776A"/>
    <w:rsid w:val="00674A89"/>
    <w:rsid w:val="00674F3D"/>
    <w:rsid w:val="00684382"/>
    <w:rsid w:val="00685545"/>
    <w:rsid w:val="006864B3"/>
    <w:rsid w:val="00687494"/>
    <w:rsid w:val="00692D64"/>
    <w:rsid w:val="00693BD6"/>
    <w:rsid w:val="00697556"/>
    <w:rsid w:val="00697615"/>
    <w:rsid w:val="006A10F8"/>
    <w:rsid w:val="006A2100"/>
    <w:rsid w:val="006A2126"/>
    <w:rsid w:val="006A383F"/>
    <w:rsid w:val="006A59B1"/>
    <w:rsid w:val="006A5C3B"/>
    <w:rsid w:val="006A61C0"/>
    <w:rsid w:val="006A72E0"/>
    <w:rsid w:val="006B0BF3"/>
    <w:rsid w:val="006B2A6E"/>
    <w:rsid w:val="006B573C"/>
    <w:rsid w:val="006B6F81"/>
    <w:rsid w:val="006B6FA4"/>
    <w:rsid w:val="006B7303"/>
    <w:rsid w:val="006B775E"/>
    <w:rsid w:val="006B792E"/>
    <w:rsid w:val="006B7BC7"/>
    <w:rsid w:val="006C1433"/>
    <w:rsid w:val="006C2535"/>
    <w:rsid w:val="006C29B7"/>
    <w:rsid w:val="006C441E"/>
    <w:rsid w:val="006C4B90"/>
    <w:rsid w:val="006D0C9A"/>
    <w:rsid w:val="006D1016"/>
    <w:rsid w:val="006D17F2"/>
    <w:rsid w:val="006D3338"/>
    <w:rsid w:val="006D626A"/>
    <w:rsid w:val="006E0D59"/>
    <w:rsid w:val="006E249A"/>
    <w:rsid w:val="006E3546"/>
    <w:rsid w:val="006E3FA9"/>
    <w:rsid w:val="006E68E0"/>
    <w:rsid w:val="006E73DA"/>
    <w:rsid w:val="006E7D82"/>
    <w:rsid w:val="006F038F"/>
    <w:rsid w:val="006F0F93"/>
    <w:rsid w:val="006F31F2"/>
    <w:rsid w:val="006F7494"/>
    <w:rsid w:val="006F751F"/>
    <w:rsid w:val="00703D45"/>
    <w:rsid w:val="00705433"/>
    <w:rsid w:val="00710D83"/>
    <w:rsid w:val="0071102E"/>
    <w:rsid w:val="0071224C"/>
    <w:rsid w:val="00712B71"/>
    <w:rsid w:val="00714DC5"/>
    <w:rsid w:val="00715237"/>
    <w:rsid w:val="00721AE1"/>
    <w:rsid w:val="007232FF"/>
    <w:rsid w:val="007254A5"/>
    <w:rsid w:val="00725748"/>
    <w:rsid w:val="007269E3"/>
    <w:rsid w:val="007329FB"/>
    <w:rsid w:val="00735D88"/>
    <w:rsid w:val="0073720D"/>
    <w:rsid w:val="007374E5"/>
    <w:rsid w:val="00737507"/>
    <w:rsid w:val="00737B96"/>
    <w:rsid w:val="00740712"/>
    <w:rsid w:val="00741F2A"/>
    <w:rsid w:val="00742AB9"/>
    <w:rsid w:val="007431F7"/>
    <w:rsid w:val="00746C31"/>
    <w:rsid w:val="00750467"/>
    <w:rsid w:val="0075114A"/>
    <w:rsid w:val="0075165B"/>
    <w:rsid w:val="00751A6A"/>
    <w:rsid w:val="00754DA1"/>
    <w:rsid w:val="00754FBF"/>
    <w:rsid w:val="007571D2"/>
    <w:rsid w:val="007610AA"/>
    <w:rsid w:val="0076152F"/>
    <w:rsid w:val="00762515"/>
    <w:rsid w:val="00763077"/>
    <w:rsid w:val="00766094"/>
    <w:rsid w:val="007709EF"/>
    <w:rsid w:val="00773BDC"/>
    <w:rsid w:val="00777F27"/>
    <w:rsid w:val="00780CB0"/>
    <w:rsid w:val="00782701"/>
    <w:rsid w:val="0078295E"/>
    <w:rsid w:val="00783559"/>
    <w:rsid w:val="00785C5F"/>
    <w:rsid w:val="0078641E"/>
    <w:rsid w:val="007874C5"/>
    <w:rsid w:val="00790FDF"/>
    <w:rsid w:val="007930E6"/>
    <w:rsid w:val="00793CC3"/>
    <w:rsid w:val="00795418"/>
    <w:rsid w:val="0079551B"/>
    <w:rsid w:val="00797AA5"/>
    <w:rsid w:val="007A0AF2"/>
    <w:rsid w:val="007A11D3"/>
    <w:rsid w:val="007A1D59"/>
    <w:rsid w:val="007A1F12"/>
    <w:rsid w:val="007A26BD"/>
    <w:rsid w:val="007A3609"/>
    <w:rsid w:val="007A4105"/>
    <w:rsid w:val="007B0577"/>
    <w:rsid w:val="007B20BB"/>
    <w:rsid w:val="007B25DE"/>
    <w:rsid w:val="007B4503"/>
    <w:rsid w:val="007B46F5"/>
    <w:rsid w:val="007B4F24"/>
    <w:rsid w:val="007C0469"/>
    <w:rsid w:val="007C26D4"/>
    <w:rsid w:val="007C406E"/>
    <w:rsid w:val="007C413A"/>
    <w:rsid w:val="007C5183"/>
    <w:rsid w:val="007C53DC"/>
    <w:rsid w:val="007C6077"/>
    <w:rsid w:val="007C7573"/>
    <w:rsid w:val="007C9F68"/>
    <w:rsid w:val="007D1533"/>
    <w:rsid w:val="007D1C04"/>
    <w:rsid w:val="007D327B"/>
    <w:rsid w:val="007D7758"/>
    <w:rsid w:val="007E2B20"/>
    <w:rsid w:val="007E53CF"/>
    <w:rsid w:val="007E5AC0"/>
    <w:rsid w:val="007F1FE4"/>
    <w:rsid w:val="007F3646"/>
    <w:rsid w:val="007F439C"/>
    <w:rsid w:val="007F5331"/>
    <w:rsid w:val="007F69BE"/>
    <w:rsid w:val="00800CCA"/>
    <w:rsid w:val="00803D27"/>
    <w:rsid w:val="00806120"/>
    <w:rsid w:val="00806F63"/>
    <w:rsid w:val="00810C93"/>
    <w:rsid w:val="00811636"/>
    <w:rsid w:val="00812028"/>
    <w:rsid w:val="00812DD8"/>
    <w:rsid w:val="00812EBB"/>
    <w:rsid w:val="00813082"/>
    <w:rsid w:val="00814D03"/>
    <w:rsid w:val="008150CB"/>
    <w:rsid w:val="00816182"/>
    <w:rsid w:val="00820371"/>
    <w:rsid w:val="00821FC1"/>
    <w:rsid w:val="00822DC8"/>
    <w:rsid w:val="00823AE2"/>
    <w:rsid w:val="008260BE"/>
    <w:rsid w:val="0083178B"/>
    <w:rsid w:val="00831EE4"/>
    <w:rsid w:val="00832DA6"/>
    <w:rsid w:val="00833695"/>
    <w:rsid w:val="008336B7"/>
    <w:rsid w:val="00833A8E"/>
    <w:rsid w:val="00834D5A"/>
    <w:rsid w:val="00835F25"/>
    <w:rsid w:val="008367B1"/>
    <w:rsid w:val="00836ACA"/>
    <w:rsid w:val="00842CD8"/>
    <w:rsid w:val="008431FA"/>
    <w:rsid w:val="008450FD"/>
    <w:rsid w:val="00847444"/>
    <w:rsid w:val="00850FB0"/>
    <w:rsid w:val="008511DB"/>
    <w:rsid w:val="008517C6"/>
    <w:rsid w:val="008547BA"/>
    <w:rsid w:val="00854EDA"/>
    <w:rsid w:val="00854F9E"/>
    <w:rsid w:val="008553C7"/>
    <w:rsid w:val="00857FEB"/>
    <w:rsid w:val="008601AF"/>
    <w:rsid w:val="00864409"/>
    <w:rsid w:val="00872271"/>
    <w:rsid w:val="0087309E"/>
    <w:rsid w:val="00881D1A"/>
    <w:rsid w:val="00883137"/>
    <w:rsid w:val="00883B8A"/>
    <w:rsid w:val="00887F1D"/>
    <w:rsid w:val="00891019"/>
    <w:rsid w:val="0089247B"/>
    <w:rsid w:val="00894A3B"/>
    <w:rsid w:val="00894D94"/>
    <w:rsid w:val="008A079D"/>
    <w:rsid w:val="008A1F5D"/>
    <w:rsid w:val="008A1FE5"/>
    <w:rsid w:val="008A28F5"/>
    <w:rsid w:val="008A3D83"/>
    <w:rsid w:val="008A5950"/>
    <w:rsid w:val="008A6956"/>
    <w:rsid w:val="008B1198"/>
    <w:rsid w:val="008B3471"/>
    <w:rsid w:val="008B3929"/>
    <w:rsid w:val="008B4125"/>
    <w:rsid w:val="008B4CB3"/>
    <w:rsid w:val="008B567B"/>
    <w:rsid w:val="008B71FB"/>
    <w:rsid w:val="008B7B24"/>
    <w:rsid w:val="008C356D"/>
    <w:rsid w:val="008C39F4"/>
    <w:rsid w:val="008C3A08"/>
    <w:rsid w:val="008C4752"/>
    <w:rsid w:val="008C6C88"/>
    <w:rsid w:val="008D2959"/>
    <w:rsid w:val="008D43B5"/>
    <w:rsid w:val="008D554C"/>
    <w:rsid w:val="008D63D9"/>
    <w:rsid w:val="008E0B3F"/>
    <w:rsid w:val="008E49AD"/>
    <w:rsid w:val="008E6784"/>
    <w:rsid w:val="008E698E"/>
    <w:rsid w:val="008E6DD9"/>
    <w:rsid w:val="008F19D1"/>
    <w:rsid w:val="008F2584"/>
    <w:rsid w:val="008F2F39"/>
    <w:rsid w:val="008F3246"/>
    <w:rsid w:val="008F3C1B"/>
    <w:rsid w:val="008F4D8A"/>
    <w:rsid w:val="008F508C"/>
    <w:rsid w:val="00900EB3"/>
    <w:rsid w:val="0090108B"/>
    <w:rsid w:val="00901BE9"/>
    <w:rsid w:val="0090271B"/>
    <w:rsid w:val="00902864"/>
    <w:rsid w:val="00903AB2"/>
    <w:rsid w:val="00905F9A"/>
    <w:rsid w:val="00906DC7"/>
    <w:rsid w:val="00910642"/>
    <w:rsid w:val="00910DDF"/>
    <w:rsid w:val="00911023"/>
    <w:rsid w:val="0091353F"/>
    <w:rsid w:val="00920A42"/>
    <w:rsid w:val="0092137B"/>
    <w:rsid w:val="00922290"/>
    <w:rsid w:val="0092436C"/>
    <w:rsid w:val="00926AE2"/>
    <w:rsid w:val="00930B13"/>
    <w:rsid w:val="009311C8"/>
    <w:rsid w:val="0093312A"/>
    <w:rsid w:val="00933376"/>
    <w:rsid w:val="00933A2F"/>
    <w:rsid w:val="00944DDC"/>
    <w:rsid w:val="0095123B"/>
    <w:rsid w:val="00956E5D"/>
    <w:rsid w:val="00961259"/>
    <w:rsid w:val="009659D3"/>
    <w:rsid w:val="009676AA"/>
    <w:rsid w:val="0097145D"/>
    <w:rsid w:val="009716D8"/>
    <w:rsid w:val="009718F9"/>
    <w:rsid w:val="00971F42"/>
    <w:rsid w:val="00972FB9"/>
    <w:rsid w:val="00974BF6"/>
    <w:rsid w:val="00975112"/>
    <w:rsid w:val="0097524C"/>
    <w:rsid w:val="00980D55"/>
    <w:rsid w:val="00981332"/>
    <w:rsid w:val="00981768"/>
    <w:rsid w:val="00981F21"/>
    <w:rsid w:val="00983135"/>
    <w:rsid w:val="00983E8F"/>
    <w:rsid w:val="0098788A"/>
    <w:rsid w:val="00990774"/>
    <w:rsid w:val="00993C8B"/>
    <w:rsid w:val="00993DED"/>
    <w:rsid w:val="00994FDA"/>
    <w:rsid w:val="00996C77"/>
    <w:rsid w:val="00996CA2"/>
    <w:rsid w:val="00997293"/>
    <w:rsid w:val="0099733F"/>
    <w:rsid w:val="009A0496"/>
    <w:rsid w:val="009A1653"/>
    <w:rsid w:val="009A3153"/>
    <w:rsid w:val="009A31BF"/>
    <w:rsid w:val="009A3B71"/>
    <w:rsid w:val="009A48F0"/>
    <w:rsid w:val="009A4DAF"/>
    <w:rsid w:val="009A5551"/>
    <w:rsid w:val="009A61BC"/>
    <w:rsid w:val="009A6287"/>
    <w:rsid w:val="009A78C6"/>
    <w:rsid w:val="009B0138"/>
    <w:rsid w:val="009B0FE9"/>
    <w:rsid w:val="009B173A"/>
    <w:rsid w:val="009B357D"/>
    <w:rsid w:val="009B5142"/>
    <w:rsid w:val="009C1107"/>
    <w:rsid w:val="009C17CB"/>
    <w:rsid w:val="009C2038"/>
    <w:rsid w:val="009C3F20"/>
    <w:rsid w:val="009C52AA"/>
    <w:rsid w:val="009C7CA1"/>
    <w:rsid w:val="009D043D"/>
    <w:rsid w:val="009D0F19"/>
    <w:rsid w:val="009D1D24"/>
    <w:rsid w:val="009D336D"/>
    <w:rsid w:val="009D4BBC"/>
    <w:rsid w:val="009E04B6"/>
    <w:rsid w:val="009E3C59"/>
    <w:rsid w:val="009E622A"/>
    <w:rsid w:val="009F2A47"/>
    <w:rsid w:val="009F3259"/>
    <w:rsid w:val="009F35B7"/>
    <w:rsid w:val="009F51F4"/>
    <w:rsid w:val="009F644A"/>
    <w:rsid w:val="00A0193A"/>
    <w:rsid w:val="00A02A8C"/>
    <w:rsid w:val="00A037D5"/>
    <w:rsid w:val="00A03F4F"/>
    <w:rsid w:val="00A04567"/>
    <w:rsid w:val="00A056DE"/>
    <w:rsid w:val="00A06C57"/>
    <w:rsid w:val="00A1232A"/>
    <w:rsid w:val="00A128AD"/>
    <w:rsid w:val="00A159BC"/>
    <w:rsid w:val="00A16275"/>
    <w:rsid w:val="00A16D7E"/>
    <w:rsid w:val="00A21E76"/>
    <w:rsid w:val="00A22B19"/>
    <w:rsid w:val="00A23BC8"/>
    <w:rsid w:val="00A245F8"/>
    <w:rsid w:val="00A263F5"/>
    <w:rsid w:val="00A276B1"/>
    <w:rsid w:val="00A30E68"/>
    <w:rsid w:val="00A31933"/>
    <w:rsid w:val="00A31F4A"/>
    <w:rsid w:val="00A329D2"/>
    <w:rsid w:val="00A32F6E"/>
    <w:rsid w:val="00A33B9A"/>
    <w:rsid w:val="00A34AA0"/>
    <w:rsid w:val="00A3715C"/>
    <w:rsid w:val="00A413B4"/>
    <w:rsid w:val="00A41FE2"/>
    <w:rsid w:val="00A46FEF"/>
    <w:rsid w:val="00A4787D"/>
    <w:rsid w:val="00A47948"/>
    <w:rsid w:val="00A50CF6"/>
    <w:rsid w:val="00A52238"/>
    <w:rsid w:val="00A5334F"/>
    <w:rsid w:val="00A55842"/>
    <w:rsid w:val="00A55B25"/>
    <w:rsid w:val="00A56946"/>
    <w:rsid w:val="00A6170E"/>
    <w:rsid w:val="00A63B8C"/>
    <w:rsid w:val="00A63F99"/>
    <w:rsid w:val="00A65864"/>
    <w:rsid w:val="00A662E7"/>
    <w:rsid w:val="00A70431"/>
    <w:rsid w:val="00A7132B"/>
    <w:rsid w:val="00A715F8"/>
    <w:rsid w:val="00A72477"/>
    <w:rsid w:val="00A73CA2"/>
    <w:rsid w:val="00A742D4"/>
    <w:rsid w:val="00A750A3"/>
    <w:rsid w:val="00A758A7"/>
    <w:rsid w:val="00A77F6F"/>
    <w:rsid w:val="00A81590"/>
    <w:rsid w:val="00A8257E"/>
    <w:rsid w:val="00A831FD"/>
    <w:rsid w:val="00A83352"/>
    <w:rsid w:val="00A850A2"/>
    <w:rsid w:val="00A86EB9"/>
    <w:rsid w:val="00A91FA3"/>
    <w:rsid w:val="00A9261B"/>
    <w:rsid w:val="00A927D3"/>
    <w:rsid w:val="00A938FA"/>
    <w:rsid w:val="00AA1E71"/>
    <w:rsid w:val="00AA3452"/>
    <w:rsid w:val="00AA7FC9"/>
    <w:rsid w:val="00AB031F"/>
    <w:rsid w:val="00AB237D"/>
    <w:rsid w:val="00AB5933"/>
    <w:rsid w:val="00AB5BD0"/>
    <w:rsid w:val="00AB7EB7"/>
    <w:rsid w:val="00AC5740"/>
    <w:rsid w:val="00AD0054"/>
    <w:rsid w:val="00AD181C"/>
    <w:rsid w:val="00AD1E32"/>
    <w:rsid w:val="00AD41FA"/>
    <w:rsid w:val="00AD47AB"/>
    <w:rsid w:val="00AD5022"/>
    <w:rsid w:val="00AE013D"/>
    <w:rsid w:val="00AE11B7"/>
    <w:rsid w:val="00AE1950"/>
    <w:rsid w:val="00AE4CF2"/>
    <w:rsid w:val="00AE7F68"/>
    <w:rsid w:val="00AF2321"/>
    <w:rsid w:val="00AF52F6"/>
    <w:rsid w:val="00AF52FD"/>
    <w:rsid w:val="00AF54A8"/>
    <w:rsid w:val="00AF7237"/>
    <w:rsid w:val="00B0043A"/>
    <w:rsid w:val="00B00D75"/>
    <w:rsid w:val="00B0602F"/>
    <w:rsid w:val="00B070CB"/>
    <w:rsid w:val="00B12456"/>
    <w:rsid w:val="00B1422D"/>
    <w:rsid w:val="00B145F0"/>
    <w:rsid w:val="00B1585E"/>
    <w:rsid w:val="00B16C5E"/>
    <w:rsid w:val="00B17414"/>
    <w:rsid w:val="00B211F7"/>
    <w:rsid w:val="00B241DF"/>
    <w:rsid w:val="00B259C8"/>
    <w:rsid w:val="00B261AD"/>
    <w:rsid w:val="00B26CCF"/>
    <w:rsid w:val="00B270ED"/>
    <w:rsid w:val="00B30D3B"/>
    <w:rsid w:val="00B30FC2"/>
    <w:rsid w:val="00B31A25"/>
    <w:rsid w:val="00B331A2"/>
    <w:rsid w:val="00B33F40"/>
    <w:rsid w:val="00B35754"/>
    <w:rsid w:val="00B36DFA"/>
    <w:rsid w:val="00B425F0"/>
    <w:rsid w:val="00B42680"/>
    <w:rsid w:val="00B42AFE"/>
    <w:rsid w:val="00B42DFA"/>
    <w:rsid w:val="00B454A0"/>
    <w:rsid w:val="00B514BA"/>
    <w:rsid w:val="00B531DD"/>
    <w:rsid w:val="00B54258"/>
    <w:rsid w:val="00B55014"/>
    <w:rsid w:val="00B62232"/>
    <w:rsid w:val="00B64E53"/>
    <w:rsid w:val="00B65387"/>
    <w:rsid w:val="00B65B12"/>
    <w:rsid w:val="00B66429"/>
    <w:rsid w:val="00B70BF3"/>
    <w:rsid w:val="00B71DC2"/>
    <w:rsid w:val="00B721C9"/>
    <w:rsid w:val="00B77056"/>
    <w:rsid w:val="00B77666"/>
    <w:rsid w:val="00B845A2"/>
    <w:rsid w:val="00B849F5"/>
    <w:rsid w:val="00B84D00"/>
    <w:rsid w:val="00B8556A"/>
    <w:rsid w:val="00B86D2C"/>
    <w:rsid w:val="00B91CFC"/>
    <w:rsid w:val="00B93893"/>
    <w:rsid w:val="00BA1397"/>
    <w:rsid w:val="00BA1974"/>
    <w:rsid w:val="00BA2C13"/>
    <w:rsid w:val="00BA5537"/>
    <w:rsid w:val="00BA6D79"/>
    <w:rsid w:val="00BA7E0A"/>
    <w:rsid w:val="00BB15FE"/>
    <w:rsid w:val="00BB7C83"/>
    <w:rsid w:val="00BC2C00"/>
    <w:rsid w:val="00BC3B53"/>
    <w:rsid w:val="00BC3B96"/>
    <w:rsid w:val="00BC4AE3"/>
    <w:rsid w:val="00BC5B28"/>
    <w:rsid w:val="00BD2370"/>
    <w:rsid w:val="00BD37A1"/>
    <w:rsid w:val="00BD75EF"/>
    <w:rsid w:val="00BD7A32"/>
    <w:rsid w:val="00BE1A1C"/>
    <w:rsid w:val="00BE3F88"/>
    <w:rsid w:val="00BE4756"/>
    <w:rsid w:val="00BE51EF"/>
    <w:rsid w:val="00BE5ED9"/>
    <w:rsid w:val="00BE7800"/>
    <w:rsid w:val="00BE7B41"/>
    <w:rsid w:val="00BF218F"/>
    <w:rsid w:val="00BF4162"/>
    <w:rsid w:val="00BF761B"/>
    <w:rsid w:val="00C04BFA"/>
    <w:rsid w:val="00C05934"/>
    <w:rsid w:val="00C10771"/>
    <w:rsid w:val="00C10AA1"/>
    <w:rsid w:val="00C15A91"/>
    <w:rsid w:val="00C206F1"/>
    <w:rsid w:val="00C217E1"/>
    <w:rsid w:val="00C219B1"/>
    <w:rsid w:val="00C236D2"/>
    <w:rsid w:val="00C2655A"/>
    <w:rsid w:val="00C30067"/>
    <w:rsid w:val="00C323A3"/>
    <w:rsid w:val="00C33A19"/>
    <w:rsid w:val="00C3497D"/>
    <w:rsid w:val="00C35560"/>
    <w:rsid w:val="00C37FE6"/>
    <w:rsid w:val="00C4015B"/>
    <w:rsid w:val="00C40C60"/>
    <w:rsid w:val="00C41594"/>
    <w:rsid w:val="00C42E8E"/>
    <w:rsid w:val="00C43FB6"/>
    <w:rsid w:val="00C43FE6"/>
    <w:rsid w:val="00C46902"/>
    <w:rsid w:val="00C4744C"/>
    <w:rsid w:val="00C50583"/>
    <w:rsid w:val="00C5258E"/>
    <w:rsid w:val="00C530C9"/>
    <w:rsid w:val="00C54549"/>
    <w:rsid w:val="00C54CA1"/>
    <w:rsid w:val="00C619A7"/>
    <w:rsid w:val="00C65F34"/>
    <w:rsid w:val="00C73D5F"/>
    <w:rsid w:val="00C7562F"/>
    <w:rsid w:val="00C82AFE"/>
    <w:rsid w:val="00C83DBC"/>
    <w:rsid w:val="00C87854"/>
    <w:rsid w:val="00C87E2F"/>
    <w:rsid w:val="00C908A1"/>
    <w:rsid w:val="00C92EF0"/>
    <w:rsid w:val="00C935C3"/>
    <w:rsid w:val="00C93A40"/>
    <w:rsid w:val="00C9404E"/>
    <w:rsid w:val="00C97C80"/>
    <w:rsid w:val="00CA47D3"/>
    <w:rsid w:val="00CA5310"/>
    <w:rsid w:val="00CA54FD"/>
    <w:rsid w:val="00CA6533"/>
    <w:rsid w:val="00CA6A25"/>
    <w:rsid w:val="00CA6A3F"/>
    <w:rsid w:val="00CA7C99"/>
    <w:rsid w:val="00CB10F1"/>
    <w:rsid w:val="00CB123E"/>
    <w:rsid w:val="00CB2BCA"/>
    <w:rsid w:val="00CB2CFA"/>
    <w:rsid w:val="00CB4430"/>
    <w:rsid w:val="00CB4458"/>
    <w:rsid w:val="00CB6F0B"/>
    <w:rsid w:val="00CC0DDB"/>
    <w:rsid w:val="00CC1E1E"/>
    <w:rsid w:val="00CC2E93"/>
    <w:rsid w:val="00CC4D66"/>
    <w:rsid w:val="00CC6290"/>
    <w:rsid w:val="00CC6947"/>
    <w:rsid w:val="00CC7B6B"/>
    <w:rsid w:val="00CD05F7"/>
    <w:rsid w:val="00CD0A25"/>
    <w:rsid w:val="00CD233D"/>
    <w:rsid w:val="00CD3499"/>
    <w:rsid w:val="00CD362D"/>
    <w:rsid w:val="00CE0DCC"/>
    <w:rsid w:val="00CE101D"/>
    <w:rsid w:val="00CE1814"/>
    <w:rsid w:val="00CE1A95"/>
    <w:rsid w:val="00CE1C84"/>
    <w:rsid w:val="00CE368E"/>
    <w:rsid w:val="00CE5048"/>
    <w:rsid w:val="00CE5055"/>
    <w:rsid w:val="00CE5290"/>
    <w:rsid w:val="00CE5E94"/>
    <w:rsid w:val="00CF053F"/>
    <w:rsid w:val="00CF1A17"/>
    <w:rsid w:val="00D0321F"/>
    <w:rsid w:val="00D0375A"/>
    <w:rsid w:val="00D0609E"/>
    <w:rsid w:val="00D078E1"/>
    <w:rsid w:val="00D100E9"/>
    <w:rsid w:val="00D13640"/>
    <w:rsid w:val="00D17942"/>
    <w:rsid w:val="00D21E4B"/>
    <w:rsid w:val="00D22441"/>
    <w:rsid w:val="00D23522"/>
    <w:rsid w:val="00D2604E"/>
    <w:rsid w:val="00D264D6"/>
    <w:rsid w:val="00D26E87"/>
    <w:rsid w:val="00D30913"/>
    <w:rsid w:val="00D32F00"/>
    <w:rsid w:val="00D33545"/>
    <w:rsid w:val="00D33BF0"/>
    <w:rsid w:val="00D33DE0"/>
    <w:rsid w:val="00D358B8"/>
    <w:rsid w:val="00D36447"/>
    <w:rsid w:val="00D41ADD"/>
    <w:rsid w:val="00D421F2"/>
    <w:rsid w:val="00D45A30"/>
    <w:rsid w:val="00D4714F"/>
    <w:rsid w:val="00D47579"/>
    <w:rsid w:val="00D516BE"/>
    <w:rsid w:val="00D5423B"/>
    <w:rsid w:val="00D54E6A"/>
    <w:rsid w:val="00D54F4E"/>
    <w:rsid w:val="00D56E01"/>
    <w:rsid w:val="00D57A56"/>
    <w:rsid w:val="00D604B3"/>
    <w:rsid w:val="00D605D9"/>
    <w:rsid w:val="00D60BA4"/>
    <w:rsid w:val="00D62362"/>
    <w:rsid w:val="00D62419"/>
    <w:rsid w:val="00D6519A"/>
    <w:rsid w:val="00D77870"/>
    <w:rsid w:val="00D80875"/>
    <w:rsid w:val="00D80977"/>
    <w:rsid w:val="00D80CCE"/>
    <w:rsid w:val="00D819E1"/>
    <w:rsid w:val="00D82BE4"/>
    <w:rsid w:val="00D8572F"/>
    <w:rsid w:val="00D86453"/>
    <w:rsid w:val="00D86E58"/>
    <w:rsid w:val="00D86EEA"/>
    <w:rsid w:val="00D87D03"/>
    <w:rsid w:val="00D930B2"/>
    <w:rsid w:val="00D9360B"/>
    <w:rsid w:val="00D95C88"/>
    <w:rsid w:val="00D97B2E"/>
    <w:rsid w:val="00DA12C0"/>
    <w:rsid w:val="00DA1CB8"/>
    <w:rsid w:val="00DA241E"/>
    <w:rsid w:val="00DA4C0A"/>
    <w:rsid w:val="00DA5FEB"/>
    <w:rsid w:val="00DA63BD"/>
    <w:rsid w:val="00DA7891"/>
    <w:rsid w:val="00DB36FE"/>
    <w:rsid w:val="00DB533A"/>
    <w:rsid w:val="00DB60AE"/>
    <w:rsid w:val="00DB6307"/>
    <w:rsid w:val="00DB7F7D"/>
    <w:rsid w:val="00DC2106"/>
    <w:rsid w:val="00DC3BBE"/>
    <w:rsid w:val="00DC4033"/>
    <w:rsid w:val="00DC45A8"/>
    <w:rsid w:val="00DC4C0B"/>
    <w:rsid w:val="00DC5806"/>
    <w:rsid w:val="00DC75E8"/>
    <w:rsid w:val="00DD0ECA"/>
    <w:rsid w:val="00DD135E"/>
    <w:rsid w:val="00DD1DCD"/>
    <w:rsid w:val="00DD28BF"/>
    <w:rsid w:val="00DD2D5F"/>
    <w:rsid w:val="00DD338F"/>
    <w:rsid w:val="00DD3E06"/>
    <w:rsid w:val="00DD66F2"/>
    <w:rsid w:val="00DD6C68"/>
    <w:rsid w:val="00DE1902"/>
    <w:rsid w:val="00DE19D5"/>
    <w:rsid w:val="00DE205D"/>
    <w:rsid w:val="00DE3FE0"/>
    <w:rsid w:val="00DE578A"/>
    <w:rsid w:val="00DE75F0"/>
    <w:rsid w:val="00DF2583"/>
    <w:rsid w:val="00DF2CEC"/>
    <w:rsid w:val="00DF3263"/>
    <w:rsid w:val="00DF43E4"/>
    <w:rsid w:val="00DF48BF"/>
    <w:rsid w:val="00DF54D9"/>
    <w:rsid w:val="00DF5FEF"/>
    <w:rsid w:val="00DF7283"/>
    <w:rsid w:val="00E002B9"/>
    <w:rsid w:val="00E00566"/>
    <w:rsid w:val="00E01A59"/>
    <w:rsid w:val="00E027B9"/>
    <w:rsid w:val="00E07C71"/>
    <w:rsid w:val="00E10029"/>
    <w:rsid w:val="00E10DC6"/>
    <w:rsid w:val="00E11F8E"/>
    <w:rsid w:val="00E13018"/>
    <w:rsid w:val="00E15881"/>
    <w:rsid w:val="00E16A8F"/>
    <w:rsid w:val="00E204EF"/>
    <w:rsid w:val="00E20F3B"/>
    <w:rsid w:val="00E21DE3"/>
    <w:rsid w:val="00E273C5"/>
    <w:rsid w:val="00E27E56"/>
    <w:rsid w:val="00E307D1"/>
    <w:rsid w:val="00E3463F"/>
    <w:rsid w:val="00E3731D"/>
    <w:rsid w:val="00E42C42"/>
    <w:rsid w:val="00E42DD6"/>
    <w:rsid w:val="00E43DA1"/>
    <w:rsid w:val="00E46046"/>
    <w:rsid w:val="00E46369"/>
    <w:rsid w:val="00E51469"/>
    <w:rsid w:val="00E52A17"/>
    <w:rsid w:val="00E536AF"/>
    <w:rsid w:val="00E568B4"/>
    <w:rsid w:val="00E62B60"/>
    <w:rsid w:val="00E634E3"/>
    <w:rsid w:val="00E65CA0"/>
    <w:rsid w:val="00E671E0"/>
    <w:rsid w:val="00E717C4"/>
    <w:rsid w:val="00E74672"/>
    <w:rsid w:val="00E77E18"/>
    <w:rsid w:val="00E77F89"/>
    <w:rsid w:val="00E80330"/>
    <w:rsid w:val="00E806C5"/>
    <w:rsid w:val="00E80E71"/>
    <w:rsid w:val="00E828BC"/>
    <w:rsid w:val="00E850D3"/>
    <w:rsid w:val="00E853D6"/>
    <w:rsid w:val="00E876B9"/>
    <w:rsid w:val="00E905E5"/>
    <w:rsid w:val="00EA14D3"/>
    <w:rsid w:val="00EA169C"/>
    <w:rsid w:val="00EA213E"/>
    <w:rsid w:val="00EA5136"/>
    <w:rsid w:val="00EA6C7C"/>
    <w:rsid w:val="00EA7CBB"/>
    <w:rsid w:val="00EC0DFF"/>
    <w:rsid w:val="00EC146F"/>
    <w:rsid w:val="00EC237D"/>
    <w:rsid w:val="00EC2918"/>
    <w:rsid w:val="00EC2B91"/>
    <w:rsid w:val="00EC3916"/>
    <w:rsid w:val="00EC4450"/>
    <w:rsid w:val="00EC4D0E"/>
    <w:rsid w:val="00EC4E2B"/>
    <w:rsid w:val="00EC71E5"/>
    <w:rsid w:val="00ED072A"/>
    <w:rsid w:val="00ED088D"/>
    <w:rsid w:val="00ED353E"/>
    <w:rsid w:val="00ED4806"/>
    <w:rsid w:val="00ED539E"/>
    <w:rsid w:val="00ED60A5"/>
    <w:rsid w:val="00EE4A1F"/>
    <w:rsid w:val="00EE4A4D"/>
    <w:rsid w:val="00EE4C2D"/>
    <w:rsid w:val="00EF0C1E"/>
    <w:rsid w:val="00EF1003"/>
    <w:rsid w:val="00EF1B5A"/>
    <w:rsid w:val="00EF24FB"/>
    <w:rsid w:val="00EF27F4"/>
    <w:rsid w:val="00EF2CCA"/>
    <w:rsid w:val="00EF495B"/>
    <w:rsid w:val="00EF502D"/>
    <w:rsid w:val="00EF59E3"/>
    <w:rsid w:val="00EF60DC"/>
    <w:rsid w:val="00EF7B1E"/>
    <w:rsid w:val="00F00F54"/>
    <w:rsid w:val="00F03963"/>
    <w:rsid w:val="00F063BD"/>
    <w:rsid w:val="00F0669D"/>
    <w:rsid w:val="00F10C79"/>
    <w:rsid w:val="00F11068"/>
    <w:rsid w:val="00F11331"/>
    <w:rsid w:val="00F1256D"/>
    <w:rsid w:val="00F13A4E"/>
    <w:rsid w:val="00F17047"/>
    <w:rsid w:val="00F172BB"/>
    <w:rsid w:val="00F17B10"/>
    <w:rsid w:val="00F2001C"/>
    <w:rsid w:val="00F21BEF"/>
    <w:rsid w:val="00F2315B"/>
    <w:rsid w:val="00F231CC"/>
    <w:rsid w:val="00F2335D"/>
    <w:rsid w:val="00F23F43"/>
    <w:rsid w:val="00F23F7A"/>
    <w:rsid w:val="00F2410E"/>
    <w:rsid w:val="00F2604D"/>
    <w:rsid w:val="00F26B88"/>
    <w:rsid w:val="00F30A11"/>
    <w:rsid w:val="00F31431"/>
    <w:rsid w:val="00F323ED"/>
    <w:rsid w:val="00F33485"/>
    <w:rsid w:val="00F34805"/>
    <w:rsid w:val="00F41A6F"/>
    <w:rsid w:val="00F45A25"/>
    <w:rsid w:val="00F461FE"/>
    <w:rsid w:val="00F47C81"/>
    <w:rsid w:val="00F50F86"/>
    <w:rsid w:val="00F518BF"/>
    <w:rsid w:val="00F5231F"/>
    <w:rsid w:val="00F53F91"/>
    <w:rsid w:val="00F5561A"/>
    <w:rsid w:val="00F565F6"/>
    <w:rsid w:val="00F56ED4"/>
    <w:rsid w:val="00F57AB9"/>
    <w:rsid w:val="00F602A4"/>
    <w:rsid w:val="00F61569"/>
    <w:rsid w:val="00F61A72"/>
    <w:rsid w:val="00F62B67"/>
    <w:rsid w:val="00F63F93"/>
    <w:rsid w:val="00F66F13"/>
    <w:rsid w:val="00F670D3"/>
    <w:rsid w:val="00F70298"/>
    <w:rsid w:val="00F74073"/>
    <w:rsid w:val="00F75603"/>
    <w:rsid w:val="00F776EE"/>
    <w:rsid w:val="00F77A4D"/>
    <w:rsid w:val="00F834B4"/>
    <w:rsid w:val="00F845B4"/>
    <w:rsid w:val="00F85DD7"/>
    <w:rsid w:val="00F8713B"/>
    <w:rsid w:val="00F93F9E"/>
    <w:rsid w:val="00F94406"/>
    <w:rsid w:val="00F9661E"/>
    <w:rsid w:val="00FA0F24"/>
    <w:rsid w:val="00FA2CD7"/>
    <w:rsid w:val="00FA6DE0"/>
    <w:rsid w:val="00FB06ED"/>
    <w:rsid w:val="00FB6960"/>
    <w:rsid w:val="00FB6D70"/>
    <w:rsid w:val="00FC1DBC"/>
    <w:rsid w:val="00FC2311"/>
    <w:rsid w:val="00FC3165"/>
    <w:rsid w:val="00FC36AB"/>
    <w:rsid w:val="00FC4131"/>
    <w:rsid w:val="00FC4300"/>
    <w:rsid w:val="00FC7F66"/>
    <w:rsid w:val="00FD1DAB"/>
    <w:rsid w:val="00FD520B"/>
    <w:rsid w:val="00FD5776"/>
    <w:rsid w:val="00FE1CB6"/>
    <w:rsid w:val="00FE2CEA"/>
    <w:rsid w:val="00FE486B"/>
    <w:rsid w:val="00FE4F08"/>
    <w:rsid w:val="00FE6968"/>
    <w:rsid w:val="00FF053F"/>
    <w:rsid w:val="00FF0BCA"/>
    <w:rsid w:val="00FF10CE"/>
    <w:rsid w:val="00FF18DF"/>
    <w:rsid w:val="00FF192E"/>
    <w:rsid w:val="00FF1DF1"/>
    <w:rsid w:val="00FF2D1D"/>
    <w:rsid w:val="01775374"/>
    <w:rsid w:val="01C7A3EB"/>
    <w:rsid w:val="01C7C1DB"/>
    <w:rsid w:val="02D29312"/>
    <w:rsid w:val="039233CD"/>
    <w:rsid w:val="03D62A78"/>
    <w:rsid w:val="04210DD5"/>
    <w:rsid w:val="0457DC36"/>
    <w:rsid w:val="0490880F"/>
    <w:rsid w:val="05317913"/>
    <w:rsid w:val="0619D8D9"/>
    <w:rsid w:val="0668D267"/>
    <w:rsid w:val="075135D2"/>
    <w:rsid w:val="07845FCB"/>
    <w:rsid w:val="08CE81F2"/>
    <w:rsid w:val="091DDF7D"/>
    <w:rsid w:val="092F8E45"/>
    <w:rsid w:val="09C2A04E"/>
    <w:rsid w:val="09DA4719"/>
    <w:rsid w:val="0ADAFBE1"/>
    <w:rsid w:val="0AF24CEB"/>
    <w:rsid w:val="0BE7D1D7"/>
    <w:rsid w:val="0CC67B75"/>
    <w:rsid w:val="0CEB8F1A"/>
    <w:rsid w:val="0E8E9708"/>
    <w:rsid w:val="0E9CAAA3"/>
    <w:rsid w:val="0FA89F71"/>
    <w:rsid w:val="0FE154D2"/>
    <w:rsid w:val="100CACF4"/>
    <w:rsid w:val="11494433"/>
    <w:rsid w:val="11BB9FBF"/>
    <w:rsid w:val="11D88677"/>
    <w:rsid w:val="15CF2C5D"/>
    <w:rsid w:val="16BA0905"/>
    <w:rsid w:val="16C1C7A4"/>
    <w:rsid w:val="16FEB46E"/>
    <w:rsid w:val="17C2BBDC"/>
    <w:rsid w:val="1889527F"/>
    <w:rsid w:val="1893AC66"/>
    <w:rsid w:val="18FA283D"/>
    <w:rsid w:val="1B182298"/>
    <w:rsid w:val="1BAE48A9"/>
    <w:rsid w:val="1BE8FC1F"/>
    <w:rsid w:val="1C110169"/>
    <w:rsid w:val="1C348161"/>
    <w:rsid w:val="1C36937D"/>
    <w:rsid w:val="1E6518CC"/>
    <w:rsid w:val="1ECAEF67"/>
    <w:rsid w:val="1EF9FCCB"/>
    <w:rsid w:val="1F3BB635"/>
    <w:rsid w:val="1F73D71A"/>
    <w:rsid w:val="1FE28F4F"/>
    <w:rsid w:val="20241937"/>
    <w:rsid w:val="20600463"/>
    <w:rsid w:val="234456B9"/>
    <w:rsid w:val="238368EB"/>
    <w:rsid w:val="24029C04"/>
    <w:rsid w:val="24490528"/>
    <w:rsid w:val="2637270B"/>
    <w:rsid w:val="2687C955"/>
    <w:rsid w:val="26AFEEAF"/>
    <w:rsid w:val="272EE00D"/>
    <w:rsid w:val="276F9D07"/>
    <w:rsid w:val="278C411A"/>
    <w:rsid w:val="27C3AF61"/>
    <w:rsid w:val="290A71AE"/>
    <w:rsid w:val="2944A69B"/>
    <w:rsid w:val="29A22131"/>
    <w:rsid w:val="2ACB66E0"/>
    <w:rsid w:val="2BCDFD2F"/>
    <w:rsid w:val="2D2250DD"/>
    <w:rsid w:val="2F1C08E8"/>
    <w:rsid w:val="2F98566C"/>
    <w:rsid w:val="2FBD1E0C"/>
    <w:rsid w:val="2FEDE9E0"/>
    <w:rsid w:val="304BAA02"/>
    <w:rsid w:val="3215EF09"/>
    <w:rsid w:val="328DA9FC"/>
    <w:rsid w:val="3345D762"/>
    <w:rsid w:val="33E0419D"/>
    <w:rsid w:val="3483D104"/>
    <w:rsid w:val="354968E8"/>
    <w:rsid w:val="355C947F"/>
    <w:rsid w:val="358F282C"/>
    <w:rsid w:val="367746AA"/>
    <w:rsid w:val="36D1AC26"/>
    <w:rsid w:val="39217A07"/>
    <w:rsid w:val="394A5F47"/>
    <w:rsid w:val="3951DFA1"/>
    <w:rsid w:val="3A333D64"/>
    <w:rsid w:val="3BD267FC"/>
    <w:rsid w:val="3CB2BED6"/>
    <w:rsid w:val="3FCBF0B3"/>
    <w:rsid w:val="40914973"/>
    <w:rsid w:val="42588982"/>
    <w:rsid w:val="44372EB2"/>
    <w:rsid w:val="450F0576"/>
    <w:rsid w:val="45CA3EAA"/>
    <w:rsid w:val="46ADE0DA"/>
    <w:rsid w:val="46EE1948"/>
    <w:rsid w:val="47060B31"/>
    <w:rsid w:val="48D25BE4"/>
    <w:rsid w:val="48D9B98E"/>
    <w:rsid w:val="4BA151EC"/>
    <w:rsid w:val="4BB1F0E5"/>
    <w:rsid w:val="4BCB9D6F"/>
    <w:rsid w:val="4E520014"/>
    <w:rsid w:val="4F38AF92"/>
    <w:rsid w:val="4FE2DAD6"/>
    <w:rsid w:val="51C95B7F"/>
    <w:rsid w:val="51FDA8EE"/>
    <w:rsid w:val="52273FFE"/>
    <w:rsid w:val="5407EA86"/>
    <w:rsid w:val="569D12C8"/>
    <w:rsid w:val="572787F3"/>
    <w:rsid w:val="57F66EAA"/>
    <w:rsid w:val="583600DF"/>
    <w:rsid w:val="59AB8C4E"/>
    <w:rsid w:val="59F1D9DD"/>
    <w:rsid w:val="5C6B922F"/>
    <w:rsid w:val="5D7FDCA8"/>
    <w:rsid w:val="5DE27AE3"/>
    <w:rsid w:val="5E3B9884"/>
    <w:rsid w:val="5F6C8D75"/>
    <w:rsid w:val="60449C41"/>
    <w:rsid w:val="606ACACA"/>
    <w:rsid w:val="606AF16C"/>
    <w:rsid w:val="6074EC36"/>
    <w:rsid w:val="60B3EAF3"/>
    <w:rsid w:val="6157EE5A"/>
    <w:rsid w:val="62CD5EA0"/>
    <w:rsid w:val="635E58D8"/>
    <w:rsid w:val="63ED46D7"/>
    <w:rsid w:val="6496150A"/>
    <w:rsid w:val="64F01A39"/>
    <w:rsid w:val="679382DD"/>
    <w:rsid w:val="683910EB"/>
    <w:rsid w:val="6855AC34"/>
    <w:rsid w:val="686C96DD"/>
    <w:rsid w:val="69E9236D"/>
    <w:rsid w:val="6BA5F30C"/>
    <w:rsid w:val="6BB4CB12"/>
    <w:rsid w:val="6C885BA0"/>
    <w:rsid w:val="6C9D7006"/>
    <w:rsid w:val="6DD01030"/>
    <w:rsid w:val="6E311499"/>
    <w:rsid w:val="6ED43DC6"/>
    <w:rsid w:val="6EF0EA95"/>
    <w:rsid w:val="6FCE7D44"/>
    <w:rsid w:val="706443A3"/>
    <w:rsid w:val="7086B56A"/>
    <w:rsid w:val="70CCDD4E"/>
    <w:rsid w:val="70D71699"/>
    <w:rsid w:val="70F581D8"/>
    <w:rsid w:val="722C91D3"/>
    <w:rsid w:val="7240C4B6"/>
    <w:rsid w:val="72F2B4EC"/>
    <w:rsid w:val="742ED8F2"/>
    <w:rsid w:val="750733D2"/>
    <w:rsid w:val="7529B4CB"/>
    <w:rsid w:val="75CC8910"/>
    <w:rsid w:val="76F226E6"/>
    <w:rsid w:val="77FF6069"/>
    <w:rsid w:val="79FFBA17"/>
    <w:rsid w:val="7BB34E9C"/>
    <w:rsid w:val="7C13055F"/>
    <w:rsid w:val="7C7B68AF"/>
    <w:rsid w:val="7DB7F426"/>
    <w:rsid w:val="7E1AD7A1"/>
    <w:rsid w:val="7E5131FC"/>
    <w:rsid w:val="7EADFFC5"/>
    <w:rsid w:val="7EEA48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BC73D"/>
  <w15:docId w15:val="{8EFD5D8C-5EDE-4EA5-B295-D8E064F0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unhideWhenUsed/>
    <w:rsid w:val="00091733"/>
    <w:rPr>
      <w:vertAlign w:val="superscript"/>
    </w:rPr>
  </w:style>
  <w:style w:type="character" w:styleId="Verwijzingopmerking">
    <w:name w:val="annotation reference"/>
    <w:basedOn w:val="Standaardalinea-lettertype"/>
    <w:uiPriority w:val="99"/>
    <w:semiHidden/>
    <w:unhideWhenUsed/>
    <w:rsid w:val="00091733"/>
    <w:rPr>
      <w:sz w:val="16"/>
      <w:szCs w:val="16"/>
    </w:rPr>
  </w:style>
  <w:style w:type="paragraph" w:styleId="Tekstopmerking">
    <w:name w:val="annotation text"/>
    <w:basedOn w:val="Standaard"/>
    <w:link w:val="TekstopmerkingChar"/>
    <w:uiPriority w:val="99"/>
    <w:unhideWhenUsed/>
    <w:rsid w:val="00091733"/>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091733"/>
    <w:rPr>
      <w:rFonts w:asciiTheme="minorHAnsi" w:eastAsiaTheme="minorHAnsi" w:hAnsiTheme="minorHAnsi" w:cstheme="minorBidi"/>
      <w:kern w:val="2"/>
      <w:lang w:val="nl-NL"/>
      <w14:ligatures w14:val="standardContextual"/>
    </w:rPr>
  </w:style>
  <w:style w:type="character" w:styleId="Vermelding">
    <w:name w:val="Mention"/>
    <w:basedOn w:val="Standaardalinea-lettertype"/>
    <w:uiPriority w:val="99"/>
    <w:unhideWhenUsed/>
    <w:rsid w:val="00091733"/>
    <w:rPr>
      <w:color w:val="2B579A"/>
      <w:shd w:val="clear" w:color="auto" w:fill="E1DFDD"/>
    </w:rPr>
  </w:style>
  <w:style w:type="paragraph" w:styleId="Geenafstand">
    <w:name w:val="No Spacing"/>
    <w:uiPriority w:val="1"/>
    <w:qFormat/>
    <w:rsid w:val="00091733"/>
    <w:rPr>
      <w:rFonts w:asciiTheme="minorHAnsi" w:eastAsiaTheme="minorHAnsi" w:hAnsiTheme="minorHAnsi" w:cstheme="minorBidi"/>
      <w:kern w:val="2"/>
      <w:sz w:val="22"/>
      <w:szCs w:val="22"/>
      <w:lang w:val="nl-NL"/>
      <w14:ligatures w14:val="standardContextual"/>
    </w:rPr>
  </w:style>
  <w:style w:type="paragraph" w:styleId="Revisie">
    <w:name w:val="Revision"/>
    <w:hidden/>
    <w:uiPriority w:val="99"/>
    <w:semiHidden/>
    <w:rsid w:val="00A81590"/>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BD75EF"/>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BD75EF"/>
    <w:rPr>
      <w:rFonts w:ascii="Verdana" w:eastAsiaTheme="minorHAnsi" w:hAnsi="Verdana" w:cstheme="minorBidi"/>
      <w:b/>
      <w:bCs/>
      <w:kern w:val="2"/>
      <w:lang w:val="nl-NL" w:eastAsia="nl-NL"/>
      <w14:ligatures w14:val="standardContextual"/>
    </w:rPr>
  </w:style>
  <w:style w:type="paragraph" w:styleId="Lijstalinea">
    <w:name w:val="List Paragraph"/>
    <w:basedOn w:val="Standaard"/>
    <w:uiPriority w:val="34"/>
    <w:qFormat/>
    <w:rsid w:val="00EE4A4D"/>
    <w:pPr>
      <w:ind w:left="720"/>
      <w:contextualSpacing/>
    </w:pPr>
  </w:style>
  <w:style w:type="character" w:customStyle="1" w:styleId="cf01">
    <w:name w:val="cf01"/>
    <w:basedOn w:val="Standaardalinea-lettertype"/>
    <w:rsid w:val="004A1A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02841">
      <w:bodyDiv w:val="1"/>
      <w:marLeft w:val="0"/>
      <w:marRight w:val="0"/>
      <w:marTop w:val="0"/>
      <w:marBottom w:val="0"/>
      <w:divBdr>
        <w:top w:val="none" w:sz="0" w:space="0" w:color="auto"/>
        <w:left w:val="none" w:sz="0" w:space="0" w:color="auto"/>
        <w:bottom w:val="none" w:sz="0" w:space="0" w:color="auto"/>
        <w:right w:val="none" w:sz="0" w:space="0" w:color="auto"/>
      </w:divBdr>
    </w:div>
    <w:div w:id="11478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ffshorewind.rvo.nl/page/view/bbb1ab97-f86a-4900-a224-6bbacf22bc29" TargetMode="External"/><Relationship Id="rId2" Type="http://schemas.openxmlformats.org/officeDocument/2006/relationships/hyperlink" Target="https://offshorewind.rvo.nl/page/view/bbb1ab97-f86a-4900-a224-6bbacf22bc29" TargetMode="External"/><Relationship Id="rId1" Type="http://schemas.openxmlformats.org/officeDocument/2006/relationships/hyperlink" Target="file:///\\PROF_P_CW_odc.cicwp.nl\userdata_cifs_p_cw_odc_001\oosterwijka1\Downloads\www.rijksoverheid.nl\documenten\kamerstukken\2023\05\17\ruimtelijke-samenhang-windparken-en-mijnbouwactiviteiten-op-zee" TargetMode="External"/><Relationship Id="rId5" Type="http://schemas.openxmlformats.org/officeDocument/2006/relationships/hyperlink" Target="https://www.noordzeeloket.nl/@298011/preliminary-study-environmental-effects-hydrogen/" TargetMode="External"/><Relationship Id="rId4" Type="http://schemas.openxmlformats.org/officeDocument/2006/relationships/hyperlink" Target="https://www.rijksfinancien.nl/voorjaarsnota/2024/274494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3D3635">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326DB"/>
    <w:rsid w:val="00042A5B"/>
    <w:rsid w:val="00083B9E"/>
    <w:rsid w:val="000845AF"/>
    <w:rsid w:val="00114AC1"/>
    <w:rsid w:val="00182F9D"/>
    <w:rsid w:val="00184C8C"/>
    <w:rsid w:val="002770A6"/>
    <w:rsid w:val="002A7C21"/>
    <w:rsid w:val="002F4546"/>
    <w:rsid w:val="003240DA"/>
    <w:rsid w:val="003D3635"/>
    <w:rsid w:val="00411EA6"/>
    <w:rsid w:val="00413E1E"/>
    <w:rsid w:val="004C4138"/>
    <w:rsid w:val="00512549"/>
    <w:rsid w:val="005A6893"/>
    <w:rsid w:val="007374E5"/>
    <w:rsid w:val="00744E3A"/>
    <w:rsid w:val="00781EB7"/>
    <w:rsid w:val="008A5950"/>
    <w:rsid w:val="008D7974"/>
    <w:rsid w:val="009269FC"/>
    <w:rsid w:val="009C2CDF"/>
    <w:rsid w:val="009E4F99"/>
    <w:rsid w:val="00A22FC5"/>
    <w:rsid w:val="00A64090"/>
    <w:rsid w:val="00A86EB9"/>
    <w:rsid w:val="00AC5740"/>
    <w:rsid w:val="00B514BA"/>
    <w:rsid w:val="00BF4162"/>
    <w:rsid w:val="00C11403"/>
    <w:rsid w:val="00D43B29"/>
    <w:rsid w:val="00D819E1"/>
    <w:rsid w:val="00E905E5"/>
    <w:rsid w:val="00EF0C1E"/>
    <w:rsid w:val="00F30A11"/>
    <w:rsid w:val="00F7029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9</ap:Pages>
  <ap:Words>3124</ap:Words>
  <ap:Characters>18254</ap:Characters>
  <ap:DocSecurity>0</ap:DocSecurity>
  <ap:Lines>1073</ap:Lines>
  <ap:Paragraphs>593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2009-07-02T17:30:00.0000000Z</lastPrinted>
  <dcterms:created xsi:type="dcterms:W3CDTF">2024-11-21T12:25:00.0000000Z</dcterms:created>
  <dcterms:modified xsi:type="dcterms:W3CDTF">2024-11-21T14:18:00.0000000Z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oosterwijka1</vt:lpwstr>
  </property>
  <property fmtid="{D5CDD505-2E9C-101B-9397-08002B2CF9AE}" pid="3" name="AUTHOR_ID">
    <vt:lpwstr>oosterwijka1</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94334459</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oosterwijka1</vt:lpwstr>
  </property>
  <property fmtid="{D5CDD505-2E9C-101B-9397-08002B2CF9AE}" pid="16" name="ContentTypeId">
    <vt:lpwstr>0x010100E2442BA9B844D64DAB867C17D802B4EB</vt:lpwstr>
  </property>
  <property fmtid="{D5CDD505-2E9C-101B-9397-08002B2CF9AE}" pid="17" name="MediaServiceImageTags">
    <vt:lpwstr/>
  </property>
</Properties>
</file>