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1FB67B50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68CE3CD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4B01D0DD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57C52B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6A57B6A" w14:textId="0E1FE2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0C6F39">
              <w:rPr>
                <w:rFonts w:ascii="Times New Roman" w:hAnsi="Times New Roman"/>
                <w:b w:val="0"/>
              </w:rPr>
              <w:t>2</w:t>
            </w:r>
            <w:r w:rsidR="0048228F">
              <w:rPr>
                <w:rFonts w:ascii="Times New Roman" w:hAnsi="Times New Roman"/>
                <w:b w:val="0"/>
              </w:rPr>
              <w:t>4</w:t>
            </w:r>
            <w:r w:rsidR="004B2AE2">
              <w:rPr>
                <w:rFonts w:ascii="Times New Roman" w:hAnsi="Times New Roman"/>
                <w:b w:val="0"/>
              </w:rPr>
              <w:t>-20</w:t>
            </w:r>
            <w:r>
              <w:rPr>
                <w:rFonts w:ascii="Times New Roman" w:hAnsi="Times New Roman"/>
                <w:b w:val="0"/>
              </w:rPr>
              <w:t>2</w:t>
            </w:r>
            <w:r w:rsidR="0048228F">
              <w:rPr>
                <w:rFonts w:ascii="Times New Roman" w:hAnsi="Times New Roman"/>
                <w:b w:val="0"/>
              </w:rPr>
              <w:t>5</w:t>
            </w:r>
          </w:p>
        </w:tc>
      </w:tr>
      <w:tr w:rsidR="00470846" w:rsidTr="00FB349A" w14:paraId="1BAE74B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0D7D51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503F8F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0EC0C9A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8A03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472B6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FC3E11F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316B6A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AB56D3" w:rsidR="00470846" w:rsidP="00F11A14" w:rsidRDefault="00F11A14" w14:paraId="256B0BEA" w14:textId="65B4B4E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AB56D3">
              <w:rPr>
                <w:rFonts w:ascii="Times New Roman" w:hAnsi="Times New Roman"/>
              </w:rPr>
              <w:t xml:space="preserve">36 </w:t>
            </w:r>
            <w:r w:rsidRPr="00AB56D3" w:rsidR="00AB56D3">
              <w:rPr>
                <w:rFonts w:ascii="Times New Roman" w:hAnsi="Times New Roman"/>
              </w:rPr>
              <w:t xml:space="preserve">600 </w:t>
            </w:r>
            <w:r w:rsidRPr="00AB56D3">
              <w:rPr>
                <w:rFonts w:ascii="Times New Roman" w:hAnsi="Times New Roman"/>
              </w:rPr>
              <w:t>VIII</w:t>
            </w:r>
          </w:p>
        </w:tc>
        <w:tc>
          <w:tcPr>
            <w:tcW w:w="7654" w:type="dxa"/>
            <w:gridSpan w:val="2"/>
          </w:tcPr>
          <w:p w:rsidRPr="00AB56D3" w:rsidR="00470846" w:rsidP="00F11A14" w:rsidRDefault="00F11A14" w14:paraId="16B4CEBA" w14:textId="726ED563">
            <w:pPr>
              <w:rPr>
                <w:rFonts w:ascii="Times New Roman" w:hAnsi="Times New Roman"/>
                <w:b/>
              </w:rPr>
            </w:pPr>
            <w:r w:rsidRPr="00AB56D3">
              <w:rPr>
                <w:rFonts w:ascii="Times New Roman" w:hAnsi="Times New Roman"/>
                <w:b/>
              </w:rPr>
              <w:t>Vaststelling van de begrotingsstaten van het Ministerie van Onderwijs, Cultuur en Wetenschap (VIII) voor het jaar 202</w:t>
            </w:r>
            <w:r w:rsidRPr="00AB56D3" w:rsidR="0048228F">
              <w:rPr>
                <w:rFonts w:ascii="Times New Roman" w:hAnsi="Times New Roman"/>
                <w:b/>
              </w:rPr>
              <w:t>5</w:t>
            </w:r>
          </w:p>
        </w:tc>
      </w:tr>
      <w:tr w:rsidR="00470846" w:rsidTr="00FB349A" w14:paraId="144CF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AB56D3" w:rsidR="00470846" w:rsidP="00FB349A" w:rsidRDefault="00470846" w14:paraId="00DAA0D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AB56D3" w:rsidR="00470846" w:rsidP="00FB349A" w:rsidRDefault="00470846" w14:paraId="5E58EB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C5C16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AB56D3" w:rsidR="00470846" w:rsidP="00FB349A" w:rsidRDefault="00470846" w14:paraId="68773E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AB56D3" w:rsidR="00470846" w:rsidP="00FB349A" w:rsidRDefault="00470846" w14:paraId="419B42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5301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AB56D3" w:rsidR="00470846" w:rsidP="00F11A14" w:rsidRDefault="00470846" w14:paraId="73D0EA1A" w14:textId="22633A9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AB56D3">
              <w:rPr>
                <w:rFonts w:ascii="Times New Roman" w:hAnsi="Times New Roman"/>
              </w:rPr>
              <w:t>Nr.</w:t>
            </w:r>
            <w:r w:rsidR="00A1562E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7654" w:type="dxa"/>
            <w:gridSpan w:val="2"/>
          </w:tcPr>
          <w:p w:rsidRPr="00AB56D3" w:rsidR="00470846" w:rsidP="00C7216A" w:rsidRDefault="00A1562E" w14:paraId="30B1EF24" w14:textId="5E575D5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AB56D3" w:rsidR="00470846">
              <w:rPr>
                <w:rFonts w:ascii="Times New Roman" w:hAnsi="Times New Roman"/>
                <w:caps/>
              </w:rPr>
              <w:t xml:space="preserve">AMENDEMENT VAN </w:t>
            </w:r>
            <w:r>
              <w:rPr>
                <w:rFonts w:ascii="Times New Roman" w:hAnsi="Times New Roman"/>
                <w:caps/>
              </w:rPr>
              <w:t>het lid</w:t>
            </w:r>
            <w:r w:rsidR="0090195D">
              <w:rPr>
                <w:rFonts w:ascii="Times New Roman" w:hAnsi="Times New Roman"/>
                <w:caps/>
              </w:rPr>
              <w:t xml:space="preserve"> </w:t>
            </w:r>
            <w:r w:rsidRPr="00AB56D3" w:rsidR="0048228F">
              <w:rPr>
                <w:rFonts w:ascii="Times New Roman" w:hAnsi="Times New Roman"/>
                <w:caps/>
              </w:rPr>
              <w:t xml:space="preserve">STULTIENS </w:t>
            </w:r>
            <w:r w:rsidR="00973907">
              <w:rPr>
                <w:rFonts w:ascii="Times New Roman" w:hAnsi="Times New Roman"/>
                <w:caps/>
              </w:rPr>
              <w:t>C.S.</w:t>
            </w:r>
            <w:r>
              <w:rPr>
                <w:rFonts w:ascii="Times New Roman" w:hAnsi="Times New Roman"/>
                <w:caps/>
              </w:rPr>
              <w:t xml:space="preserve"> ter vervanging van dat gedrukt onder nr. 4</w:t>
            </w:r>
          </w:p>
        </w:tc>
      </w:tr>
      <w:tr w:rsidR="00470846" w:rsidTr="00FB349A" w14:paraId="67A6A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AB56D3" w:rsidR="00470846" w:rsidP="00FB349A" w:rsidRDefault="00470846" w14:paraId="0FE739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AB56D3" w:rsidR="00470846" w:rsidP="00702A50" w:rsidRDefault="00926C70" w14:paraId="34883003" w14:textId="3D80BD3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AB56D3">
              <w:rPr>
                <w:rFonts w:ascii="Times New Roman" w:hAnsi="Times New Roman"/>
                <w:b w:val="0"/>
              </w:rPr>
              <w:t>Ontvangen</w:t>
            </w:r>
            <w:r w:rsidRPr="00AB56D3" w:rsidR="00702A50">
              <w:rPr>
                <w:rFonts w:ascii="Times New Roman" w:hAnsi="Times New Roman"/>
                <w:b w:val="0"/>
              </w:rPr>
              <w:t xml:space="preserve"> </w:t>
            </w:r>
            <w:r w:rsidR="00A1562E">
              <w:rPr>
                <w:rFonts w:ascii="Times New Roman" w:hAnsi="Times New Roman"/>
                <w:b w:val="0"/>
              </w:rPr>
              <w:t>25 november</w:t>
            </w:r>
            <w:r w:rsidRPr="00AB56D3" w:rsidR="0048228F">
              <w:rPr>
                <w:rFonts w:ascii="Times New Roman" w:hAnsi="Times New Roman"/>
                <w:b w:val="0"/>
              </w:rPr>
              <w:t xml:space="preserve"> </w:t>
            </w:r>
            <w:r w:rsidRPr="00AB56D3" w:rsidR="00702A50">
              <w:rPr>
                <w:rFonts w:ascii="Times New Roman" w:hAnsi="Times New Roman"/>
                <w:b w:val="0"/>
              </w:rPr>
              <w:t>2024</w:t>
            </w:r>
          </w:p>
        </w:tc>
      </w:tr>
      <w:tr w:rsidR="00470846" w:rsidTr="00FB349A" w14:paraId="7538B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F944B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728D9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33F17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1B76B459" w14:textId="5F48E79B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A1562E">
              <w:rPr>
                <w:rFonts w:ascii="Times New Roman" w:hAnsi="Times New Roman"/>
                <w:b w:val="0"/>
              </w:rPr>
              <w:t>n</w:t>
            </w:r>
            <w:r w:rsidR="0098160F">
              <w:rPr>
                <w:rFonts w:ascii="Times New Roman" w:hAnsi="Times New Roman"/>
                <w:b w:val="0"/>
              </w:rPr>
              <w:t xml:space="preserve"> stel</w:t>
            </w:r>
            <w:r w:rsidR="00A1562E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3CFD39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1DA5B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0E8C5E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5983D8BB" w14:textId="3E246C21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A1562E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321E72AC" w14:textId="77777777">
      <w:pPr>
        <w:rPr>
          <w:rFonts w:ascii="Times New Roman" w:hAnsi="Times New Roman"/>
        </w:rPr>
      </w:pPr>
    </w:p>
    <w:p w:rsidRPr="00A529F0" w:rsidR="00470846" w:rsidP="00FB349A" w:rsidRDefault="00470846" w14:paraId="55220A2C" w14:textId="77777777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I</w:t>
      </w:r>
    </w:p>
    <w:p w:rsidRPr="00A529F0" w:rsidR="00F11A14" w:rsidP="00FB349A" w:rsidRDefault="00F11A14" w14:paraId="15ED2416" w14:textId="77777777">
      <w:pPr>
        <w:rPr>
          <w:rFonts w:ascii="Times New Roman" w:hAnsi="Times New Roman"/>
        </w:rPr>
      </w:pPr>
    </w:p>
    <w:p w:rsidRPr="00A529F0" w:rsidR="00F11A14" w:rsidP="00F11A14" w:rsidRDefault="00F11A14" w14:paraId="458E1B43" w14:textId="54E48F46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>artikel 0</w:t>
      </w:r>
      <w:r w:rsidRPr="00A529F0" w:rsidR="00C038B9">
        <w:rPr>
          <w:rFonts w:ascii="Times New Roman" w:hAnsi="Times New Roman"/>
          <w:b/>
        </w:rPr>
        <w:t xml:space="preserve">1 </w:t>
      </w:r>
      <w:r w:rsidRPr="00A529F0" w:rsidR="007863C3">
        <w:rPr>
          <w:rFonts w:ascii="Times New Roman" w:hAnsi="Times New Roman"/>
          <w:b/>
        </w:rPr>
        <w:t>Primair onderwijs</w:t>
      </w:r>
      <w:r w:rsidRPr="00A529F0" w:rsidR="002B13C1">
        <w:rPr>
          <w:rFonts w:ascii="Times New Roman" w:hAnsi="Times New Roman"/>
          <w:b/>
        </w:rPr>
        <w:t xml:space="preserve"> </w:t>
      </w:r>
      <w:r w:rsidRPr="00A529F0" w:rsidR="002B13C1">
        <w:rPr>
          <w:rFonts w:ascii="Times New Roman" w:hAnsi="Times New Roman"/>
        </w:rPr>
        <w:t>word</w:t>
      </w:r>
      <w:r w:rsidRPr="00A529F0">
        <w:rPr>
          <w:rFonts w:ascii="Times New Roman" w:hAnsi="Times New Roman"/>
        </w:rPr>
        <w:t xml:space="preserve">en het verplichtingenbedrag en het uitgavenbedrag </w:t>
      </w:r>
      <w:r w:rsidRPr="00A529F0">
        <w:rPr>
          <w:rFonts w:ascii="Times New Roman" w:hAnsi="Times New Roman"/>
          <w:b/>
        </w:rPr>
        <w:t>verhoogd</w:t>
      </w:r>
      <w:r w:rsidRPr="00A529F0">
        <w:rPr>
          <w:rFonts w:ascii="Times New Roman" w:hAnsi="Times New Roman"/>
        </w:rPr>
        <w:t xml:space="preserve"> met </w:t>
      </w:r>
      <w:r w:rsidRPr="00A529F0">
        <w:rPr>
          <w:rFonts w:ascii="Times New Roman" w:hAnsi="Times New Roman"/>
          <w:b/>
        </w:rPr>
        <w:t>€</w:t>
      </w:r>
      <w:r w:rsidRPr="00A529F0" w:rsidR="004A147D">
        <w:rPr>
          <w:rFonts w:ascii="Times New Roman" w:hAnsi="Times New Roman"/>
          <w:b/>
        </w:rPr>
        <w:t xml:space="preserve"> </w:t>
      </w:r>
      <w:r w:rsidRPr="00A529F0" w:rsidR="002B13C1">
        <w:rPr>
          <w:rFonts w:ascii="Times New Roman" w:hAnsi="Times New Roman"/>
          <w:b/>
        </w:rPr>
        <w:t>11.869</w:t>
      </w:r>
      <w:r w:rsidRPr="00A529F0">
        <w:rPr>
          <w:rFonts w:ascii="Times New Roman" w:hAnsi="Times New Roman"/>
        </w:rPr>
        <w:t xml:space="preserve"> (x € 1.000).</w:t>
      </w:r>
    </w:p>
    <w:p w:rsidRPr="00A529F0" w:rsidR="00F11A14" w:rsidP="00FB349A" w:rsidRDefault="00F11A14" w14:paraId="77B8A6D0" w14:textId="77777777">
      <w:pPr>
        <w:rPr>
          <w:rFonts w:ascii="Times New Roman" w:hAnsi="Times New Roman"/>
        </w:rPr>
      </w:pPr>
    </w:p>
    <w:p w:rsidRPr="00A529F0" w:rsidR="00F11A14" w:rsidP="00FB349A" w:rsidRDefault="00F11A14" w14:paraId="01E472BA" w14:textId="77777777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II</w:t>
      </w:r>
    </w:p>
    <w:p w:rsidRPr="00A529F0" w:rsidR="00F11A14" w:rsidP="00FB349A" w:rsidRDefault="00F11A14" w14:paraId="3411F21C" w14:textId="77777777">
      <w:pPr>
        <w:rPr>
          <w:rFonts w:ascii="Times New Roman" w:hAnsi="Times New Roman"/>
        </w:rPr>
      </w:pPr>
    </w:p>
    <w:p w:rsidRPr="00A529F0" w:rsidR="00470846" w:rsidP="00FB349A" w:rsidRDefault="00470846" w14:paraId="2F81D9EB" w14:textId="4E385E85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A31112">
        <w:rPr>
          <w:rFonts w:ascii="Times New Roman" w:hAnsi="Times New Roman"/>
          <w:b/>
        </w:rPr>
        <w:t>0</w:t>
      </w:r>
      <w:r w:rsidRPr="00A529F0" w:rsidR="002B13C1">
        <w:rPr>
          <w:rFonts w:ascii="Times New Roman" w:hAnsi="Times New Roman"/>
          <w:b/>
        </w:rPr>
        <w:t>3</w:t>
      </w:r>
      <w:r w:rsidRPr="00A529F0" w:rsidR="00A31112">
        <w:rPr>
          <w:rFonts w:ascii="Times New Roman" w:hAnsi="Times New Roman"/>
          <w:b/>
        </w:rPr>
        <w:t xml:space="preserve"> </w:t>
      </w:r>
      <w:r w:rsidRPr="00A529F0" w:rsidR="002B13C1">
        <w:rPr>
          <w:rFonts w:ascii="Times New Roman" w:hAnsi="Times New Roman"/>
          <w:b/>
        </w:rPr>
        <w:t xml:space="preserve">Voortgezet onderwijs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>ver</w:t>
      </w:r>
      <w:r w:rsidRPr="00A529F0" w:rsidR="005237E4">
        <w:rPr>
          <w:rFonts w:ascii="Times New Roman" w:hAnsi="Times New Roman"/>
          <w:b/>
        </w:rPr>
        <w:t xml:space="preserve">hoogd </w:t>
      </w:r>
      <w:r w:rsidRPr="00A529F0" w:rsidR="005E482A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> €</w:t>
      </w:r>
      <w:r w:rsidRPr="00A529F0" w:rsidR="004A147D">
        <w:rPr>
          <w:rFonts w:ascii="Times New Roman" w:hAnsi="Times New Roman"/>
          <w:b/>
        </w:rPr>
        <w:t xml:space="preserve"> </w:t>
      </w:r>
      <w:r w:rsidRPr="00A529F0" w:rsidR="00DC41C5">
        <w:rPr>
          <w:rFonts w:ascii="Times New Roman" w:hAnsi="Times New Roman"/>
          <w:b/>
        </w:rPr>
        <w:t>2</w:t>
      </w:r>
      <w:r w:rsidRPr="00A529F0" w:rsidR="00B341E1">
        <w:rPr>
          <w:rFonts w:ascii="Times New Roman" w:hAnsi="Times New Roman"/>
          <w:b/>
        </w:rPr>
        <w:t xml:space="preserve">36.233 </w:t>
      </w:r>
      <w:r w:rsidRPr="00A529F0" w:rsidR="004D4BCF">
        <w:rPr>
          <w:rFonts w:ascii="Times New Roman" w:hAnsi="Times New Roman"/>
        </w:rPr>
        <w:t>(x € 1.</w:t>
      </w:r>
      <w:r w:rsidRPr="00A529F0">
        <w:rPr>
          <w:rFonts w:ascii="Times New Roman" w:hAnsi="Times New Roman"/>
        </w:rPr>
        <w:t>000).</w:t>
      </w:r>
    </w:p>
    <w:p w:rsidRPr="00A529F0" w:rsidR="00470846" w:rsidP="00FB349A" w:rsidRDefault="00470846" w14:paraId="2391CA44" w14:textId="77777777">
      <w:pPr>
        <w:rPr>
          <w:rFonts w:ascii="Times New Roman" w:hAnsi="Times New Roman"/>
        </w:rPr>
      </w:pPr>
    </w:p>
    <w:p w:rsidRPr="00A529F0" w:rsidR="00F70D99" w:rsidP="00F70D99" w:rsidRDefault="00F70D99" w14:paraId="2E89A48D" w14:textId="0A69619E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III</w:t>
      </w:r>
    </w:p>
    <w:p w:rsidRPr="00A529F0" w:rsidR="00F70D99" w:rsidP="00F70D99" w:rsidRDefault="00F70D99" w14:paraId="717A7416" w14:textId="77777777">
      <w:pPr>
        <w:rPr>
          <w:rFonts w:ascii="Times New Roman" w:hAnsi="Times New Roman"/>
        </w:rPr>
      </w:pPr>
    </w:p>
    <w:p w:rsidR="00D87AE9" w:rsidP="00F70D99" w:rsidRDefault="00F70D99" w14:paraId="148FA1A1" w14:textId="4F6FB481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B341E1">
        <w:rPr>
          <w:rFonts w:ascii="Times New Roman" w:hAnsi="Times New Roman"/>
          <w:b/>
        </w:rPr>
        <w:t>04 Beroepsonderwijs en volwassen</w:t>
      </w:r>
      <w:r w:rsidRPr="00A529F0" w:rsidR="00D52E63">
        <w:rPr>
          <w:rFonts w:ascii="Times New Roman" w:hAnsi="Times New Roman"/>
          <w:b/>
        </w:rPr>
        <w:t xml:space="preserve">eneducatie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>ver</w:t>
      </w:r>
      <w:r w:rsidRPr="00A529F0" w:rsidR="005237E4">
        <w:rPr>
          <w:rFonts w:ascii="Times New Roman" w:hAnsi="Times New Roman"/>
          <w:b/>
        </w:rPr>
        <w:t xml:space="preserve">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 xml:space="preserve"> € </w:t>
      </w:r>
      <w:r w:rsidRPr="00A529F0" w:rsidR="00D52E63">
        <w:rPr>
          <w:rFonts w:ascii="Times New Roman" w:hAnsi="Times New Roman"/>
          <w:b/>
        </w:rPr>
        <w:t xml:space="preserve">26.466 </w:t>
      </w:r>
      <w:r w:rsidRPr="00A529F0">
        <w:rPr>
          <w:rFonts w:ascii="Times New Roman" w:hAnsi="Times New Roman"/>
        </w:rPr>
        <w:t>(x € 1.000).</w:t>
      </w:r>
    </w:p>
    <w:p w:rsidRPr="00A529F0" w:rsidR="00461B20" w:rsidP="00F70D99" w:rsidRDefault="00461B20" w14:paraId="60D742F5" w14:textId="77777777">
      <w:pPr>
        <w:ind w:firstLine="284"/>
        <w:rPr>
          <w:rFonts w:ascii="Times New Roman" w:hAnsi="Times New Roman"/>
        </w:rPr>
      </w:pPr>
    </w:p>
    <w:p w:rsidRPr="00A529F0" w:rsidR="00D87AE9" w:rsidP="00D87AE9" w:rsidRDefault="00D87AE9" w14:paraId="52ADDC7B" w14:textId="2FF4B7B2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IV</w:t>
      </w:r>
    </w:p>
    <w:p w:rsidRPr="00A529F0" w:rsidR="00D87AE9" w:rsidP="00D87AE9" w:rsidRDefault="00D87AE9" w14:paraId="72F04C92" w14:textId="77777777">
      <w:pPr>
        <w:rPr>
          <w:rFonts w:ascii="Times New Roman" w:hAnsi="Times New Roman"/>
        </w:rPr>
      </w:pPr>
    </w:p>
    <w:p w:rsidRPr="00A529F0" w:rsidR="00D87AE9" w:rsidP="00D87AE9" w:rsidRDefault="00D87AE9" w14:paraId="07B680D7" w14:textId="77777777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06 Hoger beroepsonderwijs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>verhoogd</w:t>
      </w:r>
      <w:r w:rsidRPr="00A529F0">
        <w:rPr>
          <w:rFonts w:ascii="Times New Roman" w:hAnsi="Times New Roman"/>
        </w:rPr>
        <w:t xml:space="preserve"> met </w:t>
      </w:r>
      <w:r w:rsidRPr="00A529F0">
        <w:rPr>
          <w:rFonts w:ascii="Times New Roman" w:hAnsi="Times New Roman"/>
          <w:b/>
        </w:rPr>
        <w:t>€ 523 </w:t>
      </w:r>
      <w:r w:rsidRPr="00A529F0">
        <w:rPr>
          <w:rFonts w:ascii="Times New Roman" w:hAnsi="Times New Roman"/>
        </w:rPr>
        <w:t xml:space="preserve"> (x € 1.000).</w:t>
      </w:r>
    </w:p>
    <w:p w:rsidRPr="00A529F0" w:rsidR="00D87AE9" w:rsidP="00D87AE9" w:rsidRDefault="00D87AE9" w14:paraId="7F797F0F" w14:textId="77777777">
      <w:pPr>
        <w:rPr>
          <w:rFonts w:ascii="Times New Roman" w:hAnsi="Times New Roman"/>
        </w:rPr>
      </w:pPr>
    </w:p>
    <w:p w:rsidRPr="00A529F0" w:rsidR="00D87AE9" w:rsidP="00D87AE9" w:rsidRDefault="00D87AE9" w14:paraId="730C632C" w14:textId="43770761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V</w:t>
      </w:r>
    </w:p>
    <w:p w:rsidRPr="00A529F0" w:rsidR="00D87AE9" w:rsidP="00D87AE9" w:rsidRDefault="00D87AE9" w14:paraId="3D459196" w14:textId="77777777">
      <w:pPr>
        <w:rPr>
          <w:rFonts w:ascii="Times New Roman" w:hAnsi="Times New Roman"/>
        </w:rPr>
      </w:pPr>
    </w:p>
    <w:p w:rsidRPr="00A529F0" w:rsidR="00D87AE9" w:rsidP="00D87AE9" w:rsidRDefault="00D87AE9" w14:paraId="30EEF20C" w14:textId="77777777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07 Wetenschappelijk onderwijs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> € 257.445 </w:t>
      </w:r>
      <w:r w:rsidRPr="00A529F0">
        <w:rPr>
          <w:rFonts w:ascii="Times New Roman" w:hAnsi="Times New Roman"/>
        </w:rPr>
        <w:t xml:space="preserve"> (x € 1.000).</w:t>
      </w:r>
    </w:p>
    <w:p w:rsidRPr="00A529F0" w:rsidR="00D87AE9" w:rsidP="00D87AE9" w:rsidRDefault="00D87AE9" w14:paraId="59C885EF" w14:textId="77777777">
      <w:pPr>
        <w:rPr>
          <w:rFonts w:ascii="Times New Roman" w:hAnsi="Times New Roman"/>
        </w:rPr>
      </w:pPr>
    </w:p>
    <w:p w:rsidRPr="00A529F0" w:rsidR="00D87AE9" w:rsidP="00D87AE9" w:rsidRDefault="00D87AE9" w14:paraId="7CC6F7EA" w14:textId="17F68970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VI</w:t>
      </w:r>
    </w:p>
    <w:p w:rsidRPr="00A529F0" w:rsidR="00D87AE9" w:rsidP="00D87AE9" w:rsidRDefault="00D87AE9" w14:paraId="7821C0E5" w14:textId="77777777">
      <w:pPr>
        <w:rPr>
          <w:rFonts w:ascii="Times New Roman" w:hAnsi="Times New Roman"/>
        </w:rPr>
      </w:pPr>
    </w:p>
    <w:p w:rsidRPr="00A529F0" w:rsidR="00D87AE9" w:rsidP="00F70D99" w:rsidRDefault="00D87AE9" w14:paraId="2BD7F02D" w14:textId="1654F22D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7C3064">
        <w:rPr>
          <w:rFonts w:ascii="Times New Roman" w:hAnsi="Times New Roman"/>
          <w:b/>
        </w:rPr>
        <w:t xml:space="preserve">08 Internationaal beleid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 xml:space="preserve"> € </w:t>
      </w:r>
      <w:r w:rsidRPr="00A529F0" w:rsidR="00DB7D4F">
        <w:rPr>
          <w:rFonts w:ascii="Times New Roman" w:hAnsi="Times New Roman"/>
          <w:b/>
        </w:rPr>
        <w:t>2</w:t>
      </w:r>
      <w:r w:rsidRPr="00A529F0" w:rsidR="004A02A0">
        <w:rPr>
          <w:rFonts w:ascii="Times New Roman" w:hAnsi="Times New Roman"/>
          <w:b/>
        </w:rPr>
        <w:t xml:space="preserve">31 </w:t>
      </w:r>
      <w:r w:rsidRPr="00A529F0">
        <w:rPr>
          <w:rFonts w:ascii="Times New Roman" w:hAnsi="Times New Roman"/>
        </w:rPr>
        <w:t>(x € 1.000).</w:t>
      </w:r>
    </w:p>
    <w:p w:rsidRPr="00A529F0" w:rsidR="00D87AE9" w:rsidP="00F70D99" w:rsidRDefault="00D87AE9" w14:paraId="3EA0D799" w14:textId="77777777">
      <w:pPr>
        <w:ind w:firstLine="284"/>
        <w:rPr>
          <w:rFonts w:ascii="Times New Roman" w:hAnsi="Times New Roman"/>
        </w:rPr>
      </w:pPr>
    </w:p>
    <w:p w:rsidRPr="00A529F0" w:rsidR="00D87AE9" w:rsidP="00D87AE9" w:rsidRDefault="00D87AE9" w14:paraId="6803486E" w14:textId="2DC3B31B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VII</w:t>
      </w:r>
    </w:p>
    <w:p w:rsidRPr="00A529F0" w:rsidR="00D87AE9" w:rsidP="00D87AE9" w:rsidRDefault="00D87AE9" w14:paraId="60FE8D62" w14:textId="77777777">
      <w:pPr>
        <w:rPr>
          <w:rFonts w:ascii="Times New Roman" w:hAnsi="Times New Roman"/>
        </w:rPr>
      </w:pPr>
    </w:p>
    <w:p w:rsidRPr="00A529F0" w:rsidR="00D87AE9" w:rsidP="00D87AE9" w:rsidRDefault="00D87AE9" w14:paraId="2082D83F" w14:textId="198F42FC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>artikel 0</w:t>
      </w:r>
      <w:r w:rsidRPr="00A529F0" w:rsidR="004A02A0">
        <w:rPr>
          <w:rFonts w:ascii="Times New Roman" w:hAnsi="Times New Roman"/>
          <w:b/>
        </w:rPr>
        <w:t>9</w:t>
      </w:r>
      <w:r w:rsidRPr="00A529F0">
        <w:rPr>
          <w:rFonts w:ascii="Times New Roman" w:hAnsi="Times New Roman"/>
          <w:b/>
        </w:rPr>
        <w:t xml:space="preserve"> </w:t>
      </w:r>
      <w:r w:rsidRPr="00A529F0" w:rsidR="004A02A0">
        <w:rPr>
          <w:rFonts w:ascii="Times New Roman" w:hAnsi="Times New Roman"/>
          <w:b/>
        </w:rPr>
        <w:t>A</w:t>
      </w:r>
      <w:r w:rsidRPr="00A529F0" w:rsidR="00574EB3">
        <w:rPr>
          <w:rFonts w:ascii="Times New Roman" w:hAnsi="Times New Roman"/>
          <w:b/>
        </w:rPr>
        <w:t xml:space="preserve">rbeidsmarkt- en personeelsbeleid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>verhoogd</w:t>
      </w:r>
      <w:r w:rsidRPr="00A529F0">
        <w:rPr>
          <w:rFonts w:ascii="Times New Roman" w:hAnsi="Times New Roman"/>
        </w:rPr>
        <w:t xml:space="preserve"> met </w:t>
      </w:r>
      <w:r w:rsidRPr="00A529F0">
        <w:rPr>
          <w:rFonts w:ascii="Times New Roman" w:hAnsi="Times New Roman"/>
          <w:b/>
        </w:rPr>
        <w:t xml:space="preserve">€ </w:t>
      </w:r>
      <w:r w:rsidRPr="00A529F0" w:rsidR="00574EB3">
        <w:rPr>
          <w:rFonts w:ascii="Times New Roman" w:hAnsi="Times New Roman"/>
          <w:b/>
        </w:rPr>
        <w:t xml:space="preserve">22 </w:t>
      </w:r>
      <w:r w:rsidRPr="00A529F0">
        <w:rPr>
          <w:rFonts w:ascii="Times New Roman" w:hAnsi="Times New Roman"/>
        </w:rPr>
        <w:t>(x € 1.000).</w:t>
      </w:r>
    </w:p>
    <w:p w:rsidRPr="00A529F0" w:rsidR="00D87AE9" w:rsidP="00D87AE9" w:rsidRDefault="00D87AE9" w14:paraId="56AEB516" w14:textId="77777777">
      <w:pPr>
        <w:rPr>
          <w:rFonts w:ascii="Times New Roman" w:hAnsi="Times New Roman"/>
        </w:rPr>
      </w:pPr>
    </w:p>
    <w:p w:rsidRPr="00A529F0" w:rsidR="00D87AE9" w:rsidP="00D87AE9" w:rsidRDefault="00D87AE9" w14:paraId="076602C9" w14:textId="20EFE4AE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VIII</w:t>
      </w:r>
    </w:p>
    <w:p w:rsidRPr="00A529F0" w:rsidR="00D87AE9" w:rsidP="00D87AE9" w:rsidRDefault="00D87AE9" w14:paraId="6F857ACF" w14:textId="77777777">
      <w:pPr>
        <w:rPr>
          <w:rFonts w:ascii="Times New Roman" w:hAnsi="Times New Roman"/>
        </w:rPr>
      </w:pPr>
    </w:p>
    <w:p w:rsidRPr="00A529F0" w:rsidR="00D87AE9" w:rsidP="00D87AE9" w:rsidRDefault="00D87AE9" w14:paraId="6EC55454" w14:textId="1EDF4D42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574EB3">
        <w:rPr>
          <w:rFonts w:ascii="Times New Roman" w:hAnsi="Times New Roman"/>
          <w:b/>
        </w:rPr>
        <w:t xml:space="preserve">11 Studiefinanciering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> € 2</w:t>
      </w:r>
      <w:r w:rsidRPr="00A529F0" w:rsidR="00574EB3">
        <w:rPr>
          <w:rFonts w:ascii="Times New Roman" w:hAnsi="Times New Roman"/>
          <w:b/>
        </w:rPr>
        <w:t>.0</w:t>
      </w:r>
      <w:r w:rsidRPr="00A529F0" w:rsidR="00973068">
        <w:rPr>
          <w:rFonts w:ascii="Times New Roman" w:hAnsi="Times New Roman"/>
          <w:b/>
        </w:rPr>
        <w:t xml:space="preserve">78 </w:t>
      </w:r>
      <w:r w:rsidRPr="00A529F0">
        <w:rPr>
          <w:rFonts w:ascii="Times New Roman" w:hAnsi="Times New Roman"/>
        </w:rPr>
        <w:t>(x € 1.000).</w:t>
      </w:r>
    </w:p>
    <w:p w:rsidRPr="00A529F0" w:rsidR="00D87AE9" w:rsidP="00D87AE9" w:rsidRDefault="00D87AE9" w14:paraId="2341018B" w14:textId="77777777">
      <w:pPr>
        <w:rPr>
          <w:rFonts w:ascii="Times New Roman" w:hAnsi="Times New Roman"/>
        </w:rPr>
      </w:pPr>
    </w:p>
    <w:p w:rsidRPr="00A529F0" w:rsidR="00D87AE9" w:rsidP="00D87AE9" w:rsidRDefault="00D87AE9" w14:paraId="0FE5020C" w14:textId="5CC978E7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IX</w:t>
      </w:r>
    </w:p>
    <w:p w:rsidRPr="00A529F0" w:rsidR="00D87AE9" w:rsidP="00D87AE9" w:rsidRDefault="00D87AE9" w14:paraId="5F8C43F3" w14:textId="77777777">
      <w:pPr>
        <w:rPr>
          <w:rFonts w:ascii="Times New Roman" w:hAnsi="Times New Roman"/>
        </w:rPr>
      </w:pPr>
    </w:p>
    <w:p w:rsidRPr="00A529F0" w:rsidR="00D87AE9" w:rsidP="00D87AE9" w:rsidRDefault="00D87AE9" w14:paraId="2317A6F5" w14:textId="431A23B2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973068">
        <w:rPr>
          <w:rFonts w:ascii="Times New Roman" w:hAnsi="Times New Roman"/>
          <w:b/>
        </w:rPr>
        <w:t xml:space="preserve">12 Tegemoetkoming onderwijsbijdrage en schoolkosten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 xml:space="preserve"> € </w:t>
      </w:r>
      <w:r w:rsidRPr="00A529F0" w:rsidR="00973068">
        <w:rPr>
          <w:rFonts w:ascii="Times New Roman" w:hAnsi="Times New Roman"/>
          <w:b/>
        </w:rPr>
        <w:t xml:space="preserve">19 </w:t>
      </w:r>
      <w:r w:rsidRPr="00A529F0">
        <w:rPr>
          <w:rFonts w:ascii="Times New Roman" w:hAnsi="Times New Roman"/>
        </w:rPr>
        <w:t>(x € 1.000).</w:t>
      </w:r>
    </w:p>
    <w:p w:rsidRPr="00A529F0" w:rsidR="002E76EF" w:rsidP="00FB349A" w:rsidRDefault="002E76EF" w14:paraId="04A54634" w14:textId="77777777">
      <w:pPr>
        <w:rPr>
          <w:rFonts w:ascii="Times New Roman" w:hAnsi="Times New Roman"/>
        </w:rPr>
      </w:pPr>
    </w:p>
    <w:p w:rsidRPr="00A529F0" w:rsidR="00D87AE9" w:rsidP="00D87AE9" w:rsidRDefault="00D87AE9" w14:paraId="38301228" w14:textId="32416C1C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X</w:t>
      </w:r>
    </w:p>
    <w:p w:rsidRPr="00A529F0" w:rsidR="00D87AE9" w:rsidP="00D87AE9" w:rsidRDefault="00D87AE9" w14:paraId="27355303" w14:textId="77777777">
      <w:pPr>
        <w:rPr>
          <w:rFonts w:ascii="Times New Roman" w:hAnsi="Times New Roman"/>
        </w:rPr>
      </w:pPr>
    </w:p>
    <w:p w:rsidRPr="00A529F0" w:rsidR="00D87AE9" w:rsidP="00D87AE9" w:rsidRDefault="00D87AE9" w14:paraId="43BE62B2" w14:textId="246B9EBD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0574FF">
        <w:rPr>
          <w:rFonts w:ascii="Times New Roman" w:hAnsi="Times New Roman"/>
          <w:b/>
        </w:rPr>
        <w:t xml:space="preserve">13 Lesgelden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>verhoogd</w:t>
      </w:r>
      <w:r w:rsidRPr="00A529F0">
        <w:rPr>
          <w:rFonts w:ascii="Times New Roman" w:hAnsi="Times New Roman"/>
        </w:rPr>
        <w:t xml:space="preserve"> met </w:t>
      </w:r>
      <w:r w:rsidRPr="00A529F0">
        <w:rPr>
          <w:rFonts w:ascii="Times New Roman" w:hAnsi="Times New Roman"/>
          <w:b/>
        </w:rPr>
        <w:t>€</w:t>
      </w:r>
      <w:r w:rsidRPr="00A529F0" w:rsidR="00A90CEA">
        <w:rPr>
          <w:rFonts w:ascii="Times New Roman" w:hAnsi="Times New Roman"/>
          <w:b/>
        </w:rPr>
        <w:t xml:space="preserve">107 </w:t>
      </w:r>
      <w:r w:rsidRPr="00A529F0">
        <w:rPr>
          <w:rFonts w:ascii="Times New Roman" w:hAnsi="Times New Roman"/>
        </w:rPr>
        <w:t>(x € 1.000).</w:t>
      </w:r>
    </w:p>
    <w:p w:rsidRPr="00A529F0" w:rsidR="00D87AE9" w:rsidP="00D87AE9" w:rsidRDefault="00D87AE9" w14:paraId="79DD20E0" w14:textId="77777777">
      <w:pPr>
        <w:rPr>
          <w:rFonts w:ascii="Times New Roman" w:hAnsi="Times New Roman"/>
        </w:rPr>
      </w:pPr>
    </w:p>
    <w:p w:rsidRPr="00A529F0" w:rsidR="00D87AE9" w:rsidP="00D87AE9" w:rsidRDefault="00D87AE9" w14:paraId="334325E4" w14:textId="4D7F7401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XI</w:t>
      </w:r>
    </w:p>
    <w:p w:rsidRPr="00A529F0" w:rsidR="00D87AE9" w:rsidP="00D87AE9" w:rsidRDefault="00D87AE9" w14:paraId="321160B0" w14:textId="77777777">
      <w:pPr>
        <w:rPr>
          <w:rFonts w:ascii="Times New Roman" w:hAnsi="Times New Roman"/>
        </w:rPr>
      </w:pPr>
    </w:p>
    <w:p w:rsidRPr="00A529F0" w:rsidR="00D87AE9" w:rsidP="00D87AE9" w:rsidRDefault="00D87AE9" w14:paraId="5FB71701" w14:textId="59957AF1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A90CEA">
        <w:rPr>
          <w:rFonts w:ascii="Times New Roman" w:hAnsi="Times New Roman"/>
          <w:b/>
        </w:rPr>
        <w:t>14</w:t>
      </w:r>
      <w:r w:rsidRPr="00A529F0">
        <w:rPr>
          <w:rFonts w:ascii="Times New Roman" w:hAnsi="Times New Roman"/>
          <w:b/>
        </w:rPr>
        <w:t xml:space="preserve"> </w:t>
      </w:r>
      <w:r w:rsidRPr="00A529F0" w:rsidR="00A90CEA">
        <w:rPr>
          <w:rFonts w:ascii="Times New Roman" w:hAnsi="Times New Roman"/>
          <w:b/>
        </w:rPr>
        <w:t xml:space="preserve">Cultuur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 xml:space="preserve"> € </w:t>
      </w:r>
      <w:r w:rsidRPr="00A529F0" w:rsidR="00A90CEA">
        <w:rPr>
          <w:rFonts w:ascii="Times New Roman" w:hAnsi="Times New Roman"/>
          <w:b/>
        </w:rPr>
        <w:t>759.919</w:t>
      </w:r>
      <w:r w:rsidRPr="00A529F0" w:rsidR="00A90CEA">
        <w:rPr>
          <w:rFonts w:ascii="Times New Roman" w:hAnsi="Times New Roman"/>
        </w:rPr>
        <w:t xml:space="preserve"> </w:t>
      </w:r>
      <w:r w:rsidRPr="00A529F0">
        <w:rPr>
          <w:rFonts w:ascii="Times New Roman" w:hAnsi="Times New Roman"/>
        </w:rPr>
        <w:t>(x € 1.000).</w:t>
      </w:r>
    </w:p>
    <w:p w:rsidRPr="00A529F0" w:rsidR="00D87AE9" w:rsidP="00D87AE9" w:rsidRDefault="00D87AE9" w14:paraId="0DFA5DC1" w14:textId="77777777">
      <w:pPr>
        <w:rPr>
          <w:rFonts w:ascii="Times New Roman" w:hAnsi="Times New Roman"/>
        </w:rPr>
      </w:pPr>
    </w:p>
    <w:p w:rsidRPr="00A529F0" w:rsidR="00D87AE9" w:rsidP="00D87AE9" w:rsidRDefault="00D87AE9" w14:paraId="58EB672A" w14:textId="40622EF5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XII</w:t>
      </w:r>
    </w:p>
    <w:p w:rsidRPr="00A529F0" w:rsidR="00D87AE9" w:rsidP="00D87AE9" w:rsidRDefault="00D87AE9" w14:paraId="59E19CFC" w14:textId="77777777">
      <w:pPr>
        <w:rPr>
          <w:rFonts w:ascii="Times New Roman" w:hAnsi="Times New Roman"/>
        </w:rPr>
      </w:pPr>
    </w:p>
    <w:p w:rsidRPr="00A529F0" w:rsidR="00D87AE9" w:rsidP="00D87AE9" w:rsidRDefault="00D87AE9" w14:paraId="3F504A83" w14:textId="3455460D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>artikel 1</w:t>
      </w:r>
      <w:r w:rsidRPr="00A529F0" w:rsidR="00A90CEA">
        <w:rPr>
          <w:rFonts w:ascii="Times New Roman" w:hAnsi="Times New Roman"/>
          <w:b/>
        </w:rPr>
        <w:t xml:space="preserve">5 Media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> €</w:t>
      </w:r>
      <w:r w:rsidRPr="00A529F0" w:rsidR="00A30FD9">
        <w:rPr>
          <w:rFonts w:ascii="Times New Roman" w:hAnsi="Times New Roman"/>
          <w:b/>
        </w:rPr>
        <w:t xml:space="preserve">1.868 </w:t>
      </w:r>
      <w:r w:rsidRPr="00A529F0">
        <w:rPr>
          <w:rFonts w:ascii="Times New Roman" w:hAnsi="Times New Roman"/>
        </w:rPr>
        <w:t>(x € 1.000).</w:t>
      </w:r>
    </w:p>
    <w:p w:rsidRPr="00A529F0" w:rsidR="00C038B9" w:rsidP="00C038B9" w:rsidRDefault="00C038B9" w14:paraId="556F8DA6" w14:textId="4FA0FA6B">
      <w:pPr>
        <w:rPr>
          <w:rFonts w:ascii="Times New Roman" w:hAnsi="Times New Roman"/>
        </w:rPr>
      </w:pPr>
    </w:p>
    <w:p w:rsidRPr="00A529F0" w:rsidR="00C038B9" w:rsidP="00C038B9" w:rsidRDefault="00C038B9" w14:paraId="256A1649" w14:textId="7301741A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XIII</w:t>
      </w:r>
    </w:p>
    <w:p w:rsidRPr="00A529F0" w:rsidR="00C038B9" w:rsidP="00C038B9" w:rsidRDefault="00C038B9" w14:paraId="3399F0F9" w14:textId="77777777">
      <w:pPr>
        <w:rPr>
          <w:rFonts w:ascii="Times New Roman" w:hAnsi="Times New Roman"/>
        </w:rPr>
      </w:pPr>
    </w:p>
    <w:p w:rsidRPr="00A529F0" w:rsidR="00A30FD9" w:rsidP="00A30FD9" w:rsidRDefault="00A30FD9" w14:paraId="638704DC" w14:textId="77777777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16 Onderzoek en wetenschapsbeleid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 xml:space="preserve"> € 54.576 </w:t>
      </w:r>
      <w:r w:rsidRPr="00A529F0">
        <w:rPr>
          <w:rFonts w:ascii="Times New Roman" w:hAnsi="Times New Roman"/>
        </w:rPr>
        <w:t>(x € 1.000).</w:t>
      </w:r>
    </w:p>
    <w:p w:rsidRPr="00A529F0" w:rsidR="00C038B9" w:rsidP="00C038B9" w:rsidRDefault="00C038B9" w14:paraId="25D7C719" w14:textId="77777777">
      <w:pPr>
        <w:rPr>
          <w:rFonts w:ascii="Times New Roman" w:hAnsi="Times New Roman"/>
        </w:rPr>
      </w:pPr>
    </w:p>
    <w:p w:rsidRPr="00A529F0" w:rsidR="00C038B9" w:rsidP="00C038B9" w:rsidRDefault="00C038B9" w14:paraId="61FDCD71" w14:textId="28C9ADD3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XIV</w:t>
      </w:r>
    </w:p>
    <w:p w:rsidRPr="00A529F0" w:rsidR="00C038B9" w:rsidP="00C038B9" w:rsidRDefault="00C038B9" w14:paraId="60BF4D34" w14:textId="77777777">
      <w:pPr>
        <w:rPr>
          <w:rFonts w:ascii="Times New Roman" w:hAnsi="Times New Roman"/>
        </w:rPr>
      </w:pPr>
    </w:p>
    <w:p w:rsidRPr="00A529F0" w:rsidR="00C038B9" w:rsidP="00C038B9" w:rsidRDefault="00C038B9" w14:paraId="2601A5F9" w14:textId="7489B88E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A30FD9">
        <w:rPr>
          <w:rFonts w:ascii="Times New Roman" w:hAnsi="Times New Roman"/>
          <w:b/>
        </w:rPr>
        <w:t>25 Em</w:t>
      </w:r>
      <w:r w:rsidRPr="00A529F0" w:rsidR="00943E13">
        <w:rPr>
          <w:rFonts w:ascii="Times New Roman" w:hAnsi="Times New Roman"/>
          <w:b/>
        </w:rPr>
        <w:t xml:space="preserve">ancipatie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> €</w:t>
      </w:r>
      <w:r w:rsidRPr="00A529F0" w:rsidR="00943E13">
        <w:rPr>
          <w:rFonts w:ascii="Times New Roman" w:hAnsi="Times New Roman"/>
          <w:b/>
        </w:rPr>
        <w:t xml:space="preserve">750 </w:t>
      </w:r>
      <w:r w:rsidRPr="00A529F0">
        <w:rPr>
          <w:rFonts w:ascii="Times New Roman" w:hAnsi="Times New Roman"/>
        </w:rPr>
        <w:t>(x € 1.000).</w:t>
      </w:r>
    </w:p>
    <w:p w:rsidRPr="00A529F0" w:rsidR="00C038B9" w:rsidP="00C038B9" w:rsidRDefault="00C038B9" w14:paraId="28491262" w14:textId="77777777">
      <w:pPr>
        <w:rPr>
          <w:rFonts w:ascii="Times New Roman" w:hAnsi="Times New Roman"/>
        </w:rPr>
      </w:pPr>
    </w:p>
    <w:p w:rsidRPr="00A529F0" w:rsidR="00C038B9" w:rsidP="00C038B9" w:rsidRDefault="00C038B9" w14:paraId="1652F3AD" w14:textId="6121E60A">
      <w:pPr>
        <w:rPr>
          <w:rFonts w:ascii="Times New Roman" w:hAnsi="Times New Roman"/>
        </w:rPr>
      </w:pPr>
      <w:r w:rsidRPr="00A529F0">
        <w:rPr>
          <w:rFonts w:ascii="Times New Roman" w:hAnsi="Times New Roman"/>
        </w:rPr>
        <w:t>XV</w:t>
      </w:r>
    </w:p>
    <w:p w:rsidRPr="00A529F0" w:rsidR="00C038B9" w:rsidP="00C038B9" w:rsidRDefault="00C038B9" w14:paraId="075ADE90" w14:textId="77777777">
      <w:pPr>
        <w:rPr>
          <w:rFonts w:ascii="Times New Roman" w:hAnsi="Times New Roman"/>
        </w:rPr>
      </w:pPr>
    </w:p>
    <w:p w:rsidRPr="00A1562E" w:rsidR="002841AD" w:rsidP="00A1562E" w:rsidRDefault="00C038B9" w14:paraId="37526394" w14:textId="5AD2DD23">
      <w:pPr>
        <w:ind w:firstLine="284"/>
        <w:rPr>
          <w:rFonts w:ascii="Times New Roman" w:hAnsi="Times New Roman"/>
        </w:rPr>
      </w:pPr>
      <w:r w:rsidRPr="00A529F0">
        <w:rPr>
          <w:rFonts w:ascii="Times New Roman" w:hAnsi="Times New Roman"/>
        </w:rPr>
        <w:t xml:space="preserve">In </w:t>
      </w:r>
      <w:r w:rsidRPr="00A529F0">
        <w:rPr>
          <w:rFonts w:ascii="Times New Roman" w:hAnsi="Times New Roman"/>
          <w:b/>
        </w:rPr>
        <w:t xml:space="preserve">artikel </w:t>
      </w:r>
      <w:r w:rsidRPr="00A529F0" w:rsidR="00943E13">
        <w:rPr>
          <w:rFonts w:ascii="Times New Roman" w:hAnsi="Times New Roman"/>
          <w:b/>
        </w:rPr>
        <w:t xml:space="preserve">95 Apparaat Kerndepartement </w:t>
      </w:r>
      <w:r w:rsidRPr="00A529F0">
        <w:rPr>
          <w:rFonts w:ascii="Times New Roman" w:hAnsi="Times New Roman"/>
        </w:rPr>
        <w:t xml:space="preserve">worden het verplichtingenbedrag en het uitgavenbedrag </w:t>
      </w:r>
      <w:r w:rsidRPr="00A529F0">
        <w:rPr>
          <w:rFonts w:ascii="Times New Roman" w:hAnsi="Times New Roman"/>
          <w:b/>
        </w:rPr>
        <w:t xml:space="preserve">verhoogd </w:t>
      </w:r>
      <w:r w:rsidRPr="00A529F0">
        <w:rPr>
          <w:rFonts w:ascii="Times New Roman" w:hAnsi="Times New Roman"/>
        </w:rPr>
        <w:t>met</w:t>
      </w:r>
      <w:r w:rsidRPr="00A529F0">
        <w:rPr>
          <w:rFonts w:ascii="Times New Roman" w:hAnsi="Times New Roman"/>
          <w:b/>
        </w:rPr>
        <w:t xml:space="preserve"> € </w:t>
      </w:r>
      <w:r w:rsidRPr="00A529F0" w:rsidR="00943E13">
        <w:rPr>
          <w:rFonts w:ascii="Times New Roman" w:hAnsi="Times New Roman"/>
          <w:b/>
        </w:rPr>
        <w:t xml:space="preserve">15.462 </w:t>
      </w:r>
      <w:r w:rsidRPr="00A529F0">
        <w:rPr>
          <w:rFonts w:ascii="Times New Roman" w:hAnsi="Times New Roman"/>
        </w:rPr>
        <w:t>(x € 1.000).</w:t>
      </w:r>
    </w:p>
    <w:p w:rsidR="002841AD" w:rsidP="00FB349A" w:rsidRDefault="002841AD" w14:paraId="48BCDCD8" w14:textId="77777777">
      <w:pPr>
        <w:rPr>
          <w:rFonts w:ascii="Times New Roman" w:hAnsi="Times New Roman"/>
          <w:b/>
        </w:rPr>
      </w:pPr>
    </w:p>
    <w:p w:rsidRPr="0090195D" w:rsidR="00470846" w:rsidP="00FB349A" w:rsidRDefault="00470846" w14:paraId="1E09E20F" w14:textId="6EC2F84F">
      <w:pPr>
        <w:rPr>
          <w:rFonts w:ascii="Times New Roman" w:hAnsi="Times New Roman"/>
          <w:b/>
        </w:rPr>
      </w:pPr>
      <w:r w:rsidRPr="0090195D">
        <w:rPr>
          <w:rFonts w:ascii="Times New Roman" w:hAnsi="Times New Roman"/>
          <w:b/>
        </w:rPr>
        <w:t>Toelichting</w:t>
      </w:r>
    </w:p>
    <w:p w:rsidR="00662A2E" w:rsidP="00FB349A" w:rsidRDefault="00662A2E" w14:paraId="3FBB10D7" w14:textId="77777777">
      <w:pPr>
        <w:rPr>
          <w:rFonts w:ascii="Times New Roman" w:hAnsi="Times New Roman"/>
          <w:b/>
          <w:highlight w:val="yellow"/>
        </w:rPr>
      </w:pPr>
    </w:p>
    <w:p w:rsidRPr="00FF7391" w:rsidR="00FF7391" w:rsidP="00FF7391" w:rsidRDefault="00254085" w14:paraId="6F974B0B" w14:textId="6E27DA6D">
      <w:pPr>
        <w:rPr>
          <w:rFonts w:ascii="Times New Roman" w:hAnsi="Times New Roman"/>
          <w:color w:val="000000" w:themeColor="text1"/>
          <w:szCs w:val="24"/>
        </w:rPr>
      </w:pPr>
      <w:r w:rsidRPr="0063414A">
        <w:rPr>
          <w:rFonts w:ascii="Times New Roman" w:hAnsi="Times New Roman"/>
          <w:color w:val="000000" w:themeColor="text1"/>
          <w:szCs w:val="24"/>
        </w:rPr>
        <w:t xml:space="preserve">Het kabinet is voornemens om </w:t>
      </w:r>
      <w:r w:rsidRPr="0063414A" w:rsidR="00662A2E">
        <w:rPr>
          <w:rFonts w:ascii="Times New Roman" w:hAnsi="Times New Roman"/>
          <w:color w:val="000000" w:themeColor="text1"/>
          <w:szCs w:val="24"/>
        </w:rPr>
        <w:t xml:space="preserve">€2 miljard </w:t>
      </w:r>
      <w:r w:rsidRPr="0063414A" w:rsidR="0063414A">
        <w:rPr>
          <w:rFonts w:ascii="Times New Roman" w:hAnsi="Times New Roman"/>
          <w:color w:val="000000" w:themeColor="text1"/>
          <w:szCs w:val="24"/>
        </w:rPr>
        <w:t>per jaar t</w:t>
      </w:r>
      <w:r w:rsidRPr="0063414A" w:rsidR="005D0F2D">
        <w:rPr>
          <w:rFonts w:ascii="Times New Roman" w:hAnsi="Times New Roman"/>
          <w:color w:val="000000" w:themeColor="text1"/>
          <w:szCs w:val="24"/>
        </w:rPr>
        <w:t xml:space="preserve">e gaan bezuinigen </w:t>
      </w:r>
      <w:r w:rsidRPr="0063414A" w:rsidR="008B5BF9">
        <w:rPr>
          <w:rFonts w:ascii="Times New Roman" w:hAnsi="Times New Roman"/>
          <w:color w:val="000000" w:themeColor="text1"/>
          <w:szCs w:val="24"/>
        </w:rPr>
        <w:t xml:space="preserve">op </w:t>
      </w:r>
      <w:r w:rsidRPr="0063414A" w:rsidR="00662A2E">
        <w:rPr>
          <w:rFonts w:ascii="Times New Roman" w:hAnsi="Times New Roman"/>
          <w:color w:val="000000" w:themeColor="text1"/>
          <w:szCs w:val="24"/>
        </w:rPr>
        <w:t>de OCW-begroting</w:t>
      </w:r>
      <w:r w:rsidRPr="0063414A" w:rsidR="0063414A">
        <w:rPr>
          <w:rFonts w:ascii="Times New Roman" w:hAnsi="Times New Roman"/>
          <w:color w:val="000000" w:themeColor="text1"/>
          <w:szCs w:val="24"/>
        </w:rPr>
        <w:t xml:space="preserve"> (zie </w:t>
      </w:r>
      <w:r w:rsidR="00FF75B7">
        <w:rPr>
          <w:rFonts w:ascii="Times New Roman" w:hAnsi="Times New Roman"/>
          <w:color w:val="000000" w:themeColor="text1"/>
          <w:szCs w:val="24"/>
        </w:rPr>
        <w:t>hieronder tabel 7 uit de OCW begroting</w:t>
      </w:r>
      <w:r w:rsidRPr="0063414A" w:rsidR="0063414A">
        <w:rPr>
          <w:rFonts w:ascii="Times New Roman" w:hAnsi="Times New Roman"/>
          <w:color w:val="000000" w:themeColor="text1"/>
          <w:szCs w:val="24"/>
        </w:rPr>
        <w:t xml:space="preserve">). </w:t>
      </w:r>
      <w:r w:rsidRPr="0063414A" w:rsidR="008920FB">
        <w:rPr>
          <w:rFonts w:ascii="Times New Roman" w:hAnsi="Times New Roman"/>
          <w:color w:val="000000" w:themeColor="text1"/>
          <w:szCs w:val="24"/>
        </w:rPr>
        <w:t>Hierdoor komen vele banen op de tocht te staan, wordt studeren minder toegankelijk voor mensen met een kleine portemonnee</w:t>
      </w:r>
      <w:r w:rsidR="00FF7391">
        <w:rPr>
          <w:rFonts w:ascii="Times New Roman" w:hAnsi="Times New Roman"/>
          <w:color w:val="000000" w:themeColor="text1"/>
          <w:szCs w:val="24"/>
        </w:rPr>
        <w:t>, neemt de kansenongelijkheid toe</w:t>
      </w:r>
      <w:r w:rsidRPr="0063414A" w:rsidR="008920FB">
        <w:rPr>
          <w:rFonts w:ascii="Times New Roman" w:hAnsi="Times New Roman"/>
          <w:color w:val="000000" w:themeColor="text1"/>
          <w:szCs w:val="24"/>
        </w:rPr>
        <w:t xml:space="preserve"> en dreigt een generatie aan wetenschappelijk talent weg te vallen. </w:t>
      </w:r>
      <w:r w:rsidRPr="00FF7391" w:rsidR="008B5BF9">
        <w:rPr>
          <w:rFonts w:ascii="Times New Roman" w:hAnsi="Times New Roman"/>
          <w:color w:val="000000" w:themeColor="text1"/>
          <w:szCs w:val="24"/>
        </w:rPr>
        <w:t xml:space="preserve">Dit amendement maakt deze bezuinigingen </w:t>
      </w:r>
      <w:r w:rsidRPr="00FF7391" w:rsidR="008920FB">
        <w:rPr>
          <w:rFonts w:ascii="Times New Roman" w:hAnsi="Times New Roman"/>
          <w:color w:val="000000" w:themeColor="text1"/>
          <w:szCs w:val="24"/>
        </w:rPr>
        <w:t xml:space="preserve">daarom volledig </w:t>
      </w:r>
      <w:r w:rsidRPr="00FF7391" w:rsidR="008B5BF9">
        <w:rPr>
          <w:rFonts w:ascii="Times New Roman" w:hAnsi="Times New Roman"/>
          <w:color w:val="000000" w:themeColor="text1"/>
          <w:szCs w:val="24"/>
        </w:rPr>
        <w:t xml:space="preserve">ongedaan. </w:t>
      </w:r>
      <w:r w:rsidRPr="00FF7391" w:rsidR="00FF75B7">
        <w:rPr>
          <w:rFonts w:ascii="Times New Roman" w:hAnsi="Times New Roman"/>
          <w:color w:val="000000" w:themeColor="text1"/>
          <w:szCs w:val="24"/>
        </w:rPr>
        <w:t>Indieners zijn</w:t>
      </w:r>
      <w:r w:rsidRPr="00FF7391" w:rsidR="00FF7391">
        <w:rPr>
          <w:rFonts w:ascii="Times New Roman" w:hAnsi="Times New Roman"/>
          <w:color w:val="000000" w:themeColor="text1"/>
          <w:szCs w:val="24"/>
        </w:rPr>
        <w:t xml:space="preserve"> van mening</w:t>
      </w:r>
      <w:r w:rsidRPr="00FF7391" w:rsidR="00FF75B7">
        <w:rPr>
          <w:rFonts w:ascii="Times New Roman" w:hAnsi="Times New Roman"/>
          <w:color w:val="000000" w:themeColor="text1"/>
          <w:szCs w:val="24"/>
        </w:rPr>
        <w:t>, net als vele experts, planbureaus</w:t>
      </w:r>
      <w:r w:rsidRPr="00FF7391" w:rsidR="00FF7391">
        <w:rPr>
          <w:rFonts w:ascii="Times New Roman" w:hAnsi="Times New Roman"/>
          <w:color w:val="000000" w:themeColor="text1"/>
          <w:szCs w:val="24"/>
        </w:rPr>
        <w:t xml:space="preserve"> en bedrijven dat bezuinigen op onderwijs</w:t>
      </w:r>
      <w:r w:rsidR="008548D1">
        <w:rPr>
          <w:rFonts w:ascii="Times New Roman" w:hAnsi="Times New Roman"/>
          <w:color w:val="000000" w:themeColor="text1"/>
          <w:szCs w:val="24"/>
        </w:rPr>
        <w:t xml:space="preserve">, onderzoek en innovatie </w:t>
      </w:r>
      <w:r w:rsidRPr="00FF7391" w:rsidR="00FF7391">
        <w:rPr>
          <w:rFonts w:ascii="Times New Roman" w:hAnsi="Times New Roman"/>
          <w:color w:val="000000" w:themeColor="text1"/>
          <w:szCs w:val="24"/>
        </w:rPr>
        <w:t>zeer onverstandig is en op de lange termijn meer geld kost dan het oplevert. Het gaat in 2025 om een bedrag van €610 miljoen en het loopt op tot €2,0 miljard in 2029.</w:t>
      </w:r>
    </w:p>
    <w:p w:rsidR="0063414A" w:rsidP="00FB349A" w:rsidRDefault="0063414A" w14:paraId="3361D554" w14:textId="77777777">
      <w:pPr>
        <w:rPr>
          <w:rFonts w:ascii="Times New Roman" w:hAnsi="Times New Roman"/>
          <w:color w:val="000000" w:themeColor="text1"/>
          <w:szCs w:val="24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9"/>
        <w:gridCol w:w="1116"/>
        <w:gridCol w:w="1527"/>
        <w:gridCol w:w="1403"/>
        <w:gridCol w:w="1776"/>
        <w:gridCol w:w="1296"/>
      </w:tblGrid>
      <w:tr w:rsidRPr="00662A2E" w:rsidR="0063414A" w:rsidTr="00E65AA2" w14:paraId="065D6A4C" w14:textId="77777777">
        <w:tc>
          <w:tcPr>
            <w:tcW w:w="3397" w:type="dxa"/>
          </w:tcPr>
          <w:p w:rsidRPr="00662A2E" w:rsidR="0063414A" w:rsidP="00E65AA2" w:rsidRDefault="0063414A" w14:paraId="0A31207E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Bedragen (x €1.000)</w:t>
            </w:r>
          </w:p>
        </w:tc>
        <w:tc>
          <w:tcPr>
            <w:tcW w:w="851" w:type="dxa"/>
          </w:tcPr>
          <w:p w:rsidRPr="00662A2E" w:rsidR="0063414A" w:rsidP="00E65AA2" w:rsidRDefault="0063414A" w14:paraId="19B82C69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2025</w:t>
            </w:r>
          </w:p>
        </w:tc>
        <w:tc>
          <w:tcPr>
            <w:tcW w:w="1559" w:type="dxa"/>
          </w:tcPr>
          <w:p w:rsidRPr="00662A2E" w:rsidR="0063414A" w:rsidP="00E65AA2" w:rsidRDefault="0063414A" w14:paraId="498C792F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2026</w:t>
            </w:r>
          </w:p>
        </w:tc>
        <w:tc>
          <w:tcPr>
            <w:tcW w:w="1418" w:type="dxa"/>
          </w:tcPr>
          <w:p w:rsidRPr="00662A2E" w:rsidR="0063414A" w:rsidP="00E65AA2" w:rsidRDefault="0063414A" w14:paraId="2D11CD07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2027</w:t>
            </w:r>
          </w:p>
        </w:tc>
        <w:tc>
          <w:tcPr>
            <w:tcW w:w="1842" w:type="dxa"/>
          </w:tcPr>
          <w:p w:rsidRPr="00662A2E" w:rsidR="0063414A" w:rsidP="00E65AA2" w:rsidRDefault="0063414A" w14:paraId="1EF34DED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2028</w:t>
            </w:r>
          </w:p>
        </w:tc>
        <w:tc>
          <w:tcPr>
            <w:tcW w:w="1270" w:type="dxa"/>
          </w:tcPr>
          <w:p w:rsidRPr="00662A2E" w:rsidR="0063414A" w:rsidP="00E65AA2" w:rsidRDefault="0063414A" w14:paraId="77014267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2029</w:t>
            </w:r>
          </w:p>
        </w:tc>
      </w:tr>
      <w:tr w:rsidRPr="00662A2E" w:rsidR="0063414A" w:rsidTr="00E65AA2" w14:paraId="1D3EFCC2" w14:textId="77777777">
        <w:tc>
          <w:tcPr>
            <w:tcW w:w="3397" w:type="dxa"/>
          </w:tcPr>
          <w:p w:rsidRPr="00662A2E" w:rsidR="0063414A" w:rsidP="00E65AA2" w:rsidRDefault="0063414A" w14:paraId="48C3A945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Maatschappelijke diensttijd</w:t>
            </w:r>
          </w:p>
        </w:tc>
        <w:tc>
          <w:tcPr>
            <w:tcW w:w="851" w:type="dxa"/>
          </w:tcPr>
          <w:p w:rsidRPr="00662A2E" w:rsidR="0063414A" w:rsidP="00E65AA2" w:rsidRDefault="0063414A" w14:paraId="154196B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€152.735</w:t>
            </w:r>
          </w:p>
        </w:tc>
        <w:tc>
          <w:tcPr>
            <w:tcW w:w="1559" w:type="dxa"/>
          </w:tcPr>
          <w:p w:rsidRPr="00662A2E" w:rsidR="0063414A" w:rsidP="00E65AA2" w:rsidRDefault="0063414A" w14:paraId="10405589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 xml:space="preserve">€122.902 </w:t>
            </w:r>
          </w:p>
        </w:tc>
        <w:tc>
          <w:tcPr>
            <w:tcW w:w="1418" w:type="dxa"/>
          </w:tcPr>
          <w:p w:rsidRPr="00662A2E" w:rsidR="0063414A" w:rsidP="00E65AA2" w:rsidRDefault="0063414A" w14:paraId="0F1E14D5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€184.363</w:t>
            </w:r>
          </w:p>
        </w:tc>
        <w:tc>
          <w:tcPr>
            <w:tcW w:w="1842" w:type="dxa"/>
          </w:tcPr>
          <w:p w:rsidRPr="00662A2E" w:rsidR="0063414A" w:rsidP="00E65AA2" w:rsidRDefault="0063414A" w14:paraId="1011DB5D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€200.000</w:t>
            </w:r>
          </w:p>
        </w:tc>
        <w:tc>
          <w:tcPr>
            <w:tcW w:w="1270" w:type="dxa"/>
          </w:tcPr>
          <w:p w:rsidRPr="00662A2E" w:rsidR="0063414A" w:rsidP="00E65AA2" w:rsidRDefault="0063414A" w14:paraId="18194A2A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€200.000</w:t>
            </w:r>
          </w:p>
        </w:tc>
      </w:tr>
      <w:tr w:rsidRPr="00662A2E" w:rsidR="0063414A" w:rsidTr="00E65AA2" w14:paraId="4A594211" w14:textId="77777777">
        <w:tc>
          <w:tcPr>
            <w:tcW w:w="3397" w:type="dxa"/>
          </w:tcPr>
          <w:p w:rsidRPr="00662A2E" w:rsidR="0063414A" w:rsidP="00E65AA2" w:rsidRDefault="0063414A" w14:paraId="14736D9B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Brede brugklassen</w:t>
            </w:r>
          </w:p>
        </w:tc>
        <w:tc>
          <w:tcPr>
            <w:tcW w:w="851" w:type="dxa"/>
          </w:tcPr>
          <w:p w:rsidRPr="00662A2E" w:rsidR="0063414A" w:rsidP="00E65AA2" w:rsidRDefault="0063414A" w14:paraId="2B407F98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€55.000</w:t>
            </w:r>
          </w:p>
        </w:tc>
        <w:tc>
          <w:tcPr>
            <w:tcW w:w="1559" w:type="dxa"/>
          </w:tcPr>
          <w:p w:rsidRPr="00662A2E" w:rsidR="0063414A" w:rsidP="00E65AA2" w:rsidRDefault="0063414A" w14:paraId="646BAB1B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€210.000</w:t>
            </w:r>
          </w:p>
        </w:tc>
        <w:tc>
          <w:tcPr>
            <w:tcW w:w="1418" w:type="dxa"/>
          </w:tcPr>
          <w:p w:rsidRPr="00662A2E" w:rsidR="0063414A" w:rsidP="00E65AA2" w:rsidRDefault="0063414A" w14:paraId="11901031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€210.000</w:t>
            </w:r>
          </w:p>
        </w:tc>
        <w:tc>
          <w:tcPr>
            <w:tcW w:w="1842" w:type="dxa"/>
          </w:tcPr>
          <w:p w:rsidRPr="00662A2E" w:rsidR="0063414A" w:rsidP="00E65AA2" w:rsidRDefault="0063414A" w14:paraId="5EC9D20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€210.000</w:t>
            </w:r>
          </w:p>
        </w:tc>
        <w:tc>
          <w:tcPr>
            <w:tcW w:w="1270" w:type="dxa"/>
          </w:tcPr>
          <w:p w:rsidRPr="00662A2E" w:rsidR="0063414A" w:rsidP="00E65AA2" w:rsidRDefault="0063414A" w14:paraId="7F8C745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€210.000</w:t>
            </w:r>
          </w:p>
        </w:tc>
      </w:tr>
      <w:tr w:rsidRPr="00662A2E" w:rsidR="0063414A" w:rsidTr="00E65AA2" w14:paraId="3CBBD02D" w14:textId="77777777">
        <w:tc>
          <w:tcPr>
            <w:tcW w:w="3397" w:type="dxa"/>
          </w:tcPr>
          <w:p w:rsidRPr="00662A2E" w:rsidR="0063414A" w:rsidP="00E65AA2" w:rsidRDefault="0063414A" w14:paraId="5D487332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Alternatieve invulling sectorplannen hoger onderwijs en wetenschap</w:t>
            </w:r>
          </w:p>
        </w:tc>
        <w:tc>
          <w:tcPr>
            <w:tcW w:w="851" w:type="dxa"/>
          </w:tcPr>
          <w:p w:rsidRPr="00662A2E" w:rsidR="0063414A" w:rsidP="00E65AA2" w:rsidRDefault="0063414A" w14:paraId="3F782A05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€174.734</w:t>
            </w:r>
          </w:p>
        </w:tc>
        <w:tc>
          <w:tcPr>
            <w:tcW w:w="1559" w:type="dxa"/>
          </w:tcPr>
          <w:p w:rsidRPr="00662A2E" w:rsidR="0063414A" w:rsidP="00E65AA2" w:rsidRDefault="0063414A" w14:paraId="7FF0C805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€174.734</w:t>
            </w:r>
          </w:p>
        </w:tc>
        <w:tc>
          <w:tcPr>
            <w:tcW w:w="1418" w:type="dxa"/>
          </w:tcPr>
          <w:p w:rsidRPr="00662A2E" w:rsidR="0063414A" w:rsidP="00E65AA2" w:rsidRDefault="0063414A" w14:paraId="53366F9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€174.734</w:t>
            </w:r>
          </w:p>
        </w:tc>
        <w:tc>
          <w:tcPr>
            <w:tcW w:w="1842" w:type="dxa"/>
          </w:tcPr>
          <w:p w:rsidRPr="00662A2E" w:rsidR="0063414A" w:rsidP="00E65AA2" w:rsidRDefault="0063414A" w14:paraId="6A63AC6D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€174.734</w:t>
            </w:r>
          </w:p>
        </w:tc>
        <w:tc>
          <w:tcPr>
            <w:tcW w:w="1270" w:type="dxa"/>
          </w:tcPr>
          <w:p w:rsidRPr="00662A2E" w:rsidR="0063414A" w:rsidP="00E65AA2" w:rsidRDefault="0063414A" w14:paraId="0CDAB0C3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€174.734</w:t>
            </w:r>
          </w:p>
        </w:tc>
      </w:tr>
      <w:tr w:rsidRPr="00662A2E" w:rsidR="0063414A" w:rsidTr="00E65AA2" w14:paraId="6FEAD181" w14:textId="77777777">
        <w:tc>
          <w:tcPr>
            <w:tcW w:w="3397" w:type="dxa"/>
          </w:tcPr>
          <w:p w:rsidRPr="00662A2E" w:rsidR="0063414A" w:rsidP="00E65AA2" w:rsidRDefault="0063414A" w14:paraId="0C2E360D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Apparaat rijksoverheid</w:t>
            </w:r>
          </w:p>
        </w:tc>
        <w:tc>
          <w:tcPr>
            <w:tcW w:w="851" w:type="dxa"/>
          </w:tcPr>
          <w:p w:rsidRPr="00662A2E" w:rsidR="0063414A" w:rsidP="00E65AA2" w:rsidRDefault="0063414A" w14:paraId="63DC532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€20.296</w:t>
            </w:r>
          </w:p>
        </w:tc>
        <w:tc>
          <w:tcPr>
            <w:tcW w:w="1559" w:type="dxa"/>
          </w:tcPr>
          <w:p w:rsidRPr="00662A2E" w:rsidR="0063414A" w:rsidP="00E65AA2" w:rsidRDefault="0063414A" w14:paraId="1670105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€39.884</w:t>
            </w:r>
          </w:p>
        </w:tc>
        <w:tc>
          <w:tcPr>
            <w:tcW w:w="1418" w:type="dxa"/>
          </w:tcPr>
          <w:p w:rsidRPr="00662A2E" w:rsidR="0063414A" w:rsidP="00E65AA2" w:rsidRDefault="0063414A" w14:paraId="642F7A0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€58.310</w:t>
            </w:r>
          </w:p>
        </w:tc>
        <w:tc>
          <w:tcPr>
            <w:tcW w:w="1842" w:type="dxa"/>
          </w:tcPr>
          <w:p w:rsidRPr="00662A2E" w:rsidR="0063414A" w:rsidP="00E65AA2" w:rsidRDefault="0063414A" w14:paraId="0C6A1127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€78.040</w:t>
            </w:r>
          </w:p>
        </w:tc>
        <w:tc>
          <w:tcPr>
            <w:tcW w:w="1270" w:type="dxa"/>
          </w:tcPr>
          <w:p w:rsidRPr="00662A2E" w:rsidR="0063414A" w:rsidP="00E65AA2" w:rsidRDefault="0063414A" w14:paraId="5C20C322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€86.164</w:t>
            </w:r>
          </w:p>
        </w:tc>
      </w:tr>
      <w:tr w:rsidRPr="00662A2E" w:rsidR="0063414A" w:rsidTr="00E65AA2" w14:paraId="43B4470F" w14:textId="77777777">
        <w:tc>
          <w:tcPr>
            <w:tcW w:w="3397" w:type="dxa"/>
          </w:tcPr>
          <w:p w:rsidRPr="00662A2E" w:rsidR="0063414A" w:rsidP="00E65AA2" w:rsidRDefault="0063414A" w14:paraId="1E74401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Specifieke uitkeringen GF en PF</w:t>
            </w:r>
          </w:p>
        </w:tc>
        <w:tc>
          <w:tcPr>
            <w:tcW w:w="851" w:type="dxa"/>
          </w:tcPr>
          <w:p w:rsidRPr="00662A2E" w:rsidR="0063414A" w:rsidP="00E65AA2" w:rsidRDefault="0063414A" w14:paraId="6CCC9B48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006E17F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€81.261</w:t>
            </w:r>
          </w:p>
        </w:tc>
        <w:tc>
          <w:tcPr>
            <w:tcW w:w="1418" w:type="dxa"/>
          </w:tcPr>
          <w:p w:rsidRPr="00662A2E" w:rsidR="0063414A" w:rsidP="00E65AA2" w:rsidRDefault="0063414A" w14:paraId="1A99128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€81.201</w:t>
            </w:r>
          </w:p>
        </w:tc>
        <w:tc>
          <w:tcPr>
            <w:tcW w:w="1842" w:type="dxa"/>
          </w:tcPr>
          <w:p w:rsidRPr="00662A2E" w:rsidR="0063414A" w:rsidP="00E65AA2" w:rsidRDefault="0063414A" w14:paraId="7D69862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€81.201</w:t>
            </w:r>
          </w:p>
        </w:tc>
        <w:tc>
          <w:tcPr>
            <w:tcW w:w="1270" w:type="dxa"/>
          </w:tcPr>
          <w:p w:rsidRPr="00662A2E" w:rsidR="0063414A" w:rsidP="00E65AA2" w:rsidRDefault="0063414A" w14:paraId="544DB20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€81.201</w:t>
            </w:r>
          </w:p>
        </w:tc>
      </w:tr>
      <w:tr w:rsidRPr="00662A2E" w:rsidR="0063414A" w:rsidTr="00E65AA2" w14:paraId="6EAFC11E" w14:textId="77777777">
        <w:tc>
          <w:tcPr>
            <w:tcW w:w="3397" w:type="dxa"/>
          </w:tcPr>
          <w:p w:rsidRPr="00662A2E" w:rsidR="0063414A" w:rsidP="00E65AA2" w:rsidRDefault="0063414A" w14:paraId="7616D5F9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Functiemix Randstad</w:t>
            </w:r>
          </w:p>
        </w:tc>
        <w:tc>
          <w:tcPr>
            <w:tcW w:w="851" w:type="dxa"/>
          </w:tcPr>
          <w:p w:rsidRPr="00662A2E" w:rsidR="0063414A" w:rsidP="00E65AA2" w:rsidRDefault="0063414A" w14:paraId="651BB541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73056BE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€75.000</w:t>
            </w:r>
          </w:p>
        </w:tc>
        <w:tc>
          <w:tcPr>
            <w:tcW w:w="1418" w:type="dxa"/>
          </w:tcPr>
          <w:p w:rsidRPr="00662A2E" w:rsidR="0063414A" w:rsidP="00E65AA2" w:rsidRDefault="0063414A" w14:paraId="320A8A3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€75.000</w:t>
            </w:r>
          </w:p>
        </w:tc>
        <w:tc>
          <w:tcPr>
            <w:tcW w:w="1842" w:type="dxa"/>
          </w:tcPr>
          <w:p w:rsidRPr="00662A2E" w:rsidR="0063414A" w:rsidP="00E65AA2" w:rsidRDefault="0063414A" w14:paraId="59642FA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€75.000</w:t>
            </w:r>
          </w:p>
        </w:tc>
        <w:tc>
          <w:tcPr>
            <w:tcW w:w="1270" w:type="dxa"/>
          </w:tcPr>
          <w:p w:rsidRPr="00662A2E" w:rsidR="0063414A" w:rsidP="00E65AA2" w:rsidRDefault="0063414A" w14:paraId="7385CA53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€75.000</w:t>
            </w:r>
          </w:p>
        </w:tc>
      </w:tr>
      <w:tr w:rsidRPr="00662A2E" w:rsidR="0063414A" w:rsidTr="00E65AA2" w14:paraId="32729482" w14:textId="77777777">
        <w:tc>
          <w:tcPr>
            <w:tcW w:w="3397" w:type="dxa"/>
          </w:tcPr>
          <w:p w:rsidRPr="00662A2E" w:rsidR="0063414A" w:rsidP="00E65AA2" w:rsidRDefault="0063414A" w14:paraId="67909C8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Gerichte keuzes OS</w:t>
            </w:r>
          </w:p>
        </w:tc>
        <w:tc>
          <w:tcPr>
            <w:tcW w:w="851" w:type="dxa"/>
          </w:tcPr>
          <w:p w:rsidRPr="00662A2E" w:rsidR="0063414A" w:rsidP="00E65AA2" w:rsidRDefault="0063414A" w14:paraId="31D2A26B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78ADAA8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€8.511</w:t>
            </w:r>
          </w:p>
        </w:tc>
        <w:tc>
          <w:tcPr>
            <w:tcW w:w="1418" w:type="dxa"/>
          </w:tcPr>
          <w:p w:rsidRPr="00662A2E" w:rsidR="0063414A" w:rsidP="00E65AA2" w:rsidRDefault="0063414A" w14:paraId="3972E337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€8.511</w:t>
            </w:r>
          </w:p>
        </w:tc>
        <w:tc>
          <w:tcPr>
            <w:tcW w:w="1842" w:type="dxa"/>
          </w:tcPr>
          <w:p w:rsidRPr="00662A2E" w:rsidR="0063414A" w:rsidP="00E65AA2" w:rsidRDefault="0063414A" w14:paraId="0783926B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€8.511</w:t>
            </w:r>
          </w:p>
        </w:tc>
        <w:tc>
          <w:tcPr>
            <w:tcW w:w="1270" w:type="dxa"/>
          </w:tcPr>
          <w:p w:rsidRPr="00662A2E" w:rsidR="0063414A" w:rsidP="00E65AA2" w:rsidRDefault="0063414A" w14:paraId="5D94D9C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€8.510</w:t>
            </w:r>
          </w:p>
        </w:tc>
      </w:tr>
      <w:tr w:rsidRPr="00662A2E" w:rsidR="0063414A" w:rsidTr="00E65AA2" w14:paraId="3884EF68" w14:textId="77777777">
        <w:tc>
          <w:tcPr>
            <w:tcW w:w="3397" w:type="dxa"/>
          </w:tcPr>
          <w:p w:rsidRPr="00662A2E" w:rsidR="0063414A" w:rsidP="00E65AA2" w:rsidRDefault="0063414A" w14:paraId="70B81F6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Non-ODA-middelen</w:t>
            </w:r>
          </w:p>
        </w:tc>
        <w:tc>
          <w:tcPr>
            <w:tcW w:w="851" w:type="dxa"/>
          </w:tcPr>
          <w:p w:rsidRPr="00662A2E" w:rsidR="0063414A" w:rsidP="00E65AA2" w:rsidRDefault="0063414A" w14:paraId="629AC7DA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€731</w:t>
            </w:r>
          </w:p>
        </w:tc>
        <w:tc>
          <w:tcPr>
            <w:tcW w:w="1559" w:type="dxa"/>
          </w:tcPr>
          <w:p w:rsidRPr="00662A2E" w:rsidR="0063414A" w:rsidP="00E65AA2" w:rsidRDefault="0063414A" w14:paraId="66F1F10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€718</w:t>
            </w:r>
          </w:p>
        </w:tc>
        <w:tc>
          <w:tcPr>
            <w:tcW w:w="1418" w:type="dxa"/>
          </w:tcPr>
          <w:p w:rsidRPr="00662A2E" w:rsidR="0063414A" w:rsidP="00E65AA2" w:rsidRDefault="0063414A" w14:paraId="6AB78209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€844</w:t>
            </w:r>
          </w:p>
        </w:tc>
        <w:tc>
          <w:tcPr>
            <w:tcW w:w="1842" w:type="dxa"/>
          </w:tcPr>
          <w:p w:rsidRPr="00662A2E" w:rsidR="0063414A" w:rsidP="00E65AA2" w:rsidRDefault="0063414A" w14:paraId="1D0488D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€956</w:t>
            </w:r>
          </w:p>
        </w:tc>
        <w:tc>
          <w:tcPr>
            <w:tcW w:w="1270" w:type="dxa"/>
          </w:tcPr>
          <w:p w:rsidRPr="00662A2E" w:rsidR="0063414A" w:rsidP="00E65AA2" w:rsidRDefault="0063414A" w14:paraId="52022CF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€3.214</w:t>
            </w:r>
          </w:p>
        </w:tc>
      </w:tr>
      <w:tr w:rsidRPr="00662A2E" w:rsidR="0063414A" w:rsidTr="00E65AA2" w14:paraId="0EF782FF" w14:textId="77777777">
        <w:tc>
          <w:tcPr>
            <w:tcW w:w="3397" w:type="dxa"/>
          </w:tcPr>
          <w:p w:rsidRPr="00662A2E" w:rsidR="0063414A" w:rsidP="00E65AA2" w:rsidRDefault="0063414A" w14:paraId="5EE1282B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Subsidies OCW</w:t>
            </w:r>
          </w:p>
        </w:tc>
        <w:tc>
          <w:tcPr>
            <w:tcW w:w="851" w:type="dxa"/>
          </w:tcPr>
          <w:p w:rsidRPr="00662A2E" w:rsidR="0063414A" w:rsidP="00E65AA2" w:rsidRDefault="0063414A" w14:paraId="7ECEED15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€74.830</w:t>
            </w:r>
          </w:p>
        </w:tc>
        <w:tc>
          <w:tcPr>
            <w:tcW w:w="1559" w:type="dxa"/>
          </w:tcPr>
          <w:p w:rsidRPr="00662A2E" w:rsidR="0063414A" w:rsidP="00E65AA2" w:rsidRDefault="0063414A" w14:paraId="636A3B4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€138.338</w:t>
            </w:r>
          </w:p>
        </w:tc>
        <w:tc>
          <w:tcPr>
            <w:tcW w:w="1418" w:type="dxa"/>
          </w:tcPr>
          <w:p w:rsidRPr="00662A2E" w:rsidR="0063414A" w:rsidP="00E65AA2" w:rsidRDefault="0063414A" w14:paraId="7D72292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€255.150</w:t>
            </w:r>
          </w:p>
        </w:tc>
        <w:tc>
          <w:tcPr>
            <w:tcW w:w="1842" w:type="dxa"/>
          </w:tcPr>
          <w:p w:rsidRPr="00662A2E" w:rsidR="0063414A" w:rsidP="00E65AA2" w:rsidRDefault="0063414A" w14:paraId="1FA0B241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€316.543</w:t>
            </w:r>
          </w:p>
        </w:tc>
        <w:tc>
          <w:tcPr>
            <w:tcW w:w="1270" w:type="dxa"/>
          </w:tcPr>
          <w:p w:rsidRPr="00662A2E" w:rsidR="0063414A" w:rsidP="00E65AA2" w:rsidRDefault="0063414A" w14:paraId="72E32461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€361.486</w:t>
            </w:r>
          </w:p>
        </w:tc>
      </w:tr>
      <w:tr w:rsidRPr="00662A2E" w:rsidR="0063414A" w:rsidTr="00E65AA2" w14:paraId="71996B9A" w14:textId="77777777">
        <w:tc>
          <w:tcPr>
            <w:tcW w:w="3397" w:type="dxa"/>
          </w:tcPr>
          <w:p w:rsidRPr="00662A2E" w:rsidR="0063414A" w:rsidP="00E65AA2" w:rsidRDefault="0063414A" w14:paraId="4869178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Verminderen internationale studenten</w:t>
            </w:r>
          </w:p>
        </w:tc>
        <w:tc>
          <w:tcPr>
            <w:tcW w:w="851" w:type="dxa"/>
          </w:tcPr>
          <w:p w:rsidRPr="00662A2E" w:rsidR="0063414A" w:rsidP="00E65AA2" w:rsidRDefault="0063414A" w14:paraId="02B853F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7478D302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€29.000</w:t>
            </w:r>
          </w:p>
        </w:tc>
        <w:tc>
          <w:tcPr>
            <w:tcW w:w="1418" w:type="dxa"/>
          </w:tcPr>
          <w:p w:rsidRPr="00662A2E" w:rsidR="0063414A" w:rsidP="00E65AA2" w:rsidRDefault="0063414A" w14:paraId="5A43F61A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€118.000</w:t>
            </w:r>
          </w:p>
        </w:tc>
        <w:tc>
          <w:tcPr>
            <w:tcW w:w="1842" w:type="dxa"/>
          </w:tcPr>
          <w:p w:rsidRPr="00662A2E" w:rsidR="0063414A" w:rsidP="00E65AA2" w:rsidRDefault="0063414A" w14:paraId="7C453675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€209.000</w:t>
            </w:r>
          </w:p>
        </w:tc>
        <w:tc>
          <w:tcPr>
            <w:tcW w:w="1270" w:type="dxa"/>
          </w:tcPr>
          <w:p w:rsidRPr="00662A2E" w:rsidR="0063414A" w:rsidP="00E65AA2" w:rsidRDefault="0063414A" w14:paraId="06471FB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€272.000</w:t>
            </w:r>
          </w:p>
        </w:tc>
      </w:tr>
      <w:tr w:rsidRPr="00662A2E" w:rsidR="0063414A" w:rsidTr="00E65AA2" w14:paraId="168C38B8" w14:textId="77777777">
        <w:tc>
          <w:tcPr>
            <w:tcW w:w="3397" w:type="dxa"/>
          </w:tcPr>
          <w:p w:rsidRPr="00662A2E" w:rsidR="0063414A" w:rsidP="00E65AA2" w:rsidRDefault="0063414A" w14:paraId="25C1D9E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Hervorming NPO</w:t>
            </w:r>
          </w:p>
        </w:tc>
        <w:tc>
          <w:tcPr>
            <w:tcW w:w="851" w:type="dxa"/>
          </w:tcPr>
          <w:p w:rsidRPr="00662A2E" w:rsidR="0063414A" w:rsidP="00E65AA2" w:rsidRDefault="0063414A" w14:paraId="18D1163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284DDE4D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418" w:type="dxa"/>
          </w:tcPr>
          <w:p w:rsidRPr="00662A2E" w:rsidR="0063414A" w:rsidP="00E65AA2" w:rsidRDefault="0063414A" w14:paraId="4E55EACA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€100.000</w:t>
            </w:r>
          </w:p>
        </w:tc>
        <w:tc>
          <w:tcPr>
            <w:tcW w:w="1842" w:type="dxa"/>
          </w:tcPr>
          <w:p w:rsidRPr="00662A2E" w:rsidR="0063414A" w:rsidP="00E65AA2" w:rsidRDefault="0063414A" w14:paraId="511D37C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€100.000</w:t>
            </w:r>
          </w:p>
        </w:tc>
        <w:tc>
          <w:tcPr>
            <w:tcW w:w="1270" w:type="dxa"/>
          </w:tcPr>
          <w:p w:rsidRPr="00662A2E" w:rsidR="0063414A" w:rsidP="00E65AA2" w:rsidRDefault="0063414A" w14:paraId="68F19273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€100.000</w:t>
            </w:r>
          </w:p>
        </w:tc>
      </w:tr>
      <w:tr w:rsidRPr="00662A2E" w:rsidR="0063414A" w:rsidTr="00E65AA2" w14:paraId="4B0020E2" w14:textId="77777777">
        <w:tc>
          <w:tcPr>
            <w:tcW w:w="3397" w:type="dxa"/>
          </w:tcPr>
          <w:p w:rsidRPr="00662A2E" w:rsidR="0063414A" w:rsidP="00E65AA2" w:rsidRDefault="0063414A" w14:paraId="1C68B6C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 xml:space="preserve">OV-vergoeding buitenland studerenden </w:t>
            </w:r>
          </w:p>
        </w:tc>
        <w:tc>
          <w:tcPr>
            <w:tcW w:w="851" w:type="dxa"/>
          </w:tcPr>
          <w:p w:rsidRPr="00662A2E" w:rsidR="0063414A" w:rsidP="00E65AA2" w:rsidRDefault="0063414A" w14:paraId="7837974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07B43D9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€4.000</w:t>
            </w:r>
          </w:p>
        </w:tc>
        <w:tc>
          <w:tcPr>
            <w:tcW w:w="1418" w:type="dxa"/>
          </w:tcPr>
          <w:p w:rsidRPr="00662A2E" w:rsidR="0063414A" w:rsidP="00E65AA2" w:rsidRDefault="0063414A" w14:paraId="28AC8561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€8.000</w:t>
            </w:r>
          </w:p>
        </w:tc>
        <w:tc>
          <w:tcPr>
            <w:tcW w:w="1842" w:type="dxa"/>
          </w:tcPr>
          <w:p w:rsidRPr="00662A2E" w:rsidR="0063414A" w:rsidP="00E65AA2" w:rsidRDefault="0063414A" w14:paraId="7D85AFC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€14.000</w:t>
            </w:r>
          </w:p>
        </w:tc>
        <w:tc>
          <w:tcPr>
            <w:tcW w:w="1270" w:type="dxa"/>
          </w:tcPr>
          <w:p w:rsidRPr="00662A2E" w:rsidR="0063414A" w:rsidP="00E65AA2" w:rsidRDefault="0063414A" w14:paraId="0CB65C50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€14.000</w:t>
            </w:r>
          </w:p>
        </w:tc>
      </w:tr>
      <w:tr w:rsidRPr="00662A2E" w:rsidR="0063414A" w:rsidTr="00E65AA2" w14:paraId="6A4E4844" w14:textId="77777777">
        <w:tc>
          <w:tcPr>
            <w:tcW w:w="3397" w:type="dxa"/>
          </w:tcPr>
          <w:p w:rsidRPr="00662A2E" w:rsidR="0063414A" w:rsidP="00E65AA2" w:rsidRDefault="0063414A" w14:paraId="5EFA644D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Langstudeerboete</w:t>
            </w:r>
            <w:proofErr w:type="spellEnd"/>
          </w:p>
        </w:tc>
        <w:tc>
          <w:tcPr>
            <w:tcW w:w="851" w:type="dxa"/>
          </w:tcPr>
          <w:p w:rsidRPr="00662A2E" w:rsidR="0063414A" w:rsidP="00E65AA2" w:rsidRDefault="0063414A" w14:paraId="46E6D4E2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€0</w:t>
            </w:r>
          </w:p>
        </w:tc>
        <w:tc>
          <w:tcPr>
            <w:tcW w:w="1559" w:type="dxa"/>
          </w:tcPr>
          <w:p w:rsidRPr="00662A2E" w:rsidR="0063414A" w:rsidP="00E65AA2" w:rsidRDefault="0063414A" w14:paraId="2081C60F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€95.000</w:t>
            </w:r>
          </w:p>
        </w:tc>
        <w:tc>
          <w:tcPr>
            <w:tcW w:w="1418" w:type="dxa"/>
          </w:tcPr>
          <w:p w:rsidRPr="00662A2E" w:rsidR="0063414A" w:rsidP="00E65AA2" w:rsidRDefault="0063414A" w14:paraId="2D97ECC4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€285.000</w:t>
            </w:r>
          </w:p>
        </w:tc>
        <w:tc>
          <w:tcPr>
            <w:tcW w:w="1842" w:type="dxa"/>
          </w:tcPr>
          <w:p w:rsidRPr="00662A2E" w:rsidR="0063414A" w:rsidP="00E65AA2" w:rsidRDefault="0063414A" w14:paraId="3862E156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€283.000</w:t>
            </w:r>
          </w:p>
        </w:tc>
        <w:tc>
          <w:tcPr>
            <w:tcW w:w="1270" w:type="dxa"/>
          </w:tcPr>
          <w:p w:rsidRPr="00662A2E" w:rsidR="0063414A" w:rsidP="00E65AA2" w:rsidRDefault="0063414A" w14:paraId="446B7AAE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€282.000</w:t>
            </w:r>
          </w:p>
        </w:tc>
      </w:tr>
      <w:tr w:rsidRPr="00662A2E" w:rsidR="0063414A" w:rsidTr="00E65AA2" w14:paraId="63D87203" w14:textId="77777777">
        <w:tc>
          <w:tcPr>
            <w:tcW w:w="3397" w:type="dxa"/>
          </w:tcPr>
          <w:p w:rsidRPr="00662A2E" w:rsidR="0063414A" w:rsidP="00E65AA2" w:rsidRDefault="0063414A" w14:paraId="5837377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Fonds Onderzoek &amp; Wetenschap</w:t>
            </w:r>
          </w:p>
        </w:tc>
        <w:tc>
          <w:tcPr>
            <w:tcW w:w="851" w:type="dxa"/>
          </w:tcPr>
          <w:p w:rsidRPr="00662A2E" w:rsidR="0063414A" w:rsidP="00E65AA2" w:rsidRDefault="0063414A" w14:paraId="595887A2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€131.929</w:t>
            </w:r>
          </w:p>
        </w:tc>
        <w:tc>
          <w:tcPr>
            <w:tcW w:w="1559" w:type="dxa"/>
          </w:tcPr>
          <w:p w:rsidRPr="00662A2E" w:rsidR="0063414A" w:rsidP="00E65AA2" w:rsidRDefault="0063414A" w14:paraId="345827CC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€131.929</w:t>
            </w:r>
          </w:p>
        </w:tc>
        <w:tc>
          <w:tcPr>
            <w:tcW w:w="1418" w:type="dxa"/>
          </w:tcPr>
          <w:p w:rsidRPr="00662A2E" w:rsidR="0063414A" w:rsidP="00E65AA2" w:rsidRDefault="0063414A" w14:paraId="34FB7DB3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€131.929</w:t>
            </w:r>
          </w:p>
        </w:tc>
        <w:tc>
          <w:tcPr>
            <w:tcW w:w="1842" w:type="dxa"/>
          </w:tcPr>
          <w:p w:rsidRPr="00662A2E" w:rsidR="0063414A" w:rsidP="00E65AA2" w:rsidRDefault="0063414A" w14:paraId="2F120589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€132.054</w:t>
            </w:r>
          </w:p>
        </w:tc>
        <w:tc>
          <w:tcPr>
            <w:tcW w:w="1270" w:type="dxa"/>
          </w:tcPr>
          <w:p w:rsidRPr="00662A2E" w:rsidR="0063414A" w:rsidP="00E65AA2" w:rsidRDefault="0063414A" w14:paraId="616B1383" w14:textId="7777777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color w:val="000000" w:themeColor="text1"/>
                <w:szCs w:val="24"/>
              </w:rPr>
              <w:t>€132.054</w:t>
            </w:r>
          </w:p>
        </w:tc>
      </w:tr>
      <w:tr w:rsidRPr="00662A2E" w:rsidR="0063414A" w:rsidTr="00E65AA2" w14:paraId="1437BE40" w14:textId="77777777">
        <w:tc>
          <w:tcPr>
            <w:tcW w:w="3397" w:type="dxa"/>
          </w:tcPr>
          <w:p w:rsidRPr="00662A2E" w:rsidR="0063414A" w:rsidP="00E65AA2" w:rsidRDefault="0063414A" w14:paraId="019ACCBD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Totaal</w:t>
            </w:r>
          </w:p>
        </w:tc>
        <w:tc>
          <w:tcPr>
            <w:tcW w:w="851" w:type="dxa"/>
          </w:tcPr>
          <w:p w:rsidRPr="00662A2E" w:rsidR="0063414A" w:rsidP="00E65AA2" w:rsidRDefault="0063414A" w14:paraId="2AAD1480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€610.255</w:t>
            </w:r>
          </w:p>
        </w:tc>
        <w:tc>
          <w:tcPr>
            <w:tcW w:w="1559" w:type="dxa"/>
          </w:tcPr>
          <w:p w:rsidRPr="00662A2E" w:rsidR="0063414A" w:rsidP="00E65AA2" w:rsidRDefault="0063414A" w14:paraId="4CF841ED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€1.111.277</w:t>
            </w:r>
          </w:p>
        </w:tc>
        <w:tc>
          <w:tcPr>
            <w:tcW w:w="1418" w:type="dxa"/>
          </w:tcPr>
          <w:p w:rsidRPr="00662A2E" w:rsidR="0063414A" w:rsidP="00E65AA2" w:rsidRDefault="0063414A" w14:paraId="6B05F4C1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€1.691.042</w:t>
            </w:r>
          </w:p>
        </w:tc>
        <w:tc>
          <w:tcPr>
            <w:tcW w:w="1842" w:type="dxa"/>
          </w:tcPr>
          <w:p w:rsidRPr="00662A2E" w:rsidR="0063414A" w:rsidP="00E65AA2" w:rsidRDefault="0063414A" w14:paraId="5E8B7591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€1.883.039</w:t>
            </w:r>
          </w:p>
        </w:tc>
        <w:tc>
          <w:tcPr>
            <w:tcW w:w="1270" w:type="dxa"/>
          </w:tcPr>
          <w:p w:rsidRPr="00662A2E" w:rsidR="0063414A" w:rsidP="00E65AA2" w:rsidRDefault="0063414A" w14:paraId="272A136B" w14:textId="7777777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62A2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€2.000.363</w:t>
            </w:r>
          </w:p>
        </w:tc>
      </w:tr>
    </w:tbl>
    <w:p w:rsidR="00FF7391" w:rsidP="00FB349A" w:rsidRDefault="00FF7391" w14:paraId="067AE73D" w14:textId="77777777">
      <w:pPr>
        <w:rPr>
          <w:rFonts w:ascii="Times New Roman" w:hAnsi="Times New Roman"/>
          <w:color w:val="000000" w:themeColor="text1"/>
          <w:szCs w:val="24"/>
          <w:highlight w:val="yellow"/>
        </w:rPr>
      </w:pPr>
    </w:p>
    <w:p w:rsidR="00586D0F" w:rsidP="00FB349A" w:rsidRDefault="008240A5" w14:paraId="66257793" w14:textId="3A87969F">
      <w:pPr>
        <w:rPr>
          <w:rFonts w:ascii="Times New Roman" w:hAnsi="Times New Roman"/>
          <w:color w:val="000000" w:themeColor="text1"/>
          <w:szCs w:val="24"/>
        </w:rPr>
      </w:pPr>
      <w:r w:rsidRPr="00352359">
        <w:rPr>
          <w:rFonts w:ascii="Times New Roman" w:hAnsi="Times New Roman"/>
          <w:color w:val="000000" w:themeColor="text1"/>
          <w:szCs w:val="24"/>
        </w:rPr>
        <w:t>De dekking van dit amendement sluit aan bij de genoemde voorstellen uit de motie</w:t>
      </w:r>
      <w:r w:rsidR="003647AB">
        <w:rPr>
          <w:rFonts w:ascii="Times New Roman" w:hAnsi="Times New Roman"/>
          <w:color w:val="000000" w:themeColor="text1"/>
          <w:szCs w:val="24"/>
        </w:rPr>
        <w:t>s</w:t>
      </w:r>
      <w:r w:rsidRPr="00352359">
        <w:rPr>
          <w:rFonts w:ascii="Times New Roman" w:hAnsi="Times New Roman"/>
          <w:color w:val="000000" w:themeColor="text1"/>
          <w:szCs w:val="24"/>
        </w:rPr>
        <w:t xml:space="preserve"> </w:t>
      </w:r>
      <w:r w:rsidRPr="00352359" w:rsidR="00C63FA3">
        <w:rPr>
          <w:rFonts w:ascii="Times New Roman" w:hAnsi="Times New Roman"/>
          <w:color w:val="000000" w:themeColor="text1"/>
          <w:szCs w:val="24"/>
        </w:rPr>
        <w:t xml:space="preserve">van </w:t>
      </w:r>
      <w:r w:rsidRPr="00352359" w:rsidR="00114636">
        <w:rPr>
          <w:rFonts w:ascii="Times New Roman" w:hAnsi="Times New Roman"/>
          <w:color w:val="000000" w:themeColor="text1"/>
          <w:szCs w:val="24"/>
        </w:rPr>
        <w:t>Jetten, Timmermans, Bontenbal, Dijk, Ouwehand, Dassen, Van Baarle, Bikker</w:t>
      </w:r>
      <w:r w:rsidR="00352359">
        <w:rPr>
          <w:rFonts w:ascii="Times New Roman" w:hAnsi="Times New Roman"/>
          <w:color w:val="000000" w:themeColor="text1"/>
          <w:szCs w:val="24"/>
        </w:rPr>
        <w:t xml:space="preserve"> bij de Algemene Politieke Beschouwingen 2024</w:t>
      </w:r>
      <w:r w:rsidRPr="00352359" w:rsidR="00C63FA3">
        <w:rPr>
          <w:rFonts w:ascii="Times New Roman" w:hAnsi="Times New Roman"/>
          <w:color w:val="000000" w:themeColor="text1"/>
          <w:szCs w:val="24"/>
        </w:rPr>
        <w:t xml:space="preserve"> (36.600, n</w:t>
      </w:r>
      <w:r w:rsidR="0072645E">
        <w:rPr>
          <w:rFonts w:ascii="Times New Roman" w:hAnsi="Times New Roman"/>
          <w:color w:val="000000" w:themeColor="text1"/>
          <w:szCs w:val="24"/>
        </w:rPr>
        <w:t xml:space="preserve">r. </w:t>
      </w:r>
      <w:r w:rsidRPr="00352359" w:rsidR="00C63FA3">
        <w:rPr>
          <w:rFonts w:ascii="Times New Roman" w:hAnsi="Times New Roman"/>
          <w:color w:val="000000" w:themeColor="text1"/>
          <w:szCs w:val="24"/>
        </w:rPr>
        <w:t>12</w:t>
      </w:r>
      <w:r w:rsidR="00814409">
        <w:rPr>
          <w:rFonts w:ascii="Times New Roman" w:hAnsi="Times New Roman"/>
          <w:color w:val="000000" w:themeColor="text1"/>
          <w:szCs w:val="24"/>
        </w:rPr>
        <w:t xml:space="preserve"> &amp; nr. 13</w:t>
      </w:r>
      <w:r w:rsidRPr="00352359" w:rsidR="00C63FA3">
        <w:rPr>
          <w:rFonts w:ascii="Times New Roman" w:hAnsi="Times New Roman"/>
          <w:color w:val="000000" w:themeColor="text1"/>
          <w:szCs w:val="24"/>
        </w:rPr>
        <w:t>)</w:t>
      </w:r>
      <w:r w:rsidR="00352359">
        <w:rPr>
          <w:rFonts w:ascii="Times New Roman" w:hAnsi="Times New Roman"/>
          <w:color w:val="000000" w:themeColor="text1"/>
          <w:szCs w:val="24"/>
        </w:rPr>
        <w:t>.</w:t>
      </w:r>
      <w:r w:rsidR="008F7E17">
        <w:rPr>
          <w:rFonts w:ascii="Times New Roman" w:hAnsi="Times New Roman"/>
          <w:color w:val="000000" w:themeColor="text1"/>
          <w:szCs w:val="24"/>
        </w:rPr>
        <w:t xml:space="preserve"> </w:t>
      </w:r>
      <w:r w:rsidR="00586D0F">
        <w:rPr>
          <w:rFonts w:ascii="Times New Roman" w:hAnsi="Times New Roman"/>
          <w:color w:val="000000" w:themeColor="text1"/>
          <w:szCs w:val="24"/>
        </w:rPr>
        <w:t>Hierbij is goed gekeken naar de doorgerekende verkiezingsprogramma</w:t>
      </w:r>
      <w:r w:rsidR="000336F8">
        <w:rPr>
          <w:rFonts w:ascii="Times New Roman" w:hAnsi="Times New Roman"/>
          <w:color w:val="000000" w:themeColor="text1"/>
          <w:szCs w:val="24"/>
        </w:rPr>
        <w:t>’</w:t>
      </w:r>
      <w:r w:rsidR="00586D0F">
        <w:rPr>
          <w:rFonts w:ascii="Times New Roman" w:hAnsi="Times New Roman"/>
          <w:color w:val="000000" w:themeColor="text1"/>
          <w:szCs w:val="24"/>
        </w:rPr>
        <w:t>s</w:t>
      </w:r>
      <w:r w:rsidR="000336F8">
        <w:rPr>
          <w:rFonts w:ascii="Times New Roman" w:hAnsi="Times New Roman"/>
          <w:color w:val="000000" w:themeColor="text1"/>
          <w:szCs w:val="24"/>
        </w:rPr>
        <w:t xml:space="preserve"> van partijen van links tot rechts. </w:t>
      </w:r>
    </w:p>
    <w:p w:rsidR="000336F8" w:rsidP="00FB349A" w:rsidRDefault="000336F8" w14:paraId="619F6162" w14:textId="77777777">
      <w:pPr>
        <w:rPr>
          <w:rFonts w:ascii="Times New Roman" w:hAnsi="Times New Roman"/>
          <w:color w:val="000000" w:themeColor="text1"/>
          <w:szCs w:val="24"/>
        </w:rPr>
      </w:pPr>
    </w:p>
    <w:p w:rsidRPr="00352359" w:rsidR="00C63FA3" w:rsidP="00FB349A" w:rsidRDefault="00085EA0" w14:paraId="2A647556" w14:textId="2D8BC586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De meeste dekkingsmaatregelen </w:t>
      </w:r>
      <w:r w:rsidR="00A03F6F">
        <w:rPr>
          <w:rFonts w:ascii="Times New Roman" w:hAnsi="Times New Roman"/>
          <w:color w:val="000000" w:themeColor="text1"/>
          <w:szCs w:val="24"/>
        </w:rPr>
        <w:t>moeten worden meegenomen in het Belastingplan van volgend jaar</w:t>
      </w:r>
      <w:r w:rsidR="009A2CD4">
        <w:rPr>
          <w:rFonts w:ascii="Times New Roman" w:hAnsi="Times New Roman"/>
          <w:color w:val="000000" w:themeColor="text1"/>
          <w:szCs w:val="24"/>
        </w:rPr>
        <w:t xml:space="preserve"> en kunnen </w:t>
      </w:r>
      <w:r w:rsidR="004E3823">
        <w:rPr>
          <w:rFonts w:ascii="Times New Roman" w:hAnsi="Times New Roman"/>
          <w:color w:val="000000" w:themeColor="text1"/>
          <w:szCs w:val="24"/>
        </w:rPr>
        <w:t xml:space="preserve">dus pas </w:t>
      </w:r>
      <w:r w:rsidR="009A2CD4">
        <w:rPr>
          <w:rFonts w:ascii="Times New Roman" w:hAnsi="Times New Roman"/>
          <w:color w:val="000000" w:themeColor="text1"/>
          <w:szCs w:val="24"/>
        </w:rPr>
        <w:t xml:space="preserve">ingaan per 1 januari 2026. De overdekking </w:t>
      </w:r>
      <w:r w:rsidR="005C12D2">
        <w:rPr>
          <w:rFonts w:ascii="Times New Roman" w:hAnsi="Times New Roman"/>
          <w:color w:val="000000" w:themeColor="text1"/>
          <w:szCs w:val="24"/>
        </w:rPr>
        <w:t xml:space="preserve">voor de periode 2026-2028 kan middels kasschuiven worden ingezet voor de </w:t>
      </w:r>
      <w:proofErr w:type="spellStart"/>
      <w:r w:rsidR="005C12D2">
        <w:rPr>
          <w:rFonts w:ascii="Times New Roman" w:hAnsi="Times New Roman"/>
          <w:color w:val="000000" w:themeColor="text1"/>
          <w:szCs w:val="24"/>
        </w:rPr>
        <w:t>onderdekking</w:t>
      </w:r>
      <w:proofErr w:type="spellEnd"/>
      <w:r w:rsidR="005C12D2">
        <w:rPr>
          <w:rFonts w:ascii="Times New Roman" w:hAnsi="Times New Roman"/>
          <w:color w:val="000000" w:themeColor="text1"/>
          <w:szCs w:val="24"/>
        </w:rPr>
        <w:t xml:space="preserve"> in 2025. </w:t>
      </w:r>
      <w:r w:rsidR="0090488D">
        <w:rPr>
          <w:rFonts w:ascii="Times New Roman" w:hAnsi="Times New Roman"/>
          <w:color w:val="000000" w:themeColor="text1"/>
          <w:szCs w:val="24"/>
        </w:rPr>
        <w:t xml:space="preserve">Structureel </w:t>
      </w:r>
      <w:r>
        <w:rPr>
          <w:rFonts w:ascii="Times New Roman" w:hAnsi="Times New Roman"/>
          <w:color w:val="000000" w:themeColor="text1"/>
          <w:szCs w:val="24"/>
        </w:rPr>
        <w:t xml:space="preserve">sluit de </w:t>
      </w:r>
      <w:r w:rsidR="005C12D2">
        <w:rPr>
          <w:rFonts w:ascii="Times New Roman" w:hAnsi="Times New Roman"/>
          <w:color w:val="000000" w:themeColor="text1"/>
          <w:szCs w:val="24"/>
        </w:rPr>
        <w:t xml:space="preserve">budgettaire </w:t>
      </w:r>
      <w:r>
        <w:rPr>
          <w:rFonts w:ascii="Times New Roman" w:hAnsi="Times New Roman"/>
          <w:color w:val="000000" w:themeColor="text1"/>
          <w:szCs w:val="24"/>
        </w:rPr>
        <w:t>dekking</w:t>
      </w:r>
      <w:r w:rsidR="008F7E17">
        <w:rPr>
          <w:rFonts w:ascii="Times New Roman" w:hAnsi="Times New Roman"/>
          <w:color w:val="000000" w:themeColor="text1"/>
          <w:szCs w:val="24"/>
        </w:rPr>
        <w:t>,</w:t>
      </w:r>
      <w:r w:rsidR="005C12D2">
        <w:rPr>
          <w:rFonts w:ascii="Times New Roman" w:hAnsi="Times New Roman"/>
          <w:color w:val="000000" w:themeColor="text1"/>
          <w:szCs w:val="24"/>
        </w:rPr>
        <w:t xml:space="preserve"> waardoor dit amendement geen gevolgen heeft voor </w:t>
      </w:r>
      <w:r w:rsidR="004E3823">
        <w:rPr>
          <w:rFonts w:ascii="Times New Roman" w:hAnsi="Times New Roman"/>
          <w:color w:val="000000" w:themeColor="text1"/>
          <w:szCs w:val="24"/>
        </w:rPr>
        <w:t xml:space="preserve">toekomstige overheidsfinanciën. </w:t>
      </w:r>
    </w:p>
    <w:p w:rsidR="00996E9B" w:rsidP="00FB349A" w:rsidRDefault="00996E9B" w14:paraId="4C29E16A" w14:textId="77777777">
      <w:pPr>
        <w:rPr>
          <w:rFonts w:ascii="Times New Roman" w:hAnsi="Times New Roman"/>
          <w:color w:val="000000" w:themeColor="text1"/>
          <w:szCs w:val="24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2545"/>
      </w:tblGrid>
      <w:tr w:rsidR="00996E9B" w:rsidTr="004E3823" w14:paraId="1ABEB37F" w14:textId="77777777">
        <w:tc>
          <w:tcPr>
            <w:tcW w:w="7792" w:type="dxa"/>
          </w:tcPr>
          <w:p w:rsidRPr="00533893" w:rsidR="00996E9B" w:rsidP="00FB349A" w:rsidRDefault="001D5C58" w14:paraId="71EEA52D" w14:textId="34305EAF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3389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Budgettaire dekking:  </w:t>
            </w:r>
          </w:p>
        </w:tc>
        <w:tc>
          <w:tcPr>
            <w:tcW w:w="2545" w:type="dxa"/>
          </w:tcPr>
          <w:p w:rsidRPr="00533893" w:rsidR="00996E9B" w:rsidP="00FB349A" w:rsidRDefault="001D5C58" w14:paraId="6B43952C" w14:textId="148EC83B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3389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Structureel bedrag: </w:t>
            </w:r>
          </w:p>
        </w:tc>
      </w:tr>
      <w:tr w:rsidR="008240A5" w:rsidTr="004E3823" w14:paraId="0AA8CDB2" w14:textId="77777777">
        <w:tc>
          <w:tcPr>
            <w:tcW w:w="7792" w:type="dxa"/>
          </w:tcPr>
          <w:p w:rsidRPr="00533893" w:rsidR="008240A5" w:rsidP="008240A5" w:rsidRDefault="00C0340D" w14:paraId="0C4D180B" w14:textId="010C3BFD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Tegengaan c</w:t>
            </w:r>
            <w:r w:rsidR="00070874">
              <w:rPr>
                <w:rFonts w:ascii="Times New Roman" w:hAnsi="Times New Roman"/>
                <w:color w:val="000000" w:themeColor="text1"/>
                <w:szCs w:val="24"/>
              </w:rPr>
              <w:t xml:space="preserve">onstructies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om </w:t>
            </w:r>
            <w:r w:rsidR="000560D6">
              <w:rPr>
                <w:rFonts w:ascii="Times New Roman" w:hAnsi="Times New Roman"/>
                <w:color w:val="000000" w:themeColor="text1"/>
                <w:szCs w:val="24"/>
              </w:rPr>
              <w:t xml:space="preserve">winstbelasting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te ontwijken </w:t>
            </w:r>
            <w:r w:rsidR="0095740C"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 w:rsidR="00F93559">
              <w:rPr>
                <w:rFonts w:ascii="Times New Roman" w:hAnsi="Times New Roman"/>
                <w:color w:val="000000" w:themeColor="text1"/>
                <w:szCs w:val="24"/>
              </w:rPr>
              <w:t>verliesverrekening, kosten deelnemingen</w:t>
            </w:r>
            <w:r w:rsidR="004533AF">
              <w:rPr>
                <w:rFonts w:ascii="Times New Roman" w:hAnsi="Times New Roman"/>
                <w:color w:val="000000" w:themeColor="text1"/>
                <w:szCs w:val="24"/>
              </w:rPr>
              <w:t xml:space="preserve">, afschaffen </w:t>
            </w:r>
            <w:proofErr w:type="spellStart"/>
            <w:r w:rsidR="004533AF">
              <w:rPr>
                <w:rFonts w:ascii="Times New Roman" w:hAnsi="Times New Roman"/>
                <w:color w:val="000000" w:themeColor="text1"/>
                <w:szCs w:val="24"/>
              </w:rPr>
              <w:t>carry</w:t>
            </w:r>
            <w:proofErr w:type="spellEnd"/>
            <w:r w:rsidR="004533AF">
              <w:rPr>
                <w:rFonts w:ascii="Times New Roman" w:hAnsi="Times New Roman"/>
                <w:color w:val="000000" w:themeColor="text1"/>
                <w:szCs w:val="24"/>
              </w:rPr>
              <w:t xml:space="preserve"> back</w:t>
            </w:r>
            <w:r w:rsidR="00F93559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545" w:type="dxa"/>
          </w:tcPr>
          <w:p w:rsidRPr="00533893" w:rsidR="008240A5" w:rsidP="008240A5" w:rsidRDefault="008240A5" w14:paraId="04A009E8" w14:textId="13A17C1E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D46C5B">
              <w:rPr>
                <w:rFonts w:ascii="Times New Roman" w:hAnsi="Times New Roman"/>
                <w:color w:val="000000" w:themeColor="text1"/>
                <w:szCs w:val="24"/>
              </w:rPr>
              <w:t xml:space="preserve">€0,8 miljard  </w:t>
            </w:r>
          </w:p>
        </w:tc>
      </w:tr>
      <w:tr w:rsidR="008240A5" w:rsidTr="004E3823" w14:paraId="32C2F405" w14:textId="77777777">
        <w:tc>
          <w:tcPr>
            <w:tcW w:w="7792" w:type="dxa"/>
          </w:tcPr>
          <w:p w:rsidRPr="00D46C5B" w:rsidR="008240A5" w:rsidP="008240A5" w:rsidRDefault="008240A5" w14:paraId="20F8C204" w14:textId="06938D9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C5B">
              <w:rPr>
                <w:rFonts w:ascii="Times New Roman" w:hAnsi="Times New Roman"/>
                <w:color w:val="000000" w:themeColor="text1"/>
                <w:szCs w:val="24"/>
              </w:rPr>
              <w:t>Invoeren digitale dienstenbelasting, 5% over bruto-opbrengst.</w:t>
            </w:r>
          </w:p>
        </w:tc>
        <w:tc>
          <w:tcPr>
            <w:tcW w:w="2545" w:type="dxa"/>
          </w:tcPr>
          <w:p w:rsidRPr="00D46C5B" w:rsidR="008240A5" w:rsidP="008240A5" w:rsidRDefault="008240A5" w14:paraId="0237D3BF" w14:textId="4A1B08E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C5B">
              <w:rPr>
                <w:rFonts w:ascii="Times New Roman" w:hAnsi="Times New Roman"/>
                <w:color w:val="000000" w:themeColor="text1"/>
                <w:szCs w:val="24"/>
              </w:rPr>
              <w:t xml:space="preserve">€0,5 miljard </w:t>
            </w:r>
          </w:p>
        </w:tc>
      </w:tr>
      <w:tr w:rsidR="008240A5" w:rsidTr="004E3823" w14:paraId="7689CD8B" w14:textId="77777777">
        <w:tc>
          <w:tcPr>
            <w:tcW w:w="7792" w:type="dxa"/>
          </w:tcPr>
          <w:p w:rsidRPr="00D46C5B" w:rsidR="008240A5" w:rsidP="008240A5" w:rsidRDefault="0095740C" w14:paraId="7C182F0B" w14:textId="6D40BFA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Pr="00D46C5B" w:rsidR="008240A5">
              <w:rPr>
                <w:rFonts w:ascii="Times New Roman" w:hAnsi="Times New Roman"/>
                <w:color w:val="000000" w:themeColor="text1"/>
                <w:szCs w:val="24"/>
              </w:rPr>
              <w:t>enteaftrekbeperking op 20% houden</w:t>
            </w:r>
          </w:p>
        </w:tc>
        <w:tc>
          <w:tcPr>
            <w:tcW w:w="2545" w:type="dxa"/>
          </w:tcPr>
          <w:p w:rsidRPr="00D46C5B" w:rsidR="008240A5" w:rsidP="008240A5" w:rsidRDefault="008240A5" w14:paraId="46D1B7ED" w14:textId="4096B46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C5B">
              <w:rPr>
                <w:rFonts w:ascii="Times New Roman" w:hAnsi="Times New Roman"/>
                <w:color w:val="000000" w:themeColor="text1"/>
                <w:szCs w:val="24"/>
              </w:rPr>
              <w:t xml:space="preserve">€0,4 miljard  </w:t>
            </w:r>
          </w:p>
        </w:tc>
      </w:tr>
      <w:tr w:rsidR="008240A5" w:rsidTr="004E3823" w14:paraId="49C2E9AD" w14:textId="77777777">
        <w:tc>
          <w:tcPr>
            <w:tcW w:w="7792" w:type="dxa"/>
          </w:tcPr>
          <w:p w:rsidRPr="00D46C5B" w:rsidR="008240A5" w:rsidP="008240A5" w:rsidRDefault="008240A5" w14:paraId="15CF4F95" w14:textId="7F1A207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C5B">
              <w:rPr>
                <w:rFonts w:ascii="Times New Roman" w:hAnsi="Times New Roman"/>
                <w:color w:val="000000" w:themeColor="text1"/>
                <w:szCs w:val="24"/>
              </w:rPr>
              <w:t>Afschaffen vrijstellingen voor mineralogische en metallurgische procedés (fossiele subsidies)</w:t>
            </w:r>
          </w:p>
        </w:tc>
        <w:tc>
          <w:tcPr>
            <w:tcW w:w="2545" w:type="dxa"/>
          </w:tcPr>
          <w:p w:rsidRPr="00D46C5B" w:rsidR="008240A5" w:rsidP="008240A5" w:rsidRDefault="008240A5" w14:paraId="4D2CC65E" w14:textId="176C910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C5B">
              <w:rPr>
                <w:rFonts w:ascii="Times New Roman" w:hAnsi="Times New Roman"/>
                <w:color w:val="000000" w:themeColor="text1"/>
                <w:szCs w:val="24"/>
              </w:rPr>
              <w:t xml:space="preserve">€0,2 miljard  </w:t>
            </w:r>
          </w:p>
        </w:tc>
      </w:tr>
      <w:tr w:rsidR="008240A5" w:rsidTr="004E3823" w14:paraId="27EC413B" w14:textId="77777777">
        <w:tc>
          <w:tcPr>
            <w:tcW w:w="7792" w:type="dxa"/>
          </w:tcPr>
          <w:p w:rsidRPr="00D46C5B" w:rsidR="008240A5" w:rsidP="008240A5" w:rsidRDefault="008240A5" w14:paraId="5B35CA0C" w14:textId="1C6D452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Nieuwe artsen in loondienst en inkomen maximeren op WNT.  </w:t>
            </w:r>
          </w:p>
        </w:tc>
        <w:tc>
          <w:tcPr>
            <w:tcW w:w="2545" w:type="dxa"/>
          </w:tcPr>
          <w:p w:rsidRPr="00D46C5B" w:rsidR="008240A5" w:rsidP="008240A5" w:rsidRDefault="008240A5" w14:paraId="399518FC" w14:textId="66242E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€0,1 miljard. </w:t>
            </w:r>
          </w:p>
        </w:tc>
      </w:tr>
      <w:tr w:rsidR="0045611A" w:rsidTr="004E3823" w14:paraId="39396F14" w14:textId="77777777">
        <w:tc>
          <w:tcPr>
            <w:tcW w:w="7792" w:type="dxa"/>
          </w:tcPr>
          <w:p w:rsidRPr="0045611A" w:rsidR="0045611A" w:rsidP="008240A5" w:rsidRDefault="0045611A" w14:paraId="06291C51" w14:textId="4A0B031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5611A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Totaal:</w:t>
            </w:r>
          </w:p>
        </w:tc>
        <w:tc>
          <w:tcPr>
            <w:tcW w:w="2545" w:type="dxa"/>
          </w:tcPr>
          <w:p w:rsidRPr="0045611A" w:rsidR="0045611A" w:rsidP="008240A5" w:rsidRDefault="0045611A" w14:paraId="72301242" w14:textId="54B23CF6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5611A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€2,0 miljard </w:t>
            </w:r>
          </w:p>
        </w:tc>
      </w:tr>
    </w:tbl>
    <w:p w:rsidRPr="007F41F1" w:rsidR="00996E9B" w:rsidP="00FB349A" w:rsidRDefault="00996E9B" w14:paraId="0038CE47" w14:textId="77777777">
      <w:pPr>
        <w:rPr>
          <w:rFonts w:ascii="Times New Roman" w:hAnsi="Times New Roman"/>
          <w:highlight w:val="yellow"/>
        </w:rPr>
      </w:pPr>
    </w:p>
    <w:p w:rsidRPr="007B300E" w:rsidR="001A2A63" w:rsidP="00FB349A" w:rsidRDefault="00F11A14" w14:paraId="0DE16E54" w14:textId="77777777">
      <w:pPr>
        <w:rPr>
          <w:rFonts w:ascii="Times New Roman" w:hAnsi="Times New Roman"/>
          <w:szCs w:val="24"/>
        </w:rPr>
      </w:pPr>
      <w:r w:rsidRPr="007B300E">
        <w:rPr>
          <w:rFonts w:ascii="Times New Roman" w:hAnsi="Times New Roman"/>
          <w:szCs w:val="24"/>
        </w:rPr>
        <w:t>Stultiens</w:t>
      </w:r>
    </w:p>
    <w:p w:rsidRPr="007B300E" w:rsidR="00765235" w:rsidP="00765235" w:rsidRDefault="00765235" w14:paraId="274F7252" w14:textId="77777777">
      <w:pPr>
        <w:rPr>
          <w:rFonts w:ascii="Times New Roman" w:hAnsi="Times New Roman"/>
          <w:szCs w:val="24"/>
        </w:rPr>
      </w:pPr>
      <w:r w:rsidRPr="007B300E">
        <w:rPr>
          <w:rFonts w:ascii="Times New Roman" w:hAnsi="Times New Roman"/>
          <w:szCs w:val="24"/>
        </w:rPr>
        <w:t>Beckerman</w:t>
      </w:r>
    </w:p>
    <w:p w:rsidRPr="007B300E" w:rsidR="00765235" w:rsidP="00765235" w:rsidRDefault="00765235" w14:paraId="2DE183D0" w14:textId="77777777">
      <w:pPr>
        <w:rPr>
          <w:rFonts w:ascii="Times New Roman" w:hAnsi="Times New Roman"/>
          <w:szCs w:val="24"/>
        </w:rPr>
      </w:pPr>
      <w:r w:rsidRPr="007B300E">
        <w:rPr>
          <w:rFonts w:ascii="Times New Roman" w:hAnsi="Times New Roman"/>
          <w:szCs w:val="24"/>
        </w:rPr>
        <w:t>Ergin</w:t>
      </w:r>
    </w:p>
    <w:p w:rsidRPr="007B300E" w:rsidR="00765235" w:rsidP="00765235" w:rsidRDefault="00765235" w14:paraId="3F8A9C1A" w14:textId="77777777">
      <w:pPr>
        <w:rPr>
          <w:rFonts w:ascii="Times New Roman" w:hAnsi="Times New Roman"/>
          <w:color w:val="1F1F1F"/>
          <w:szCs w:val="24"/>
          <w:shd w:val="clear" w:color="auto" w:fill="FFFFFF"/>
        </w:rPr>
      </w:pPr>
      <w:proofErr w:type="spellStart"/>
      <w:r w:rsidRPr="007B300E">
        <w:rPr>
          <w:rFonts w:ascii="Times New Roman" w:hAnsi="Times New Roman"/>
          <w:color w:val="1F1F1F"/>
          <w:szCs w:val="24"/>
          <w:shd w:val="clear" w:color="auto" w:fill="FFFFFF"/>
        </w:rPr>
        <w:t>Kostić</w:t>
      </w:r>
      <w:proofErr w:type="spellEnd"/>
    </w:p>
    <w:p w:rsidRPr="007B300E" w:rsidR="00765235" w:rsidP="00765235" w:rsidRDefault="00765235" w14:paraId="43936D9B" w14:textId="77777777">
      <w:pPr>
        <w:rPr>
          <w:rFonts w:ascii="Times New Roman" w:hAnsi="Times New Roman"/>
          <w:szCs w:val="24"/>
        </w:rPr>
      </w:pPr>
      <w:r w:rsidRPr="007B300E">
        <w:rPr>
          <w:rFonts w:ascii="Times New Roman" w:hAnsi="Times New Roman"/>
          <w:color w:val="1F1F1F"/>
          <w:szCs w:val="24"/>
          <w:shd w:val="clear" w:color="auto" w:fill="FFFFFF"/>
        </w:rPr>
        <w:t>Dassen</w:t>
      </w:r>
    </w:p>
    <w:p w:rsidRPr="007B300E" w:rsidR="00A00411" w:rsidP="00FB349A" w:rsidRDefault="00A00411" w14:paraId="38BB5984" w14:textId="7E0A43E1">
      <w:pPr>
        <w:rPr>
          <w:rFonts w:ascii="Times New Roman" w:hAnsi="Times New Roman"/>
          <w:szCs w:val="24"/>
        </w:rPr>
      </w:pPr>
      <w:r w:rsidRPr="007B300E">
        <w:rPr>
          <w:rFonts w:ascii="Times New Roman" w:hAnsi="Times New Roman"/>
          <w:szCs w:val="24"/>
        </w:rPr>
        <w:t>Pijpelink</w:t>
      </w:r>
    </w:p>
    <w:p w:rsidRPr="007B300E" w:rsidR="00765235" w:rsidRDefault="00A00411" w14:paraId="6047E499" w14:textId="2553BEBD">
      <w:pPr>
        <w:rPr>
          <w:rFonts w:ascii="Times New Roman" w:hAnsi="Times New Roman"/>
          <w:szCs w:val="24"/>
        </w:rPr>
      </w:pPr>
      <w:r w:rsidRPr="007B300E">
        <w:rPr>
          <w:rFonts w:ascii="Times New Roman" w:hAnsi="Times New Roman"/>
          <w:szCs w:val="24"/>
        </w:rPr>
        <w:t>Tseggai</w:t>
      </w:r>
    </w:p>
    <w:sectPr w:rsidRPr="007B300E" w:rsidR="00765235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449E" w14:textId="77777777" w:rsidR="00E80A62" w:rsidRDefault="00E80A62">
      <w:pPr>
        <w:spacing w:line="20" w:lineRule="exact"/>
      </w:pPr>
    </w:p>
  </w:endnote>
  <w:endnote w:type="continuationSeparator" w:id="0">
    <w:p w14:paraId="2C788708" w14:textId="77777777" w:rsidR="00E80A62" w:rsidRDefault="00E80A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47B859" w14:textId="77777777" w:rsidR="00E80A62" w:rsidRDefault="00E80A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83A0" w14:textId="77777777" w:rsidR="00E80A62" w:rsidRDefault="00E80A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EE428A" w14:textId="77777777" w:rsidR="00E80A62" w:rsidRDefault="00E8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6FD7"/>
    <w:multiLevelType w:val="hybridMultilevel"/>
    <w:tmpl w:val="785A7270"/>
    <w:lvl w:ilvl="0" w:tplc="ADEEF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14"/>
    <w:rsid w:val="0003016F"/>
    <w:rsid w:val="000336F8"/>
    <w:rsid w:val="000560D6"/>
    <w:rsid w:val="000574FF"/>
    <w:rsid w:val="00070874"/>
    <w:rsid w:val="00085EA0"/>
    <w:rsid w:val="000C6F39"/>
    <w:rsid w:val="00114636"/>
    <w:rsid w:val="0011770C"/>
    <w:rsid w:val="00120827"/>
    <w:rsid w:val="00146E70"/>
    <w:rsid w:val="001A2A63"/>
    <w:rsid w:val="001A5AFF"/>
    <w:rsid w:val="001A6B5A"/>
    <w:rsid w:val="001C562D"/>
    <w:rsid w:val="001D5C58"/>
    <w:rsid w:val="001E2226"/>
    <w:rsid w:val="001F7334"/>
    <w:rsid w:val="002228FC"/>
    <w:rsid w:val="00247976"/>
    <w:rsid w:val="00254085"/>
    <w:rsid w:val="002569BB"/>
    <w:rsid w:val="00266C83"/>
    <w:rsid w:val="002841AD"/>
    <w:rsid w:val="002B13C1"/>
    <w:rsid w:val="002D3344"/>
    <w:rsid w:val="002E76EF"/>
    <w:rsid w:val="003050FF"/>
    <w:rsid w:val="00322E78"/>
    <w:rsid w:val="003414DE"/>
    <w:rsid w:val="00352359"/>
    <w:rsid w:val="003647AB"/>
    <w:rsid w:val="00391C28"/>
    <w:rsid w:val="003D4FB9"/>
    <w:rsid w:val="003E5927"/>
    <w:rsid w:val="00417365"/>
    <w:rsid w:val="00436993"/>
    <w:rsid w:val="00446021"/>
    <w:rsid w:val="004533AF"/>
    <w:rsid w:val="0045611A"/>
    <w:rsid w:val="00461B20"/>
    <w:rsid w:val="00470846"/>
    <w:rsid w:val="0047650D"/>
    <w:rsid w:val="0048228F"/>
    <w:rsid w:val="00496348"/>
    <w:rsid w:val="004A02A0"/>
    <w:rsid w:val="004A147D"/>
    <w:rsid w:val="004B2AE2"/>
    <w:rsid w:val="004C2A57"/>
    <w:rsid w:val="004D4BCF"/>
    <w:rsid w:val="004E3823"/>
    <w:rsid w:val="004F7386"/>
    <w:rsid w:val="005237E4"/>
    <w:rsid w:val="005247EA"/>
    <w:rsid w:val="005275A6"/>
    <w:rsid w:val="0053355F"/>
    <w:rsid w:val="00533893"/>
    <w:rsid w:val="00547DCA"/>
    <w:rsid w:val="00552E8C"/>
    <w:rsid w:val="00574EB3"/>
    <w:rsid w:val="00586D0F"/>
    <w:rsid w:val="005C127E"/>
    <w:rsid w:val="005C12D2"/>
    <w:rsid w:val="005C554B"/>
    <w:rsid w:val="005D0F2D"/>
    <w:rsid w:val="005E482A"/>
    <w:rsid w:val="00617FAD"/>
    <w:rsid w:val="0063414A"/>
    <w:rsid w:val="00646211"/>
    <w:rsid w:val="00662A2E"/>
    <w:rsid w:val="006E0884"/>
    <w:rsid w:val="006E2DAD"/>
    <w:rsid w:val="00702A50"/>
    <w:rsid w:val="00705D37"/>
    <w:rsid w:val="007066C0"/>
    <w:rsid w:val="0072645E"/>
    <w:rsid w:val="00736284"/>
    <w:rsid w:val="00741EB2"/>
    <w:rsid w:val="007521DA"/>
    <w:rsid w:val="00765235"/>
    <w:rsid w:val="00780285"/>
    <w:rsid w:val="007863C3"/>
    <w:rsid w:val="007958E0"/>
    <w:rsid w:val="007A1132"/>
    <w:rsid w:val="007B300E"/>
    <w:rsid w:val="007C3064"/>
    <w:rsid w:val="007D2796"/>
    <w:rsid w:val="007E564C"/>
    <w:rsid w:val="007F41F1"/>
    <w:rsid w:val="007F76B5"/>
    <w:rsid w:val="00814409"/>
    <w:rsid w:val="008240A5"/>
    <w:rsid w:val="00825D99"/>
    <w:rsid w:val="00833C90"/>
    <w:rsid w:val="0084020D"/>
    <w:rsid w:val="008548D1"/>
    <w:rsid w:val="00854DAE"/>
    <w:rsid w:val="00867688"/>
    <w:rsid w:val="008819B7"/>
    <w:rsid w:val="008920FB"/>
    <w:rsid w:val="008B5BF9"/>
    <w:rsid w:val="008C0B60"/>
    <w:rsid w:val="008C2D85"/>
    <w:rsid w:val="008F7E17"/>
    <w:rsid w:val="0090195D"/>
    <w:rsid w:val="0090488D"/>
    <w:rsid w:val="00916006"/>
    <w:rsid w:val="00926C70"/>
    <w:rsid w:val="009347C2"/>
    <w:rsid w:val="00943E13"/>
    <w:rsid w:val="0095740C"/>
    <w:rsid w:val="009627AF"/>
    <w:rsid w:val="00973068"/>
    <w:rsid w:val="00973907"/>
    <w:rsid w:val="0098160F"/>
    <w:rsid w:val="00992FE7"/>
    <w:rsid w:val="00996E9B"/>
    <w:rsid w:val="009A113E"/>
    <w:rsid w:val="009A2CD4"/>
    <w:rsid w:val="009D4C79"/>
    <w:rsid w:val="009E6185"/>
    <w:rsid w:val="00A00411"/>
    <w:rsid w:val="00A03F6F"/>
    <w:rsid w:val="00A11BF3"/>
    <w:rsid w:val="00A1221C"/>
    <w:rsid w:val="00A1562E"/>
    <w:rsid w:val="00A30FD9"/>
    <w:rsid w:val="00A31112"/>
    <w:rsid w:val="00A529F0"/>
    <w:rsid w:val="00A56155"/>
    <w:rsid w:val="00A90CEA"/>
    <w:rsid w:val="00AB56D3"/>
    <w:rsid w:val="00AB6207"/>
    <w:rsid w:val="00AD0B84"/>
    <w:rsid w:val="00AD543F"/>
    <w:rsid w:val="00AF063A"/>
    <w:rsid w:val="00B24FC7"/>
    <w:rsid w:val="00B341E1"/>
    <w:rsid w:val="00B37F45"/>
    <w:rsid w:val="00B6508A"/>
    <w:rsid w:val="00B96413"/>
    <w:rsid w:val="00BA32EF"/>
    <w:rsid w:val="00BB5C9E"/>
    <w:rsid w:val="00BD6436"/>
    <w:rsid w:val="00BE1B3C"/>
    <w:rsid w:val="00C0340D"/>
    <w:rsid w:val="00C038B9"/>
    <w:rsid w:val="00C26FAB"/>
    <w:rsid w:val="00C35193"/>
    <w:rsid w:val="00C370AE"/>
    <w:rsid w:val="00C5415C"/>
    <w:rsid w:val="00C63FA3"/>
    <w:rsid w:val="00C7216A"/>
    <w:rsid w:val="00C850D6"/>
    <w:rsid w:val="00CC0433"/>
    <w:rsid w:val="00CD2C79"/>
    <w:rsid w:val="00D147FF"/>
    <w:rsid w:val="00D43ADE"/>
    <w:rsid w:val="00D46C5B"/>
    <w:rsid w:val="00D52E63"/>
    <w:rsid w:val="00D733D3"/>
    <w:rsid w:val="00D818D9"/>
    <w:rsid w:val="00D87AE9"/>
    <w:rsid w:val="00D961CF"/>
    <w:rsid w:val="00DA349B"/>
    <w:rsid w:val="00DA7424"/>
    <w:rsid w:val="00DB5D3B"/>
    <w:rsid w:val="00DB7D4F"/>
    <w:rsid w:val="00DC41C5"/>
    <w:rsid w:val="00E47054"/>
    <w:rsid w:val="00E80A62"/>
    <w:rsid w:val="00E96167"/>
    <w:rsid w:val="00EA4BF3"/>
    <w:rsid w:val="00EA694A"/>
    <w:rsid w:val="00EC0C06"/>
    <w:rsid w:val="00ED6813"/>
    <w:rsid w:val="00F06146"/>
    <w:rsid w:val="00F11A14"/>
    <w:rsid w:val="00F2239C"/>
    <w:rsid w:val="00F37F6D"/>
    <w:rsid w:val="00F410B4"/>
    <w:rsid w:val="00F70D99"/>
    <w:rsid w:val="00F8109A"/>
    <w:rsid w:val="00F9022B"/>
    <w:rsid w:val="00F93559"/>
    <w:rsid w:val="00FA10B5"/>
    <w:rsid w:val="00FB349A"/>
    <w:rsid w:val="00FC1E08"/>
    <w:rsid w:val="00FD6C76"/>
    <w:rsid w:val="00FE4C9E"/>
    <w:rsid w:val="00FF7391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EF718"/>
  <w15:docId w15:val="{73162F40-F78A-4F75-BBD5-C4DE6860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F11A1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11A1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11A14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11A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11A14"/>
    <w:rPr>
      <w:rFonts w:ascii="Courier New" w:hAnsi="Courier New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F11A1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11A1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56155"/>
    <w:pPr>
      <w:ind w:left="720"/>
      <w:contextualSpacing/>
    </w:pPr>
  </w:style>
  <w:style w:type="table" w:styleId="Tabelraster">
    <w:name w:val="Table Grid"/>
    <w:basedOn w:val="Standaardtabel"/>
    <w:rsid w:val="005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748</ap:Words>
  <ap:Characters>4706</ap:Characters>
  <ap:DocSecurity>0</ap:DocSecurity>
  <ap:Lines>39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5444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2024-11-25T11:19:00.0000000Z</dcterms:created>
  <dcterms:modified xsi:type="dcterms:W3CDTF">2024-11-25T11:24:00.0000000Z</dcterms:modified>
  <dc:description>------------------------</dc:description>
  <dc:subject/>
  <keywords/>
  <version/>
  <category/>
</coreProperties>
</file>