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5D49" w:rsidR="00144D1E" w:rsidP="0011624F" w:rsidRDefault="00144D1E" w14:paraId="4C60C19F" w14:textId="1E204081">
      <w:pPr>
        <w:spacing w:line="276" w:lineRule="auto"/>
        <w:rPr>
          <w:b/>
          <w:szCs w:val="18"/>
          <w:lang w:val="nl-NL"/>
        </w:rPr>
      </w:pPr>
      <w:bookmarkStart w:name="_Hlk108774585" w:id="0"/>
      <w:r w:rsidRPr="007C5D49">
        <w:rPr>
          <w:b/>
          <w:szCs w:val="18"/>
          <w:lang w:val="nl-NL"/>
        </w:rPr>
        <w:t>VERSLAG RAAD BUITENLANDSE ZAKEN VAN 18 november 2024</w:t>
      </w:r>
    </w:p>
    <w:p w:rsidRPr="007C5D49" w:rsidR="00B72149" w:rsidP="0011624F" w:rsidRDefault="00144D1E" w14:paraId="241C0D1C" w14:textId="0BC81412">
      <w:pPr>
        <w:spacing w:line="276" w:lineRule="auto"/>
        <w:rPr>
          <w:lang w:val="nl-NL"/>
        </w:rPr>
      </w:pPr>
      <w:r w:rsidRPr="007C5D49">
        <w:rPr>
          <w:szCs w:val="18"/>
          <w:lang w:val="nl-NL" w:eastAsia="ja-JP"/>
        </w:rPr>
        <w:t xml:space="preserve">Op maandag 18 november jl. nam de minister van Buitenlandse Zaken deel aan de Raad Buitenlandse Zaken (RBZ) in </w:t>
      </w:r>
      <w:r w:rsidRPr="007C5D49" w:rsidR="008F3482">
        <w:rPr>
          <w:szCs w:val="18"/>
          <w:lang w:val="nl-NL" w:eastAsia="ja-JP"/>
        </w:rPr>
        <w:t>Brussel</w:t>
      </w:r>
      <w:r w:rsidRPr="007C5D49">
        <w:rPr>
          <w:szCs w:val="18"/>
          <w:lang w:val="nl-NL" w:eastAsia="ja-JP"/>
        </w:rPr>
        <w:t>. Op de agenda stond</w:t>
      </w:r>
      <w:r w:rsidRPr="007C5D49" w:rsidR="00B72149">
        <w:rPr>
          <w:szCs w:val="18"/>
          <w:lang w:val="nl-NL" w:eastAsia="ja-JP"/>
        </w:rPr>
        <w:t xml:space="preserve"> </w:t>
      </w:r>
      <w:r w:rsidRPr="007C5D49" w:rsidR="00B72149">
        <w:rPr>
          <w:lang w:val="nl-NL"/>
        </w:rPr>
        <w:t>de Russische agressie tegen Oekraïne, Georgië, de situatie in het Midden-Oosten en de Hoorn van Afrika.</w:t>
      </w:r>
      <w:r w:rsidRPr="007C5D49" w:rsidR="00FD1FA6">
        <w:rPr>
          <w:lang w:val="nl-NL"/>
        </w:rPr>
        <w:t xml:space="preserve"> Tijdens de lunch werd de EU-VS relatie besproken.</w:t>
      </w:r>
      <w:r w:rsidRPr="007C5D49" w:rsidR="00B72149">
        <w:rPr>
          <w:lang w:val="nl-NL"/>
        </w:rPr>
        <w:t xml:space="preserve"> Onder overige zaken </w:t>
      </w:r>
      <w:r w:rsidRPr="007C5D49" w:rsidR="001257BD">
        <w:rPr>
          <w:lang w:val="nl-NL"/>
        </w:rPr>
        <w:t xml:space="preserve">werd o.a. </w:t>
      </w:r>
      <w:r w:rsidRPr="007C5D49" w:rsidR="00535CA2">
        <w:rPr>
          <w:lang w:val="nl-NL"/>
        </w:rPr>
        <w:t>door Nederland het belang van bestrijden van</w:t>
      </w:r>
      <w:r w:rsidRPr="007C5D49" w:rsidR="001257BD">
        <w:rPr>
          <w:lang w:val="nl-NL"/>
        </w:rPr>
        <w:t xml:space="preserve"> antisemitisme </w:t>
      </w:r>
      <w:r w:rsidRPr="007C5D49" w:rsidR="00535CA2">
        <w:rPr>
          <w:lang w:val="nl-NL"/>
        </w:rPr>
        <w:t xml:space="preserve">opgebracht, </w:t>
      </w:r>
      <w:r w:rsidRPr="007C5D49" w:rsidR="001257BD">
        <w:rPr>
          <w:lang w:val="nl-NL"/>
        </w:rPr>
        <w:t>naar aanleiding van de gebeurtenissen in Amsterdam</w:t>
      </w:r>
      <w:r w:rsidRPr="007C5D49" w:rsidR="00535CA2">
        <w:rPr>
          <w:lang w:val="nl-NL"/>
        </w:rPr>
        <w:t xml:space="preserve">. Tevens werd gesproken over </w:t>
      </w:r>
      <w:r w:rsidRPr="007C5D49" w:rsidR="001257BD">
        <w:rPr>
          <w:lang w:val="nl-NL"/>
        </w:rPr>
        <w:t xml:space="preserve">de uitspraken van </w:t>
      </w:r>
      <w:r w:rsidRPr="007C5D49" w:rsidR="00535CA2">
        <w:rPr>
          <w:lang w:val="nl-NL"/>
        </w:rPr>
        <w:t>de president van Azerbeidzjan</w:t>
      </w:r>
      <w:r w:rsidRPr="007C5D49" w:rsidR="0065321A">
        <w:rPr>
          <w:lang w:val="nl-NL"/>
        </w:rPr>
        <w:t xml:space="preserve">, </w:t>
      </w:r>
      <w:proofErr w:type="spellStart"/>
      <w:r w:rsidRPr="007C5D49" w:rsidR="0065321A">
        <w:rPr>
          <w:lang w:val="nl-NL"/>
        </w:rPr>
        <w:t>Aliyev</w:t>
      </w:r>
      <w:proofErr w:type="spellEnd"/>
      <w:r w:rsidRPr="007C5D49" w:rsidR="0065321A">
        <w:rPr>
          <w:lang w:val="nl-NL"/>
        </w:rPr>
        <w:t xml:space="preserve">, die </w:t>
      </w:r>
      <w:r w:rsidRPr="007C5D49" w:rsidR="001257BD">
        <w:rPr>
          <w:lang w:val="nl-NL"/>
        </w:rPr>
        <w:t xml:space="preserve">tijdens </w:t>
      </w:r>
      <w:r w:rsidRPr="007C5D49" w:rsidR="008A4128">
        <w:rPr>
          <w:lang w:val="nl-NL"/>
        </w:rPr>
        <w:t xml:space="preserve">de </w:t>
      </w:r>
      <w:r w:rsidRPr="007C5D49" w:rsidR="001257BD">
        <w:rPr>
          <w:lang w:val="nl-NL"/>
        </w:rPr>
        <w:t>COP29</w:t>
      </w:r>
      <w:r w:rsidRPr="007C5D49" w:rsidR="0065321A">
        <w:rPr>
          <w:rFonts w:eastAsia="Times New Roman"/>
          <w:lang w:val="nl-NL"/>
        </w:rPr>
        <w:t xml:space="preserve"> Frankrijk en Nederland beschuldigde van koloniaal beleid ten aanzien van de overzeese gebieden. </w:t>
      </w:r>
    </w:p>
    <w:p w:rsidRPr="007C5D49" w:rsidR="00144D1E" w:rsidP="0011624F" w:rsidRDefault="004D5472" w14:paraId="1353D78E" w14:textId="250BF4F4">
      <w:pPr>
        <w:spacing w:line="276" w:lineRule="auto"/>
        <w:rPr>
          <w:szCs w:val="18"/>
          <w:lang w:val="nl-NL" w:eastAsia="ja-JP"/>
        </w:rPr>
      </w:pPr>
      <w:r w:rsidRPr="007C5D49">
        <w:rPr>
          <w:lang w:val="nl-NL"/>
        </w:rPr>
        <w:t xml:space="preserve">Met </w:t>
      </w:r>
      <w:r w:rsidRPr="007C5D49" w:rsidR="00B72149">
        <w:rPr>
          <w:lang w:val="nl-NL"/>
        </w:rPr>
        <w:t xml:space="preserve">dit verslag wordt tevens </w:t>
      </w:r>
      <w:r w:rsidRPr="007C5D49" w:rsidR="008A4128">
        <w:rPr>
          <w:lang w:val="nl-NL"/>
        </w:rPr>
        <w:t xml:space="preserve">voldaan </w:t>
      </w:r>
      <w:r w:rsidRPr="007C5D49">
        <w:rPr>
          <w:lang w:val="nl-NL"/>
        </w:rPr>
        <w:t>aan de</w:t>
      </w:r>
      <w:r w:rsidRPr="007C5D49" w:rsidR="00BB6D73">
        <w:rPr>
          <w:lang w:val="nl-NL"/>
        </w:rPr>
        <w:t xml:space="preserve"> toezegging om uw Kamer te informeren</w:t>
      </w:r>
      <w:r w:rsidRPr="007C5D49" w:rsidR="00B72149">
        <w:rPr>
          <w:lang w:val="nl-NL"/>
        </w:rPr>
        <w:t xml:space="preserve"> over </w:t>
      </w:r>
      <w:r w:rsidRPr="007C5D49" w:rsidR="00A064F0">
        <w:rPr>
          <w:lang w:val="nl-NL"/>
        </w:rPr>
        <w:t>de implicaties van een mogelijke opschorting van het EU-Israël Associatieakkoord</w:t>
      </w:r>
      <w:r w:rsidRPr="007C5D49" w:rsidR="002D15B6">
        <w:rPr>
          <w:lang w:val="nl-NL"/>
        </w:rPr>
        <w:t xml:space="preserve">, </w:t>
      </w:r>
      <w:r w:rsidRPr="007C5D49" w:rsidR="00B72149">
        <w:rPr>
          <w:lang w:val="nl-NL"/>
        </w:rPr>
        <w:t>en</w:t>
      </w:r>
      <w:r w:rsidRPr="007C5D49" w:rsidR="002D15B6">
        <w:rPr>
          <w:lang w:val="nl-NL"/>
        </w:rPr>
        <w:t xml:space="preserve"> </w:t>
      </w:r>
      <w:r w:rsidRPr="007C5D49" w:rsidR="00B221DC">
        <w:rPr>
          <w:lang w:val="nl-NL"/>
        </w:rPr>
        <w:t>aan de</w:t>
      </w:r>
      <w:r w:rsidRPr="007C5D49" w:rsidR="00B72149">
        <w:rPr>
          <w:lang w:val="nl-NL"/>
        </w:rPr>
        <w:t xml:space="preserve"> toezegging tijdens het tweeminutendebat</w:t>
      </w:r>
      <w:r w:rsidR="008C157E">
        <w:rPr>
          <w:lang w:val="nl-NL"/>
        </w:rPr>
        <w:t xml:space="preserve"> sancties</w:t>
      </w:r>
      <w:r w:rsidRPr="007C5D49" w:rsidR="00B72149">
        <w:rPr>
          <w:lang w:val="nl-NL"/>
        </w:rPr>
        <w:t xml:space="preserve"> op </w:t>
      </w:r>
      <w:r w:rsidRPr="007C5D49" w:rsidR="004B4297">
        <w:rPr>
          <w:lang w:val="nl-NL"/>
        </w:rPr>
        <w:t>19 november</w:t>
      </w:r>
      <w:r w:rsidRPr="007C5D49" w:rsidR="002D15B6">
        <w:rPr>
          <w:lang w:val="nl-NL"/>
        </w:rPr>
        <w:t xml:space="preserve"> jl.</w:t>
      </w:r>
      <w:r w:rsidRPr="007C5D49" w:rsidR="00B72149">
        <w:rPr>
          <w:lang w:val="nl-NL"/>
        </w:rPr>
        <w:t xml:space="preserve"> over </w:t>
      </w:r>
      <w:r w:rsidRPr="007C5D49" w:rsidR="004B4297">
        <w:rPr>
          <w:lang w:val="nl-NL"/>
        </w:rPr>
        <w:t>gepaste zorgvuldigheidsmaatregelen voor bedrijven</w:t>
      </w:r>
      <w:r w:rsidRPr="007C5D49" w:rsidR="004F6FB2">
        <w:rPr>
          <w:lang w:val="nl-NL"/>
        </w:rPr>
        <w:t xml:space="preserve"> </w:t>
      </w:r>
      <w:r w:rsidRPr="007C5D49" w:rsidR="004B4297">
        <w:rPr>
          <w:lang w:val="nl-NL"/>
        </w:rPr>
        <w:t>waarvan</w:t>
      </w:r>
      <w:r w:rsidRPr="007C5D49" w:rsidR="004F6FB2">
        <w:rPr>
          <w:lang w:val="nl-NL"/>
        </w:rPr>
        <w:t xml:space="preserve"> </w:t>
      </w:r>
      <w:r w:rsidRPr="007C5D49" w:rsidR="004B4297">
        <w:rPr>
          <w:lang w:val="nl-NL"/>
        </w:rPr>
        <w:t>goederen via een omweg terechtkomen in Russisch wapentuig.</w:t>
      </w:r>
    </w:p>
    <w:p w:rsidRPr="007C5D49" w:rsidR="00144D1E" w:rsidP="0011624F" w:rsidRDefault="00144D1E" w14:paraId="25764E6F" w14:textId="4B110981">
      <w:pPr>
        <w:pStyle w:val="NoSpacing"/>
        <w:spacing w:line="276" w:lineRule="auto"/>
        <w:rPr>
          <w:rFonts w:eastAsia="Times New Roman"/>
          <w:b/>
          <w:bCs/>
          <w:lang w:val="nl-NL"/>
        </w:rPr>
      </w:pPr>
      <w:bookmarkStart w:name="_Hlk182988161" w:id="1"/>
      <w:r w:rsidRPr="007C5D49">
        <w:rPr>
          <w:b/>
          <w:szCs w:val="18"/>
          <w:lang w:val="nl-NL"/>
        </w:rPr>
        <w:t>Russische agressie tegen Oekraïne</w:t>
      </w:r>
    </w:p>
    <w:p w:rsidRPr="007C5D49" w:rsidR="00CC388B" w:rsidP="0011624F" w:rsidRDefault="00CC388B" w14:paraId="2EDD92E0" w14:textId="24BCAE06">
      <w:pPr>
        <w:spacing w:line="276" w:lineRule="auto"/>
        <w:rPr>
          <w:rFonts w:cs="Times New Roman"/>
          <w:lang w:val="nl-NL" w:eastAsia="ja-JP"/>
        </w:rPr>
      </w:pPr>
      <w:bookmarkStart w:name="_Hlk182993396" w:id="2"/>
      <w:r w:rsidRPr="007C5D49">
        <w:rPr>
          <w:rFonts w:cs="Times New Roman"/>
          <w:lang w:val="nl-NL" w:eastAsia="ja-JP"/>
        </w:rPr>
        <w:t xml:space="preserve">De Raad </w:t>
      </w:r>
      <w:r w:rsidRPr="007C5D49" w:rsidR="0092710A">
        <w:rPr>
          <w:rFonts w:cs="Times New Roman"/>
          <w:lang w:val="nl-NL" w:eastAsia="ja-JP"/>
        </w:rPr>
        <w:t>besprak</w:t>
      </w:r>
      <w:r w:rsidRPr="007C5D49">
        <w:rPr>
          <w:rFonts w:cs="Times New Roman"/>
          <w:lang w:val="nl-NL" w:eastAsia="ja-JP"/>
        </w:rPr>
        <w:t xml:space="preserve"> de voortdurende Russische agressieoorlog tegen Oekraïne en de verschillende sporen van EU</w:t>
      </w:r>
      <w:r w:rsidRPr="007C5D49" w:rsidR="006D2B5D">
        <w:rPr>
          <w:rFonts w:cs="Times New Roman"/>
          <w:lang w:val="nl-NL" w:eastAsia="ja-JP"/>
        </w:rPr>
        <w:t>-</w:t>
      </w:r>
      <w:r w:rsidRPr="007C5D49">
        <w:rPr>
          <w:rFonts w:cs="Times New Roman"/>
          <w:lang w:val="nl-NL" w:eastAsia="ja-JP"/>
        </w:rPr>
        <w:t>steun. De Raad</w:t>
      </w:r>
      <w:r w:rsidRPr="007C5D49" w:rsidDel="00D74897">
        <w:rPr>
          <w:rFonts w:cs="Times New Roman"/>
          <w:szCs w:val="18"/>
          <w:lang w:val="nl-NL" w:eastAsia="ja-JP"/>
        </w:rPr>
        <w:t xml:space="preserve"> </w:t>
      </w:r>
      <w:r w:rsidRPr="007C5D49" w:rsidR="00D74897">
        <w:rPr>
          <w:rFonts w:cs="Times New Roman"/>
          <w:lang w:val="nl-NL" w:eastAsia="ja-JP"/>
        </w:rPr>
        <w:t>sprak</w:t>
      </w:r>
      <w:r w:rsidRPr="007C5D49">
        <w:rPr>
          <w:rFonts w:cs="Times New Roman"/>
          <w:lang w:val="nl-NL" w:eastAsia="ja-JP"/>
        </w:rPr>
        <w:t xml:space="preserve"> onder meer over het belang van militaire steun aan Oekraïne, </w:t>
      </w:r>
      <w:r w:rsidRPr="007C5D49" w:rsidR="00ED6F4C">
        <w:rPr>
          <w:rFonts w:cs="Times New Roman"/>
          <w:lang w:val="nl-NL" w:eastAsia="ja-JP"/>
        </w:rPr>
        <w:t xml:space="preserve">de </w:t>
      </w:r>
      <w:r w:rsidRPr="007C5D49" w:rsidR="00944026">
        <w:rPr>
          <w:rFonts w:cs="Times New Roman"/>
          <w:lang w:val="nl-NL" w:eastAsia="ja-JP"/>
        </w:rPr>
        <w:t xml:space="preserve">mogelijke </w:t>
      </w:r>
      <w:r w:rsidRPr="007C5D49" w:rsidR="00ED6F4C">
        <w:rPr>
          <w:rFonts w:cs="Times New Roman"/>
          <w:lang w:val="nl-NL" w:eastAsia="ja-JP"/>
        </w:rPr>
        <w:t xml:space="preserve">implicaties </w:t>
      </w:r>
      <w:r w:rsidRPr="007C5D49" w:rsidR="009A05E7">
        <w:rPr>
          <w:rFonts w:cs="Times New Roman"/>
          <w:lang w:val="nl-NL" w:eastAsia="ja-JP"/>
        </w:rPr>
        <w:t>van</w:t>
      </w:r>
      <w:r w:rsidRPr="007C5D49" w:rsidR="00ED6F4C">
        <w:rPr>
          <w:rFonts w:cs="Times New Roman"/>
          <w:lang w:val="nl-NL" w:eastAsia="ja-JP"/>
        </w:rPr>
        <w:t xml:space="preserve"> de </w:t>
      </w:r>
      <w:r w:rsidRPr="007C5D49" w:rsidR="00690F2F">
        <w:rPr>
          <w:rFonts w:cs="Times New Roman"/>
          <w:lang w:val="nl-NL" w:eastAsia="ja-JP"/>
        </w:rPr>
        <w:t>Amerikaanse</w:t>
      </w:r>
      <w:r w:rsidRPr="007C5D49" w:rsidR="00ED6F4C">
        <w:rPr>
          <w:rFonts w:cs="Times New Roman"/>
          <w:lang w:val="nl-NL" w:eastAsia="ja-JP"/>
        </w:rPr>
        <w:t xml:space="preserve"> verkiezingen en de verslechterende situatie aan het front.</w:t>
      </w:r>
      <w:r w:rsidRPr="007C5D49">
        <w:rPr>
          <w:rFonts w:cs="Times New Roman"/>
          <w:lang w:val="nl-NL" w:eastAsia="ja-JP"/>
        </w:rPr>
        <w:t xml:space="preserve"> </w:t>
      </w:r>
      <w:r w:rsidRPr="007C5D49" w:rsidR="00D74897">
        <w:rPr>
          <w:rFonts w:cs="Times New Roman"/>
          <w:lang w:val="nl-NL" w:eastAsia="ja-JP"/>
        </w:rPr>
        <w:t xml:space="preserve">Ook </w:t>
      </w:r>
      <w:r w:rsidRPr="007C5D49" w:rsidR="006D2B5D">
        <w:rPr>
          <w:rFonts w:cs="Times New Roman"/>
          <w:lang w:val="nl-NL" w:eastAsia="ja-JP"/>
        </w:rPr>
        <w:t>be</w:t>
      </w:r>
      <w:r w:rsidRPr="007C5D49" w:rsidR="00D74897">
        <w:rPr>
          <w:rFonts w:cs="Times New Roman"/>
          <w:lang w:val="nl-NL" w:eastAsia="ja-JP"/>
        </w:rPr>
        <w:t>sprak</w:t>
      </w:r>
      <w:r w:rsidRPr="007C5D49">
        <w:rPr>
          <w:rFonts w:cs="Times New Roman"/>
          <w:lang w:val="nl-NL" w:eastAsia="ja-JP"/>
        </w:rPr>
        <w:t xml:space="preserve"> de Raad </w:t>
      </w:r>
      <w:r w:rsidRPr="007C5D49" w:rsidR="006B3DB2">
        <w:rPr>
          <w:rFonts w:cs="Times New Roman"/>
          <w:lang w:val="nl-NL" w:eastAsia="ja-JP"/>
        </w:rPr>
        <w:t>de</w:t>
      </w:r>
      <w:r w:rsidRPr="007C5D49">
        <w:rPr>
          <w:rFonts w:cs="Times New Roman"/>
          <w:lang w:val="nl-NL" w:eastAsia="ja-JP"/>
        </w:rPr>
        <w:t xml:space="preserve"> steun van derde landen </w:t>
      </w:r>
      <w:r w:rsidRPr="007C5D49" w:rsidR="008302D0">
        <w:rPr>
          <w:rFonts w:cs="Times New Roman"/>
          <w:lang w:val="nl-NL" w:eastAsia="ja-JP"/>
        </w:rPr>
        <w:t>aan</w:t>
      </w:r>
      <w:r w:rsidRPr="007C5D49">
        <w:rPr>
          <w:rFonts w:cs="Times New Roman"/>
          <w:lang w:val="nl-NL" w:eastAsia="ja-JP"/>
        </w:rPr>
        <w:t xml:space="preserve"> de Russische oorlogsinzet in Oekraïne. </w:t>
      </w:r>
      <w:r w:rsidRPr="007C5D49" w:rsidR="7027BB43">
        <w:rPr>
          <w:rFonts w:cs="Times New Roman"/>
          <w:lang w:val="nl-NL" w:eastAsia="ja-JP"/>
        </w:rPr>
        <w:t>D</w:t>
      </w:r>
      <w:r w:rsidRPr="007C5D49">
        <w:rPr>
          <w:rFonts w:cs="Times New Roman"/>
          <w:lang w:val="nl-NL" w:eastAsia="ja-JP"/>
        </w:rPr>
        <w:t xml:space="preserve">e Oekraïense minister van Buitenlandse Zaken, </w:t>
      </w:r>
      <w:proofErr w:type="spellStart"/>
      <w:r w:rsidRPr="007C5D49">
        <w:rPr>
          <w:rFonts w:cs="Times New Roman"/>
          <w:lang w:val="nl-NL" w:eastAsia="ja-JP"/>
        </w:rPr>
        <w:t>Andrii</w:t>
      </w:r>
      <w:proofErr w:type="spellEnd"/>
      <w:r w:rsidRPr="007C5D49">
        <w:rPr>
          <w:rFonts w:cs="Times New Roman"/>
          <w:lang w:val="nl-NL" w:eastAsia="ja-JP"/>
        </w:rPr>
        <w:t xml:space="preserve"> </w:t>
      </w:r>
      <w:proofErr w:type="spellStart"/>
      <w:r w:rsidRPr="007C5D49">
        <w:rPr>
          <w:rFonts w:cs="Times New Roman"/>
          <w:lang w:val="nl-NL" w:eastAsia="ja-JP"/>
        </w:rPr>
        <w:t>Sybiha</w:t>
      </w:r>
      <w:proofErr w:type="spellEnd"/>
      <w:r w:rsidRPr="007C5D49">
        <w:rPr>
          <w:rFonts w:cs="Times New Roman"/>
          <w:lang w:val="nl-NL" w:eastAsia="ja-JP"/>
        </w:rPr>
        <w:t xml:space="preserve">, sloot digitaal aan bij </w:t>
      </w:r>
      <w:r w:rsidRPr="007C5D49" w:rsidR="00487B83">
        <w:rPr>
          <w:rFonts w:cs="Times New Roman"/>
          <w:lang w:val="nl-NL" w:eastAsia="ja-JP"/>
        </w:rPr>
        <w:t xml:space="preserve">het eerste deel van </w:t>
      </w:r>
      <w:r w:rsidRPr="007C5D49">
        <w:rPr>
          <w:rFonts w:cs="Times New Roman"/>
          <w:lang w:val="nl-NL" w:eastAsia="ja-JP"/>
        </w:rPr>
        <w:t>de bespreking.</w:t>
      </w:r>
      <w:r w:rsidRPr="007C5D49" w:rsidR="00ED6F4C">
        <w:rPr>
          <w:rFonts w:cs="Times New Roman"/>
          <w:lang w:val="nl-NL" w:eastAsia="ja-JP"/>
        </w:rPr>
        <w:t xml:space="preserve"> </w:t>
      </w:r>
      <w:r w:rsidRPr="007C5D49">
        <w:rPr>
          <w:rFonts w:cs="Times New Roman"/>
          <w:lang w:val="nl-NL" w:eastAsia="ja-JP"/>
        </w:rPr>
        <w:t>De Raad</w:t>
      </w:r>
      <w:r w:rsidRPr="007C5D49">
        <w:rPr>
          <w:rFonts w:cs="Times New Roman"/>
          <w:szCs w:val="18"/>
          <w:lang w:val="nl-NL" w:eastAsia="ja-JP"/>
        </w:rPr>
        <w:t xml:space="preserve"> </w:t>
      </w:r>
      <w:r w:rsidRPr="007C5D49" w:rsidR="0024478F">
        <w:rPr>
          <w:rFonts w:cs="Times New Roman"/>
          <w:szCs w:val="18"/>
          <w:lang w:val="nl-NL" w:eastAsia="ja-JP"/>
        </w:rPr>
        <w:t>stond stil bij</w:t>
      </w:r>
      <w:r w:rsidRPr="007C5D49">
        <w:rPr>
          <w:rFonts w:cs="Times New Roman"/>
          <w:szCs w:val="18"/>
          <w:lang w:val="nl-NL" w:eastAsia="ja-JP"/>
        </w:rPr>
        <w:t xml:space="preserve"> </w:t>
      </w:r>
      <w:r w:rsidRPr="007C5D49">
        <w:rPr>
          <w:rFonts w:cs="Times New Roman"/>
          <w:lang w:val="nl-NL" w:eastAsia="ja-JP"/>
        </w:rPr>
        <w:t xml:space="preserve">de markering van </w:t>
      </w:r>
      <w:r w:rsidRPr="007C5D49" w:rsidR="00D74897">
        <w:rPr>
          <w:rFonts w:cs="Times New Roman"/>
          <w:lang w:val="nl-NL" w:eastAsia="ja-JP"/>
        </w:rPr>
        <w:t xml:space="preserve">duizend </w:t>
      </w:r>
      <w:r w:rsidRPr="007C5D49">
        <w:rPr>
          <w:rFonts w:cs="Times New Roman"/>
          <w:lang w:val="nl-NL" w:eastAsia="ja-JP"/>
        </w:rPr>
        <w:t xml:space="preserve">dagen oorlog in Oekraïne. </w:t>
      </w:r>
    </w:p>
    <w:p w:rsidRPr="007C5D49" w:rsidR="006A6A89" w:rsidP="0011624F" w:rsidRDefault="00A9283F" w14:paraId="1D7296F7" w14:textId="2DD71627">
      <w:pPr>
        <w:spacing w:line="276" w:lineRule="auto"/>
        <w:rPr>
          <w:rFonts w:cs="Times New Roman"/>
          <w:szCs w:val="18"/>
          <w:lang w:val="nl-NL" w:eastAsia="ja-JP"/>
        </w:rPr>
      </w:pPr>
      <w:r w:rsidRPr="007C5D49">
        <w:rPr>
          <w:lang w:val="nl-NL"/>
        </w:rPr>
        <w:t xml:space="preserve">De </w:t>
      </w:r>
      <w:r w:rsidRPr="007C5D49" w:rsidR="006F3D64">
        <w:rPr>
          <w:lang w:val="nl-NL"/>
        </w:rPr>
        <w:t>H</w:t>
      </w:r>
      <w:r w:rsidRPr="007C5D49" w:rsidR="006D706A">
        <w:rPr>
          <w:lang w:val="nl-NL"/>
        </w:rPr>
        <w:t xml:space="preserve">oge </w:t>
      </w:r>
      <w:r w:rsidRPr="007C5D49" w:rsidR="006F3D64">
        <w:rPr>
          <w:lang w:val="nl-NL"/>
        </w:rPr>
        <w:t>V</w:t>
      </w:r>
      <w:r w:rsidRPr="007C5D49" w:rsidR="006D706A">
        <w:rPr>
          <w:lang w:val="nl-NL"/>
        </w:rPr>
        <w:t>ertegenwoordiger</w:t>
      </w:r>
      <w:r w:rsidR="008C157E">
        <w:rPr>
          <w:lang w:val="nl-NL"/>
        </w:rPr>
        <w:t xml:space="preserve"> (HV)</w:t>
      </w:r>
      <w:r w:rsidRPr="007C5D49" w:rsidR="006D706A">
        <w:rPr>
          <w:lang w:val="nl-NL"/>
        </w:rPr>
        <w:t xml:space="preserve"> van de Unie voor </w:t>
      </w:r>
      <w:r w:rsidRPr="007C5D49" w:rsidR="00D07D08">
        <w:rPr>
          <w:lang w:val="nl-NL"/>
        </w:rPr>
        <w:t>B</w:t>
      </w:r>
      <w:r w:rsidRPr="007C5D49" w:rsidR="006D706A">
        <w:rPr>
          <w:lang w:val="nl-NL"/>
        </w:rPr>
        <w:t xml:space="preserve">uitenlandse </w:t>
      </w:r>
      <w:r w:rsidRPr="007C5D49" w:rsidR="00D07D08">
        <w:rPr>
          <w:lang w:val="nl-NL"/>
        </w:rPr>
        <w:t>Z</w:t>
      </w:r>
      <w:r w:rsidRPr="007C5D49" w:rsidR="006D706A">
        <w:rPr>
          <w:lang w:val="nl-NL"/>
        </w:rPr>
        <w:t xml:space="preserve">aken en </w:t>
      </w:r>
      <w:r w:rsidRPr="007C5D49" w:rsidR="00D07D08">
        <w:rPr>
          <w:lang w:val="nl-NL"/>
        </w:rPr>
        <w:t>V</w:t>
      </w:r>
      <w:r w:rsidRPr="007C5D49" w:rsidR="006D706A">
        <w:rPr>
          <w:lang w:val="nl-NL"/>
        </w:rPr>
        <w:t xml:space="preserve">eiligheidsbeleid, de heer </w:t>
      </w:r>
      <w:proofErr w:type="spellStart"/>
      <w:r w:rsidRPr="007C5D49" w:rsidR="006D706A">
        <w:rPr>
          <w:lang w:val="nl-NL"/>
        </w:rPr>
        <w:t>Borrell</w:t>
      </w:r>
      <w:proofErr w:type="spellEnd"/>
      <w:r w:rsidRPr="007C5D49" w:rsidR="006D706A">
        <w:rPr>
          <w:lang w:val="nl-NL"/>
        </w:rPr>
        <w:t xml:space="preserve"> </w:t>
      </w:r>
      <w:r w:rsidRPr="007C5D49">
        <w:rPr>
          <w:lang w:val="nl-NL"/>
        </w:rPr>
        <w:t xml:space="preserve">benadrukte het belang </w:t>
      </w:r>
      <w:r w:rsidRPr="007C5D49" w:rsidR="00603CBB">
        <w:rPr>
          <w:lang w:val="nl-NL"/>
        </w:rPr>
        <w:t>om</w:t>
      </w:r>
      <w:r w:rsidRPr="007C5D49">
        <w:rPr>
          <w:lang w:val="nl-NL"/>
        </w:rPr>
        <w:t xml:space="preserve"> zo snel mogelijk uit de huidige impasse </w:t>
      </w:r>
      <w:r w:rsidRPr="007C5D49" w:rsidR="006978C5">
        <w:rPr>
          <w:lang w:val="nl-NL"/>
        </w:rPr>
        <w:t xml:space="preserve">te </w:t>
      </w:r>
      <w:r w:rsidRPr="007C5D49">
        <w:rPr>
          <w:lang w:val="nl-NL"/>
        </w:rPr>
        <w:t>komen</w:t>
      </w:r>
      <w:r w:rsidRPr="007C5D49" w:rsidR="00ED6F4C">
        <w:rPr>
          <w:lang w:val="nl-NL"/>
        </w:rPr>
        <w:t xml:space="preserve"> </w:t>
      </w:r>
      <w:r w:rsidRPr="007C5D49" w:rsidR="006978C5">
        <w:rPr>
          <w:lang w:val="nl-NL"/>
        </w:rPr>
        <w:t>die het vrijgeven van</w:t>
      </w:r>
      <w:r w:rsidRPr="007C5D49" w:rsidR="00376FD1">
        <w:rPr>
          <w:lang w:val="nl-NL"/>
        </w:rPr>
        <w:t xml:space="preserve"> de resterende EUR 6.6 m</w:t>
      </w:r>
      <w:r w:rsidRPr="007C5D49" w:rsidR="00EA12FF">
        <w:rPr>
          <w:lang w:val="nl-NL"/>
        </w:rPr>
        <w:t>ld.</w:t>
      </w:r>
      <w:r w:rsidRPr="007C5D49" w:rsidR="00376FD1">
        <w:rPr>
          <w:lang w:val="nl-NL"/>
        </w:rPr>
        <w:t xml:space="preserve"> aan steun vanuit de Europese Vredesfaciliteit</w:t>
      </w:r>
      <w:r w:rsidRPr="007C5D49" w:rsidR="00444733">
        <w:rPr>
          <w:lang w:val="nl-NL"/>
        </w:rPr>
        <w:t xml:space="preserve"> (EPF)</w:t>
      </w:r>
      <w:r w:rsidRPr="007C5D49" w:rsidR="00376FD1">
        <w:rPr>
          <w:lang w:val="nl-NL"/>
        </w:rPr>
        <w:t xml:space="preserve"> </w:t>
      </w:r>
      <w:r w:rsidRPr="007C5D49" w:rsidR="006978C5">
        <w:rPr>
          <w:lang w:val="nl-NL"/>
        </w:rPr>
        <w:t>in de weg staat</w:t>
      </w:r>
      <w:r w:rsidRPr="007C5D49" w:rsidR="009516D5">
        <w:rPr>
          <w:lang w:val="nl-NL"/>
        </w:rPr>
        <w:t>.</w:t>
      </w:r>
      <w:r w:rsidRPr="007C5D49" w:rsidR="00860384">
        <w:rPr>
          <w:lang w:val="nl-NL"/>
        </w:rPr>
        <w:t xml:space="preserve"> Een grote groep lidstaten, waaronder</w:t>
      </w:r>
      <w:r w:rsidRPr="007C5D49" w:rsidR="001834ED">
        <w:rPr>
          <w:lang w:val="nl-NL"/>
        </w:rPr>
        <w:t xml:space="preserve"> Nederland</w:t>
      </w:r>
      <w:r w:rsidRPr="007C5D49" w:rsidR="00860384">
        <w:rPr>
          <w:lang w:val="nl-NL"/>
        </w:rPr>
        <w:t>,</w:t>
      </w:r>
      <w:r w:rsidRPr="007C5D49" w:rsidR="001834ED">
        <w:rPr>
          <w:lang w:val="nl-NL"/>
        </w:rPr>
        <w:t xml:space="preserve"> </w:t>
      </w:r>
      <w:r w:rsidRPr="007C5D49" w:rsidR="00860384">
        <w:rPr>
          <w:lang w:val="nl-NL"/>
        </w:rPr>
        <w:t>riep op</w:t>
      </w:r>
      <w:r w:rsidRPr="007C5D49" w:rsidR="001834ED">
        <w:rPr>
          <w:lang w:val="nl-NL"/>
        </w:rPr>
        <w:t xml:space="preserve"> tot een spoedige oplossing</w:t>
      </w:r>
      <w:r w:rsidRPr="0091482C" w:rsidR="001834ED">
        <w:rPr>
          <w:lang w:val="nl-NL"/>
        </w:rPr>
        <w:t>.</w:t>
      </w:r>
      <w:r w:rsidRPr="0091482C">
        <w:rPr>
          <w:lang w:val="nl-NL"/>
        </w:rPr>
        <w:t xml:space="preserve"> </w:t>
      </w:r>
      <w:r w:rsidRPr="0091482C" w:rsidR="00587DF5">
        <w:rPr>
          <w:lang w:val="nl-NL"/>
        </w:rPr>
        <w:t xml:space="preserve">Ook pleitten enkele lidstaten, waaronder Nederland, voor het opheffen van geografische restricties op de inzet van </w:t>
      </w:r>
      <w:r w:rsidR="003C5228">
        <w:rPr>
          <w:lang w:val="nl-NL"/>
        </w:rPr>
        <w:t xml:space="preserve">o.a. </w:t>
      </w:r>
      <w:r w:rsidRPr="0091482C" w:rsidR="00587DF5">
        <w:rPr>
          <w:lang w:val="nl-NL"/>
        </w:rPr>
        <w:t xml:space="preserve">langeafstandswapens door Oekraïne. </w:t>
      </w:r>
      <w:r w:rsidRPr="0091482C" w:rsidR="009E2FD9">
        <w:rPr>
          <w:lang w:val="nl-NL"/>
        </w:rPr>
        <w:t>Daarnaast riep Nederland</w:t>
      </w:r>
      <w:r w:rsidRPr="0091482C" w:rsidR="00A4601C">
        <w:rPr>
          <w:lang w:val="nl-NL"/>
        </w:rPr>
        <w:t>,</w:t>
      </w:r>
      <w:r w:rsidRPr="0091482C" w:rsidR="009E2FD9">
        <w:rPr>
          <w:lang w:val="nl-NL"/>
        </w:rPr>
        <w:t xml:space="preserve"> conform de motie</w:t>
      </w:r>
      <w:r w:rsidRPr="007C5D49" w:rsidR="009E2FD9">
        <w:rPr>
          <w:lang w:val="nl-NL"/>
        </w:rPr>
        <w:t xml:space="preserve"> </w:t>
      </w:r>
      <w:proofErr w:type="spellStart"/>
      <w:r w:rsidRPr="007C5D49" w:rsidR="009E2FD9">
        <w:rPr>
          <w:lang w:val="nl-NL"/>
        </w:rPr>
        <w:t>Boswijk</w:t>
      </w:r>
      <w:proofErr w:type="spellEnd"/>
      <w:r w:rsidRPr="007C5D49" w:rsidR="00A4601C">
        <w:rPr>
          <w:lang w:val="nl-NL"/>
        </w:rPr>
        <w:t>,</w:t>
      </w:r>
      <w:r w:rsidRPr="007C5D49" w:rsidR="00DF00BD">
        <w:rPr>
          <w:rStyle w:val="FootnoteReference"/>
          <w:lang w:val="nl-NL"/>
        </w:rPr>
        <w:footnoteReference w:id="2"/>
      </w:r>
      <w:r w:rsidRPr="007C5D49" w:rsidR="009E2FD9">
        <w:rPr>
          <w:lang w:val="nl-NL"/>
        </w:rPr>
        <w:t xml:space="preserve"> op</w:t>
      </w:r>
      <w:r w:rsidRPr="007C5D49" w:rsidR="009E2FD9">
        <w:rPr>
          <w:rFonts w:cs="Times New Roman"/>
          <w:szCs w:val="18"/>
          <w:lang w:val="nl-NL" w:eastAsia="ja-JP"/>
        </w:rPr>
        <w:t xml:space="preserve"> tot het verkennen van aanvullende ambitieuze maatregelen ten aanzien van het gebruik van de (opbrengsten over) bevroren Russische Centrale Banktegoeden. Dit werd </w:t>
      </w:r>
      <w:r w:rsidRPr="0091482C" w:rsidR="009E2FD9">
        <w:rPr>
          <w:rFonts w:cs="Times New Roman"/>
          <w:szCs w:val="18"/>
          <w:lang w:val="nl-NL" w:eastAsia="ja-JP"/>
        </w:rPr>
        <w:t xml:space="preserve">gesteund door </w:t>
      </w:r>
      <w:r w:rsidRPr="0091482C" w:rsidR="00587DF5">
        <w:rPr>
          <w:rFonts w:cs="Times New Roman"/>
          <w:szCs w:val="18"/>
          <w:lang w:val="nl-NL" w:eastAsia="ja-JP"/>
        </w:rPr>
        <w:t>enkele</w:t>
      </w:r>
      <w:r w:rsidRPr="007C5D49" w:rsidR="009E2FD9">
        <w:rPr>
          <w:rFonts w:cs="Times New Roman"/>
          <w:szCs w:val="18"/>
          <w:lang w:val="nl-NL" w:eastAsia="ja-JP"/>
        </w:rPr>
        <w:t xml:space="preserve"> lidstaten en de HV.</w:t>
      </w:r>
      <w:r w:rsidRPr="007C5D49" w:rsidR="00EA12FF">
        <w:rPr>
          <w:rFonts w:cs="Times New Roman"/>
          <w:szCs w:val="18"/>
          <w:lang w:val="nl-NL" w:eastAsia="ja-JP"/>
        </w:rPr>
        <w:t xml:space="preserve"> </w:t>
      </w:r>
      <w:r w:rsidRPr="007C5D49" w:rsidR="006A6A89">
        <w:rPr>
          <w:rFonts w:cs="Times New Roman"/>
          <w:szCs w:val="18"/>
          <w:lang w:val="nl-NL" w:eastAsia="ja-JP"/>
        </w:rPr>
        <w:t xml:space="preserve">Meerdere lidstaten, waaronder Nederland, uitten hun steun voor de aanname van een nieuw sanctiepakket voor het einde van het jaar om de druk op Rusland hoog te houden. Enkele lidstaten, waaronder Nederland, wezen hierbij specifiek op de noodzaak van het aanpakken van de schaduwvloot. Hierbij werd door </w:t>
      </w:r>
      <w:r w:rsidRPr="007C5D49" w:rsidR="007E7F94">
        <w:rPr>
          <w:rFonts w:cs="Times New Roman"/>
          <w:szCs w:val="18"/>
          <w:lang w:val="nl-NL" w:eastAsia="ja-JP"/>
        </w:rPr>
        <w:t>verschillende</w:t>
      </w:r>
      <w:r w:rsidRPr="007C5D49" w:rsidR="006A6A89">
        <w:rPr>
          <w:rFonts w:cs="Times New Roman"/>
          <w:szCs w:val="18"/>
          <w:lang w:val="nl-NL" w:eastAsia="ja-JP"/>
        </w:rPr>
        <w:t xml:space="preserve"> lidstaten het belang van het aanpakken van sanctieomzeiling benadrukt.</w:t>
      </w:r>
    </w:p>
    <w:p w:rsidRPr="007C5D49" w:rsidR="00CC388B" w:rsidP="0011624F" w:rsidRDefault="00A9283F" w14:paraId="056660BE" w14:textId="488656A0">
      <w:pPr>
        <w:spacing w:line="276" w:lineRule="auto"/>
        <w:rPr>
          <w:rFonts w:cs="Times New Roman"/>
          <w:szCs w:val="18"/>
          <w:lang w:val="nl-NL" w:eastAsia="ja-JP"/>
        </w:rPr>
      </w:pPr>
      <w:r w:rsidRPr="007C5D49">
        <w:rPr>
          <w:rFonts w:cs="Times New Roman"/>
          <w:szCs w:val="18"/>
          <w:lang w:val="nl-NL" w:eastAsia="ja-JP"/>
        </w:rPr>
        <w:t xml:space="preserve">Daarnaast </w:t>
      </w:r>
      <w:r w:rsidRPr="007C5D49" w:rsidR="00860384">
        <w:rPr>
          <w:rFonts w:cs="Times New Roman"/>
          <w:szCs w:val="18"/>
          <w:lang w:val="nl-NL" w:eastAsia="ja-JP"/>
        </w:rPr>
        <w:t>uitte</w:t>
      </w:r>
      <w:r w:rsidRPr="007C5D49">
        <w:rPr>
          <w:rFonts w:cs="Times New Roman"/>
          <w:szCs w:val="18"/>
          <w:lang w:val="nl-NL" w:eastAsia="ja-JP"/>
        </w:rPr>
        <w:t xml:space="preserve"> </w:t>
      </w:r>
      <w:r w:rsidRPr="007C5D49" w:rsidR="00793115">
        <w:rPr>
          <w:rFonts w:cs="Times New Roman"/>
          <w:szCs w:val="18"/>
          <w:lang w:val="nl-NL" w:eastAsia="ja-JP"/>
        </w:rPr>
        <w:t>een</w:t>
      </w:r>
      <w:r w:rsidRPr="007C5D49" w:rsidR="00F6266B">
        <w:rPr>
          <w:rFonts w:cs="Times New Roman"/>
          <w:szCs w:val="18"/>
          <w:lang w:val="nl-NL" w:eastAsia="ja-JP"/>
        </w:rPr>
        <w:t xml:space="preserve"> brede groep</w:t>
      </w:r>
      <w:r w:rsidRPr="007C5D49">
        <w:rPr>
          <w:rFonts w:cs="Times New Roman"/>
          <w:szCs w:val="18"/>
          <w:lang w:val="nl-NL" w:eastAsia="ja-JP"/>
        </w:rPr>
        <w:t xml:space="preserve"> lidstaten</w:t>
      </w:r>
      <w:r w:rsidRPr="007C5D49" w:rsidR="00860384">
        <w:rPr>
          <w:rFonts w:cs="Times New Roman"/>
          <w:szCs w:val="18"/>
          <w:lang w:val="nl-NL" w:eastAsia="ja-JP"/>
        </w:rPr>
        <w:t xml:space="preserve"> grote zorgen</w:t>
      </w:r>
      <w:r w:rsidRPr="007C5D49">
        <w:rPr>
          <w:rFonts w:cs="Times New Roman"/>
          <w:szCs w:val="18"/>
          <w:lang w:val="nl-NL" w:eastAsia="ja-JP"/>
        </w:rPr>
        <w:t xml:space="preserve"> over de toenemende steun vanuit derde landen voor de Russische agressieoorlog jegens Oekraïne</w:t>
      </w:r>
      <w:r w:rsidRPr="007C5D49" w:rsidR="00AF1C03">
        <w:rPr>
          <w:rFonts w:cs="Times New Roman"/>
          <w:szCs w:val="18"/>
          <w:lang w:val="nl-NL" w:eastAsia="ja-JP"/>
        </w:rPr>
        <w:t>,</w:t>
      </w:r>
      <w:r w:rsidRPr="007C5D49" w:rsidR="005D75A5">
        <w:rPr>
          <w:rFonts w:cs="Times New Roman"/>
          <w:szCs w:val="18"/>
          <w:lang w:val="nl-NL" w:eastAsia="ja-JP"/>
        </w:rPr>
        <w:t xml:space="preserve"> </w:t>
      </w:r>
      <w:r w:rsidRPr="007C5D49" w:rsidR="0031625E">
        <w:rPr>
          <w:rFonts w:cs="Times New Roman"/>
          <w:szCs w:val="18"/>
          <w:lang w:val="nl-NL" w:eastAsia="ja-JP"/>
        </w:rPr>
        <w:t>w</w:t>
      </w:r>
      <w:r w:rsidRPr="007C5D49" w:rsidR="005D75A5">
        <w:rPr>
          <w:rFonts w:cs="Times New Roman"/>
          <w:szCs w:val="18"/>
          <w:lang w:val="nl-NL" w:eastAsia="ja-JP"/>
        </w:rPr>
        <w:t xml:space="preserve">aaronder de </w:t>
      </w:r>
      <w:r w:rsidRPr="007C5D49" w:rsidR="002657B7">
        <w:rPr>
          <w:rFonts w:cs="Times New Roman"/>
          <w:szCs w:val="18"/>
          <w:lang w:val="nl-NL" w:eastAsia="ja-JP"/>
        </w:rPr>
        <w:t>levering door</w:t>
      </w:r>
      <w:r w:rsidRPr="007C5D49" w:rsidR="005D75A5">
        <w:rPr>
          <w:rFonts w:cs="Times New Roman"/>
          <w:szCs w:val="18"/>
          <w:lang w:val="nl-NL" w:eastAsia="ja-JP"/>
        </w:rPr>
        <w:t xml:space="preserve"> Chin</w:t>
      </w:r>
      <w:r w:rsidRPr="007C5D49" w:rsidR="00BF56A2">
        <w:rPr>
          <w:rFonts w:cs="Times New Roman"/>
          <w:szCs w:val="18"/>
          <w:lang w:val="nl-NL" w:eastAsia="ja-JP"/>
        </w:rPr>
        <w:t>ese bedrijven</w:t>
      </w:r>
      <w:r w:rsidRPr="007C5D49" w:rsidR="005D75A5">
        <w:rPr>
          <w:rFonts w:cs="Times New Roman"/>
          <w:szCs w:val="18"/>
          <w:lang w:val="nl-NL" w:eastAsia="ja-JP"/>
        </w:rPr>
        <w:t xml:space="preserve"> </w:t>
      </w:r>
      <w:r w:rsidRPr="007C5D49" w:rsidR="002657B7">
        <w:rPr>
          <w:rFonts w:cs="Times New Roman"/>
          <w:szCs w:val="18"/>
          <w:lang w:val="nl-NL" w:eastAsia="ja-JP"/>
        </w:rPr>
        <w:t xml:space="preserve">van </w:t>
      </w:r>
      <w:r w:rsidRPr="007C5D49" w:rsidR="00D67F72">
        <w:rPr>
          <w:rFonts w:cs="Times New Roman"/>
          <w:szCs w:val="18"/>
          <w:lang w:val="nl-NL" w:eastAsia="ja-JP"/>
        </w:rPr>
        <w:t>goederen</w:t>
      </w:r>
      <w:r w:rsidRPr="007C5D49" w:rsidR="00945C46">
        <w:rPr>
          <w:rFonts w:cs="Times New Roman"/>
          <w:szCs w:val="18"/>
          <w:lang w:val="nl-NL" w:eastAsia="ja-JP"/>
        </w:rPr>
        <w:t xml:space="preserve"> en</w:t>
      </w:r>
      <w:r w:rsidRPr="007C5D49" w:rsidR="0097257B">
        <w:rPr>
          <w:rFonts w:cs="Times New Roman"/>
          <w:szCs w:val="18"/>
          <w:lang w:val="nl-NL" w:eastAsia="ja-JP"/>
        </w:rPr>
        <w:t xml:space="preserve"> </w:t>
      </w:r>
      <w:r w:rsidRPr="007C5D49" w:rsidR="00D67F72">
        <w:rPr>
          <w:rFonts w:cs="Times New Roman"/>
          <w:szCs w:val="18"/>
          <w:lang w:val="nl-NL" w:eastAsia="ja-JP"/>
        </w:rPr>
        <w:t xml:space="preserve">componenten </w:t>
      </w:r>
      <w:r w:rsidRPr="007C5D49" w:rsidR="002657B7">
        <w:rPr>
          <w:rFonts w:cs="Times New Roman"/>
          <w:szCs w:val="18"/>
          <w:lang w:val="nl-NL" w:eastAsia="ja-JP"/>
        </w:rPr>
        <w:t>voor</w:t>
      </w:r>
      <w:r w:rsidRPr="007C5D49" w:rsidR="005D75A5">
        <w:rPr>
          <w:rFonts w:cs="Times New Roman"/>
          <w:szCs w:val="18"/>
          <w:lang w:val="nl-NL" w:eastAsia="ja-JP"/>
        </w:rPr>
        <w:t xml:space="preserve"> de Russische oorlogsinspanningen.</w:t>
      </w:r>
      <w:r w:rsidRPr="007C5D49" w:rsidR="00495AB3">
        <w:rPr>
          <w:rFonts w:cs="Times New Roman"/>
          <w:szCs w:val="18"/>
          <w:lang w:val="nl-NL" w:eastAsia="ja-JP"/>
        </w:rPr>
        <w:t xml:space="preserve"> </w:t>
      </w:r>
      <w:r w:rsidRPr="007C5D49" w:rsidR="00F6266B">
        <w:rPr>
          <w:rFonts w:cs="Times New Roman"/>
          <w:szCs w:val="18"/>
          <w:lang w:val="nl-NL" w:eastAsia="ja-JP"/>
        </w:rPr>
        <w:t>Meerdere</w:t>
      </w:r>
      <w:r w:rsidRPr="007C5D49">
        <w:rPr>
          <w:rFonts w:cs="Times New Roman"/>
          <w:szCs w:val="18"/>
          <w:lang w:val="nl-NL" w:eastAsia="ja-JP"/>
        </w:rPr>
        <w:t xml:space="preserve"> lidstaten, waaronder N</w:t>
      </w:r>
      <w:r w:rsidRPr="007C5D49" w:rsidR="0000184E">
        <w:rPr>
          <w:rFonts w:cs="Times New Roman"/>
          <w:szCs w:val="18"/>
          <w:lang w:val="nl-NL" w:eastAsia="ja-JP"/>
        </w:rPr>
        <w:t>ederland</w:t>
      </w:r>
      <w:r w:rsidRPr="007C5D49">
        <w:rPr>
          <w:rFonts w:cs="Times New Roman"/>
          <w:szCs w:val="18"/>
          <w:lang w:val="nl-NL" w:eastAsia="ja-JP"/>
        </w:rPr>
        <w:t xml:space="preserve">, </w:t>
      </w:r>
      <w:r w:rsidRPr="007C5D49" w:rsidR="00F6266B">
        <w:rPr>
          <w:rFonts w:cs="Times New Roman"/>
          <w:szCs w:val="18"/>
          <w:lang w:val="nl-NL" w:eastAsia="ja-JP"/>
        </w:rPr>
        <w:t>onderstreepten</w:t>
      </w:r>
      <w:r w:rsidRPr="007C5D49">
        <w:rPr>
          <w:rFonts w:cs="Times New Roman"/>
          <w:szCs w:val="18"/>
          <w:lang w:val="nl-NL" w:eastAsia="ja-JP"/>
        </w:rPr>
        <w:t xml:space="preserve"> dat het faciliteren van de Russische agressie door derde landen </w:t>
      </w:r>
      <w:r w:rsidRPr="007C5D49" w:rsidR="00A50F90">
        <w:rPr>
          <w:rFonts w:cs="Times New Roman"/>
          <w:szCs w:val="18"/>
          <w:lang w:val="nl-NL" w:eastAsia="ja-JP"/>
        </w:rPr>
        <w:t>duidelijke</w:t>
      </w:r>
      <w:r w:rsidRPr="007C5D49">
        <w:rPr>
          <w:rFonts w:cs="Times New Roman"/>
          <w:szCs w:val="18"/>
          <w:lang w:val="nl-NL" w:eastAsia="ja-JP"/>
        </w:rPr>
        <w:t xml:space="preserve"> consequenties moet hebben. </w:t>
      </w:r>
      <w:r w:rsidRPr="007C5D49" w:rsidR="00315153">
        <w:rPr>
          <w:rFonts w:cs="Times New Roman"/>
          <w:szCs w:val="18"/>
          <w:lang w:val="nl-NL" w:eastAsia="ja-JP"/>
        </w:rPr>
        <w:t>Nederland heeft opgeroepen tot een ferme reactie ten aanzien van de inzet van Noord-Koreaanse troepen in Rusland</w:t>
      </w:r>
      <w:r w:rsidRPr="007C5D49" w:rsidR="001834ED">
        <w:rPr>
          <w:rFonts w:cs="Times New Roman"/>
          <w:szCs w:val="18"/>
          <w:lang w:val="nl-NL" w:eastAsia="ja-JP"/>
        </w:rPr>
        <w:t xml:space="preserve">. </w:t>
      </w:r>
      <w:r w:rsidRPr="007C5D49" w:rsidR="00AF3094">
        <w:rPr>
          <w:rFonts w:cs="Times New Roman"/>
          <w:lang w:val="nl-NL" w:eastAsia="ja-JP"/>
        </w:rPr>
        <w:t>De Raad verwelkomde in dit kader het nieuwe EU-sanctiepakket met exportbeperkingen v</w:t>
      </w:r>
      <w:r w:rsidRPr="007C5D49" w:rsidR="00321D3A">
        <w:rPr>
          <w:rFonts w:cs="Times New Roman"/>
          <w:lang w:val="nl-NL" w:eastAsia="ja-JP"/>
        </w:rPr>
        <w:t>oor</w:t>
      </w:r>
      <w:r w:rsidRPr="007C5D49" w:rsidR="00AF3094">
        <w:rPr>
          <w:rFonts w:cs="Times New Roman"/>
          <w:lang w:val="nl-NL" w:eastAsia="ja-JP"/>
        </w:rPr>
        <w:t xml:space="preserve"> componenten die gebruikt worden in Iraanse raket- en dronetechnologie evenals nieuwe sancties gericht tegen personen en entiteiten betrokken bij wapenleveranties aan Rusland.</w:t>
      </w:r>
    </w:p>
    <w:bookmarkEnd w:id="1"/>
    <w:bookmarkEnd w:id="2"/>
    <w:p w:rsidRPr="007C5D49" w:rsidR="00144D1E" w:rsidP="0011624F" w:rsidRDefault="00144D1E" w14:paraId="013A7061" w14:textId="5ADB1272">
      <w:pPr>
        <w:spacing w:after="0" w:line="276" w:lineRule="auto"/>
        <w:rPr>
          <w:b/>
          <w:szCs w:val="18"/>
          <w:lang w:val="nl-NL" w:eastAsia="ja-JP"/>
        </w:rPr>
      </w:pPr>
      <w:r w:rsidRPr="007C5D49">
        <w:rPr>
          <w:b/>
          <w:szCs w:val="18"/>
          <w:lang w:val="nl-NL" w:eastAsia="ja-JP"/>
        </w:rPr>
        <w:t>Georgi</w:t>
      </w:r>
      <w:r w:rsidRPr="007C5D49" w:rsidR="00BD6A1F">
        <w:rPr>
          <w:b/>
          <w:szCs w:val="18"/>
          <w:lang w:val="nl-NL" w:eastAsia="ja-JP"/>
        </w:rPr>
        <w:t>ë</w:t>
      </w:r>
    </w:p>
    <w:p w:rsidRPr="007C5D49" w:rsidR="00144D1E" w:rsidP="0011624F" w:rsidRDefault="00B50A76" w14:paraId="35982E91" w14:textId="551757AF">
      <w:pPr>
        <w:spacing w:line="276" w:lineRule="auto"/>
        <w:rPr>
          <w:rFonts w:cs="Times New Roman"/>
          <w:szCs w:val="18"/>
          <w:lang w:val="nl-NL" w:eastAsia="ja-JP"/>
        </w:rPr>
      </w:pPr>
      <w:r w:rsidRPr="007C5D49">
        <w:rPr>
          <w:rFonts w:cs="Times New Roman"/>
          <w:szCs w:val="18"/>
          <w:lang w:val="nl-NL" w:eastAsia="ja-JP"/>
        </w:rPr>
        <w:t xml:space="preserve">De Raad besprak de ontwikkelingen in Georgië. </w:t>
      </w:r>
      <w:r w:rsidRPr="007C5D49" w:rsidR="002B419E">
        <w:rPr>
          <w:rFonts w:cs="Times New Roman"/>
          <w:szCs w:val="18"/>
          <w:lang w:val="nl-NL" w:eastAsia="ja-JP"/>
        </w:rPr>
        <w:t xml:space="preserve">De HV </w:t>
      </w:r>
      <w:r w:rsidRPr="007C5D49">
        <w:rPr>
          <w:rFonts w:cs="Times New Roman"/>
          <w:szCs w:val="18"/>
          <w:lang w:val="nl-NL" w:eastAsia="ja-JP"/>
        </w:rPr>
        <w:t xml:space="preserve">benadrukte dat de manier waarop de Georgische parlementsverkiezingen zich </w:t>
      </w:r>
      <w:r w:rsidRPr="007C5D49" w:rsidR="00442C28">
        <w:rPr>
          <w:rFonts w:cs="Times New Roman"/>
          <w:szCs w:val="18"/>
          <w:lang w:val="nl-NL" w:eastAsia="ja-JP"/>
        </w:rPr>
        <w:t xml:space="preserve">hebben </w:t>
      </w:r>
      <w:r w:rsidRPr="007C5D49">
        <w:rPr>
          <w:rFonts w:cs="Times New Roman"/>
          <w:szCs w:val="18"/>
          <w:lang w:val="nl-NL" w:eastAsia="ja-JP"/>
        </w:rPr>
        <w:t>voltrokken</w:t>
      </w:r>
      <w:r w:rsidRPr="007C5D49" w:rsidR="00D633A3">
        <w:rPr>
          <w:rFonts w:cs="Times New Roman"/>
          <w:szCs w:val="18"/>
          <w:lang w:val="nl-NL" w:eastAsia="ja-JP"/>
        </w:rPr>
        <w:t>,</w:t>
      </w:r>
      <w:r w:rsidRPr="007C5D49">
        <w:rPr>
          <w:rFonts w:cs="Times New Roman"/>
          <w:szCs w:val="18"/>
          <w:lang w:val="nl-NL" w:eastAsia="ja-JP"/>
        </w:rPr>
        <w:t xml:space="preserve"> bevesti</w:t>
      </w:r>
      <w:r w:rsidRPr="007C5D49" w:rsidR="00442C28">
        <w:rPr>
          <w:rFonts w:cs="Times New Roman"/>
          <w:szCs w:val="18"/>
          <w:lang w:val="nl-NL" w:eastAsia="ja-JP"/>
        </w:rPr>
        <w:t>g</w:t>
      </w:r>
      <w:r w:rsidRPr="007C5D49" w:rsidR="006D706A">
        <w:rPr>
          <w:rFonts w:cs="Times New Roman"/>
          <w:szCs w:val="18"/>
          <w:lang w:val="nl-NL" w:eastAsia="ja-JP"/>
        </w:rPr>
        <w:t>t</w:t>
      </w:r>
      <w:r w:rsidRPr="007C5D49">
        <w:rPr>
          <w:rFonts w:cs="Times New Roman"/>
          <w:szCs w:val="18"/>
          <w:lang w:val="nl-NL" w:eastAsia="ja-JP"/>
        </w:rPr>
        <w:t xml:space="preserve"> dat </w:t>
      </w:r>
      <w:r w:rsidRPr="007C5D49" w:rsidR="00442C28">
        <w:rPr>
          <w:rFonts w:cs="Times New Roman"/>
          <w:szCs w:val="18"/>
          <w:lang w:val="nl-NL" w:eastAsia="ja-JP"/>
        </w:rPr>
        <w:t xml:space="preserve">de </w:t>
      </w:r>
      <w:r w:rsidRPr="007C5D49">
        <w:rPr>
          <w:rFonts w:cs="Times New Roman"/>
          <w:szCs w:val="18"/>
          <w:lang w:val="nl-NL" w:eastAsia="ja-JP"/>
        </w:rPr>
        <w:t>democratische erosie zich in het land voortzet. Hierbij stel</w:t>
      </w:r>
      <w:r w:rsidRPr="007C5D49" w:rsidR="00B55FE0">
        <w:rPr>
          <w:rFonts w:cs="Times New Roman"/>
          <w:szCs w:val="18"/>
          <w:lang w:val="nl-NL" w:eastAsia="ja-JP"/>
        </w:rPr>
        <w:t>de</w:t>
      </w:r>
      <w:r w:rsidRPr="007C5D49">
        <w:rPr>
          <w:rFonts w:cs="Times New Roman"/>
          <w:szCs w:val="18"/>
          <w:lang w:val="nl-NL" w:eastAsia="ja-JP"/>
        </w:rPr>
        <w:t xml:space="preserve"> de HV een aantal maatregelen voor ten </w:t>
      </w:r>
      <w:r w:rsidRPr="007C5D49" w:rsidR="00442C28">
        <w:rPr>
          <w:rFonts w:cs="Times New Roman"/>
          <w:szCs w:val="18"/>
          <w:lang w:val="nl-NL" w:eastAsia="ja-JP"/>
        </w:rPr>
        <w:t xml:space="preserve">aanzien </w:t>
      </w:r>
      <w:r w:rsidRPr="007C5D49">
        <w:rPr>
          <w:rFonts w:cs="Times New Roman"/>
          <w:szCs w:val="18"/>
          <w:lang w:val="nl-NL" w:eastAsia="ja-JP"/>
        </w:rPr>
        <w:t xml:space="preserve">van de </w:t>
      </w:r>
      <w:r w:rsidRPr="007C5D49">
        <w:rPr>
          <w:rFonts w:cs="Times New Roman"/>
          <w:szCs w:val="18"/>
          <w:lang w:val="nl-NL" w:eastAsia="ja-JP"/>
        </w:rPr>
        <w:lastRenderedPageBreak/>
        <w:t xml:space="preserve">Georgische autoriteiten. </w:t>
      </w:r>
      <w:r w:rsidRPr="007C5D49" w:rsidR="00442C28">
        <w:rPr>
          <w:rFonts w:cs="Times New Roman"/>
          <w:szCs w:val="18"/>
          <w:lang w:val="nl-NL" w:eastAsia="ja-JP"/>
        </w:rPr>
        <w:t>L</w:t>
      </w:r>
      <w:r w:rsidRPr="007C5D49">
        <w:rPr>
          <w:rFonts w:cs="Times New Roman"/>
          <w:szCs w:val="18"/>
          <w:lang w:val="nl-NL" w:eastAsia="ja-JP"/>
        </w:rPr>
        <w:t xml:space="preserve">idstaten </w:t>
      </w:r>
      <w:r w:rsidRPr="007C5D49" w:rsidR="00442C28">
        <w:rPr>
          <w:rFonts w:cs="Times New Roman"/>
          <w:szCs w:val="18"/>
          <w:lang w:val="nl-NL" w:eastAsia="ja-JP"/>
        </w:rPr>
        <w:t>waren</w:t>
      </w:r>
      <w:r w:rsidRPr="007C5D49">
        <w:rPr>
          <w:rFonts w:cs="Times New Roman"/>
          <w:szCs w:val="18"/>
          <w:lang w:val="nl-NL" w:eastAsia="ja-JP"/>
        </w:rPr>
        <w:t xml:space="preserve"> eensgezind over de noodzaak van een onafhankelijk verkiezingsonderzoek</w:t>
      </w:r>
      <w:r w:rsidRPr="007C5D49" w:rsidR="00037DEA">
        <w:rPr>
          <w:rFonts w:cs="Times New Roman"/>
          <w:szCs w:val="18"/>
          <w:lang w:val="nl-NL" w:eastAsia="ja-JP"/>
        </w:rPr>
        <w:t xml:space="preserve"> en</w:t>
      </w:r>
      <w:r w:rsidRPr="007C5D49">
        <w:rPr>
          <w:rFonts w:cs="Times New Roman"/>
          <w:szCs w:val="18"/>
          <w:lang w:val="nl-NL" w:eastAsia="ja-JP"/>
        </w:rPr>
        <w:t xml:space="preserve"> </w:t>
      </w:r>
      <w:r w:rsidRPr="007C5D49" w:rsidR="00341FA4">
        <w:rPr>
          <w:rFonts w:cs="Times New Roman"/>
          <w:szCs w:val="18"/>
          <w:lang w:val="nl-NL" w:eastAsia="ja-JP"/>
        </w:rPr>
        <w:t xml:space="preserve">over </w:t>
      </w:r>
      <w:r w:rsidRPr="007C5D49">
        <w:rPr>
          <w:rFonts w:cs="Times New Roman"/>
          <w:szCs w:val="18"/>
          <w:lang w:val="nl-NL" w:eastAsia="ja-JP"/>
        </w:rPr>
        <w:t xml:space="preserve">steun </w:t>
      </w:r>
      <w:r w:rsidRPr="007C5D49" w:rsidR="00BD00A1">
        <w:rPr>
          <w:rFonts w:cs="Times New Roman"/>
          <w:szCs w:val="18"/>
          <w:lang w:val="nl-NL" w:eastAsia="ja-JP"/>
        </w:rPr>
        <w:t>aan</w:t>
      </w:r>
      <w:r w:rsidRPr="007C5D49">
        <w:rPr>
          <w:rFonts w:cs="Times New Roman"/>
          <w:szCs w:val="18"/>
          <w:lang w:val="nl-NL" w:eastAsia="ja-JP"/>
        </w:rPr>
        <w:t xml:space="preserve"> de Georgische bevolking en het maatschappelijk middenveld</w:t>
      </w:r>
      <w:r w:rsidRPr="007C5D49" w:rsidR="00037DEA">
        <w:rPr>
          <w:rFonts w:cs="Times New Roman"/>
          <w:szCs w:val="18"/>
          <w:lang w:val="nl-NL" w:eastAsia="ja-JP"/>
        </w:rPr>
        <w:t>. Ze</w:t>
      </w:r>
      <w:r w:rsidRPr="007C5D49">
        <w:rPr>
          <w:rFonts w:cs="Times New Roman"/>
          <w:szCs w:val="18"/>
          <w:lang w:val="nl-NL" w:eastAsia="ja-JP"/>
        </w:rPr>
        <w:t xml:space="preserve"> benadruk</w:t>
      </w:r>
      <w:r w:rsidRPr="007C5D49" w:rsidR="00084244">
        <w:rPr>
          <w:rFonts w:cs="Times New Roman"/>
          <w:szCs w:val="18"/>
          <w:lang w:val="nl-NL" w:eastAsia="ja-JP"/>
        </w:rPr>
        <w:t>t</w:t>
      </w:r>
      <w:r w:rsidRPr="007C5D49">
        <w:rPr>
          <w:rFonts w:cs="Times New Roman"/>
          <w:szCs w:val="18"/>
          <w:lang w:val="nl-NL" w:eastAsia="ja-JP"/>
        </w:rPr>
        <w:t>en hierbij het feit dat het EU-toetredingsproces feitelijk bevroren blijft.</w:t>
      </w:r>
      <w:r w:rsidRPr="007C5D49" w:rsidR="00907E68">
        <w:rPr>
          <w:rFonts w:cs="Times New Roman"/>
          <w:szCs w:val="18"/>
          <w:lang w:val="nl-NL" w:eastAsia="ja-JP"/>
        </w:rPr>
        <w:t xml:space="preserve"> </w:t>
      </w:r>
    </w:p>
    <w:p w:rsidRPr="007C5D49" w:rsidR="00555D1B" w:rsidP="0011624F" w:rsidRDefault="00144D1E" w14:paraId="628E478C" w14:textId="5A8BB7BD">
      <w:pPr>
        <w:spacing w:after="0" w:line="276" w:lineRule="auto"/>
        <w:rPr>
          <w:rFonts w:eastAsia="Malgun Gothic"/>
          <w:szCs w:val="18"/>
          <w:lang w:val="nl-NL" w:eastAsia="ko-KR"/>
        </w:rPr>
      </w:pPr>
      <w:r w:rsidRPr="007C5D49">
        <w:rPr>
          <w:b/>
          <w:szCs w:val="18"/>
          <w:lang w:val="nl-NL" w:eastAsia="ja-JP"/>
        </w:rPr>
        <w:t>Situatie Midden-Oosten</w:t>
      </w:r>
    </w:p>
    <w:p w:rsidRPr="007C5D49" w:rsidR="005B7779" w:rsidP="0011624F" w:rsidRDefault="007C4216" w14:paraId="28F528DD" w14:textId="23256087">
      <w:pPr>
        <w:spacing w:line="276" w:lineRule="auto"/>
        <w:rPr>
          <w:szCs w:val="18"/>
          <w:lang w:val="nl-NL"/>
        </w:rPr>
      </w:pPr>
      <w:r w:rsidRPr="007C5D49">
        <w:rPr>
          <w:rFonts w:eastAsia="Malgun Gothic"/>
          <w:szCs w:val="18"/>
          <w:lang w:val="nl-NL" w:eastAsia="ko-KR"/>
        </w:rPr>
        <w:t xml:space="preserve">De </w:t>
      </w:r>
      <w:r w:rsidRPr="007C5D49" w:rsidR="00E255B0">
        <w:rPr>
          <w:rFonts w:eastAsia="Malgun Gothic"/>
          <w:bCs/>
          <w:szCs w:val="18"/>
          <w:lang w:val="nl-NL" w:eastAsia="ko-KR"/>
        </w:rPr>
        <w:t>HV</w:t>
      </w:r>
      <w:r w:rsidRPr="007C5D49">
        <w:rPr>
          <w:rFonts w:eastAsia="Malgun Gothic"/>
          <w:szCs w:val="18"/>
          <w:lang w:val="nl-NL" w:eastAsia="ko-KR"/>
        </w:rPr>
        <w:t xml:space="preserve"> en de</w:t>
      </w:r>
      <w:r w:rsidRPr="007C5D49" w:rsidR="00156FEA">
        <w:rPr>
          <w:rFonts w:eastAsia="Malgun Gothic"/>
          <w:szCs w:val="18"/>
          <w:lang w:val="nl-NL" w:eastAsia="ko-KR"/>
        </w:rPr>
        <w:t xml:space="preserve"> </w:t>
      </w:r>
      <w:r w:rsidRPr="007C5D49">
        <w:rPr>
          <w:rFonts w:eastAsia="Malgun Gothic"/>
          <w:szCs w:val="18"/>
          <w:lang w:val="nl-NL" w:eastAsia="ko-KR"/>
        </w:rPr>
        <w:t xml:space="preserve">Commissie </w:t>
      </w:r>
      <w:r w:rsidRPr="007C5D49" w:rsidR="006D706A">
        <w:rPr>
          <w:rFonts w:eastAsia="Malgun Gothic"/>
          <w:szCs w:val="18"/>
          <w:lang w:val="nl-NL" w:eastAsia="ko-KR"/>
        </w:rPr>
        <w:t xml:space="preserve">gaven toelichting over </w:t>
      </w:r>
      <w:r w:rsidRPr="007C5D49">
        <w:rPr>
          <w:rFonts w:eastAsia="Malgun Gothic"/>
          <w:szCs w:val="18"/>
          <w:lang w:val="nl-NL" w:eastAsia="ko-KR"/>
        </w:rPr>
        <w:t xml:space="preserve">de </w:t>
      </w:r>
      <w:r w:rsidRPr="007C5D49" w:rsidR="00333D6B">
        <w:rPr>
          <w:rFonts w:eastAsia="Malgun Gothic"/>
          <w:szCs w:val="18"/>
          <w:lang w:val="nl-NL" w:eastAsia="ko-KR"/>
        </w:rPr>
        <w:t>situatie in het Midden-Oosten, specifiek de</w:t>
      </w:r>
      <w:r w:rsidRPr="007C5D49">
        <w:rPr>
          <w:rFonts w:eastAsia="Malgun Gothic"/>
          <w:szCs w:val="18"/>
          <w:lang w:val="nl-NL" w:eastAsia="ko-KR"/>
        </w:rPr>
        <w:t xml:space="preserve"> catastrofale </w:t>
      </w:r>
      <w:r w:rsidRPr="007C5D49" w:rsidR="00565B33">
        <w:rPr>
          <w:rFonts w:eastAsia="Malgun Gothic"/>
          <w:bCs/>
          <w:szCs w:val="18"/>
          <w:lang w:val="nl-NL" w:eastAsia="ko-KR"/>
        </w:rPr>
        <w:t>situatie</w:t>
      </w:r>
      <w:r w:rsidRPr="007C5D49">
        <w:rPr>
          <w:rFonts w:eastAsia="Malgun Gothic"/>
          <w:szCs w:val="18"/>
          <w:lang w:val="nl-NL" w:eastAsia="ko-KR"/>
        </w:rPr>
        <w:t xml:space="preserve"> in de Gazastrook en het gebrek aan </w:t>
      </w:r>
      <w:r w:rsidRPr="007C5D49">
        <w:rPr>
          <w:rFonts w:eastAsia="Malgun Gothic"/>
          <w:bCs/>
          <w:szCs w:val="18"/>
          <w:lang w:val="nl-NL" w:eastAsia="ko-KR"/>
        </w:rPr>
        <w:t>voorui</w:t>
      </w:r>
      <w:r w:rsidRPr="007C5D49" w:rsidR="00565B33">
        <w:rPr>
          <w:rFonts w:eastAsia="Malgun Gothic"/>
          <w:bCs/>
          <w:szCs w:val="18"/>
          <w:lang w:val="nl-NL" w:eastAsia="ko-KR"/>
        </w:rPr>
        <w:t>t</w:t>
      </w:r>
      <w:r w:rsidRPr="007C5D49">
        <w:rPr>
          <w:rFonts w:eastAsia="Malgun Gothic"/>
          <w:bCs/>
          <w:szCs w:val="18"/>
          <w:lang w:val="nl-NL" w:eastAsia="ko-KR"/>
        </w:rPr>
        <w:t>gang</w:t>
      </w:r>
      <w:r w:rsidRPr="007C5D49" w:rsidR="00B123F8">
        <w:rPr>
          <w:rFonts w:eastAsia="Malgun Gothic"/>
          <w:szCs w:val="18"/>
          <w:lang w:val="nl-NL" w:eastAsia="ko-KR"/>
        </w:rPr>
        <w:t xml:space="preserve"> van de humanitaire situatie</w:t>
      </w:r>
      <w:r w:rsidRPr="007C5D49">
        <w:rPr>
          <w:rFonts w:eastAsia="Malgun Gothic"/>
          <w:szCs w:val="18"/>
          <w:lang w:val="nl-NL" w:eastAsia="ko-KR"/>
        </w:rPr>
        <w:t xml:space="preserve">. </w:t>
      </w:r>
      <w:r w:rsidRPr="007C5D49">
        <w:rPr>
          <w:szCs w:val="18"/>
          <w:lang w:val="nl-NL"/>
        </w:rPr>
        <w:t xml:space="preserve">De EU </w:t>
      </w:r>
      <w:r w:rsidRPr="007C5D49" w:rsidR="006D706A">
        <w:rPr>
          <w:szCs w:val="18"/>
          <w:lang w:val="nl-NL"/>
        </w:rPr>
        <w:t xml:space="preserve">heeft </w:t>
      </w:r>
      <w:r w:rsidRPr="007C5D49">
        <w:rPr>
          <w:szCs w:val="18"/>
          <w:lang w:val="nl-NL"/>
        </w:rPr>
        <w:t>sinds het uitbreken van de oorlog voor EUR 330 mln</w:t>
      </w:r>
      <w:r w:rsidRPr="007C5D49" w:rsidR="009A7142">
        <w:rPr>
          <w:szCs w:val="18"/>
          <w:lang w:val="nl-NL"/>
        </w:rPr>
        <w:t>.</w:t>
      </w:r>
      <w:r w:rsidRPr="007C5D49">
        <w:rPr>
          <w:szCs w:val="18"/>
          <w:lang w:val="nl-NL"/>
        </w:rPr>
        <w:t xml:space="preserve"> aan humanitaire hulp verstrekt. </w:t>
      </w:r>
      <w:r w:rsidRPr="007C5D49" w:rsidR="009869D6">
        <w:rPr>
          <w:szCs w:val="18"/>
          <w:lang w:val="nl-NL"/>
        </w:rPr>
        <w:t>Daarnaast</w:t>
      </w:r>
      <w:r w:rsidRPr="007C5D49">
        <w:rPr>
          <w:szCs w:val="18"/>
          <w:lang w:val="nl-NL"/>
        </w:rPr>
        <w:t xml:space="preserve"> </w:t>
      </w:r>
      <w:r w:rsidRPr="007C5D49" w:rsidR="001865C2">
        <w:rPr>
          <w:szCs w:val="18"/>
          <w:lang w:val="nl-NL"/>
        </w:rPr>
        <w:t>deelde de Commissie me</w:t>
      </w:r>
      <w:r w:rsidRPr="007C5D49" w:rsidR="009E52CF">
        <w:rPr>
          <w:szCs w:val="18"/>
          <w:lang w:val="nl-NL"/>
        </w:rPr>
        <w:t>d</w:t>
      </w:r>
      <w:r w:rsidRPr="007C5D49" w:rsidR="001865C2">
        <w:rPr>
          <w:szCs w:val="18"/>
          <w:lang w:val="nl-NL"/>
        </w:rPr>
        <w:t>e dat</w:t>
      </w:r>
      <w:r w:rsidRPr="007C5D49">
        <w:rPr>
          <w:szCs w:val="18"/>
          <w:lang w:val="nl-NL"/>
        </w:rPr>
        <w:t xml:space="preserve"> overeenstemming </w:t>
      </w:r>
      <w:r w:rsidRPr="007C5D49" w:rsidR="006D706A">
        <w:rPr>
          <w:szCs w:val="18"/>
          <w:lang w:val="nl-NL"/>
        </w:rPr>
        <w:t>was</w:t>
      </w:r>
      <w:r w:rsidRPr="007C5D49" w:rsidR="001865C2">
        <w:rPr>
          <w:szCs w:val="18"/>
          <w:lang w:val="nl-NL"/>
        </w:rPr>
        <w:t xml:space="preserve"> </w:t>
      </w:r>
      <w:r w:rsidRPr="007C5D49">
        <w:rPr>
          <w:szCs w:val="18"/>
          <w:lang w:val="nl-NL"/>
        </w:rPr>
        <w:t>bereikt met de Palestijnse Autoriteit</w:t>
      </w:r>
      <w:r w:rsidRPr="007C5D49" w:rsidR="009E52CF">
        <w:rPr>
          <w:szCs w:val="18"/>
          <w:lang w:val="nl-NL"/>
        </w:rPr>
        <w:t xml:space="preserve"> (PA)</w:t>
      </w:r>
      <w:r w:rsidRPr="007C5D49">
        <w:rPr>
          <w:szCs w:val="18"/>
          <w:lang w:val="nl-NL"/>
        </w:rPr>
        <w:t xml:space="preserve"> over </w:t>
      </w:r>
      <w:r w:rsidRPr="007C5D49" w:rsidR="001865C2">
        <w:rPr>
          <w:szCs w:val="18"/>
          <w:lang w:val="nl-NL"/>
        </w:rPr>
        <w:t>noodzakelijke hervormingen</w:t>
      </w:r>
      <w:r w:rsidRPr="007C5D49" w:rsidR="00333D6B">
        <w:rPr>
          <w:szCs w:val="18"/>
          <w:lang w:val="nl-NL"/>
        </w:rPr>
        <w:t>. Hierdoor stond de weg vrij om</w:t>
      </w:r>
      <w:r w:rsidRPr="007C5D49">
        <w:rPr>
          <w:szCs w:val="18"/>
          <w:lang w:val="nl-NL"/>
        </w:rPr>
        <w:t xml:space="preserve"> de laatste tranche van het noodsteunpakket ter waarde van </w:t>
      </w:r>
      <w:r w:rsidRPr="007C5D49" w:rsidR="009A7142">
        <w:rPr>
          <w:szCs w:val="18"/>
          <w:lang w:val="nl-NL"/>
        </w:rPr>
        <w:t xml:space="preserve">EUR </w:t>
      </w:r>
      <w:r w:rsidRPr="007C5D49">
        <w:rPr>
          <w:szCs w:val="18"/>
          <w:lang w:val="nl-NL"/>
        </w:rPr>
        <w:t>110 m</w:t>
      </w:r>
      <w:r w:rsidRPr="007C5D49" w:rsidR="009A7142">
        <w:rPr>
          <w:szCs w:val="18"/>
          <w:lang w:val="nl-NL"/>
        </w:rPr>
        <w:t>ln</w:t>
      </w:r>
      <w:r w:rsidRPr="007C5D49" w:rsidR="009E52CF">
        <w:rPr>
          <w:szCs w:val="18"/>
          <w:lang w:val="nl-NL"/>
        </w:rPr>
        <w:t>.</w:t>
      </w:r>
      <w:r w:rsidRPr="007C5D49" w:rsidR="001865C2">
        <w:rPr>
          <w:szCs w:val="18"/>
          <w:lang w:val="nl-NL"/>
        </w:rPr>
        <w:t xml:space="preserve"> </w:t>
      </w:r>
      <w:r w:rsidRPr="007C5D49" w:rsidR="00333D6B">
        <w:rPr>
          <w:szCs w:val="18"/>
          <w:lang w:val="nl-NL"/>
        </w:rPr>
        <w:t>over te maken</w:t>
      </w:r>
      <w:r w:rsidRPr="007C5D49" w:rsidR="00EA3F04">
        <w:rPr>
          <w:szCs w:val="18"/>
          <w:lang w:val="nl-NL"/>
        </w:rPr>
        <w:t xml:space="preserve">. </w:t>
      </w:r>
      <w:r w:rsidRPr="007C5D49" w:rsidR="001865C2">
        <w:rPr>
          <w:szCs w:val="18"/>
          <w:lang w:val="nl-NL"/>
        </w:rPr>
        <w:t xml:space="preserve">De </w:t>
      </w:r>
      <w:r w:rsidRPr="007C5D49" w:rsidR="002D1AEB">
        <w:rPr>
          <w:szCs w:val="18"/>
          <w:lang w:val="nl-NL"/>
        </w:rPr>
        <w:t xml:space="preserve">overeengekomen hervormingen </w:t>
      </w:r>
      <w:r w:rsidRPr="007C5D49" w:rsidR="001865C2">
        <w:rPr>
          <w:szCs w:val="18"/>
          <w:lang w:val="nl-NL"/>
        </w:rPr>
        <w:t xml:space="preserve"> </w:t>
      </w:r>
      <w:r w:rsidRPr="007C5D49" w:rsidR="00333D6B">
        <w:rPr>
          <w:szCs w:val="18"/>
          <w:lang w:val="nl-NL"/>
        </w:rPr>
        <w:t>vorm</w:t>
      </w:r>
      <w:r w:rsidRPr="007C5D49" w:rsidR="002D1AEB">
        <w:rPr>
          <w:szCs w:val="18"/>
          <w:lang w:val="nl-NL"/>
        </w:rPr>
        <w:t>en</w:t>
      </w:r>
      <w:r w:rsidRPr="007C5D49" w:rsidR="001865C2">
        <w:rPr>
          <w:szCs w:val="18"/>
          <w:lang w:val="nl-NL"/>
        </w:rPr>
        <w:t xml:space="preserve"> tevens de basis van een</w:t>
      </w:r>
      <w:r w:rsidRPr="007C5D49" w:rsidR="00333D6B">
        <w:rPr>
          <w:szCs w:val="18"/>
          <w:lang w:val="nl-NL"/>
        </w:rPr>
        <w:t xml:space="preserve"> EU</w:t>
      </w:r>
      <w:r w:rsidRPr="007C5D49" w:rsidR="001865C2">
        <w:rPr>
          <w:szCs w:val="18"/>
          <w:lang w:val="nl-NL"/>
        </w:rPr>
        <w:t xml:space="preserve"> </w:t>
      </w:r>
      <w:proofErr w:type="spellStart"/>
      <w:r w:rsidRPr="007C5D49" w:rsidR="001865C2">
        <w:rPr>
          <w:szCs w:val="18"/>
          <w:lang w:val="nl-NL"/>
        </w:rPr>
        <w:t>meerjarensteunprogramma</w:t>
      </w:r>
      <w:proofErr w:type="spellEnd"/>
      <w:r w:rsidRPr="007C5D49" w:rsidR="001865C2">
        <w:rPr>
          <w:szCs w:val="18"/>
          <w:lang w:val="nl-NL"/>
        </w:rPr>
        <w:t xml:space="preserve"> (tot en met 2026) voor de PA.</w:t>
      </w:r>
      <w:r w:rsidRPr="007C5D49" w:rsidR="00EA3F04">
        <w:rPr>
          <w:szCs w:val="18"/>
          <w:lang w:val="nl-NL"/>
        </w:rPr>
        <w:t xml:space="preserve"> Onderdeel van de afgesproken hervormingen </w:t>
      </w:r>
      <w:r w:rsidRPr="007C5D49" w:rsidR="002D1AEB">
        <w:rPr>
          <w:szCs w:val="18"/>
          <w:lang w:val="nl-NL"/>
        </w:rPr>
        <w:t>raken aan</w:t>
      </w:r>
      <w:r w:rsidRPr="007C5D49" w:rsidR="00EA3F04">
        <w:rPr>
          <w:szCs w:val="18"/>
          <w:lang w:val="nl-NL"/>
        </w:rPr>
        <w:t xml:space="preserve"> het pensioenstelsel (‘</w:t>
      </w:r>
      <w:proofErr w:type="spellStart"/>
      <w:r w:rsidRPr="007C5D49" w:rsidR="001865C2">
        <w:rPr>
          <w:rStyle w:val="Emphasis"/>
          <w:szCs w:val="18"/>
          <w:lang w:val="nl-NL"/>
        </w:rPr>
        <w:t>prisoner</w:t>
      </w:r>
      <w:proofErr w:type="spellEnd"/>
      <w:r w:rsidRPr="007C5D49" w:rsidR="00EA3F04">
        <w:rPr>
          <w:rStyle w:val="Emphasis"/>
          <w:szCs w:val="18"/>
          <w:lang w:val="nl-NL"/>
        </w:rPr>
        <w:t xml:space="preserve"> </w:t>
      </w:r>
      <w:proofErr w:type="spellStart"/>
      <w:r w:rsidRPr="007C5D49" w:rsidR="00EA3F04">
        <w:rPr>
          <w:rStyle w:val="Emphasis"/>
          <w:szCs w:val="18"/>
          <w:lang w:val="nl-NL"/>
        </w:rPr>
        <w:t>payment</w:t>
      </w:r>
      <w:r w:rsidRPr="007C5D49" w:rsidR="001865C2">
        <w:rPr>
          <w:rStyle w:val="Emphasis"/>
          <w:szCs w:val="18"/>
          <w:lang w:val="nl-NL"/>
        </w:rPr>
        <w:t>s</w:t>
      </w:r>
      <w:proofErr w:type="spellEnd"/>
      <w:r w:rsidRPr="007C5D49" w:rsidR="00D31A81">
        <w:rPr>
          <w:rStyle w:val="Emphasis"/>
          <w:szCs w:val="18"/>
          <w:lang w:val="nl-NL"/>
        </w:rPr>
        <w:t>’</w:t>
      </w:r>
      <w:r w:rsidRPr="007C5D49" w:rsidR="00EA3F04">
        <w:rPr>
          <w:szCs w:val="18"/>
          <w:lang w:val="nl-NL"/>
        </w:rPr>
        <w:t xml:space="preserve">) en </w:t>
      </w:r>
      <w:r w:rsidRPr="007C5D49" w:rsidR="0079781A">
        <w:rPr>
          <w:szCs w:val="18"/>
          <w:lang w:val="nl-NL"/>
        </w:rPr>
        <w:t>hervormingen</w:t>
      </w:r>
      <w:r w:rsidRPr="007C5D49" w:rsidR="00EA3F04">
        <w:rPr>
          <w:szCs w:val="18"/>
          <w:lang w:val="nl-NL"/>
        </w:rPr>
        <w:t xml:space="preserve"> op het gebied van schoolboeken. In lijn met motie Ceder</w:t>
      </w:r>
      <w:r w:rsidRPr="007C5D49" w:rsidR="009F01E3">
        <w:rPr>
          <w:rStyle w:val="FootnoteReference"/>
          <w:szCs w:val="18"/>
          <w:lang w:val="nl-NL"/>
        </w:rPr>
        <w:footnoteReference w:id="3"/>
      </w:r>
      <w:r w:rsidRPr="007C5D49" w:rsidR="00EA3F04">
        <w:rPr>
          <w:szCs w:val="18"/>
          <w:lang w:val="nl-NL"/>
        </w:rPr>
        <w:t xml:space="preserve"> </w:t>
      </w:r>
      <w:r w:rsidRPr="007C5D49" w:rsidR="00653BA5">
        <w:rPr>
          <w:szCs w:val="18"/>
          <w:lang w:val="nl-NL"/>
        </w:rPr>
        <w:t>zullen</w:t>
      </w:r>
      <w:r w:rsidRPr="007C5D49" w:rsidR="00EA3F04">
        <w:rPr>
          <w:szCs w:val="18"/>
          <w:lang w:val="nl-NL"/>
        </w:rPr>
        <w:t xml:space="preserve"> de uitbetalingen van het </w:t>
      </w:r>
      <w:proofErr w:type="spellStart"/>
      <w:r w:rsidRPr="007C5D49" w:rsidR="001865C2">
        <w:rPr>
          <w:szCs w:val="18"/>
          <w:lang w:val="nl-NL"/>
        </w:rPr>
        <w:t>meerjarensteunprogramma</w:t>
      </w:r>
      <w:proofErr w:type="spellEnd"/>
      <w:r w:rsidRPr="007C5D49" w:rsidR="00EA3F04">
        <w:rPr>
          <w:szCs w:val="18"/>
          <w:lang w:val="nl-NL"/>
        </w:rPr>
        <w:t xml:space="preserve"> afhankelijk </w:t>
      </w:r>
      <w:r w:rsidRPr="007C5D49" w:rsidR="00653BA5">
        <w:rPr>
          <w:szCs w:val="18"/>
          <w:lang w:val="nl-NL"/>
        </w:rPr>
        <w:t xml:space="preserve">zijn </w:t>
      </w:r>
      <w:r w:rsidRPr="007C5D49" w:rsidR="00EA3F04">
        <w:rPr>
          <w:szCs w:val="18"/>
          <w:lang w:val="nl-NL"/>
        </w:rPr>
        <w:t xml:space="preserve">van </w:t>
      </w:r>
      <w:r w:rsidRPr="007C5D49" w:rsidR="001865C2">
        <w:rPr>
          <w:szCs w:val="18"/>
          <w:lang w:val="nl-NL"/>
        </w:rPr>
        <w:t>voortgang op implementatie van de afgesproken hervormingen</w:t>
      </w:r>
      <w:r w:rsidRPr="007C5D49" w:rsidR="00EA3F04">
        <w:rPr>
          <w:szCs w:val="18"/>
          <w:lang w:val="nl-NL"/>
        </w:rPr>
        <w:t xml:space="preserve">. </w:t>
      </w:r>
      <w:r w:rsidRPr="007C5D49" w:rsidR="00333D6B">
        <w:rPr>
          <w:lang w:val="nl-NL"/>
        </w:rPr>
        <w:t xml:space="preserve">Daarnaast </w:t>
      </w:r>
      <w:r w:rsidRPr="007C5D49" w:rsidR="00D00F3A">
        <w:rPr>
          <w:lang w:val="nl-NL"/>
        </w:rPr>
        <w:t xml:space="preserve">deed </w:t>
      </w:r>
      <w:r w:rsidRPr="007C5D49" w:rsidR="00333D6B">
        <w:rPr>
          <w:lang w:val="nl-NL"/>
        </w:rPr>
        <w:t>d</w:t>
      </w:r>
      <w:r w:rsidRPr="007C5D49" w:rsidR="00340F38">
        <w:rPr>
          <w:lang w:val="nl-NL"/>
        </w:rPr>
        <w:t xml:space="preserve">e </w:t>
      </w:r>
      <w:r w:rsidRPr="007C5D49" w:rsidR="008E74F4">
        <w:rPr>
          <w:lang w:val="nl-NL"/>
        </w:rPr>
        <w:t>HV</w:t>
      </w:r>
      <w:r w:rsidRPr="007C5D49" w:rsidR="00340F38">
        <w:rPr>
          <w:lang w:val="nl-NL"/>
        </w:rPr>
        <w:t xml:space="preserve"> op 13</w:t>
      </w:r>
      <w:r w:rsidRPr="007C5D49" w:rsidR="00FA5620">
        <w:rPr>
          <w:lang w:val="nl-NL"/>
        </w:rPr>
        <w:t xml:space="preserve"> november jl.</w:t>
      </w:r>
      <w:r w:rsidRPr="007C5D49" w:rsidR="00340F38">
        <w:rPr>
          <w:lang w:val="nl-NL"/>
        </w:rPr>
        <w:t xml:space="preserve"> een voorstel voor een Raadsbesluit tot het gedeeltelijk opschorten van het EU-I</w:t>
      </w:r>
      <w:r w:rsidRPr="007C5D49" w:rsidR="00923B11">
        <w:rPr>
          <w:lang w:val="nl-NL"/>
        </w:rPr>
        <w:t>sraël</w:t>
      </w:r>
      <w:r w:rsidRPr="007C5D49" w:rsidR="00340F38">
        <w:rPr>
          <w:lang w:val="nl-NL"/>
        </w:rPr>
        <w:t xml:space="preserve"> Associatieakkoord, specifiek de politieke dialoog. Dit voorstel is tijdens de Raad besproken en niet door de lidstaten aangenomen. </w:t>
      </w:r>
      <w:r w:rsidRPr="0091482C" w:rsidR="00587DF5">
        <w:rPr>
          <w:lang w:val="nl-NL"/>
        </w:rPr>
        <w:t xml:space="preserve">Tijdens de Raad werd dit voorstel maar door twee lidstaten gesteund. </w:t>
      </w:r>
      <w:r w:rsidRPr="0091482C" w:rsidR="006D706A">
        <w:rPr>
          <w:lang w:val="nl-NL"/>
        </w:rPr>
        <w:t xml:space="preserve">Ook </w:t>
      </w:r>
      <w:r w:rsidRPr="0091482C" w:rsidR="00340F38">
        <w:rPr>
          <w:lang w:val="nl-NL"/>
        </w:rPr>
        <w:t>Nederland was hier</w:t>
      </w:r>
      <w:r w:rsidRPr="0091482C" w:rsidR="006D706A">
        <w:rPr>
          <w:lang w:val="nl-NL"/>
        </w:rPr>
        <w:t>van</w:t>
      </w:r>
      <w:r w:rsidRPr="0091482C" w:rsidR="00340F38">
        <w:rPr>
          <w:lang w:val="nl-NL"/>
        </w:rPr>
        <w:t xml:space="preserve"> geen voorstander</w:t>
      </w:r>
      <w:r w:rsidRPr="0091482C" w:rsidR="00587DF5">
        <w:rPr>
          <w:lang w:val="nl-NL"/>
        </w:rPr>
        <w:t>.</w:t>
      </w:r>
      <w:r w:rsidRPr="0091482C" w:rsidR="00340F38">
        <w:rPr>
          <w:lang w:val="nl-NL"/>
        </w:rPr>
        <w:t xml:space="preserve"> </w:t>
      </w:r>
      <w:r w:rsidRPr="0091482C" w:rsidR="00587DF5">
        <w:rPr>
          <w:lang w:val="nl-NL"/>
        </w:rPr>
        <w:t xml:space="preserve">Het blijft van belang dat de EU de mogelijkheid heeft om de dialoog aan te blijven gaan, juist ook op de punten waar er sprake is van een verschil in positie. Nederland </w:t>
      </w:r>
      <w:r w:rsidRPr="0091482C" w:rsidR="00340F38">
        <w:rPr>
          <w:lang w:val="nl-NL"/>
        </w:rPr>
        <w:t>zet in op een</w:t>
      </w:r>
      <w:r w:rsidRPr="0091482C" w:rsidR="00E23417">
        <w:rPr>
          <w:lang w:val="nl-NL"/>
        </w:rPr>
        <w:t xml:space="preserve"> </w:t>
      </w:r>
      <w:r w:rsidRPr="0091482C" w:rsidR="00340F38">
        <w:rPr>
          <w:lang w:val="nl-NL"/>
        </w:rPr>
        <w:t>spoedige</w:t>
      </w:r>
      <w:r w:rsidRPr="007C5D49" w:rsidR="00340F38">
        <w:rPr>
          <w:lang w:val="nl-NL"/>
        </w:rPr>
        <w:t xml:space="preserve"> dialoog tussen de EU en Israël</w:t>
      </w:r>
      <w:r w:rsidRPr="007C5D49" w:rsidR="001021F3">
        <w:rPr>
          <w:lang w:val="nl-NL"/>
        </w:rPr>
        <w:t>, bij voorkeur nog dit kalenderjaar</w:t>
      </w:r>
      <w:r w:rsidRPr="007C5D49" w:rsidR="00A6176C">
        <w:rPr>
          <w:lang w:val="nl-NL"/>
        </w:rPr>
        <w:t>,</w:t>
      </w:r>
      <w:r w:rsidRPr="007C5D49" w:rsidR="001021F3">
        <w:rPr>
          <w:lang w:val="nl-NL"/>
        </w:rPr>
        <w:t xml:space="preserve"> in lijn met motie Klaver</w:t>
      </w:r>
      <w:r w:rsidR="008C157E">
        <w:rPr>
          <w:lang w:val="nl-NL"/>
        </w:rPr>
        <w:t>.</w:t>
      </w:r>
      <w:r w:rsidRPr="007C5D49" w:rsidR="003B3298">
        <w:rPr>
          <w:rStyle w:val="FootnoteReference"/>
          <w:lang w:val="nl-NL"/>
        </w:rPr>
        <w:footnoteReference w:id="4"/>
      </w:r>
      <w:r w:rsidR="008C157E">
        <w:rPr>
          <w:lang w:val="nl-NL"/>
        </w:rPr>
        <w:t xml:space="preserve"> </w:t>
      </w:r>
      <w:r w:rsidRPr="007C5D49" w:rsidR="00B03F6C">
        <w:rPr>
          <w:lang w:val="nl-NL"/>
        </w:rPr>
        <w:t xml:space="preserve">Tot slot </w:t>
      </w:r>
      <w:r w:rsidRPr="007C5D49" w:rsidR="00333D6B">
        <w:rPr>
          <w:lang w:val="nl-NL"/>
        </w:rPr>
        <w:t>stelde d</w:t>
      </w:r>
      <w:r w:rsidRPr="007C5D49" w:rsidR="00340F38">
        <w:rPr>
          <w:szCs w:val="18"/>
          <w:lang w:val="nl-NL"/>
        </w:rPr>
        <w:t xml:space="preserve">e </w:t>
      </w:r>
      <w:r w:rsidRPr="007C5D49" w:rsidR="00114AA2">
        <w:rPr>
          <w:szCs w:val="18"/>
          <w:lang w:val="nl-NL"/>
        </w:rPr>
        <w:t>HV</w:t>
      </w:r>
      <w:r w:rsidRPr="007C5D49" w:rsidR="00653BA5">
        <w:rPr>
          <w:szCs w:val="18"/>
          <w:lang w:val="nl-NL"/>
        </w:rPr>
        <w:t xml:space="preserve"> maatregelen voor als gevolg van</w:t>
      </w:r>
      <w:r w:rsidRPr="007C5D49" w:rsidR="00114AA2">
        <w:rPr>
          <w:szCs w:val="18"/>
          <w:lang w:val="nl-NL"/>
        </w:rPr>
        <w:t xml:space="preserve"> </w:t>
      </w:r>
      <w:r w:rsidRPr="007C5D49" w:rsidR="00340F38">
        <w:rPr>
          <w:szCs w:val="18"/>
          <w:lang w:val="nl-NL"/>
        </w:rPr>
        <w:t xml:space="preserve">de </w:t>
      </w:r>
      <w:proofErr w:type="spellStart"/>
      <w:r w:rsidRPr="007C5D49" w:rsidR="008D608F">
        <w:rPr>
          <w:i/>
          <w:iCs/>
          <w:szCs w:val="18"/>
          <w:lang w:val="nl-NL"/>
        </w:rPr>
        <w:t>A</w:t>
      </w:r>
      <w:r w:rsidRPr="007C5D49">
        <w:rPr>
          <w:rStyle w:val="Emphasis"/>
          <w:szCs w:val="18"/>
          <w:lang w:val="nl-NL"/>
        </w:rPr>
        <w:t>dvisory</w:t>
      </w:r>
      <w:proofErr w:type="spellEnd"/>
      <w:r w:rsidRPr="007C5D49">
        <w:rPr>
          <w:rStyle w:val="Emphasis"/>
          <w:szCs w:val="18"/>
          <w:lang w:val="nl-NL"/>
        </w:rPr>
        <w:t xml:space="preserve"> </w:t>
      </w:r>
      <w:r w:rsidRPr="007C5D49" w:rsidR="008D608F">
        <w:rPr>
          <w:rStyle w:val="Emphasis"/>
          <w:szCs w:val="18"/>
          <w:lang w:val="nl-NL"/>
        </w:rPr>
        <w:t>O</w:t>
      </w:r>
      <w:r w:rsidRPr="007C5D49">
        <w:rPr>
          <w:rStyle w:val="Emphasis"/>
          <w:szCs w:val="18"/>
          <w:lang w:val="nl-NL"/>
        </w:rPr>
        <w:t>pinion</w:t>
      </w:r>
      <w:r w:rsidRPr="007C5D49">
        <w:rPr>
          <w:szCs w:val="18"/>
          <w:lang w:val="nl-NL"/>
        </w:rPr>
        <w:t xml:space="preserve"> van het I</w:t>
      </w:r>
      <w:r w:rsidRPr="007C5D49" w:rsidR="00340F38">
        <w:rPr>
          <w:szCs w:val="18"/>
          <w:lang w:val="nl-NL"/>
        </w:rPr>
        <w:t xml:space="preserve">nternationaal </w:t>
      </w:r>
      <w:r w:rsidRPr="007C5D49">
        <w:rPr>
          <w:szCs w:val="18"/>
          <w:lang w:val="nl-NL"/>
        </w:rPr>
        <w:t>G</w:t>
      </w:r>
      <w:r w:rsidRPr="007C5D49" w:rsidR="00340F38">
        <w:rPr>
          <w:szCs w:val="18"/>
          <w:lang w:val="nl-NL"/>
        </w:rPr>
        <w:t>erechtshof</w:t>
      </w:r>
      <w:r w:rsidRPr="007C5D49" w:rsidR="00653BA5">
        <w:rPr>
          <w:szCs w:val="18"/>
          <w:lang w:val="nl-NL"/>
        </w:rPr>
        <w:t xml:space="preserve">. </w:t>
      </w:r>
      <w:r w:rsidRPr="007C5D49" w:rsidR="00734C6A">
        <w:rPr>
          <w:szCs w:val="18"/>
          <w:lang w:val="nl-NL"/>
        </w:rPr>
        <w:t>Meerdere lidstaten gaven aan eerst een gedegen juridische appreciatie te willen ontvangen.</w:t>
      </w:r>
    </w:p>
    <w:p w:rsidRPr="007C5D49" w:rsidR="00653BA5" w:rsidP="0011624F" w:rsidRDefault="000E0C91" w14:paraId="7BC95216" w14:textId="3C6F0EF3">
      <w:pPr>
        <w:spacing w:line="276" w:lineRule="auto"/>
        <w:rPr>
          <w:rFonts w:eastAsia="Malgun Gothic"/>
          <w:szCs w:val="18"/>
          <w:lang w:val="nl-NL" w:eastAsia="ko-KR"/>
        </w:rPr>
      </w:pPr>
      <w:r w:rsidRPr="007C5D49">
        <w:rPr>
          <w:rFonts w:eastAsia="Malgun Gothic"/>
          <w:bCs/>
          <w:szCs w:val="18"/>
          <w:lang w:val="nl-NL" w:eastAsia="ko-KR"/>
        </w:rPr>
        <w:t>E</w:t>
      </w:r>
      <w:r w:rsidRPr="007C5D49" w:rsidR="0035274E">
        <w:rPr>
          <w:rFonts w:eastAsia="Malgun Gothic"/>
          <w:bCs/>
          <w:szCs w:val="18"/>
          <w:lang w:val="nl-NL" w:eastAsia="ko-KR"/>
        </w:rPr>
        <w:t xml:space="preserve">en </w:t>
      </w:r>
      <w:r w:rsidRPr="007C5D49" w:rsidR="005B7779">
        <w:rPr>
          <w:rFonts w:eastAsia="Malgun Gothic"/>
          <w:bCs/>
          <w:szCs w:val="18"/>
          <w:lang w:val="nl-NL" w:eastAsia="ko-KR"/>
        </w:rPr>
        <w:t>grote</w:t>
      </w:r>
      <w:r w:rsidRPr="007C5D49" w:rsidR="0035274E">
        <w:rPr>
          <w:rFonts w:eastAsia="Malgun Gothic"/>
          <w:bCs/>
          <w:szCs w:val="18"/>
          <w:lang w:val="nl-NL" w:eastAsia="ko-KR"/>
        </w:rPr>
        <w:t xml:space="preserve"> groep lidstaten, waaronder Nederland, uitte </w:t>
      </w:r>
      <w:r w:rsidRPr="007C5D49" w:rsidR="00D80A9C">
        <w:rPr>
          <w:rFonts w:eastAsia="Malgun Gothic"/>
          <w:bCs/>
          <w:szCs w:val="18"/>
          <w:lang w:val="nl-NL" w:eastAsia="ko-KR"/>
        </w:rPr>
        <w:t>zijn</w:t>
      </w:r>
      <w:r w:rsidRPr="007C5D49" w:rsidR="0035274E">
        <w:rPr>
          <w:rFonts w:eastAsia="Malgun Gothic"/>
          <w:bCs/>
          <w:szCs w:val="18"/>
          <w:lang w:val="nl-NL" w:eastAsia="ko-KR"/>
        </w:rPr>
        <w:t xml:space="preserve"> zorgen over de </w:t>
      </w:r>
      <w:proofErr w:type="spellStart"/>
      <w:r w:rsidRPr="007C5D49" w:rsidR="0035274E">
        <w:rPr>
          <w:rFonts w:eastAsia="Malgun Gothic"/>
          <w:bCs/>
          <w:szCs w:val="18"/>
          <w:lang w:val="nl-NL" w:eastAsia="ko-KR"/>
        </w:rPr>
        <w:t>Knesset</w:t>
      </w:r>
      <w:proofErr w:type="spellEnd"/>
      <w:r w:rsidRPr="007C5D49" w:rsidR="0035274E">
        <w:rPr>
          <w:rFonts w:eastAsia="Malgun Gothic"/>
          <w:bCs/>
          <w:szCs w:val="18"/>
          <w:lang w:val="nl-NL" w:eastAsia="ko-KR"/>
        </w:rPr>
        <w:t>-wetgeving gericht tegen UNRWA</w:t>
      </w:r>
      <w:r w:rsidRPr="007C5D49" w:rsidR="006D706A">
        <w:rPr>
          <w:rFonts w:eastAsia="Malgun Gothic"/>
          <w:bCs/>
          <w:szCs w:val="18"/>
          <w:lang w:val="nl-NL" w:eastAsia="ko-KR"/>
        </w:rPr>
        <w:t>,</w:t>
      </w:r>
      <w:r w:rsidRPr="007C5D49" w:rsidR="0035274E">
        <w:rPr>
          <w:rFonts w:eastAsia="Malgun Gothic"/>
          <w:bCs/>
          <w:szCs w:val="18"/>
          <w:lang w:val="nl-NL" w:eastAsia="ko-KR"/>
        </w:rPr>
        <w:t xml:space="preserve"> en onderstreepte de </w:t>
      </w:r>
      <w:r w:rsidRPr="007C5D49" w:rsidR="00037A85">
        <w:rPr>
          <w:rFonts w:eastAsia="Malgun Gothic"/>
          <w:bCs/>
          <w:szCs w:val="18"/>
          <w:lang w:val="nl-NL" w:eastAsia="ko-KR"/>
        </w:rPr>
        <w:t xml:space="preserve">belangrijke </w:t>
      </w:r>
      <w:r w:rsidRPr="007C5D49" w:rsidR="0035274E">
        <w:rPr>
          <w:rFonts w:eastAsia="Malgun Gothic"/>
          <w:bCs/>
          <w:szCs w:val="18"/>
          <w:lang w:val="nl-NL" w:eastAsia="ko-KR"/>
        </w:rPr>
        <w:t>rol van UNRWA. Nederland benadrukte het belang van het implementeren van de aanbevelingen uit het Colonna-rapport</w:t>
      </w:r>
      <w:r w:rsidRPr="007C5D49" w:rsidR="004F1050">
        <w:rPr>
          <w:rFonts w:eastAsia="Malgun Gothic"/>
          <w:bCs/>
          <w:szCs w:val="18"/>
          <w:lang w:val="nl-NL" w:eastAsia="ko-KR"/>
        </w:rPr>
        <w:t xml:space="preserve"> rondom de neutraliteit van de organisatie</w:t>
      </w:r>
      <w:r w:rsidRPr="007C5D49" w:rsidR="0035274E">
        <w:rPr>
          <w:rFonts w:eastAsia="Malgun Gothic"/>
          <w:bCs/>
          <w:szCs w:val="18"/>
          <w:lang w:val="nl-NL" w:eastAsia="ko-KR"/>
        </w:rPr>
        <w:t>.</w:t>
      </w:r>
      <w:r w:rsidRPr="007C5D49" w:rsidR="00555D1B">
        <w:rPr>
          <w:rFonts w:eastAsia="Malgun Gothic"/>
          <w:bCs/>
          <w:szCs w:val="18"/>
          <w:lang w:val="nl-NL" w:eastAsia="ko-KR"/>
        </w:rPr>
        <w:t xml:space="preserve"> </w:t>
      </w:r>
    </w:p>
    <w:p w:rsidRPr="007C5D49" w:rsidR="00362C21" w:rsidP="0011624F" w:rsidRDefault="001E1112" w14:paraId="33C21798" w14:textId="098B0A03">
      <w:pPr>
        <w:spacing w:line="276" w:lineRule="auto"/>
        <w:rPr>
          <w:rFonts w:eastAsia="Times New Roman" w:cs="Times New Roman"/>
          <w:szCs w:val="18"/>
          <w:lang w:val="nl-NL" w:eastAsia="nl-NL"/>
        </w:rPr>
      </w:pPr>
      <w:r w:rsidRPr="007C5D49">
        <w:rPr>
          <w:rFonts w:eastAsia="Malgun Gothic"/>
          <w:bCs/>
          <w:szCs w:val="18"/>
          <w:lang w:val="nl-NL" w:eastAsia="ko-KR"/>
        </w:rPr>
        <w:t>De Raad blijft zoeken naar mogelijkheden voor het uitbreiden van de sancties tegen gewelddadige kolonisten. In lijn met de motie</w:t>
      </w:r>
      <w:r w:rsidRPr="007C5D49" w:rsidR="00E439C0">
        <w:rPr>
          <w:rFonts w:eastAsia="Malgun Gothic"/>
          <w:bCs/>
          <w:szCs w:val="18"/>
          <w:lang w:val="nl-NL" w:eastAsia="ko-KR"/>
        </w:rPr>
        <w:t>s</w:t>
      </w:r>
      <w:r w:rsidRPr="007C5D49">
        <w:rPr>
          <w:rFonts w:eastAsia="Malgun Gothic"/>
          <w:bCs/>
          <w:szCs w:val="18"/>
          <w:lang w:val="nl-NL" w:eastAsia="ko-KR"/>
        </w:rPr>
        <w:t xml:space="preserve"> </w:t>
      </w:r>
      <w:proofErr w:type="spellStart"/>
      <w:r w:rsidRPr="007C5D49">
        <w:rPr>
          <w:rFonts w:eastAsia="Malgun Gothic"/>
          <w:bCs/>
          <w:szCs w:val="18"/>
          <w:lang w:val="nl-NL" w:eastAsia="ko-KR"/>
        </w:rPr>
        <w:t>Piri</w:t>
      </w:r>
      <w:proofErr w:type="spellEnd"/>
      <w:r w:rsidRPr="007C5D49">
        <w:rPr>
          <w:rFonts w:eastAsia="Malgun Gothic"/>
          <w:bCs/>
          <w:szCs w:val="18"/>
          <w:lang w:val="nl-NL" w:eastAsia="ko-KR"/>
        </w:rPr>
        <w:t xml:space="preserve"> c.s.</w:t>
      </w:r>
      <w:r w:rsidRPr="007C5D49" w:rsidR="000E2ED7">
        <w:rPr>
          <w:rStyle w:val="FootnoteReference"/>
          <w:rFonts w:eastAsia="Malgun Gothic"/>
          <w:bCs/>
          <w:szCs w:val="18"/>
          <w:lang w:val="nl-NL" w:eastAsia="ko-KR"/>
        </w:rPr>
        <w:footnoteReference w:id="5"/>
      </w:r>
      <w:r w:rsidRPr="007C5D49" w:rsidR="00132E11">
        <w:rPr>
          <w:rFonts w:eastAsia="Malgun Gothic"/>
          <w:bCs/>
          <w:szCs w:val="18"/>
          <w:lang w:val="nl-NL" w:eastAsia="ko-KR"/>
        </w:rPr>
        <w:t xml:space="preserve"> en Van Baarle</w:t>
      </w:r>
      <w:r w:rsidRPr="007C5D49" w:rsidR="00225019">
        <w:rPr>
          <w:rFonts w:eastAsia="Malgun Gothic"/>
          <w:bCs/>
          <w:szCs w:val="18"/>
          <w:lang w:val="nl-NL" w:eastAsia="ko-KR"/>
        </w:rPr>
        <w:t xml:space="preserve"> c.s.</w:t>
      </w:r>
      <w:r w:rsidRPr="007C5D49" w:rsidR="002A4A73">
        <w:rPr>
          <w:rStyle w:val="FootnoteReference"/>
          <w:rFonts w:eastAsia="Malgun Gothic"/>
          <w:bCs/>
          <w:szCs w:val="18"/>
          <w:lang w:val="nl-NL" w:eastAsia="ko-KR"/>
        </w:rPr>
        <w:footnoteReference w:id="6"/>
      </w:r>
      <w:r w:rsidRPr="007C5D49" w:rsidR="00132E11">
        <w:rPr>
          <w:rFonts w:eastAsia="Malgun Gothic"/>
          <w:bCs/>
          <w:szCs w:val="18"/>
          <w:lang w:val="nl-NL" w:eastAsia="ko-KR"/>
        </w:rPr>
        <w:t xml:space="preserve"> </w:t>
      </w:r>
      <w:r w:rsidRPr="007C5D49">
        <w:rPr>
          <w:rFonts w:eastAsia="Malgun Gothic"/>
          <w:bCs/>
          <w:szCs w:val="18"/>
          <w:lang w:val="nl-NL" w:eastAsia="ko-KR"/>
        </w:rPr>
        <w:t xml:space="preserve">pleitte Nederland voor het gelijktrekken van de sanctielijsten met die van de VS en het Verenigd Koninkrijk. </w:t>
      </w:r>
      <w:r w:rsidRPr="007C5D49" w:rsidR="00A6176C">
        <w:rPr>
          <w:rFonts w:eastAsia="Malgun Gothic"/>
          <w:bCs/>
          <w:szCs w:val="18"/>
          <w:lang w:val="nl-NL" w:eastAsia="ko-KR"/>
        </w:rPr>
        <w:t>Hierbij</w:t>
      </w:r>
      <w:r w:rsidRPr="007C5D49" w:rsidR="00F4581F">
        <w:rPr>
          <w:rFonts w:eastAsia="Malgun Gothic"/>
          <w:bCs/>
          <w:szCs w:val="18"/>
          <w:lang w:val="nl-NL" w:eastAsia="ko-KR"/>
        </w:rPr>
        <w:t xml:space="preserve"> word</w:t>
      </w:r>
      <w:r w:rsidRPr="007C5D49" w:rsidR="005C3822">
        <w:rPr>
          <w:rFonts w:eastAsia="Malgun Gothic"/>
          <w:bCs/>
          <w:szCs w:val="18"/>
          <w:lang w:val="nl-NL" w:eastAsia="ko-KR"/>
        </w:rPr>
        <w:t>en</w:t>
      </w:r>
      <w:r w:rsidRPr="007C5D49" w:rsidR="00F4581F">
        <w:rPr>
          <w:rFonts w:eastAsia="Malgun Gothic"/>
          <w:bCs/>
          <w:szCs w:val="18"/>
          <w:lang w:val="nl-NL" w:eastAsia="ko-KR"/>
        </w:rPr>
        <w:t xml:space="preserve">, in lijn met motie </w:t>
      </w:r>
      <w:proofErr w:type="spellStart"/>
      <w:r w:rsidRPr="007C5D49" w:rsidR="00F4581F">
        <w:rPr>
          <w:rFonts w:eastAsia="Malgun Gothic"/>
          <w:bCs/>
          <w:szCs w:val="18"/>
          <w:lang w:val="nl-NL" w:eastAsia="ko-KR"/>
        </w:rPr>
        <w:t>Piri</w:t>
      </w:r>
      <w:proofErr w:type="spellEnd"/>
      <w:r w:rsidRPr="007C5D49" w:rsidR="00F4581F">
        <w:rPr>
          <w:rFonts w:eastAsia="Malgun Gothic"/>
          <w:bCs/>
          <w:szCs w:val="18"/>
          <w:lang w:val="nl-NL" w:eastAsia="ko-KR"/>
        </w:rPr>
        <w:t>/</w:t>
      </w:r>
      <w:proofErr w:type="spellStart"/>
      <w:r w:rsidRPr="007C5D49" w:rsidR="00F4581F">
        <w:rPr>
          <w:rFonts w:eastAsia="Malgun Gothic"/>
          <w:bCs/>
          <w:szCs w:val="18"/>
          <w:lang w:val="nl-NL" w:eastAsia="ko-KR"/>
        </w:rPr>
        <w:t>Paternotte</w:t>
      </w:r>
      <w:proofErr w:type="spellEnd"/>
      <w:r w:rsidRPr="007C5D49" w:rsidR="00225019">
        <w:rPr>
          <w:rStyle w:val="FootnoteReference"/>
          <w:rFonts w:eastAsia="Malgun Gothic"/>
          <w:bCs/>
          <w:szCs w:val="18"/>
          <w:lang w:val="nl-NL" w:eastAsia="ko-KR"/>
        </w:rPr>
        <w:footnoteReference w:id="7"/>
      </w:r>
      <w:r w:rsidRPr="007C5D49" w:rsidR="005C3822">
        <w:rPr>
          <w:rFonts w:eastAsia="Malgun Gothic"/>
          <w:bCs/>
          <w:szCs w:val="18"/>
          <w:lang w:val="nl-NL" w:eastAsia="ko-KR"/>
        </w:rPr>
        <w:t>,</w:t>
      </w:r>
      <w:r w:rsidRPr="007C5D49" w:rsidR="00F4581F">
        <w:rPr>
          <w:rFonts w:eastAsia="Malgun Gothic"/>
          <w:bCs/>
          <w:szCs w:val="18"/>
          <w:lang w:val="nl-NL" w:eastAsia="ko-KR"/>
        </w:rPr>
        <w:t xml:space="preserve"> EU-sancties tegen Israëlische kabinetsleden niet uitgesloten. </w:t>
      </w:r>
      <w:r w:rsidRPr="007C5D49">
        <w:rPr>
          <w:rFonts w:eastAsia="Malgun Gothic"/>
          <w:bCs/>
          <w:szCs w:val="18"/>
          <w:lang w:val="nl-NL" w:eastAsia="ko-KR"/>
        </w:rPr>
        <w:t>Nederland riep daarnaast op tot aanvullende sancties tegen Hamas/</w:t>
      </w:r>
      <w:proofErr w:type="spellStart"/>
      <w:r w:rsidRPr="007C5D49">
        <w:rPr>
          <w:rFonts w:eastAsia="Malgun Gothic"/>
          <w:bCs/>
          <w:i/>
          <w:iCs/>
          <w:szCs w:val="18"/>
          <w:lang w:val="nl-NL" w:eastAsia="ko-KR"/>
        </w:rPr>
        <w:t>P</w:t>
      </w:r>
      <w:r w:rsidRPr="007C5D49" w:rsidR="00653BA5">
        <w:rPr>
          <w:rFonts w:eastAsia="Malgun Gothic"/>
          <w:bCs/>
          <w:i/>
          <w:iCs/>
          <w:szCs w:val="18"/>
          <w:lang w:val="nl-NL" w:eastAsia="ko-KR"/>
        </w:rPr>
        <w:t>alestinian</w:t>
      </w:r>
      <w:proofErr w:type="spellEnd"/>
      <w:r w:rsidRPr="007C5D49" w:rsidR="00653BA5">
        <w:rPr>
          <w:rFonts w:eastAsia="Malgun Gothic"/>
          <w:bCs/>
          <w:i/>
          <w:iCs/>
          <w:szCs w:val="18"/>
          <w:lang w:val="nl-NL" w:eastAsia="ko-KR"/>
        </w:rPr>
        <w:t xml:space="preserve"> </w:t>
      </w:r>
      <w:proofErr w:type="spellStart"/>
      <w:r w:rsidRPr="007C5D49" w:rsidR="00653BA5">
        <w:rPr>
          <w:rFonts w:eastAsia="Malgun Gothic"/>
          <w:bCs/>
          <w:i/>
          <w:iCs/>
          <w:szCs w:val="18"/>
          <w:lang w:val="nl-NL" w:eastAsia="ko-KR"/>
        </w:rPr>
        <w:t>Islamic</w:t>
      </w:r>
      <w:proofErr w:type="spellEnd"/>
      <w:r w:rsidRPr="007C5D49" w:rsidR="00653BA5">
        <w:rPr>
          <w:rFonts w:eastAsia="Malgun Gothic"/>
          <w:bCs/>
          <w:i/>
          <w:iCs/>
          <w:szCs w:val="18"/>
          <w:lang w:val="nl-NL" w:eastAsia="ko-KR"/>
        </w:rPr>
        <w:t xml:space="preserve"> Jihad</w:t>
      </w:r>
      <w:r w:rsidRPr="007C5D49">
        <w:rPr>
          <w:rFonts w:eastAsia="Malgun Gothic"/>
          <w:bCs/>
          <w:szCs w:val="18"/>
          <w:lang w:val="nl-NL" w:eastAsia="ko-KR"/>
        </w:rPr>
        <w:t>.</w:t>
      </w:r>
    </w:p>
    <w:p w:rsidRPr="007C5D49" w:rsidR="00555D1B" w:rsidP="0011624F" w:rsidRDefault="00CD71E8" w14:paraId="0E93BCFF" w14:textId="4A185344">
      <w:pPr>
        <w:spacing w:line="276" w:lineRule="auto"/>
        <w:rPr>
          <w:b/>
          <w:szCs w:val="18"/>
          <w:lang w:val="nl-NL" w:eastAsia="ja-JP"/>
        </w:rPr>
      </w:pPr>
      <w:r w:rsidRPr="007C5D49">
        <w:rPr>
          <w:rFonts w:eastAsia="Malgun Gothic"/>
          <w:bCs/>
          <w:szCs w:val="18"/>
          <w:lang w:val="nl-NL" w:eastAsia="ko-KR"/>
        </w:rPr>
        <w:t xml:space="preserve">Nederland benadrukte </w:t>
      </w:r>
      <w:r w:rsidRPr="007C5D49">
        <w:rPr>
          <w:szCs w:val="18"/>
          <w:lang w:val="nl-NL"/>
        </w:rPr>
        <w:t xml:space="preserve">de noodzaak </w:t>
      </w:r>
      <w:r w:rsidRPr="007C5D49" w:rsidR="00C91E5B">
        <w:rPr>
          <w:szCs w:val="18"/>
          <w:lang w:val="nl-NL"/>
        </w:rPr>
        <w:t xml:space="preserve">van het voorkomen van </w:t>
      </w:r>
      <w:r w:rsidRPr="007C5D49">
        <w:rPr>
          <w:szCs w:val="18"/>
          <w:lang w:val="nl-NL"/>
        </w:rPr>
        <w:t xml:space="preserve">escalatie tussen Israël en Iran, </w:t>
      </w:r>
      <w:r w:rsidRPr="007C5D49" w:rsidR="00C91E5B">
        <w:rPr>
          <w:szCs w:val="18"/>
          <w:lang w:val="nl-NL"/>
        </w:rPr>
        <w:t xml:space="preserve">van </w:t>
      </w:r>
      <w:r w:rsidRPr="007C5D49">
        <w:rPr>
          <w:szCs w:val="18"/>
          <w:lang w:val="nl-NL"/>
        </w:rPr>
        <w:t xml:space="preserve">het inzetten op een diplomatieke oplossing in Libanon </w:t>
      </w:r>
      <w:r w:rsidRPr="007C5D49" w:rsidR="00B45C6C">
        <w:rPr>
          <w:szCs w:val="18"/>
          <w:lang w:val="nl-NL"/>
        </w:rPr>
        <w:t>volgens VNVR</w:t>
      </w:r>
      <w:r w:rsidRPr="007C5D49" w:rsidR="005A0242">
        <w:rPr>
          <w:szCs w:val="18"/>
          <w:lang w:val="nl-NL"/>
        </w:rPr>
        <w:t>-</w:t>
      </w:r>
      <w:r w:rsidRPr="007C5D49" w:rsidR="00B45C6C">
        <w:rPr>
          <w:szCs w:val="18"/>
          <w:lang w:val="nl-NL"/>
        </w:rPr>
        <w:t xml:space="preserve">resolutie 1701, </w:t>
      </w:r>
      <w:r w:rsidRPr="007C5D49" w:rsidR="001D667D">
        <w:rPr>
          <w:szCs w:val="18"/>
          <w:lang w:val="nl-NL"/>
        </w:rPr>
        <w:t>in lijn met motie</w:t>
      </w:r>
      <w:r w:rsidRPr="007C5D49" w:rsidR="00B352C3">
        <w:rPr>
          <w:szCs w:val="18"/>
          <w:lang w:val="nl-NL"/>
        </w:rPr>
        <w:t>s</w:t>
      </w:r>
      <w:r w:rsidRPr="007C5D49" w:rsidR="001D667D">
        <w:rPr>
          <w:szCs w:val="18"/>
          <w:lang w:val="nl-NL"/>
        </w:rPr>
        <w:t xml:space="preserve"> </w:t>
      </w:r>
      <w:proofErr w:type="spellStart"/>
      <w:r w:rsidRPr="007C5D49" w:rsidR="001D667D">
        <w:rPr>
          <w:szCs w:val="18"/>
          <w:lang w:val="nl-NL"/>
        </w:rPr>
        <w:t>Piri</w:t>
      </w:r>
      <w:proofErr w:type="spellEnd"/>
      <w:r w:rsidRPr="007C5D49" w:rsidR="004808F8">
        <w:rPr>
          <w:szCs w:val="18"/>
          <w:lang w:val="nl-NL"/>
        </w:rPr>
        <w:t>/</w:t>
      </w:r>
      <w:proofErr w:type="spellStart"/>
      <w:r w:rsidRPr="007C5D49" w:rsidR="001D667D">
        <w:rPr>
          <w:szCs w:val="18"/>
          <w:lang w:val="nl-NL"/>
        </w:rPr>
        <w:t>Paternotte</w:t>
      </w:r>
      <w:proofErr w:type="spellEnd"/>
      <w:r w:rsidRPr="007C5D49" w:rsidR="008B41AD">
        <w:rPr>
          <w:rStyle w:val="FootnoteReference"/>
          <w:szCs w:val="18"/>
          <w:lang w:val="nl-NL"/>
        </w:rPr>
        <w:footnoteReference w:id="8"/>
      </w:r>
      <w:r w:rsidRPr="007C5D49" w:rsidR="004808F8">
        <w:rPr>
          <w:szCs w:val="18"/>
          <w:lang w:val="nl-NL"/>
        </w:rPr>
        <w:t xml:space="preserve"> </w:t>
      </w:r>
      <w:r w:rsidRPr="007C5D49" w:rsidR="007D46C2">
        <w:rPr>
          <w:szCs w:val="18"/>
          <w:lang w:val="nl-NL"/>
        </w:rPr>
        <w:t>en Ceder</w:t>
      </w:r>
      <w:r w:rsidRPr="007C5D49" w:rsidR="004808F8">
        <w:rPr>
          <w:szCs w:val="18"/>
          <w:lang w:val="nl-NL"/>
        </w:rPr>
        <w:t xml:space="preserve"> c.s.</w:t>
      </w:r>
      <w:r w:rsidRPr="007C5D49" w:rsidR="00B352C3">
        <w:rPr>
          <w:rStyle w:val="FootnoteReference"/>
          <w:szCs w:val="18"/>
          <w:lang w:val="nl-NL"/>
        </w:rPr>
        <w:footnoteReference w:id="9"/>
      </w:r>
      <w:r w:rsidRPr="007C5D49" w:rsidR="00B1435A">
        <w:rPr>
          <w:szCs w:val="18"/>
          <w:lang w:val="nl-NL"/>
        </w:rPr>
        <w:t>,</w:t>
      </w:r>
      <w:r w:rsidRPr="007C5D49" w:rsidR="001D667D">
        <w:rPr>
          <w:szCs w:val="18"/>
          <w:lang w:val="nl-NL"/>
        </w:rPr>
        <w:t xml:space="preserve"> </w:t>
      </w:r>
      <w:r w:rsidRPr="007C5D49">
        <w:rPr>
          <w:szCs w:val="18"/>
          <w:lang w:val="nl-NL"/>
        </w:rPr>
        <w:t xml:space="preserve">en </w:t>
      </w:r>
      <w:r w:rsidRPr="007C5D49" w:rsidR="00C91E5B">
        <w:rPr>
          <w:szCs w:val="18"/>
          <w:lang w:val="nl-NL"/>
        </w:rPr>
        <w:t xml:space="preserve">van </w:t>
      </w:r>
      <w:r w:rsidRPr="007C5D49">
        <w:rPr>
          <w:szCs w:val="18"/>
          <w:lang w:val="nl-NL"/>
        </w:rPr>
        <w:t>de inzet van de volledige EU-</w:t>
      </w:r>
      <w:proofErr w:type="spellStart"/>
      <w:r w:rsidRPr="007C5D49">
        <w:rPr>
          <w:szCs w:val="18"/>
          <w:lang w:val="nl-NL"/>
        </w:rPr>
        <w:t>toolbox</w:t>
      </w:r>
      <w:proofErr w:type="spellEnd"/>
      <w:r w:rsidRPr="007C5D49">
        <w:rPr>
          <w:szCs w:val="18"/>
          <w:lang w:val="nl-NL"/>
        </w:rPr>
        <w:t xml:space="preserve"> om daaraan bij te dragen. </w:t>
      </w:r>
      <w:r w:rsidRPr="007C5D49" w:rsidR="007C6EA1">
        <w:rPr>
          <w:szCs w:val="18"/>
          <w:lang w:val="nl-NL"/>
        </w:rPr>
        <w:t>In lijn met</w:t>
      </w:r>
      <w:r w:rsidRPr="007C5D49" w:rsidR="007C142D">
        <w:rPr>
          <w:szCs w:val="18"/>
          <w:lang w:val="nl-NL"/>
        </w:rPr>
        <w:t xml:space="preserve"> de</w:t>
      </w:r>
      <w:r w:rsidRPr="007C5D49" w:rsidR="007C6EA1">
        <w:rPr>
          <w:szCs w:val="18"/>
          <w:lang w:val="nl-NL"/>
        </w:rPr>
        <w:t xml:space="preserve"> motie Brekelmans en Veldkamp</w:t>
      </w:r>
      <w:r w:rsidRPr="007C5D49" w:rsidR="00E87CD1">
        <w:rPr>
          <w:rStyle w:val="FootnoteReference"/>
          <w:szCs w:val="18"/>
          <w:lang w:val="nl-NL"/>
        </w:rPr>
        <w:footnoteReference w:id="10"/>
      </w:r>
      <w:r w:rsidRPr="007C5D49">
        <w:rPr>
          <w:szCs w:val="18"/>
          <w:lang w:val="nl-NL"/>
        </w:rPr>
        <w:t xml:space="preserve"> benadrukte </w:t>
      </w:r>
      <w:r w:rsidRPr="007C5D49" w:rsidR="001D667D">
        <w:rPr>
          <w:szCs w:val="18"/>
          <w:lang w:val="nl-NL"/>
        </w:rPr>
        <w:t>Nederland</w:t>
      </w:r>
      <w:r w:rsidRPr="007C5D49">
        <w:rPr>
          <w:szCs w:val="18"/>
          <w:lang w:val="nl-NL"/>
        </w:rPr>
        <w:t xml:space="preserve"> dat een staakt-het-vuren in </w:t>
      </w:r>
      <w:r w:rsidRPr="007C5D49" w:rsidR="00F245BF">
        <w:rPr>
          <w:szCs w:val="18"/>
          <w:lang w:val="nl-NL"/>
        </w:rPr>
        <w:t xml:space="preserve">de </w:t>
      </w:r>
      <w:r w:rsidRPr="007C5D49">
        <w:rPr>
          <w:szCs w:val="18"/>
          <w:lang w:val="nl-NL"/>
        </w:rPr>
        <w:t>Gaza</w:t>
      </w:r>
      <w:r w:rsidRPr="007C5D49" w:rsidR="00F245BF">
        <w:rPr>
          <w:szCs w:val="18"/>
          <w:lang w:val="nl-NL"/>
        </w:rPr>
        <w:t>strook</w:t>
      </w:r>
      <w:r w:rsidRPr="007C5D49">
        <w:rPr>
          <w:szCs w:val="18"/>
          <w:lang w:val="nl-NL"/>
        </w:rPr>
        <w:t xml:space="preserve"> </w:t>
      </w:r>
      <w:r w:rsidRPr="007C5D49" w:rsidR="00DB3633">
        <w:rPr>
          <w:szCs w:val="18"/>
          <w:lang w:val="nl-NL"/>
        </w:rPr>
        <w:t>van groot belang</w:t>
      </w:r>
      <w:r w:rsidRPr="007C5D49">
        <w:rPr>
          <w:szCs w:val="18"/>
          <w:lang w:val="nl-NL"/>
        </w:rPr>
        <w:t xml:space="preserve"> is om de gijzelaars vrij te krijgen en m</w:t>
      </w:r>
      <w:r w:rsidRPr="007C5D49" w:rsidR="00DB3633">
        <w:rPr>
          <w:szCs w:val="18"/>
          <w:lang w:val="nl-NL"/>
        </w:rPr>
        <w:t>assaal</w:t>
      </w:r>
      <w:r w:rsidRPr="007C5D49">
        <w:rPr>
          <w:szCs w:val="18"/>
          <w:lang w:val="nl-NL"/>
        </w:rPr>
        <w:t xml:space="preserve"> humanitaire hulp te kunnen bieden. Nederland veroordeelde uitbreiding van nederzettingen op de Westelijke Jordaanoever en oproepen tot annexatie</w:t>
      </w:r>
      <w:r w:rsidRPr="007C5D49" w:rsidR="00132E11">
        <w:rPr>
          <w:szCs w:val="18"/>
          <w:lang w:val="nl-NL"/>
        </w:rPr>
        <w:t>,</w:t>
      </w:r>
      <w:r w:rsidRPr="007C5D49">
        <w:rPr>
          <w:szCs w:val="18"/>
          <w:lang w:val="nl-NL"/>
        </w:rPr>
        <w:t xml:space="preserve"> en verwelkomde de </w:t>
      </w:r>
      <w:r w:rsidRPr="007C5D49" w:rsidR="00132E11">
        <w:rPr>
          <w:szCs w:val="18"/>
          <w:lang w:val="nl-NL"/>
        </w:rPr>
        <w:t xml:space="preserve">bijeenkomsten van de </w:t>
      </w:r>
      <w:r w:rsidRPr="007C5D49">
        <w:rPr>
          <w:rStyle w:val="Emphasis"/>
          <w:szCs w:val="18"/>
          <w:lang w:val="nl-NL"/>
        </w:rPr>
        <w:t xml:space="preserve">Global Alliance </w:t>
      </w:r>
      <w:proofErr w:type="spellStart"/>
      <w:r w:rsidRPr="007C5D49">
        <w:rPr>
          <w:rStyle w:val="Emphasis"/>
          <w:szCs w:val="18"/>
          <w:lang w:val="nl-NL"/>
        </w:rPr>
        <w:t>for</w:t>
      </w:r>
      <w:proofErr w:type="spellEnd"/>
      <w:r w:rsidRPr="007C5D49">
        <w:rPr>
          <w:rStyle w:val="Emphasis"/>
          <w:szCs w:val="18"/>
          <w:lang w:val="nl-NL"/>
        </w:rPr>
        <w:t xml:space="preserve"> </w:t>
      </w:r>
      <w:proofErr w:type="spellStart"/>
      <w:r w:rsidRPr="007C5D49">
        <w:rPr>
          <w:rStyle w:val="Emphasis"/>
          <w:szCs w:val="18"/>
          <w:lang w:val="nl-NL"/>
        </w:rPr>
        <w:t>the</w:t>
      </w:r>
      <w:proofErr w:type="spellEnd"/>
      <w:r w:rsidRPr="007C5D49">
        <w:rPr>
          <w:rStyle w:val="Emphasis"/>
          <w:szCs w:val="18"/>
          <w:lang w:val="nl-NL"/>
        </w:rPr>
        <w:t xml:space="preserve"> </w:t>
      </w:r>
      <w:proofErr w:type="spellStart"/>
      <w:r w:rsidRPr="007C5D49">
        <w:rPr>
          <w:rStyle w:val="Emphasis"/>
          <w:szCs w:val="18"/>
          <w:lang w:val="nl-NL"/>
        </w:rPr>
        <w:t>implementation</w:t>
      </w:r>
      <w:proofErr w:type="spellEnd"/>
      <w:r w:rsidRPr="007C5D49">
        <w:rPr>
          <w:rStyle w:val="Emphasis"/>
          <w:szCs w:val="18"/>
          <w:lang w:val="nl-NL"/>
        </w:rPr>
        <w:t xml:space="preserve"> of </w:t>
      </w:r>
      <w:proofErr w:type="spellStart"/>
      <w:r w:rsidRPr="007C5D49">
        <w:rPr>
          <w:rStyle w:val="Emphasis"/>
          <w:szCs w:val="18"/>
          <w:lang w:val="nl-NL"/>
        </w:rPr>
        <w:t>the</w:t>
      </w:r>
      <w:proofErr w:type="spellEnd"/>
      <w:r w:rsidRPr="007C5D49">
        <w:rPr>
          <w:rStyle w:val="Emphasis"/>
          <w:szCs w:val="18"/>
          <w:lang w:val="nl-NL"/>
        </w:rPr>
        <w:t xml:space="preserve"> </w:t>
      </w:r>
      <w:proofErr w:type="spellStart"/>
      <w:r w:rsidRPr="007C5D49">
        <w:rPr>
          <w:rStyle w:val="Emphasis"/>
          <w:szCs w:val="18"/>
          <w:lang w:val="nl-NL"/>
        </w:rPr>
        <w:t>Two</w:t>
      </w:r>
      <w:proofErr w:type="spellEnd"/>
      <w:r w:rsidRPr="007C5D49">
        <w:rPr>
          <w:rStyle w:val="Emphasis"/>
          <w:szCs w:val="18"/>
          <w:lang w:val="nl-NL"/>
        </w:rPr>
        <w:t xml:space="preserve"> State Solution</w:t>
      </w:r>
      <w:r w:rsidRPr="007C5D49" w:rsidR="00132E11">
        <w:rPr>
          <w:rStyle w:val="Emphasis"/>
          <w:szCs w:val="18"/>
          <w:lang w:val="nl-NL"/>
        </w:rPr>
        <w:t xml:space="preserve"> </w:t>
      </w:r>
      <w:r w:rsidRPr="007C5D49" w:rsidR="00132E11">
        <w:rPr>
          <w:rStyle w:val="Emphasis"/>
          <w:i w:val="0"/>
          <w:iCs w:val="0"/>
          <w:szCs w:val="18"/>
          <w:lang w:val="nl-NL"/>
        </w:rPr>
        <w:t>waar</w:t>
      </w:r>
      <w:r w:rsidRPr="007C5D49" w:rsidR="00D80A9C">
        <w:rPr>
          <w:rStyle w:val="Emphasis"/>
          <w:i w:val="0"/>
          <w:iCs w:val="0"/>
          <w:szCs w:val="18"/>
          <w:lang w:val="nl-NL"/>
        </w:rPr>
        <w:t>aan</w:t>
      </w:r>
      <w:r w:rsidRPr="007C5D49" w:rsidR="00E439C0">
        <w:rPr>
          <w:rStyle w:val="Emphasis"/>
          <w:i w:val="0"/>
          <w:iCs w:val="0"/>
          <w:szCs w:val="18"/>
          <w:lang w:val="nl-NL"/>
        </w:rPr>
        <w:t xml:space="preserve"> Nederland,</w:t>
      </w:r>
      <w:r w:rsidRPr="007C5D49" w:rsidR="00132E11">
        <w:rPr>
          <w:rStyle w:val="Emphasis"/>
          <w:i w:val="0"/>
          <w:iCs w:val="0"/>
          <w:szCs w:val="18"/>
          <w:lang w:val="nl-NL"/>
        </w:rPr>
        <w:t xml:space="preserve"> </w:t>
      </w:r>
      <w:r w:rsidRPr="007C5D49" w:rsidR="00132E11">
        <w:rPr>
          <w:rStyle w:val="Emphasis"/>
          <w:i w:val="0"/>
          <w:szCs w:val="18"/>
          <w:lang w:val="nl-NL"/>
        </w:rPr>
        <w:t xml:space="preserve">in lijn met motie </w:t>
      </w:r>
      <w:proofErr w:type="spellStart"/>
      <w:r w:rsidRPr="007C5D49" w:rsidR="00132E11">
        <w:rPr>
          <w:rStyle w:val="Emphasis"/>
          <w:i w:val="0"/>
          <w:szCs w:val="18"/>
          <w:lang w:val="nl-NL"/>
        </w:rPr>
        <w:t>Paternotte</w:t>
      </w:r>
      <w:proofErr w:type="spellEnd"/>
      <w:r w:rsidRPr="007C5D49" w:rsidR="0019217A">
        <w:rPr>
          <w:rStyle w:val="Emphasis"/>
          <w:i w:val="0"/>
          <w:szCs w:val="18"/>
          <w:lang w:val="nl-NL"/>
        </w:rPr>
        <w:t xml:space="preserve"> c.s.</w:t>
      </w:r>
      <w:r w:rsidRPr="007C5D49" w:rsidR="0019217A">
        <w:rPr>
          <w:rStyle w:val="FootnoteReference"/>
          <w:szCs w:val="18"/>
          <w:lang w:val="nl-NL"/>
        </w:rPr>
        <w:footnoteReference w:id="11"/>
      </w:r>
      <w:r w:rsidRPr="007C5D49" w:rsidR="00132E11">
        <w:rPr>
          <w:rStyle w:val="Emphasis"/>
          <w:i w:val="0"/>
          <w:szCs w:val="18"/>
          <w:lang w:val="nl-NL"/>
        </w:rPr>
        <w:t xml:space="preserve"> </w:t>
      </w:r>
      <w:r w:rsidRPr="007C5D49" w:rsidR="00FE2C67">
        <w:rPr>
          <w:rStyle w:val="Emphasis"/>
          <w:i w:val="0"/>
          <w:iCs w:val="0"/>
          <w:szCs w:val="18"/>
          <w:lang w:val="nl-NL"/>
        </w:rPr>
        <w:t xml:space="preserve">en </w:t>
      </w:r>
      <w:r w:rsidRPr="007C5D49" w:rsidR="00FE2C67">
        <w:rPr>
          <w:rStyle w:val="Emphasis"/>
          <w:i w:val="0"/>
          <w:iCs w:val="0"/>
          <w:szCs w:val="18"/>
          <w:lang w:val="nl-NL"/>
        </w:rPr>
        <w:lastRenderedPageBreak/>
        <w:t>Ceder</w:t>
      </w:r>
      <w:r w:rsidRPr="007C5D49" w:rsidR="004835FD">
        <w:rPr>
          <w:rStyle w:val="FootnoteReference"/>
          <w:szCs w:val="18"/>
          <w:lang w:val="nl-NL"/>
        </w:rPr>
        <w:footnoteReference w:id="12"/>
      </w:r>
      <w:r w:rsidRPr="007C5D49" w:rsidR="00E439C0">
        <w:rPr>
          <w:rStyle w:val="Emphasis"/>
          <w:i w:val="0"/>
          <w:iCs w:val="0"/>
          <w:szCs w:val="18"/>
          <w:lang w:val="nl-NL"/>
        </w:rPr>
        <w:t xml:space="preserve">, </w:t>
      </w:r>
      <w:r w:rsidRPr="007C5D49" w:rsidR="00132E11">
        <w:rPr>
          <w:rStyle w:val="Emphasis"/>
          <w:i w:val="0"/>
          <w:iCs w:val="0"/>
          <w:szCs w:val="18"/>
          <w:lang w:val="nl-NL"/>
        </w:rPr>
        <w:t>ook deelnam</w:t>
      </w:r>
      <w:r w:rsidRPr="007C5D49">
        <w:rPr>
          <w:i/>
          <w:szCs w:val="18"/>
          <w:lang w:val="nl-NL"/>
        </w:rPr>
        <w:t>.</w:t>
      </w:r>
      <w:r w:rsidRPr="007C5D49">
        <w:rPr>
          <w:szCs w:val="18"/>
          <w:lang w:val="nl-NL"/>
        </w:rPr>
        <w:t xml:space="preserve"> N</w:t>
      </w:r>
      <w:r w:rsidRPr="007C5D49" w:rsidR="00FC6930">
        <w:rPr>
          <w:szCs w:val="18"/>
          <w:lang w:val="nl-NL"/>
        </w:rPr>
        <w:t xml:space="preserve">ederland </w:t>
      </w:r>
      <w:r w:rsidRPr="007C5D49">
        <w:rPr>
          <w:szCs w:val="18"/>
          <w:lang w:val="nl-NL"/>
        </w:rPr>
        <w:t xml:space="preserve">benadrukte </w:t>
      </w:r>
      <w:r w:rsidRPr="007C5D49" w:rsidR="00D33362">
        <w:rPr>
          <w:szCs w:val="18"/>
          <w:lang w:val="nl-NL"/>
        </w:rPr>
        <w:t xml:space="preserve">in deze context </w:t>
      </w:r>
      <w:r w:rsidRPr="007C5D49">
        <w:rPr>
          <w:szCs w:val="18"/>
          <w:lang w:val="nl-NL"/>
        </w:rPr>
        <w:t>het belang van de P</w:t>
      </w:r>
      <w:r w:rsidRPr="007C5D49" w:rsidR="00D80A9C">
        <w:rPr>
          <w:szCs w:val="18"/>
          <w:lang w:val="nl-NL"/>
        </w:rPr>
        <w:t>A</w:t>
      </w:r>
      <w:r w:rsidRPr="007C5D49">
        <w:rPr>
          <w:szCs w:val="18"/>
          <w:lang w:val="nl-NL"/>
        </w:rPr>
        <w:t xml:space="preserve"> en riep op om collectief bij I</w:t>
      </w:r>
      <w:r w:rsidRPr="007C5D49" w:rsidR="00670006">
        <w:rPr>
          <w:szCs w:val="18"/>
          <w:lang w:val="nl-NL"/>
        </w:rPr>
        <w:t>sraël</w:t>
      </w:r>
      <w:r w:rsidRPr="007C5D49">
        <w:rPr>
          <w:szCs w:val="18"/>
          <w:lang w:val="nl-NL"/>
        </w:rPr>
        <w:t xml:space="preserve"> aan te dringen op het vrijgeven van </w:t>
      </w:r>
      <w:r w:rsidRPr="007C5D49" w:rsidR="00670006">
        <w:rPr>
          <w:szCs w:val="18"/>
          <w:lang w:val="nl-NL"/>
        </w:rPr>
        <w:t xml:space="preserve">de </w:t>
      </w:r>
      <w:r w:rsidRPr="007C5D49">
        <w:rPr>
          <w:szCs w:val="18"/>
          <w:lang w:val="nl-NL"/>
        </w:rPr>
        <w:t xml:space="preserve">belastinginkomsten en </w:t>
      </w:r>
      <w:r w:rsidRPr="007C5D49" w:rsidR="00D33362">
        <w:rPr>
          <w:szCs w:val="18"/>
          <w:lang w:val="nl-NL"/>
        </w:rPr>
        <w:t xml:space="preserve">het </w:t>
      </w:r>
      <w:r w:rsidRPr="007C5D49">
        <w:rPr>
          <w:szCs w:val="18"/>
          <w:lang w:val="nl-NL"/>
        </w:rPr>
        <w:t>verlengen van de bankrelaties</w:t>
      </w:r>
      <w:r w:rsidRPr="007C5D49" w:rsidR="002D1AEB">
        <w:rPr>
          <w:szCs w:val="18"/>
          <w:lang w:val="nl-NL"/>
        </w:rPr>
        <w:t xml:space="preserve"> (</w:t>
      </w:r>
      <w:r w:rsidRPr="007C5D49" w:rsidR="002D1AEB">
        <w:rPr>
          <w:i/>
          <w:iCs/>
          <w:szCs w:val="18"/>
          <w:lang w:val="nl-NL"/>
        </w:rPr>
        <w:t xml:space="preserve">banking </w:t>
      </w:r>
      <w:proofErr w:type="spellStart"/>
      <w:r w:rsidRPr="007C5D49" w:rsidR="002D1AEB">
        <w:rPr>
          <w:i/>
          <w:iCs/>
          <w:szCs w:val="18"/>
          <w:lang w:val="nl-NL"/>
        </w:rPr>
        <w:t>correspondence</w:t>
      </w:r>
      <w:proofErr w:type="spellEnd"/>
      <w:r w:rsidRPr="007C5D49" w:rsidR="002D1AEB">
        <w:rPr>
          <w:szCs w:val="18"/>
          <w:lang w:val="nl-NL"/>
        </w:rPr>
        <w:t>)</w:t>
      </w:r>
      <w:r w:rsidRPr="007C5D49">
        <w:rPr>
          <w:szCs w:val="18"/>
          <w:lang w:val="nl-NL"/>
        </w:rPr>
        <w:t>.</w:t>
      </w:r>
    </w:p>
    <w:p w:rsidRPr="007C5D49" w:rsidR="00144D1E" w:rsidP="0011624F" w:rsidRDefault="00144D1E" w14:paraId="7AFB50B6" w14:textId="077131C2">
      <w:pPr>
        <w:spacing w:after="0" w:line="276" w:lineRule="auto"/>
        <w:rPr>
          <w:rFonts w:cs="Times New Roman"/>
          <w:b/>
          <w:szCs w:val="18"/>
          <w:lang w:val="nl-NL" w:eastAsia="ja-JP"/>
        </w:rPr>
      </w:pPr>
      <w:r w:rsidRPr="007C5D49">
        <w:rPr>
          <w:b/>
          <w:szCs w:val="18"/>
          <w:lang w:val="nl-NL" w:eastAsia="ja-JP"/>
        </w:rPr>
        <w:t>Hoorn van Afrika</w:t>
      </w:r>
      <w:r w:rsidRPr="007C5D49">
        <w:rPr>
          <w:rFonts w:eastAsia="Malgun Gothic"/>
          <w:b/>
          <w:szCs w:val="18"/>
          <w:lang w:val="nl-NL" w:eastAsia="ko-KR"/>
        </w:rPr>
        <w:tab/>
      </w:r>
      <w:r w:rsidRPr="007C5D49">
        <w:rPr>
          <w:rFonts w:eastAsia="Malgun Gothic"/>
          <w:b/>
          <w:szCs w:val="18"/>
          <w:lang w:val="nl-NL" w:eastAsia="ko-KR"/>
        </w:rPr>
        <w:tab/>
      </w:r>
    </w:p>
    <w:p w:rsidRPr="007C5D49" w:rsidR="00966B15" w:rsidP="0011624F" w:rsidRDefault="004509A7" w14:paraId="01A9AF31" w14:textId="7824EEBC">
      <w:pPr>
        <w:spacing w:line="276" w:lineRule="auto"/>
        <w:rPr>
          <w:rFonts w:cs="Times New Roman"/>
          <w:szCs w:val="18"/>
          <w:lang w:val="nl-NL" w:eastAsia="ja-JP"/>
        </w:rPr>
      </w:pPr>
      <w:r w:rsidRPr="007C5D49">
        <w:rPr>
          <w:rFonts w:cs="Times New Roman"/>
          <w:szCs w:val="18"/>
          <w:lang w:val="nl-NL" w:eastAsia="ja-JP"/>
        </w:rPr>
        <w:t>De Raad besprak de</w:t>
      </w:r>
      <w:r w:rsidRPr="007C5D49" w:rsidR="006E2351">
        <w:rPr>
          <w:rFonts w:cs="Times New Roman"/>
          <w:szCs w:val="18"/>
          <w:lang w:val="nl-NL" w:eastAsia="ja-JP"/>
        </w:rPr>
        <w:t xml:space="preserve"> situatie in Soedan en Somalië. </w:t>
      </w:r>
      <w:r w:rsidRPr="007C5D49">
        <w:rPr>
          <w:rFonts w:cs="Times New Roman"/>
          <w:szCs w:val="18"/>
          <w:lang w:val="nl-NL" w:eastAsia="ja-JP"/>
        </w:rPr>
        <w:t xml:space="preserve">De </w:t>
      </w:r>
      <w:r w:rsidRPr="007C5D49" w:rsidR="000141D1">
        <w:rPr>
          <w:rFonts w:cs="Times New Roman"/>
          <w:szCs w:val="18"/>
          <w:lang w:val="nl-NL" w:eastAsia="ja-JP"/>
        </w:rPr>
        <w:t>HV</w:t>
      </w:r>
      <w:r w:rsidRPr="007C5D49">
        <w:rPr>
          <w:rFonts w:cs="Times New Roman"/>
          <w:szCs w:val="18"/>
          <w:lang w:val="nl-NL" w:eastAsia="ja-JP"/>
        </w:rPr>
        <w:t xml:space="preserve"> benadrukte dat de druk op partijen in Soedan moet worden opgevoerd</w:t>
      </w:r>
      <w:r w:rsidRPr="007C5D49" w:rsidR="00F17037">
        <w:rPr>
          <w:rFonts w:cs="Times New Roman"/>
          <w:szCs w:val="18"/>
          <w:lang w:val="nl-NL" w:eastAsia="ja-JP"/>
        </w:rPr>
        <w:t>, onder andere</w:t>
      </w:r>
      <w:r w:rsidRPr="007C5D49">
        <w:rPr>
          <w:rFonts w:cs="Times New Roman"/>
          <w:szCs w:val="18"/>
          <w:lang w:val="nl-NL" w:eastAsia="ja-JP"/>
        </w:rPr>
        <w:t xml:space="preserve"> door aanname van een derde sanctiepakket. De EU </w:t>
      </w:r>
      <w:r w:rsidRPr="007C5D49" w:rsidR="00D80A9C">
        <w:rPr>
          <w:rFonts w:cs="Times New Roman"/>
          <w:szCs w:val="18"/>
          <w:lang w:val="nl-NL" w:eastAsia="ja-JP"/>
        </w:rPr>
        <w:t>s</w:t>
      </w:r>
      <w:r w:rsidRPr="007C5D49">
        <w:rPr>
          <w:rFonts w:cs="Times New Roman"/>
          <w:szCs w:val="18"/>
          <w:lang w:val="nl-NL" w:eastAsia="ja-JP"/>
        </w:rPr>
        <w:t>peciaal gezant voor de Hoorn</w:t>
      </w:r>
      <w:r w:rsidRPr="007C5D49" w:rsidR="00D90662">
        <w:rPr>
          <w:rFonts w:cs="Times New Roman"/>
          <w:szCs w:val="18"/>
          <w:lang w:val="nl-NL" w:eastAsia="ja-JP"/>
        </w:rPr>
        <w:t xml:space="preserve"> van Afrika</w:t>
      </w:r>
      <w:r w:rsidRPr="007C5D49">
        <w:rPr>
          <w:rFonts w:cs="Times New Roman"/>
          <w:szCs w:val="18"/>
          <w:lang w:val="nl-NL" w:eastAsia="ja-JP"/>
        </w:rPr>
        <w:t xml:space="preserve">, Anette Weber, </w:t>
      </w:r>
      <w:r w:rsidRPr="007C5D49" w:rsidR="00D90662">
        <w:rPr>
          <w:rFonts w:cs="Times New Roman"/>
          <w:szCs w:val="18"/>
          <w:lang w:val="nl-NL" w:eastAsia="ja-JP"/>
        </w:rPr>
        <w:t>merkte daarbij op</w:t>
      </w:r>
      <w:r w:rsidRPr="007C5D49">
        <w:rPr>
          <w:rFonts w:cs="Times New Roman"/>
          <w:szCs w:val="18"/>
          <w:lang w:val="nl-NL" w:eastAsia="ja-JP"/>
        </w:rPr>
        <w:t xml:space="preserve"> dat ook harder moet worden onderhandeld over humanitaire toegang.</w:t>
      </w:r>
      <w:r w:rsidRPr="007C5D49" w:rsidR="00195247">
        <w:rPr>
          <w:rFonts w:cs="Times New Roman"/>
          <w:szCs w:val="18"/>
          <w:lang w:val="nl-NL" w:eastAsia="ja-JP"/>
        </w:rPr>
        <w:t xml:space="preserve"> </w:t>
      </w:r>
      <w:r w:rsidRPr="007C5D49" w:rsidR="006E2351">
        <w:rPr>
          <w:rFonts w:cs="Times New Roman"/>
          <w:szCs w:val="18"/>
          <w:lang w:val="nl-NL" w:eastAsia="ja-JP"/>
        </w:rPr>
        <w:t xml:space="preserve">Burgers en kritieke civiele infrastructuur moeten volgens Weber beschermd worden, waarvoor door lidstaten veel steun werd uitgesproken. De Raad onderstreepte dat </w:t>
      </w:r>
      <w:r w:rsidRPr="007C5D49" w:rsidR="00195247">
        <w:rPr>
          <w:rFonts w:cs="Times New Roman"/>
          <w:szCs w:val="18"/>
          <w:lang w:val="nl-NL" w:eastAsia="ja-JP"/>
        </w:rPr>
        <w:t xml:space="preserve">instabiliteit en geopolitieke competitie in de Hoorn van Afrika, inclusief de Rode Zee, grote invloed </w:t>
      </w:r>
      <w:r w:rsidRPr="007C5D49" w:rsidR="006E2351">
        <w:rPr>
          <w:rFonts w:cs="Times New Roman"/>
          <w:szCs w:val="18"/>
          <w:lang w:val="nl-NL" w:eastAsia="ja-JP"/>
        </w:rPr>
        <w:t xml:space="preserve">hebben </w:t>
      </w:r>
      <w:r w:rsidRPr="007C5D49" w:rsidR="00195247">
        <w:rPr>
          <w:rFonts w:cs="Times New Roman"/>
          <w:szCs w:val="18"/>
          <w:lang w:val="nl-NL" w:eastAsia="ja-JP"/>
        </w:rPr>
        <w:t xml:space="preserve">op Europa. </w:t>
      </w:r>
      <w:r w:rsidRPr="007C5D49" w:rsidR="006E2351">
        <w:rPr>
          <w:rFonts w:cs="Times New Roman"/>
          <w:szCs w:val="18"/>
          <w:lang w:val="nl-NL" w:eastAsia="ja-JP"/>
        </w:rPr>
        <w:t>D</w:t>
      </w:r>
      <w:r w:rsidRPr="007C5D49" w:rsidR="00FD6A65">
        <w:rPr>
          <w:rFonts w:cs="Times New Roman"/>
          <w:szCs w:val="18"/>
          <w:lang w:val="nl-NL" w:eastAsia="ja-JP"/>
        </w:rPr>
        <w:t xml:space="preserve">e </w:t>
      </w:r>
      <w:r w:rsidRPr="007C5D49" w:rsidR="006E2351">
        <w:rPr>
          <w:rFonts w:cs="Times New Roman"/>
          <w:szCs w:val="18"/>
          <w:lang w:val="nl-NL" w:eastAsia="ja-JP"/>
        </w:rPr>
        <w:t xml:space="preserve">Raad onderstreepte </w:t>
      </w:r>
      <w:r w:rsidRPr="007C5D49" w:rsidR="00FD6A65">
        <w:rPr>
          <w:rFonts w:cs="Times New Roman"/>
          <w:szCs w:val="18"/>
          <w:lang w:val="nl-NL" w:eastAsia="ja-JP"/>
        </w:rPr>
        <w:t xml:space="preserve">de noodzaak </w:t>
      </w:r>
      <w:r w:rsidRPr="007C5D49" w:rsidR="006E2351">
        <w:rPr>
          <w:rFonts w:cs="Times New Roman"/>
          <w:szCs w:val="18"/>
          <w:lang w:val="nl-NL" w:eastAsia="ja-JP"/>
        </w:rPr>
        <w:t>van</w:t>
      </w:r>
      <w:r w:rsidRPr="007C5D49" w:rsidR="00FD6A65">
        <w:rPr>
          <w:rFonts w:cs="Times New Roman"/>
          <w:szCs w:val="18"/>
          <w:lang w:val="nl-NL" w:eastAsia="ja-JP"/>
        </w:rPr>
        <w:t xml:space="preserve"> intensiever EU </w:t>
      </w:r>
      <w:r w:rsidRPr="007C5D49" w:rsidR="00FD6A65">
        <w:rPr>
          <w:rFonts w:cs="Times New Roman"/>
          <w:i/>
          <w:iCs/>
          <w:szCs w:val="18"/>
          <w:lang w:val="nl-NL" w:eastAsia="ja-JP"/>
        </w:rPr>
        <w:t>engagement</w:t>
      </w:r>
      <w:r w:rsidRPr="007C5D49" w:rsidR="00FD6A65">
        <w:rPr>
          <w:rFonts w:cs="Times New Roman"/>
          <w:szCs w:val="18"/>
          <w:lang w:val="nl-NL" w:eastAsia="ja-JP"/>
        </w:rPr>
        <w:t xml:space="preserve"> </w:t>
      </w:r>
      <w:r w:rsidRPr="007C5D49" w:rsidR="00D90662">
        <w:rPr>
          <w:rFonts w:cs="Times New Roman"/>
          <w:szCs w:val="18"/>
          <w:lang w:val="nl-NL" w:eastAsia="ja-JP"/>
        </w:rPr>
        <w:t>met actoren in de regio</w:t>
      </w:r>
      <w:r w:rsidRPr="007C5D49" w:rsidR="00FD6A65">
        <w:rPr>
          <w:rFonts w:cs="Times New Roman"/>
          <w:szCs w:val="18"/>
          <w:lang w:val="nl-NL" w:eastAsia="ja-JP"/>
        </w:rPr>
        <w:t xml:space="preserve">. </w:t>
      </w:r>
      <w:r w:rsidRPr="007C5D49" w:rsidR="00AF1D57">
        <w:rPr>
          <w:rFonts w:cs="Times New Roman"/>
          <w:szCs w:val="18"/>
          <w:lang w:val="nl-NL" w:eastAsia="ja-JP"/>
        </w:rPr>
        <w:t>Enkele lidstaten riepen</w:t>
      </w:r>
      <w:r w:rsidRPr="007C5D49" w:rsidR="006A081C">
        <w:rPr>
          <w:rFonts w:cs="Times New Roman"/>
          <w:szCs w:val="18"/>
          <w:lang w:val="nl-NL" w:eastAsia="ja-JP"/>
        </w:rPr>
        <w:t xml:space="preserve"> op tot een vredesmissie die zo snel mogelijk zou moeten starten</w:t>
      </w:r>
      <w:r w:rsidRPr="007C5D49" w:rsidR="00D90662">
        <w:rPr>
          <w:rFonts w:cs="Times New Roman"/>
          <w:szCs w:val="18"/>
          <w:lang w:val="nl-NL" w:eastAsia="ja-JP"/>
        </w:rPr>
        <w:t>, teneinde burgers in Soedan te beschermen</w:t>
      </w:r>
      <w:r w:rsidRPr="007C5D49" w:rsidR="006A081C">
        <w:rPr>
          <w:rFonts w:cs="Times New Roman"/>
          <w:szCs w:val="18"/>
          <w:lang w:val="nl-NL" w:eastAsia="ja-JP"/>
        </w:rPr>
        <w:t xml:space="preserve">. </w:t>
      </w:r>
      <w:r w:rsidRPr="007C5D49" w:rsidR="006E2351">
        <w:rPr>
          <w:rFonts w:cs="Times New Roman"/>
          <w:szCs w:val="18"/>
          <w:lang w:val="nl-NL" w:eastAsia="ja-JP"/>
        </w:rPr>
        <w:t xml:space="preserve">Sommige lidstaten pleitten </w:t>
      </w:r>
      <w:r w:rsidRPr="007C5D49" w:rsidR="00D90662">
        <w:rPr>
          <w:rFonts w:cs="Times New Roman"/>
          <w:szCs w:val="18"/>
          <w:lang w:val="nl-NL" w:eastAsia="ja-JP"/>
        </w:rPr>
        <w:t>voor uitbreiding van het VN</w:t>
      </w:r>
      <w:r w:rsidRPr="007C5D49" w:rsidR="00966B15">
        <w:rPr>
          <w:rFonts w:cs="Times New Roman"/>
          <w:szCs w:val="18"/>
          <w:lang w:val="nl-NL" w:eastAsia="ja-JP"/>
        </w:rPr>
        <w:t>-</w:t>
      </w:r>
      <w:r w:rsidRPr="007C5D49" w:rsidR="00D90662">
        <w:rPr>
          <w:rFonts w:cs="Times New Roman"/>
          <w:szCs w:val="18"/>
          <w:lang w:val="nl-NL" w:eastAsia="ja-JP"/>
        </w:rPr>
        <w:t>wapenembargo naar heel Soedan.</w:t>
      </w:r>
      <w:r w:rsidRPr="007C5D49" w:rsidR="00966B15">
        <w:rPr>
          <w:rFonts w:cs="Times New Roman"/>
          <w:lang w:val="nl-NL" w:eastAsia="ja-JP"/>
        </w:rPr>
        <w:t xml:space="preserve"> Nederland pleitte voor het instellen van een EU</w:t>
      </w:r>
      <w:r w:rsidRPr="007C5D49" w:rsidR="00966B15">
        <w:rPr>
          <w:rFonts w:cs="Times New Roman"/>
          <w:i/>
          <w:iCs/>
          <w:lang w:val="nl-NL" w:eastAsia="ja-JP"/>
        </w:rPr>
        <w:t xml:space="preserve"> Contact Group</w:t>
      </w:r>
      <w:r w:rsidRPr="007C5D49" w:rsidR="00966B15">
        <w:rPr>
          <w:rFonts w:cs="Times New Roman"/>
          <w:lang w:val="nl-NL" w:eastAsia="ja-JP"/>
        </w:rPr>
        <w:t xml:space="preserve"> om op hoog niveau diplomatiek te engageren en te onderhandelen met als doel een staakt-het-vuren en humanitaire toegang. Weber</w:t>
      </w:r>
      <w:r w:rsidRPr="007C5D49" w:rsidR="006E2351">
        <w:rPr>
          <w:rFonts w:cs="Times New Roman"/>
          <w:lang w:val="nl-NL" w:eastAsia="ja-JP"/>
        </w:rPr>
        <w:t xml:space="preserve"> gaf aan </w:t>
      </w:r>
      <w:r w:rsidRPr="007C5D49" w:rsidR="00966B15">
        <w:rPr>
          <w:rFonts w:cs="Times New Roman"/>
          <w:lang w:val="nl-NL" w:eastAsia="ja-JP"/>
        </w:rPr>
        <w:t xml:space="preserve">dat nu het moment is om als EU concrete invloed uit te oefenen, zeker nu de VS naar alle waarschijnlijkheid minder zal engageren. </w:t>
      </w:r>
    </w:p>
    <w:p w:rsidRPr="007C5D49" w:rsidR="00F516C4" w:rsidP="0011624F" w:rsidRDefault="00024360" w14:paraId="5D02A856" w14:textId="4AB4A18B">
      <w:pPr>
        <w:spacing w:line="276" w:lineRule="auto"/>
        <w:rPr>
          <w:rFonts w:cs="Times New Roman"/>
          <w:szCs w:val="18"/>
          <w:lang w:val="nl-NL" w:eastAsia="ja-JP"/>
        </w:rPr>
      </w:pPr>
      <w:r w:rsidRPr="007C5D49">
        <w:rPr>
          <w:rFonts w:cs="Times New Roman"/>
          <w:szCs w:val="18"/>
          <w:lang w:val="nl-NL" w:eastAsia="ja-JP"/>
        </w:rPr>
        <w:t xml:space="preserve">De </w:t>
      </w:r>
      <w:r w:rsidRPr="007C5D49" w:rsidR="000626FB">
        <w:rPr>
          <w:rFonts w:cs="Times New Roman"/>
          <w:szCs w:val="18"/>
          <w:lang w:val="nl-NL" w:eastAsia="ja-JP"/>
        </w:rPr>
        <w:t xml:space="preserve">Raad </w:t>
      </w:r>
      <w:r w:rsidRPr="007C5D49">
        <w:rPr>
          <w:rFonts w:cs="Times New Roman"/>
          <w:szCs w:val="18"/>
          <w:lang w:val="nl-NL" w:eastAsia="ja-JP"/>
        </w:rPr>
        <w:t>besprak</w:t>
      </w:r>
      <w:r w:rsidRPr="007C5D49" w:rsidR="000626FB">
        <w:rPr>
          <w:rFonts w:cs="Times New Roman"/>
          <w:szCs w:val="18"/>
          <w:lang w:val="nl-NL" w:eastAsia="ja-JP"/>
        </w:rPr>
        <w:t xml:space="preserve"> de </w:t>
      </w:r>
      <w:proofErr w:type="spellStart"/>
      <w:r w:rsidRPr="007C5D49" w:rsidR="000626FB">
        <w:rPr>
          <w:rFonts w:cs="Times New Roman"/>
          <w:i/>
          <w:szCs w:val="18"/>
          <w:lang w:val="nl-NL" w:eastAsia="ja-JP"/>
        </w:rPr>
        <w:t>African</w:t>
      </w:r>
      <w:proofErr w:type="spellEnd"/>
      <w:r w:rsidRPr="007C5D49" w:rsidR="000626FB">
        <w:rPr>
          <w:rFonts w:cs="Times New Roman"/>
          <w:i/>
          <w:szCs w:val="18"/>
          <w:lang w:val="nl-NL" w:eastAsia="ja-JP"/>
        </w:rPr>
        <w:t xml:space="preserve"> Union Support </w:t>
      </w:r>
      <w:proofErr w:type="spellStart"/>
      <w:r w:rsidRPr="007C5D49" w:rsidR="000626FB">
        <w:rPr>
          <w:rFonts w:cs="Times New Roman"/>
          <w:i/>
          <w:szCs w:val="18"/>
          <w:lang w:val="nl-NL" w:eastAsia="ja-JP"/>
        </w:rPr>
        <w:t>and</w:t>
      </w:r>
      <w:proofErr w:type="spellEnd"/>
      <w:r w:rsidRPr="007C5D49" w:rsidR="000626FB">
        <w:rPr>
          <w:rFonts w:cs="Times New Roman"/>
          <w:i/>
          <w:szCs w:val="18"/>
          <w:lang w:val="nl-NL" w:eastAsia="ja-JP"/>
        </w:rPr>
        <w:t xml:space="preserve"> </w:t>
      </w:r>
      <w:proofErr w:type="spellStart"/>
      <w:r w:rsidRPr="007C5D49" w:rsidR="000626FB">
        <w:rPr>
          <w:rFonts w:cs="Times New Roman"/>
          <w:i/>
          <w:szCs w:val="18"/>
          <w:lang w:val="nl-NL" w:eastAsia="ja-JP"/>
        </w:rPr>
        <w:t>Stabilisation</w:t>
      </w:r>
      <w:proofErr w:type="spellEnd"/>
      <w:r w:rsidRPr="007C5D49" w:rsidR="000626FB">
        <w:rPr>
          <w:rFonts w:cs="Times New Roman"/>
          <w:i/>
          <w:szCs w:val="18"/>
          <w:lang w:val="nl-NL" w:eastAsia="ja-JP"/>
        </w:rPr>
        <w:t xml:space="preserve"> Mission in Somalia</w:t>
      </w:r>
      <w:r w:rsidRPr="007C5D49" w:rsidR="008D1256">
        <w:rPr>
          <w:rFonts w:cs="Times New Roman"/>
          <w:i/>
          <w:szCs w:val="18"/>
          <w:lang w:val="nl-NL" w:eastAsia="ja-JP"/>
        </w:rPr>
        <w:t xml:space="preserve"> </w:t>
      </w:r>
      <w:r w:rsidRPr="007C5D49" w:rsidR="008D1256">
        <w:rPr>
          <w:rFonts w:cs="Times New Roman"/>
          <w:szCs w:val="18"/>
          <w:lang w:val="nl-NL" w:eastAsia="ja-JP"/>
        </w:rPr>
        <w:t>(</w:t>
      </w:r>
      <w:r w:rsidRPr="007C5D49" w:rsidR="000626FB">
        <w:rPr>
          <w:rFonts w:cs="Times New Roman"/>
          <w:szCs w:val="18"/>
          <w:lang w:val="nl-NL" w:eastAsia="ja-JP"/>
        </w:rPr>
        <w:t>AUSSOM</w:t>
      </w:r>
      <w:r w:rsidRPr="007C5D49" w:rsidR="008D1256">
        <w:rPr>
          <w:rFonts w:cs="Times New Roman"/>
          <w:szCs w:val="18"/>
          <w:lang w:val="nl-NL" w:eastAsia="ja-JP"/>
        </w:rPr>
        <w:t>)</w:t>
      </w:r>
      <w:r w:rsidRPr="007C5D49" w:rsidR="000626FB">
        <w:rPr>
          <w:rFonts w:cs="Times New Roman"/>
          <w:szCs w:val="18"/>
          <w:lang w:val="nl-NL" w:eastAsia="ja-JP"/>
        </w:rPr>
        <w:t xml:space="preserve">. </w:t>
      </w:r>
      <w:r w:rsidRPr="007C5D49" w:rsidR="000626FB">
        <w:rPr>
          <w:rFonts w:eastAsia="Times New Roman"/>
          <w:lang w:val="nl-NL" w:eastAsia="nl-NL"/>
        </w:rPr>
        <w:t xml:space="preserve">Voor </w:t>
      </w:r>
      <w:r w:rsidRPr="007C5D49" w:rsidR="00340997">
        <w:rPr>
          <w:rFonts w:eastAsia="Times New Roman"/>
          <w:lang w:val="nl-NL" w:eastAsia="nl-NL"/>
        </w:rPr>
        <w:t>lidstaten</w:t>
      </w:r>
      <w:r w:rsidRPr="007C5D49" w:rsidR="000626FB">
        <w:rPr>
          <w:rFonts w:eastAsia="Times New Roman"/>
          <w:lang w:val="nl-NL" w:eastAsia="nl-NL"/>
        </w:rPr>
        <w:t xml:space="preserve"> is </w:t>
      </w:r>
      <w:r w:rsidRPr="007C5D49" w:rsidR="008D1256">
        <w:rPr>
          <w:rFonts w:eastAsia="Times New Roman"/>
          <w:lang w:val="nl-NL" w:eastAsia="nl-NL"/>
        </w:rPr>
        <w:t>het</w:t>
      </w:r>
      <w:r w:rsidRPr="007C5D49" w:rsidR="000626FB">
        <w:rPr>
          <w:rFonts w:eastAsia="Times New Roman"/>
          <w:lang w:val="nl-NL" w:eastAsia="nl-NL"/>
        </w:rPr>
        <w:t xml:space="preserve"> voorkomen van </w:t>
      </w:r>
      <w:r w:rsidRPr="007C5D49" w:rsidR="008D1256">
        <w:rPr>
          <w:rFonts w:eastAsia="Times New Roman"/>
          <w:lang w:val="nl-NL" w:eastAsia="nl-NL"/>
        </w:rPr>
        <w:t>een</w:t>
      </w:r>
      <w:r w:rsidRPr="007C5D49" w:rsidR="000626FB">
        <w:rPr>
          <w:rFonts w:eastAsia="Times New Roman"/>
          <w:lang w:val="nl-NL" w:eastAsia="nl-NL"/>
        </w:rPr>
        <w:t xml:space="preserve"> veiligheidsvacuüm belangrijk in het licht van bredere stabiliteit in </w:t>
      </w:r>
      <w:r w:rsidRPr="007C5D49" w:rsidR="00B9372F">
        <w:rPr>
          <w:rFonts w:eastAsia="Times New Roman"/>
          <w:lang w:val="nl-NL" w:eastAsia="nl-NL"/>
        </w:rPr>
        <w:t xml:space="preserve">de </w:t>
      </w:r>
      <w:r w:rsidRPr="007C5D49" w:rsidR="000626FB">
        <w:rPr>
          <w:rFonts w:eastAsia="Times New Roman"/>
          <w:lang w:val="nl-NL" w:eastAsia="nl-NL"/>
        </w:rPr>
        <w:t>regio, inclusief de Rode Zee, maar ook om behaalde resultaten niet verloren te laten gaan. Ook N</w:t>
      </w:r>
      <w:r w:rsidRPr="007C5D49" w:rsidR="008D1256">
        <w:rPr>
          <w:rFonts w:eastAsia="Times New Roman"/>
          <w:lang w:val="nl-NL" w:eastAsia="nl-NL"/>
        </w:rPr>
        <w:t>ederland</w:t>
      </w:r>
      <w:r w:rsidRPr="007C5D49" w:rsidR="000626FB">
        <w:rPr>
          <w:rFonts w:eastAsia="Times New Roman"/>
          <w:lang w:val="nl-NL" w:eastAsia="nl-NL"/>
        </w:rPr>
        <w:t xml:space="preserve"> sprak zich daarom uit </w:t>
      </w:r>
      <w:r w:rsidRPr="007C5D49" w:rsidR="00F516C4">
        <w:rPr>
          <w:rFonts w:eastAsia="Times New Roman"/>
          <w:lang w:val="nl-NL" w:eastAsia="nl-NL"/>
        </w:rPr>
        <w:t xml:space="preserve">voor </w:t>
      </w:r>
      <w:r w:rsidRPr="007C5D49" w:rsidR="006F25C4">
        <w:rPr>
          <w:rFonts w:eastAsia="Times New Roman"/>
          <w:lang w:val="nl-NL" w:eastAsia="nl-NL"/>
        </w:rPr>
        <w:t xml:space="preserve">snelle </w:t>
      </w:r>
      <w:r w:rsidRPr="007C5D49" w:rsidR="00F516C4">
        <w:rPr>
          <w:rFonts w:eastAsia="Times New Roman"/>
          <w:lang w:val="nl-NL" w:eastAsia="nl-NL"/>
        </w:rPr>
        <w:t xml:space="preserve">besluitvorming </w:t>
      </w:r>
      <w:r w:rsidRPr="007C5D49" w:rsidR="006F25C4">
        <w:rPr>
          <w:rFonts w:eastAsia="Times New Roman"/>
          <w:lang w:val="nl-NL" w:eastAsia="nl-NL"/>
        </w:rPr>
        <w:t xml:space="preserve">over </w:t>
      </w:r>
      <w:r w:rsidRPr="007C5D49" w:rsidR="00F516C4">
        <w:rPr>
          <w:rFonts w:eastAsia="Times New Roman"/>
          <w:lang w:val="nl-NL" w:eastAsia="nl-NL"/>
        </w:rPr>
        <w:t>financiering van AUSSOM.</w:t>
      </w:r>
      <w:r w:rsidRPr="007C5D49" w:rsidR="000626FB">
        <w:rPr>
          <w:rFonts w:eastAsia="Times New Roman"/>
          <w:lang w:val="nl-NL" w:eastAsia="nl-NL"/>
        </w:rPr>
        <w:t xml:space="preserve"> </w:t>
      </w:r>
      <w:r w:rsidRPr="007C5D49" w:rsidR="00886843">
        <w:rPr>
          <w:rFonts w:eastAsia="Times New Roman"/>
          <w:lang w:val="nl-NL" w:eastAsia="nl-NL"/>
        </w:rPr>
        <w:t>De HV</w:t>
      </w:r>
      <w:r w:rsidRPr="007C5D49" w:rsidR="000626FB">
        <w:rPr>
          <w:rFonts w:eastAsia="Times New Roman"/>
          <w:lang w:val="nl-NL" w:eastAsia="nl-NL"/>
        </w:rPr>
        <w:t xml:space="preserve"> </w:t>
      </w:r>
      <w:r w:rsidRPr="007C5D49" w:rsidR="000626FB">
        <w:rPr>
          <w:rFonts w:eastAsia="Times New Roman"/>
          <w:szCs w:val="18"/>
          <w:lang w:val="nl-NL"/>
        </w:rPr>
        <w:t>concludeer</w:t>
      </w:r>
      <w:r w:rsidRPr="007C5D49" w:rsidR="00886843">
        <w:rPr>
          <w:rFonts w:eastAsia="Times New Roman"/>
          <w:szCs w:val="18"/>
          <w:lang w:val="nl-NL"/>
        </w:rPr>
        <w:t>de</w:t>
      </w:r>
      <w:r w:rsidRPr="007C5D49" w:rsidR="000626FB">
        <w:rPr>
          <w:rFonts w:eastAsia="Times New Roman"/>
          <w:szCs w:val="18"/>
          <w:lang w:val="nl-NL"/>
        </w:rPr>
        <w:t xml:space="preserve"> dat er </w:t>
      </w:r>
      <w:r w:rsidRPr="007C5D49" w:rsidR="00F516C4">
        <w:rPr>
          <w:rFonts w:cs="Times New Roman"/>
          <w:szCs w:val="18"/>
          <w:lang w:val="nl-NL" w:eastAsia="ja-JP"/>
        </w:rPr>
        <w:t>overeenstemming</w:t>
      </w:r>
      <w:r w:rsidRPr="007C5D49" w:rsidR="009F6B8B">
        <w:rPr>
          <w:rFonts w:cs="Times New Roman"/>
          <w:szCs w:val="18"/>
          <w:lang w:val="nl-NL" w:eastAsia="ja-JP"/>
        </w:rPr>
        <w:t xml:space="preserve"> is </w:t>
      </w:r>
      <w:r w:rsidRPr="007C5D49" w:rsidR="00F516C4">
        <w:rPr>
          <w:rFonts w:cs="Times New Roman"/>
          <w:szCs w:val="18"/>
          <w:lang w:val="nl-NL" w:eastAsia="ja-JP"/>
        </w:rPr>
        <w:t>over</w:t>
      </w:r>
      <w:r w:rsidRPr="007C5D49" w:rsidR="009F0C86">
        <w:rPr>
          <w:rFonts w:cs="Times New Roman"/>
          <w:szCs w:val="18"/>
          <w:lang w:val="nl-NL" w:eastAsia="ja-JP"/>
        </w:rPr>
        <w:t xml:space="preserve"> het</w:t>
      </w:r>
      <w:r w:rsidRPr="007C5D49" w:rsidR="00F516C4">
        <w:rPr>
          <w:rFonts w:cs="Times New Roman"/>
          <w:szCs w:val="18"/>
          <w:lang w:val="nl-NL" w:eastAsia="ja-JP"/>
        </w:rPr>
        <w:t xml:space="preserve"> financieringsmechanisme</w:t>
      </w:r>
      <w:r w:rsidRPr="007C5D49" w:rsidR="009F0C86">
        <w:rPr>
          <w:rFonts w:cs="Times New Roman"/>
          <w:szCs w:val="18"/>
          <w:lang w:val="nl-NL" w:eastAsia="ja-JP"/>
        </w:rPr>
        <w:t>, zoals beschreven in</w:t>
      </w:r>
      <w:r w:rsidRPr="007C5D49" w:rsidR="00F516C4">
        <w:rPr>
          <w:rFonts w:cs="Times New Roman"/>
          <w:szCs w:val="18"/>
          <w:lang w:val="nl-NL" w:eastAsia="ja-JP"/>
        </w:rPr>
        <w:t xml:space="preserve"> VNVR</w:t>
      </w:r>
      <w:r w:rsidRPr="007C5D49" w:rsidR="00C74350">
        <w:rPr>
          <w:rFonts w:cs="Times New Roman"/>
          <w:szCs w:val="18"/>
          <w:lang w:val="nl-NL" w:eastAsia="ja-JP"/>
        </w:rPr>
        <w:t>-resolutie</w:t>
      </w:r>
      <w:r w:rsidRPr="007C5D49" w:rsidR="00F516C4">
        <w:rPr>
          <w:rFonts w:cs="Times New Roman"/>
          <w:szCs w:val="18"/>
          <w:lang w:val="nl-NL" w:eastAsia="ja-JP"/>
        </w:rPr>
        <w:t xml:space="preserve"> 2719</w:t>
      </w:r>
      <w:r w:rsidRPr="007C5D49" w:rsidR="009F0C86">
        <w:rPr>
          <w:rFonts w:cs="Times New Roman"/>
          <w:szCs w:val="18"/>
          <w:lang w:val="nl-NL" w:eastAsia="ja-JP"/>
        </w:rPr>
        <w:t>,</w:t>
      </w:r>
      <w:r w:rsidRPr="007C5D49" w:rsidR="00F516C4">
        <w:rPr>
          <w:rFonts w:cs="Times New Roman"/>
          <w:szCs w:val="18"/>
          <w:lang w:val="nl-NL" w:eastAsia="ja-JP"/>
        </w:rPr>
        <w:t xml:space="preserve"> als lange termijn oplossing, maar </w:t>
      </w:r>
      <w:r w:rsidRPr="007C5D49" w:rsidR="000F6932">
        <w:rPr>
          <w:rFonts w:cs="Times New Roman"/>
          <w:szCs w:val="18"/>
          <w:lang w:val="nl-NL" w:eastAsia="ja-JP"/>
        </w:rPr>
        <w:t xml:space="preserve">dat </w:t>
      </w:r>
      <w:r w:rsidRPr="007C5D49" w:rsidR="00F516C4">
        <w:rPr>
          <w:rFonts w:cs="Times New Roman"/>
          <w:szCs w:val="18"/>
          <w:lang w:val="nl-NL" w:eastAsia="ja-JP"/>
        </w:rPr>
        <w:t xml:space="preserve">een overbruggingsperiode deels door de EU betaald </w:t>
      </w:r>
      <w:r w:rsidRPr="007C5D49" w:rsidR="000F6932">
        <w:rPr>
          <w:rFonts w:cs="Times New Roman"/>
          <w:szCs w:val="18"/>
          <w:lang w:val="nl-NL" w:eastAsia="ja-JP"/>
        </w:rPr>
        <w:t xml:space="preserve">kan </w:t>
      </w:r>
      <w:r w:rsidRPr="007C5D49" w:rsidR="00F516C4">
        <w:rPr>
          <w:rFonts w:cs="Times New Roman"/>
          <w:szCs w:val="18"/>
          <w:lang w:val="nl-NL" w:eastAsia="ja-JP"/>
        </w:rPr>
        <w:t xml:space="preserve">worden uit </w:t>
      </w:r>
      <w:r w:rsidRPr="007C5D49" w:rsidR="008342E4">
        <w:rPr>
          <w:rFonts w:cs="Times New Roman"/>
          <w:szCs w:val="18"/>
          <w:lang w:val="nl-NL" w:eastAsia="ja-JP"/>
        </w:rPr>
        <w:t>het</w:t>
      </w:r>
      <w:r w:rsidRPr="007C5D49" w:rsidR="00444733">
        <w:rPr>
          <w:rFonts w:cs="Times New Roman"/>
          <w:szCs w:val="18"/>
          <w:lang w:val="nl-NL" w:eastAsia="ja-JP"/>
        </w:rPr>
        <w:t xml:space="preserve"> </w:t>
      </w:r>
      <w:r w:rsidRPr="007C5D49" w:rsidR="00F516C4">
        <w:rPr>
          <w:rFonts w:cs="Times New Roman"/>
          <w:szCs w:val="18"/>
          <w:lang w:val="nl-NL" w:eastAsia="ja-JP"/>
        </w:rPr>
        <w:t>EPF.</w:t>
      </w:r>
    </w:p>
    <w:p w:rsidRPr="007C5D49" w:rsidR="00591934" w:rsidP="0011624F" w:rsidRDefault="00591934" w14:paraId="1386517E" w14:textId="1D13356C">
      <w:pPr>
        <w:spacing w:after="0" w:line="276" w:lineRule="auto"/>
        <w:rPr>
          <w:b/>
          <w:szCs w:val="18"/>
          <w:lang w:val="nl-NL" w:eastAsia="ja-JP"/>
        </w:rPr>
      </w:pPr>
      <w:r w:rsidRPr="007C5D49">
        <w:rPr>
          <w:b/>
          <w:szCs w:val="18"/>
          <w:lang w:val="nl-NL" w:eastAsia="ja-JP"/>
        </w:rPr>
        <w:t>EU-VS relatie</w:t>
      </w:r>
    </w:p>
    <w:p w:rsidRPr="007C5D49" w:rsidR="00A86657" w:rsidP="0011624F" w:rsidRDefault="00591934" w14:paraId="27146A4D" w14:textId="0CA7C0D5">
      <w:pPr>
        <w:spacing w:line="276" w:lineRule="auto"/>
        <w:rPr>
          <w:b/>
          <w:szCs w:val="18"/>
          <w:lang w:val="nl-NL" w:eastAsia="ja-JP"/>
        </w:rPr>
      </w:pPr>
      <w:r w:rsidRPr="007C5D49">
        <w:rPr>
          <w:lang w:val="nl-NL" w:eastAsia="ja-JP"/>
        </w:rPr>
        <w:t xml:space="preserve">De Raad sprak over de uitkomst van de Amerikaanse verkiezingen en de overwinning van </w:t>
      </w:r>
      <w:r w:rsidRPr="007C5D49">
        <w:rPr>
          <w:i/>
          <w:iCs/>
          <w:lang w:val="nl-NL" w:eastAsia="ja-JP"/>
        </w:rPr>
        <w:t>President-elect</w:t>
      </w:r>
      <w:r w:rsidRPr="007C5D49">
        <w:rPr>
          <w:lang w:val="nl-NL" w:eastAsia="ja-JP"/>
        </w:rPr>
        <w:t xml:space="preserve"> </w:t>
      </w:r>
      <w:proofErr w:type="spellStart"/>
      <w:r w:rsidRPr="007C5D49">
        <w:rPr>
          <w:lang w:val="nl-NL" w:eastAsia="ja-JP"/>
        </w:rPr>
        <w:t>Trump</w:t>
      </w:r>
      <w:proofErr w:type="spellEnd"/>
      <w:r w:rsidRPr="007C5D49">
        <w:rPr>
          <w:lang w:val="nl-NL" w:eastAsia="ja-JP"/>
        </w:rPr>
        <w:t xml:space="preserve">. De </w:t>
      </w:r>
      <w:r w:rsidRPr="007C5D49" w:rsidR="0022071F">
        <w:rPr>
          <w:lang w:val="nl-NL" w:eastAsia="ja-JP"/>
        </w:rPr>
        <w:t>HV</w:t>
      </w:r>
      <w:r w:rsidRPr="007C5D49">
        <w:rPr>
          <w:lang w:val="nl-NL" w:eastAsia="ja-JP"/>
        </w:rPr>
        <w:t xml:space="preserve"> benadrukte het strategische belang van de EU-VS relatie en de mogelijke gevolgen van de verkiezing van </w:t>
      </w:r>
      <w:proofErr w:type="spellStart"/>
      <w:r w:rsidRPr="007C5D49">
        <w:rPr>
          <w:lang w:val="nl-NL" w:eastAsia="ja-JP"/>
        </w:rPr>
        <w:t>Trump</w:t>
      </w:r>
      <w:proofErr w:type="spellEnd"/>
      <w:r w:rsidRPr="007C5D49">
        <w:rPr>
          <w:lang w:val="nl-NL" w:eastAsia="ja-JP"/>
        </w:rPr>
        <w:t xml:space="preserve"> voor Oekraïne, geopolitiek en de wereldeconomie. De focus van de discussie lag op de potentiële implicaties voor </w:t>
      </w:r>
      <w:r w:rsidRPr="0070063D">
        <w:rPr>
          <w:lang w:val="nl-NL" w:eastAsia="ja-JP"/>
        </w:rPr>
        <w:t xml:space="preserve">het buitenlandbeleid van de EU. Lidstaten benadrukten het belang om te investeren in een EU die </w:t>
      </w:r>
      <w:r w:rsidRPr="0070063D" w:rsidR="005E754F">
        <w:rPr>
          <w:lang w:val="nl-NL" w:eastAsia="ja-JP"/>
        </w:rPr>
        <w:t xml:space="preserve">in hogere mate </w:t>
      </w:r>
      <w:r w:rsidRPr="0070063D">
        <w:rPr>
          <w:lang w:val="nl-NL" w:eastAsia="ja-JP"/>
        </w:rPr>
        <w:t>op eigen benen kan staan. N</w:t>
      </w:r>
      <w:r w:rsidRPr="0070063D" w:rsidR="001B066E">
        <w:rPr>
          <w:lang w:val="nl-NL" w:eastAsia="ja-JP"/>
        </w:rPr>
        <w:t>ederland</w:t>
      </w:r>
      <w:r w:rsidRPr="0070063D">
        <w:rPr>
          <w:lang w:val="nl-NL" w:eastAsia="ja-JP"/>
        </w:rPr>
        <w:t xml:space="preserve"> wees erop dat </w:t>
      </w:r>
      <w:proofErr w:type="spellStart"/>
      <w:r w:rsidRPr="0070063D">
        <w:rPr>
          <w:lang w:val="nl-NL" w:eastAsia="ja-JP"/>
        </w:rPr>
        <w:t>Trump</w:t>
      </w:r>
      <w:proofErr w:type="spellEnd"/>
      <w:r w:rsidRPr="0070063D">
        <w:rPr>
          <w:lang w:val="nl-NL" w:eastAsia="ja-JP"/>
        </w:rPr>
        <w:t xml:space="preserve"> op Amerikaans buitenlandbeleid waarschijnlijk scherpe prioriteiten zal stellen met in het bijzonder aandacht voor China. Tevens valt te verwachten dat </w:t>
      </w:r>
      <w:proofErr w:type="spellStart"/>
      <w:r w:rsidRPr="0070063D">
        <w:rPr>
          <w:lang w:val="nl-NL" w:eastAsia="ja-JP"/>
        </w:rPr>
        <w:t>Trump</w:t>
      </w:r>
      <w:proofErr w:type="spellEnd"/>
      <w:r w:rsidRPr="0070063D">
        <w:rPr>
          <w:lang w:val="nl-NL" w:eastAsia="ja-JP"/>
        </w:rPr>
        <w:t xml:space="preserve"> bondgenoten zal oproepen meer uit te geven aan defensie.</w:t>
      </w:r>
    </w:p>
    <w:p w:rsidRPr="007C5D49" w:rsidR="00144D1E" w:rsidP="0011624F" w:rsidRDefault="00224CA0" w14:paraId="0EA8AFE7" w14:textId="0CB56C9D">
      <w:pPr>
        <w:pStyle w:val="NoSpacing"/>
        <w:spacing w:line="276" w:lineRule="auto"/>
        <w:rPr>
          <w:b/>
          <w:szCs w:val="18"/>
          <w:lang w:val="nl-NL"/>
        </w:rPr>
      </w:pPr>
      <w:r w:rsidRPr="007C5D49">
        <w:rPr>
          <w:b/>
          <w:szCs w:val="18"/>
          <w:lang w:val="nl-NL"/>
        </w:rPr>
        <w:t>Overige zaken</w:t>
      </w:r>
    </w:p>
    <w:p w:rsidRPr="007C5D49" w:rsidR="00144D1E" w:rsidP="0011624F" w:rsidRDefault="00224CA0" w14:paraId="7870EE5B" w14:textId="155B93F5">
      <w:pPr>
        <w:spacing w:line="276" w:lineRule="auto"/>
        <w:rPr>
          <w:rFonts w:eastAsiaTheme="minorHAnsi"/>
          <w:lang w:val="nl-NL" w:eastAsia="ja-JP"/>
        </w:rPr>
      </w:pPr>
      <w:bookmarkStart w:name="_Hlk182994338" w:id="3"/>
      <w:r w:rsidRPr="007C5D49">
        <w:rPr>
          <w:rFonts w:cs="Times New Roman"/>
          <w:i/>
          <w:szCs w:val="18"/>
          <w:lang w:val="nl-NL" w:eastAsia="ja-JP"/>
        </w:rPr>
        <w:t>Antisemitisme</w:t>
      </w:r>
      <w:bookmarkEnd w:id="3"/>
      <w:r w:rsidRPr="007C5D49" w:rsidR="00144D1E">
        <w:rPr>
          <w:rFonts w:cs="Times New Roman"/>
          <w:i/>
          <w:szCs w:val="18"/>
          <w:lang w:val="nl-NL" w:eastAsia="ja-JP"/>
        </w:rPr>
        <w:br/>
      </w:r>
      <w:r w:rsidRPr="007C5D49" w:rsidR="00123A5D">
        <w:rPr>
          <w:lang w:val="nl-NL" w:eastAsia="ja-JP"/>
        </w:rPr>
        <w:t>Nederland sprak zich</w:t>
      </w:r>
      <w:r w:rsidRPr="007C5D49" w:rsidR="00CF6A26">
        <w:rPr>
          <w:lang w:val="nl-NL" w:eastAsia="ja-JP"/>
        </w:rPr>
        <w:t xml:space="preserve"> tijdens de Raad</w:t>
      </w:r>
      <w:r w:rsidRPr="007C5D49" w:rsidR="00123A5D">
        <w:rPr>
          <w:lang w:val="nl-NL" w:eastAsia="ja-JP"/>
        </w:rPr>
        <w:t xml:space="preserve"> uit over de recente geweldsincidenten in Amsterdam en veroordeelde in dat verband antisemitisme ten sterkste. Nederland gaf aan te werken aan een versterkte nationale strategie voor het bestrijden van antisemitisme en riep andere lidstaten tevens op eigen strategieën te ontwikkelen of te versterken. Nederland riep de Commissie op om antisemitisme expliciet mee te nemen in haar inspanningen om haat in de maatschappijen tegen te gaan en snel met concrete voorstellen te komen. Nederland benoemde tevens het belang van een integrale aanpak voor het aanpakken van antisemitisme. Dit omvat het bevorderen van religieuze tolerantie, het stimuleren van interreligieuze dialoog en het aanpakken van polarisatie. De Commissie, evenals verschillende lidstaten</w:t>
      </w:r>
      <w:r w:rsidRPr="007C5D49" w:rsidR="001B0615">
        <w:rPr>
          <w:lang w:val="nl-NL" w:eastAsia="ja-JP"/>
        </w:rPr>
        <w:t>,</w:t>
      </w:r>
      <w:r w:rsidRPr="007C5D49" w:rsidR="00123A5D">
        <w:rPr>
          <w:lang w:val="nl-NL" w:eastAsia="ja-JP"/>
        </w:rPr>
        <w:t xml:space="preserve"> steunden de Nederlandse interventie en spraken zich uit </w:t>
      </w:r>
      <w:r w:rsidRPr="007C5D49" w:rsidR="00204AFB">
        <w:rPr>
          <w:lang w:val="nl-NL" w:eastAsia="ja-JP"/>
        </w:rPr>
        <w:t xml:space="preserve">voor </w:t>
      </w:r>
      <w:r w:rsidRPr="007C5D49" w:rsidR="00123A5D">
        <w:rPr>
          <w:lang w:val="nl-NL" w:eastAsia="ja-JP"/>
        </w:rPr>
        <w:t xml:space="preserve">het bestrijden van antisemitisme.   </w:t>
      </w:r>
    </w:p>
    <w:p w:rsidRPr="007C5D49" w:rsidR="00721224" w:rsidP="0011624F" w:rsidRDefault="00224CA0" w14:paraId="4D92718B" w14:textId="498CFC5B">
      <w:pPr>
        <w:spacing w:after="0" w:line="276" w:lineRule="auto"/>
        <w:rPr>
          <w:rFonts w:cs="Times New Roman"/>
          <w:iCs/>
          <w:szCs w:val="18"/>
          <w:lang w:val="nl-NL" w:eastAsia="ja-JP"/>
        </w:rPr>
      </w:pPr>
      <w:bookmarkStart w:name="_Hlk182989332" w:id="4"/>
      <w:r w:rsidRPr="007C5D49">
        <w:rPr>
          <w:rFonts w:cs="Times New Roman"/>
          <w:i/>
          <w:iCs/>
          <w:szCs w:val="18"/>
          <w:lang w:val="nl-NL" w:eastAsia="ja-JP"/>
        </w:rPr>
        <w:lastRenderedPageBreak/>
        <w:t>Uitspraken</w:t>
      </w:r>
      <w:r w:rsidRPr="007C5D49" w:rsidR="001C5467">
        <w:rPr>
          <w:rFonts w:cs="Times New Roman"/>
          <w:i/>
          <w:iCs/>
          <w:szCs w:val="18"/>
          <w:lang w:val="nl-NL" w:eastAsia="ja-JP"/>
        </w:rPr>
        <w:t xml:space="preserve"> Azerbeidzjan</w:t>
      </w:r>
      <w:r w:rsidRPr="007C5D49">
        <w:rPr>
          <w:rFonts w:cs="Times New Roman"/>
          <w:i/>
          <w:iCs/>
          <w:szCs w:val="18"/>
          <w:lang w:val="nl-NL" w:eastAsia="ja-JP"/>
        </w:rPr>
        <w:t xml:space="preserve"> op </w:t>
      </w:r>
      <w:r w:rsidRPr="007C5D49" w:rsidR="00D06823">
        <w:rPr>
          <w:rFonts w:cs="Times New Roman"/>
          <w:i/>
          <w:iCs/>
          <w:szCs w:val="18"/>
          <w:lang w:val="nl-NL" w:eastAsia="ja-JP"/>
        </w:rPr>
        <w:t>klimaattop (</w:t>
      </w:r>
      <w:r w:rsidRPr="007C5D49">
        <w:rPr>
          <w:rFonts w:cs="Times New Roman"/>
          <w:i/>
          <w:iCs/>
          <w:szCs w:val="18"/>
          <w:lang w:val="nl-NL" w:eastAsia="ja-JP"/>
        </w:rPr>
        <w:t>COP29</w:t>
      </w:r>
      <w:r w:rsidRPr="007C5D49" w:rsidR="00D06823">
        <w:rPr>
          <w:rFonts w:cs="Times New Roman"/>
          <w:i/>
          <w:iCs/>
          <w:szCs w:val="18"/>
          <w:lang w:val="nl-NL" w:eastAsia="ja-JP"/>
        </w:rPr>
        <w:t>)</w:t>
      </w:r>
    </w:p>
    <w:bookmarkEnd w:id="0"/>
    <w:p w:rsidRPr="007C5D49" w:rsidR="004E5105" w:rsidP="0011624F" w:rsidRDefault="004E5105" w14:paraId="3759AB0D" w14:textId="690E1B02">
      <w:pPr>
        <w:spacing w:line="276" w:lineRule="auto"/>
        <w:rPr>
          <w:rFonts w:cs="Times New Roman"/>
          <w:szCs w:val="18"/>
          <w:lang w:val="nl-NL" w:eastAsia="ja-JP"/>
        </w:rPr>
      </w:pPr>
      <w:r w:rsidRPr="007C5D49">
        <w:rPr>
          <w:rFonts w:cs="Times New Roman"/>
          <w:szCs w:val="18"/>
          <w:lang w:val="nl-NL" w:eastAsia="ja-JP"/>
        </w:rPr>
        <w:t>Frankrijk intervenieerde kort o</w:t>
      </w:r>
      <w:r w:rsidRPr="007C5D49" w:rsidR="005028E5">
        <w:rPr>
          <w:rFonts w:cs="Times New Roman"/>
          <w:szCs w:val="18"/>
          <w:lang w:val="nl-NL" w:eastAsia="ja-JP"/>
        </w:rPr>
        <w:t>m ongenoegen te uiten o</w:t>
      </w:r>
      <w:r w:rsidRPr="007C5D49">
        <w:rPr>
          <w:rFonts w:cs="Times New Roman"/>
          <w:szCs w:val="18"/>
          <w:lang w:val="nl-NL" w:eastAsia="ja-JP"/>
        </w:rPr>
        <w:t xml:space="preserve">ver de uitspraken van de </w:t>
      </w:r>
      <w:r w:rsidRPr="007C5D49" w:rsidR="00A005B7">
        <w:rPr>
          <w:rFonts w:cs="Times New Roman"/>
          <w:szCs w:val="18"/>
          <w:lang w:val="nl-NL" w:eastAsia="ja-JP"/>
        </w:rPr>
        <w:t>p</w:t>
      </w:r>
      <w:r w:rsidRPr="007C5D49">
        <w:rPr>
          <w:rFonts w:cs="Times New Roman"/>
          <w:szCs w:val="18"/>
          <w:lang w:val="nl-NL" w:eastAsia="ja-JP"/>
        </w:rPr>
        <w:t xml:space="preserve">resident van </w:t>
      </w:r>
      <w:bookmarkStart w:name="_Hlk182994403" w:id="5"/>
      <w:r w:rsidRPr="007C5D49">
        <w:rPr>
          <w:rFonts w:cs="Times New Roman"/>
          <w:szCs w:val="18"/>
          <w:lang w:val="nl-NL" w:eastAsia="ja-JP"/>
        </w:rPr>
        <w:t>Azerbeidzjan</w:t>
      </w:r>
      <w:bookmarkEnd w:id="5"/>
      <w:r w:rsidRPr="007C5D49">
        <w:rPr>
          <w:rFonts w:cs="Times New Roman"/>
          <w:szCs w:val="18"/>
          <w:lang w:val="nl-NL" w:eastAsia="ja-JP"/>
        </w:rPr>
        <w:t xml:space="preserve"> tijdens de </w:t>
      </w:r>
      <w:r w:rsidRPr="007C5D49" w:rsidR="005028E5">
        <w:rPr>
          <w:rFonts w:cs="Times New Roman"/>
          <w:szCs w:val="18"/>
          <w:lang w:val="nl-NL" w:eastAsia="ja-JP"/>
        </w:rPr>
        <w:t xml:space="preserve">COP29 </w:t>
      </w:r>
      <w:r w:rsidRPr="007C5D49" w:rsidR="005028E5">
        <w:rPr>
          <w:rFonts w:eastAsia="Times New Roman"/>
          <w:i/>
          <w:iCs/>
          <w:lang w:val="nl-NL"/>
        </w:rPr>
        <w:t xml:space="preserve">Leaders’ </w:t>
      </w:r>
      <w:proofErr w:type="spellStart"/>
      <w:r w:rsidRPr="007C5D49" w:rsidR="005028E5">
        <w:rPr>
          <w:rFonts w:eastAsia="Times New Roman"/>
          <w:i/>
          <w:iCs/>
          <w:lang w:val="nl-NL"/>
        </w:rPr>
        <w:t>Summit</w:t>
      </w:r>
      <w:proofErr w:type="spellEnd"/>
      <w:r w:rsidRPr="007C5D49" w:rsidR="005028E5">
        <w:rPr>
          <w:rFonts w:eastAsia="Times New Roman"/>
          <w:i/>
          <w:iCs/>
          <w:lang w:val="nl-NL"/>
        </w:rPr>
        <w:t xml:space="preserve"> of </w:t>
      </w:r>
      <w:proofErr w:type="spellStart"/>
      <w:r w:rsidRPr="007C5D49" w:rsidR="005028E5">
        <w:rPr>
          <w:rFonts w:eastAsia="Times New Roman"/>
          <w:i/>
          <w:iCs/>
          <w:lang w:val="nl-NL"/>
        </w:rPr>
        <w:t>the</w:t>
      </w:r>
      <w:proofErr w:type="spellEnd"/>
      <w:r w:rsidRPr="007C5D49" w:rsidR="005028E5">
        <w:rPr>
          <w:rFonts w:eastAsia="Times New Roman"/>
          <w:i/>
          <w:iCs/>
          <w:lang w:val="nl-NL"/>
        </w:rPr>
        <w:t xml:space="preserve"> Small </w:t>
      </w:r>
      <w:proofErr w:type="spellStart"/>
      <w:r w:rsidRPr="007C5D49" w:rsidR="005028E5">
        <w:rPr>
          <w:rFonts w:eastAsia="Times New Roman"/>
          <w:i/>
          <w:iCs/>
          <w:lang w:val="nl-NL"/>
        </w:rPr>
        <w:t>Islands</w:t>
      </w:r>
      <w:proofErr w:type="spellEnd"/>
      <w:r w:rsidRPr="007C5D49" w:rsidR="005028E5">
        <w:rPr>
          <w:rFonts w:eastAsia="Times New Roman"/>
          <w:i/>
          <w:iCs/>
          <w:lang w:val="nl-NL"/>
        </w:rPr>
        <w:t xml:space="preserve"> </w:t>
      </w:r>
      <w:proofErr w:type="spellStart"/>
      <w:r w:rsidRPr="007C5D49" w:rsidR="005028E5">
        <w:rPr>
          <w:rFonts w:eastAsia="Times New Roman"/>
          <w:i/>
          <w:iCs/>
          <w:lang w:val="nl-NL"/>
        </w:rPr>
        <w:t>Developing</w:t>
      </w:r>
      <w:proofErr w:type="spellEnd"/>
      <w:r w:rsidRPr="007C5D49" w:rsidR="005028E5">
        <w:rPr>
          <w:rFonts w:eastAsia="Times New Roman"/>
          <w:i/>
          <w:iCs/>
          <w:lang w:val="nl-NL"/>
        </w:rPr>
        <w:t xml:space="preserve"> </w:t>
      </w:r>
      <w:proofErr w:type="spellStart"/>
      <w:r w:rsidRPr="007C5D49" w:rsidR="005028E5">
        <w:rPr>
          <w:rFonts w:eastAsia="Times New Roman"/>
          <w:i/>
          <w:iCs/>
          <w:lang w:val="nl-NL"/>
        </w:rPr>
        <w:t>States</w:t>
      </w:r>
      <w:proofErr w:type="spellEnd"/>
      <w:r w:rsidRPr="007C5D49" w:rsidR="005028E5">
        <w:rPr>
          <w:rFonts w:eastAsia="Times New Roman"/>
          <w:i/>
          <w:iCs/>
          <w:lang w:val="nl-NL"/>
        </w:rPr>
        <w:t xml:space="preserve"> on </w:t>
      </w:r>
      <w:proofErr w:type="spellStart"/>
      <w:r w:rsidRPr="007C5D49" w:rsidR="005028E5">
        <w:rPr>
          <w:rFonts w:eastAsia="Times New Roman"/>
          <w:i/>
          <w:iCs/>
          <w:lang w:val="nl-NL"/>
        </w:rPr>
        <w:t>Climate</w:t>
      </w:r>
      <w:proofErr w:type="spellEnd"/>
      <w:r w:rsidRPr="007C5D49" w:rsidR="005028E5">
        <w:rPr>
          <w:rFonts w:eastAsia="Times New Roman"/>
          <w:i/>
          <w:iCs/>
          <w:lang w:val="nl-NL"/>
        </w:rPr>
        <w:t xml:space="preserve"> Change</w:t>
      </w:r>
      <w:r w:rsidRPr="007C5D49" w:rsidR="005028E5">
        <w:rPr>
          <w:rFonts w:eastAsia="Times New Roman"/>
          <w:lang w:val="nl-NL"/>
        </w:rPr>
        <w:t xml:space="preserve"> van 13 november</w:t>
      </w:r>
      <w:r w:rsidR="008C157E">
        <w:rPr>
          <w:rFonts w:eastAsia="Times New Roman"/>
          <w:lang w:val="nl-NL"/>
        </w:rPr>
        <w:t xml:space="preserve"> jl.</w:t>
      </w:r>
      <w:r w:rsidRPr="007C5D49" w:rsidR="00D06823">
        <w:rPr>
          <w:rFonts w:eastAsia="Times New Roman"/>
          <w:lang w:val="nl-NL"/>
        </w:rPr>
        <w:t>,</w:t>
      </w:r>
      <w:r w:rsidRPr="007C5D49" w:rsidR="005028E5">
        <w:rPr>
          <w:rFonts w:eastAsia="Times New Roman"/>
          <w:lang w:val="nl-NL"/>
        </w:rPr>
        <w:t xml:space="preserve"> waar president </w:t>
      </w:r>
      <w:proofErr w:type="spellStart"/>
      <w:r w:rsidRPr="007C5D49" w:rsidR="005028E5">
        <w:rPr>
          <w:rFonts w:eastAsia="Times New Roman"/>
          <w:lang w:val="nl-NL"/>
        </w:rPr>
        <w:t>Aliyev</w:t>
      </w:r>
      <w:proofErr w:type="spellEnd"/>
      <w:r w:rsidRPr="007C5D49" w:rsidR="005028E5">
        <w:rPr>
          <w:rFonts w:eastAsia="Times New Roman"/>
          <w:lang w:val="nl-NL"/>
        </w:rPr>
        <w:t xml:space="preserve"> Frankrijk en Nederland beschuldig</w:t>
      </w:r>
      <w:r w:rsidRPr="007C5D49" w:rsidR="003F7D0E">
        <w:rPr>
          <w:rFonts w:eastAsia="Times New Roman"/>
          <w:lang w:val="nl-NL"/>
        </w:rPr>
        <w:t>de</w:t>
      </w:r>
      <w:r w:rsidRPr="007C5D49" w:rsidR="005028E5">
        <w:rPr>
          <w:rFonts w:eastAsia="Times New Roman"/>
          <w:lang w:val="nl-NL"/>
        </w:rPr>
        <w:t xml:space="preserve"> </w:t>
      </w:r>
      <w:r w:rsidRPr="0070063D" w:rsidR="005028E5">
        <w:rPr>
          <w:rFonts w:eastAsia="Times New Roman"/>
          <w:lang w:val="nl-NL"/>
        </w:rPr>
        <w:t xml:space="preserve">van koloniaal beleid ten aanzien van de overzeese gebieden. </w:t>
      </w:r>
      <w:r w:rsidRPr="0070063D" w:rsidR="001B4E6F">
        <w:rPr>
          <w:lang w:val="nl-NL"/>
        </w:rPr>
        <w:t xml:space="preserve">Ook Nederland heeft </w:t>
      </w:r>
      <w:r w:rsidRPr="0070063D" w:rsidR="00CE1BFB">
        <w:rPr>
          <w:lang w:val="nl-NL"/>
        </w:rPr>
        <w:t xml:space="preserve">tijdens de Raad </w:t>
      </w:r>
      <w:r w:rsidRPr="0070063D" w:rsidR="00336E9E">
        <w:rPr>
          <w:lang w:val="nl-NL"/>
        </w:rPr>
        <w:t>zijn</w:t>
      </w:r>
      <w:r w:rsidRPr="0070063D" w:rsidR="0070063D">
        <w:rPr>
          <w:lang w:val="nl-NL"/>
        </w:rPr>
        <w:t xml:space="preserve"> </w:t>
      </w:r>
      <w:r w:rsidRPr="0070063D" w:rsidR="00081824">
        <w:rPr>
          <w:lang w:val="nl-NL"/>
        </w:rPr>
        <w:t xml:space="preserve">afkeuring </w:t>
      </w:r>
      <w:r w:rsidRPr="0070063D" w:rsidR="001B4E6F">
        <w:rPr>
          <w:lang w:val="nl-NL"/>
        </w:rPr>
        <w:t xml:space="preserve">over de uitspraken van </w:t>
      </w:r>
      <w:r w:rsidRPr="0070063D" w:rsidR="00A005B7">
        <w:rPr>
          <w:lang w:val="nl-NL"/>
        </w:rPr>
        <w:t>p</w:t>
      </w:r>
      <w:r w:rsidRPr="0070063D" w:rsidR="001B4E6F">
        <w:rPr>
          <w:lang w:val="nl-NL"/>
        </w:rPr>
        <w:t xml:space="preserve">resident </w:t>
      </w:r>
      <w:proofErr w:type="spellStart"/>
      <w:r w:rsidRPr="0070063D" w:rsidR="001B4E6F">
        <w:rPr>
          <w:lang w:val="nl-NL"/>
        </w:rPr>
        <w:t>Aliyev</w:t>
      </w:r>
      <w:proofErr w:type="spellEnd"/>
      <w:r w:rsidRPr="0070063D" w:rsidR="001B4E6F">
        <w:rPr>
          <w:lang w:val="nl-NL"/>
        </w:rPr>
        <w:t xml:space="preserve"> kenbaar gemaakt</w:t>
      </w:r>
      <w:r w:rsidRPr="0070063D" w:rsidR="008E1075">
        <w:rPr>
          <w:lang w:val="nl-NL"/>
        </w:rPr>
        <w:t>.</w:t>
      </w:r>
      <w:r w:rsidRPr="0070063D" w:rsidR="00CE1BFB">
        <w:rPr>
          <w:lang w:val="nl-NL"/>
        </w:rPr>
        <w:t xml:space="preserve"> Dit was eerder</w:t>
      </w:r>
      <w:r w:rsidRPr="0070063D" w:rsidR="00485783">
        <w:rPr>
          <w:lang w:val="nl-NL"/>
        </w:rPr>
        <w:t xml:space="preserve"> </w:t>
      </w:r>
      <w:r w:rsidRPr="0070063D" w:rsidR="00CE1BFB">
        <w:rPr>
          <w:lang w:val="nl-NL"/>
        </w:rPr>
        <w:t>al</w:t>
      </w:r>
      <w:r w:rsidRPr="0070063D" w:rsidR="001B4E6F">
        <w:rPr>
          <w:lang w:val="nl-NL"/>
        </w:rPr>
        <w:t xml:space="preserve"> bilateraal </w:t>
      </w:r>
      <w:r w:rsidRPr="0070063D" w:rsidR="00AE55D7">
        <w:rPr>
          <w:lang w:val="nl-NL"/>
        </w:rPr>
        <w:t>bij</w:t>
      </w:r>
      <w:r w:rsidRPr="0070063D" w:rsidR="001B4E6F">
        <w:rPr>
          <w:lang w:val="nl-NL"/>
        </w:rPr>
        <w:t xml:space="preserve"> Azerbeidzjan aangekaart </w:t>
      </w:r>
      <w:r w:rsidRPr="0070063D" w:rsidR="00CE1BFB">
        <w:rPr>
          <w:lang w:val="nl-NL"/>
        </w:rPr>
        <w:t xml:space="preserve">en is </w:t>
      </w:r>
      <w:r w:rsidRPr="0070063D" w:rsidR="00485783">
        <w:rPr>
          <w:lang w:val="nl-NL"/>
        </w:rPr>
        <w:t>toegelicht</w:t>
      </w:r>
      <w:r w:rsidRPr="0070063D" w:rsidR="00CE1BFB">
        <w:rPr>
          <w:lang w:val="nl-NL"/>
        </w:rPr>
        <w:t xml:space="preserve"> </w:t>
      </w:r>
      <w:r w:rsidRPr="0070063D" w:rsidR="001B4E6F">
        <w:rPr>
          <w:lang w:val="nl-NL"/>
        </w:rPr>
        <w:t xml:space="preserve">door het kabinet </w:t>
      </w:r>
      <w:r w:rsidRPr="0070063D" w:rsidR="00CE1BFB">
        <w:rPr>
          <w:lang w:val="nl-NL"/>
        </w:rPr>
        <w:t>tijdens</w:t>
      </w:r>
      <w:r w:rsidRPr="0070063D" w:rsidR="001B4E6F">
        <w:rPr>
          <w:lang w:val="nl-NL"/>
        </w:rPr>
        <w:t xml:space="preserve"> het </w:t>
      </w:r>
      <w:r w:rsidRPr="0070063D" w:rsidR="00D06823">
        <w:rPr>
          <w:lang w:val="nl-NL"/>
        </w:rPr>
        <w:t>C</w:t>
      </w:r>
      <w:r w:rsidRPr="0070063D" w:rsidR="00CE1BFB">
        <w:rPr>
          <w:lang w:val="nl-NL"/>
        </w:rPr>
        <w:t xml:space="preserve">ommissiedebat </w:t>
      </w:r>
      <w:r w:rsidRPr="0070063D" w:rsidR="001B4E6F">
        <w:rPr>
          <w:lang w:val="nl-NL"/>
        </w:rPr>
        <w:t>R</w:t>
      </w:r>
      <w:r w:rsidRPr="0070063D" w:rsidR="00CE1BFB">
        <w:rPr>
          <w:lang w:val="nl-NL"/>
        </w:rPr>
        <w:t xml:space="preserve">aad </w:t>
      </w:r>
      <w:r w:rsidRPr="0070063D" w:rsidR="001B4E6F">
        <w:rPr>
          <w:lang w:val="nl-NL"/>
        </w:rPr>
        <w:t>B</w:t>
      </w:r>
      <w:r w:rsidRPr="0070063D" w:rsidR="00CE1BFB">
        <w:rPr>
          <w:lang w:val="nl-NL"/>
        </w:rPr>
        <w:t xml:space="preserve">uitenlandse </w:t>
      </w:r>
      <w:r w:rsidRPr="0070063D" w:rsidR="001B4E6F">
        <w:rPr>
          <w:lang w:val="nl-NL"/>
        </w:rPr>
        <w:t>Z</w:t>
      </w:r>
      <w:r w:rsidRPr="0070063D" w:rsidR="00CE1BFB">
        <w:rPr>
          <w:lang w:val="nl-NL"/>
        </w:rPr>
        <w:t>aken</w:t>
      </w:r>
      <w:r w:rsidRPr="0070063D" w:rsidR="001B4E6F">
        <w:rPr>
          <w:lang w:val="nl-NL"/>
        </w:rPr>
        <w:t xml:space="preserve"> </w:t>
      </w:r>
      <w:r w:rsidRPr="0070063D" w:rsidR="00D06823">
        <w:rPr>
          <w:lang w:val="nl-NL"/>
        </w:rPr>
        <w:t>van</w:t>
      </w:r>
      <w:r w:rsidRPr="0070063D" w:rsidR="001B4E6F">
        <w:rPr>
          <w:lang w:val="nl-NL"/>
        </w:rPr>
        <w:t xml:space="preserve"> 14 november jl. en</w:t>
      </w:r>
      <w:r w:rsidRPr="0070063D" w:rsidR="00D06823">
        <w:rPr>
          <w:lang w:val="nl-NL"/>
        </w:rPr>
        <w:t xml:space="preserve"> middels een</w:t>
      </w:r>
      <w:r w:rsidRPr="0070063D" w:rsidR="001B4E6F">
        <w:rPr>
          <w:lang w:val="nl-NL"/>
        </w:rPr>
        <w:t xml:space="preserve"> </w:t>
      </w:r>
      <w:r w:rsidRPr="0070063D" w:rsidR="008C157E">
        <w:rPr>
          <w:lang w:val="nl-NL"/>
        </w:rPr>
        <w:t>K</w:t>
      </w:r>
      <w:r w:rsidRPr="0070063D" w:rsidR="001B4E6F">
        <w:rPr>
          <w:lang w:val="nl-NL"/>
        </w:rPr>
        <w:t>amerbrief</w:t>
      </w:r>
      <w:r w:rsidRPr="0070063D" w:rsidR="00670538">
        <w:rPr>
          <w:lang w:val="nl-NL"/>
        </w:rPr>
        <w:t xml:space="preserve"> </w:t>
      </w:r>
      <w:r w:rsidRPr="0070063D" w:rsidR="00336E9E">
        <w:rPr>
          <w:lang w:val="nl-NL"/>
        </w:rPr>
        <w:t xml:space="preserve">d.d. </w:t>
      </w:r>
      <w:r w:rsidRPr="0070063D" w:rsidR="001B4E6F">
        <w:rPr>
          <w:rFonts w:cstheme="minorHAnsi"/>
          <w:lang w:val="nl-NL"/>
        </w:rPr>
        <w:t>14 november jl</w:t>
      </w:r>
      <w:r w:rsidRPr="0070063D" w:rsidR="00670538">
        <w:rPr>
          <w:rFonts w:cstheme="minorHAnsi"/>
          <w:lang w:val="nl-NL"/>
        </w:rPr>
        <w:t>.</w:t>
      </w:r>
      <w:r w:rsidRPr="0070063D" w:rsidR="00670538">
        <w:rPr>
          <w:rStyle w:val="FootnoteReference"/>
          <w:lang w:val="nl-NL"/>
        </w:rPr>
        <w:footnoteReference w:id="13"/>
      </w:r>
      <w:r w:rsidRPr="0070063D" w:rsidR="00670538">
        <w:rPr>
          <w:rFonts w:cstheme="minorHAnsi"/>
          <w:lang w:val="nl-NL"/>
        </w:rPr>
        <w:t xml:space="preserve"> </w:t>
      </w:r>
      <w:r w:rsidRPr="0070063D" w:rsidR="008E1075">
        <w:rPr>
          <w:lang w:val="nl-NL"/>
        </w:rPr>
        <w:t>Daarnaast</w:t>
      </w:r>
      <w:r w:rsidRPr="0070063D" w:rsidR="00CE1BFB">
        <w:rPr>
          <w:rFonts w:cstheme="minorHAnsi"/>
          <w:lang w:val="nl-NL"/>
        </w:rPr>
        <w:t xml:space="preserve"> </w:t>
      </w:r>
      <w:r w:rsidRPr="0070063D" w:rsidR="00485783">
        <w:rPr>
          <w:rFonts w:cstheme="minorHAnsi"/>
          <w:lang w:val="nl-NL"/>
        </w:rPr>
        <w:t>benadrukte</w:t>
      </w:r>
      <w:r w:rsidRPr="0070063D" w:rsidDel="001B4E6F" w:rsidR="00CA57D2">
        <w:rPr>
          <w:rFonts w:cstheme="minorHAnsi"/>
          <w:lang w:val="nl-NL"/>
        </w:rPr>
        <w:t xml:space="preserve"> </w:t>
      </w:r>
      <w:r w:rsidRPr="0070063D" w:rsidR="001B4E6F">
        <w:rPr>
          <w:rFonts w:cstheme="minorHAnsi"/>
          <w:lang w:val="nl-NL"/>
        </w:rPr>
        <w:t>Nederland</w:t>
      </w:r>
      <w:r w:rsidRPr="007C5D49" w:rsidR="001B4E6F">
        <w:rPr>
          <w:rFonts w:cstheme="minorHAnsi"/>
          <w:lang w:val="nl-NL"/>
        </w:rPr>
        <w:t xml:space="preserve"> </w:t>
      </w:r>
      <w:r w:rsidRPr="007C5D49" w:rsidR="005028E5">
        <w:rPr>
          <w:rFonts w:cstheme="minorHAnsi"/>
          <w:lang w:val="nl-NL"/>
        </w:rPr>
        <w:t xml:space="preserve">dat </w:t>
      </w:r>
      <w:r w:rsidRPr="007C5D49" w:rsidR="00485783">
        <w:rPr>
          <w:rFonts w:cstheme="minorHAnsi"/>
          <w:lang w:val="nl-NL"/>
        </w:rPr>
        <w:t>het</w:t>
      </w:r>
      <w:r w:rsidRPr="007C5D49" w:rsidR="00DD6418">
        <w:rPr>
          <w:lang w:val="nl-NL"/>
        </w:rPr>
        <w:t xml:space="preserve"> zich blijft inzetten voor</w:t>
      </w:r>
      <w:r w:rsidRPr="007C5D49" w:rsidR="005028E5">
        <w:rPr>
          <w:lang w:val="nl-NL"/>
        </w:rPr>
        <w:t xml:space="preserve"> ambitieuze klimaatacties</w:t>
      </w:r>
      <w:r w:rsidRPr="007C5D49" w:rsidR="00D34966">
        <w:rPr>
          <w:lang w:val="nl-NL"/>
        </w:rPr>
        <w:t xml:space="preserve"> en</w:t>
      </w:r>
      <w:r w:rsidRPr="007C5D49" w:rsidR="005028E5">
        <w:rPr>
          <w:lang w:val="nl-NL"/>
        </w:rPr>
        <w:t xml:space="preserve"> een succesvolle COP</w:t>
      </w:r>
      <w:r w:rsidRPr="007C5D49" w:rsidR="009D4E4F">
        <w:rPr>
          <w:lang w:val="nl-NL"/>
        </w:rPr>
        <w:t>29</w:t>
      </w:r>
      <w:r w:rsidRPr="007C5D49" w:rsidR="005028E5">
        <w:rPr>
          <w:lang w:val="nl-NL"/>
        </w:rPr>
        <w:t>.</w:t>
      </w:r>
      <w:r w:rsidRPr="007C5D49" w:rsidR="001B4E6F">
        <w:rPr>
          <w:lang w:val="nl-NL"/>
        </w:rPr>
        <w:t xml:space="preserve"> </w:t>
      </w:r>
      <w:bookmarkEnd w:id="4"/>
    </w:p>
    <w:p w:rsidRPr="007C5D49" w:rsidR="004A1F4D" w:rsidP="0011624F" w:rsidRDefault="004A1F4D" w14:paraId="1656A4BD" w14:textId="52CA2A3D">
      <w:pPr>
        <w:spacing w:after="0" w:line="276" w:lineRule="auto"/>
        <w:rPr>
          <w:rFonts w:cs="Times New Roman"/>
          <w:b/>
          <w:bCs/>
          <w:szCs w:val="18"/>
          <w:lang w:val="nl-NL" w:eastAsia="ja-JP"/>
        </w:rPr>
      </w:pPr>
      <w:r w:rsidRPr="007C5D49">
        <w:rPr>
          <w:rFonts w:cs="Times New Roman"/>
          <w:b/>
          <w:bCs/>
          <w:szCs w:val="18"/>
          <w:lang w:val="nl-NL" w:eastAsia="ja-JP"/>
        </w:rPr>
        <w:t>Toezeggingen</w:t>
      </w:r>
    </w:p>
    <w:p w:rsidRPr="007C5D49" w:rsidR="008C42E0" w:rsidP="0011624F" w:rsidRDefault="008C42E0" w14:paraId="42739CA3" w14:textId="1278DB0D">
      <w:pPr>
        <w:spacing w:after="0" w:line="276" w:lineRule="auto"/>
        <w:rPr>
          <w:rFonts w:cs="Times New Roman"/>
          <w:i/>
          <w:iCs/>
          <w:szCs w:val="18"/>
          <w:lang w:val="nl-NL" w:eastAsia="ja-JP"/>
        </w:rPr>
      </w:pPr>
      <w:bookmarkStart w:name="_Hlk182994027" w:id="6"/>
      <w:r w:rsidRPr="007C5D49">
        <w:rPr>
          <w:rFonts w:cs="Times New Roman"/>
          <w:i/>
          <w:iCs/>
          <w:szCs w:val="18"/>
          <w:lang w:val="nl-NL" w:eastAsia="ja-JP"/>
        </w:rPr>
        <w:t xml:space="preserve">EU-Israël </w:t>
      </w:r>
      <w:r w:rsidRPr="007C5D49" w:rsidR="004A345B">
        <w:rPr>
          <w:rFonts w:cs="Times New Roman"/>
          <w:i/>
          <w:iCs/>
          <w:szCs w:val="18"/>
          <w:lang w:val="nl-NL" w:eastAsia="ja-JP"/>
        </w:rPr>
        <w:t>A</w:t>
      </w:r>
      <w:r w:rsidRPr="007C5D49">
        <w:rPr>
          <w:rFonts w:cs="Times New Roman"/>
          <w:i/>
          <w:iCs/>
          <w:szCs w:val="18"/>
          <w:lang w:val="nl-NL" w:eastAsia="ja-JP"/>
        </w:rPr>
        <w:t>ssociatieakkoord</w:t>
      </w:r>
    </w:p>
    <w:bookmarkEnd w:id="6"/>
    <w:p w:rsidRPr="007C5D49" w:rsidR="009872CF" w:rsidP="0011624F" w:rsidRDefault="008C42E0" w14:paraId="7F0353AF" w14:textId="0CF2C47B">
      <w:pPr>
        <w:spacing w:line="276" w:lineRule="auto"/>
        <w:rPr>
          <w:lang w:val="nl-NL"/>
        </w:rPr>
      </w:pPr>
      <w:r w:rsidRPr="007C5D49">
        <w:rPr>
          <w:lang w:val="nl-NL"/>
        </w:rPr>
        <w:t xml:space="preserve">Het </w:t>
      </w:r>
      <w:r w:rsidRPr="007C5D49" w:rsidR="00010FE3">
        <w:rPr>
          <w:lang w:val="nl-NL"/>
        </w:rPr>
        <w:t>k</w:t>
      </w:r>
      <w:r w:rsidRPr="007C5D49">
        <w:rPr>
          <w:lang w:val="nl-NL"/>
        </w:rPr>
        <w:t>abinet acht het opportuun u</w:t>
      </w:r>
      <w:r w:rsidRPr="007C5D49" w:rsidR="00DF0C62">
        <w:rPr>
          <w:lang w:val="nl-NL"/>
        </w:rPr>
        <w:t>,</w:t>
      </w:r>
      <w:r w:rsidRPr="007C5D49" w:rsidR="00E55464">
        <w:rPr>
          <w:lang w:val="nl-NL"/>
        </w:rPr>
        <w:t xml:space="preserve"> </w:t>
      </w:r>
      <w:r w:rsidRPr="007C5D49" w:rsidR="00DF0C62">
        <w:rPr>
          <w:lang w:val="nl-NL"/>
        </w:rPr>
        <w:t>in opvolging van de</w:t>
      </w:r>
      <w:r w:rsidRPr="007C5D49">
        <w:rPr>
          <w:lang w:val="nl-NL"/>
        </w:rPr>
        <w:t xml:space="preserve"> toezegging</w:t>
      </w:r>
      <w:r w:rsidRPr="007C5D49" w:rsidR="00CD6F8D">
        <w:rPr>
          <w:lang w:val="nl-NL"/>
        </w:rPr>
        <w:t xml:space="preserve"> </w:t>
      </w:r>
      <w:r w:rsidRPr="007C5D49" w:rsidR="00DF0C62">
        <w:rPr>
          <w:lang w:val="nl-NL"/>
        </w:rPr>
        <w:t>gedaan</w:t>
      </w:r>
      <w:r w:rsidRPr="007C5D49" w:rsidR="00010FE3">
        <w:rPr>
          <w:lang w:val="nl-NL"/>
        </w:rPr>
        <w:t xml:space="preserve"> tijdens </w:t>
      </w:r>
      <w:r w:rsidRPr="007C5D49" w:rsidR="00CD65FA">
        <w:rPr>
          <w:lang w:val="nl-NL"/>
        </w:rPr>
        <w:t>het</w:t>
      </w:r>
      <w:r w:rsidRPr="007C5D49" w:rsidR="00C671CC">
        <w:rPr>
          <w:lang w:val="nl-NL"/>
        </w:rPr>
        <w:t xml:space="preserve"> debat over de situatie in Gaza d.d. 16 mei </w:t>
      </w:r>
      <w:r w:rsidRPr="007C5D49" w:rsidR="001C5DCB">
        <w:rPr>
          <w:lang w:val="nl-NL"/>
        </w:rPr>
        <w:t>jl.</w:t>
      </w:r>
      <w:r w:rsidRPr="007C5D49" w:rsidR="006B3E1A">
        <w:rPr>
          <w:rStyle w:val="FootnoteReference"/>
          <w:lang w:val="nl-NL"/>
        </w:rPr>
        <w:footnoteReference w:id="14"/>
      </w:r>
      <w:r w:rsidRPr="007C5D49" w:rsidR="007C6A11">
        <w:rPr>
          <w:lang w:val="nl-NL"/>
        </w:rPr>
        <w:t>,</w:t>
      </w:r>
      <w:r w:rsidRPr="007C5D49" w:rsidR="001C5DCB">
        <w:rPr>
          <w:lang w:val="nl-NL"/>
        </w:rPr>
        <w:t xml:space="preserve"> </w:t>
      </w:r>
      <w:r w:rsidRPr="007C5D49">
        <w:rPr>
          <w:lang w:val="nl-NL"/>
        </w:rPr>
        <w:t xml:space="preserve">te informeren </w:t>
      </w:r>
      <w:bookmarkStart w:name="_Hlk182994043" w:id="7"/>
      <w:r w:rsidRPr="007C5D49">
        <w:rPr>
          <w:lang w:val="nl-NL"/>
        </w:rPr>
        <w:t>over de implicaties van een mogelijke opschorting van het EU-Israël Associatieakkoord</w:t>
      </w:r>
      <w:bookmarkEnd w:id="7"/>
      <w:r w:rsidRPr="007C5D49">
        <w:rPr>
          <w:lang w:val="nl-NL"/>
        </w:rPr>
        <w:t>.</w:t>
      </w:r>
      <w:r w:rsidRPr="007C5D49" w:rsidR="001600EE">
        <w:rPr>
          <w:lang w:val="nl-NL"/>
        </w:rPr>
        <w:t xml:space="preserve"> Dit Akkoord </w:t>
      </w:r>
      <w:r w:rsidRPr="007C5D49" w:rsidR="009872CF">
        <w:rPr>
          <w:lang w:val="nl-NL"/>
        </w:rPr>
        <w:t>legt de juridische basis voor samenwerking tussen de EU en haar lidstaten enerzijds en Israël anderzijds</w:t>
      </w:r>
      <w:r w:rsidRPr="007C5D49" w:rsidR="001B0615">
        <w:rPr>
          <w:lang w:val="nl-NL"/>
        </w:rPr>
        <w:t>,</w:t>
      </w:r>
      <w:r w:rsidRPr="007C5D49" w:rsidR="009872CF">
        <w:rPr>
          <w:lang w:val="nl-NL"/>
        </w:rPr>
        <w:t xml:space="preserve"> op de volgende terreinen: politieke dialoog; vrij verkeer van goederen; recht van vestiging en levering van diensten; verkeer van kapitaal, betalingen, publieke aanbestedingen, concurrentie en intellectueel eigendom; wetenschappelijke en technologische samenwerking; economische samenwerking; samenwerking op audiovisuele en culturele zaken, informatie en communicatie; sociale zaken; institutionele en algemene betalingen. Daarnaast verbetert het Associatieakkoord de bepalingen over oorsprong</w:t>
      </w:r>
      <w:r w:rsidRPr="007C5D49" w:rsidR="004A345B">
        <w:rPr>
          <w:lang w:val="nl-NL"/>
        </w:rPr>
        <w:t>s</w:t>
      </w:r>
      <w:r w:rsidRPr="007C5D49" w:rsidR="009872CF">
        <w:rPr>
          <w:lang w:val="nl-NL"/>
        </w:rPr>
        <w:t>regels</w:t>
      </w:r>
      <w:r w:rsidRPr="007C5D49" w:rsidR="004A345B">
        <w:rPr>
          <w:lang w:val="nl-NL"/>
        </w:rPr>
        <w:t xml:space="preserve">, </w:t>
      </w:r>
      <w:r w:rsidRPr="007C5D49" w:rsidR="009872CF">
        <w:rPr>
          <w:lang w:val="nl-NL"/>
        </w:rPr>
        <w:t xml:space="preserve">liberaliseert het de handel in industriële producten en omvat het een reeks wederzijdse landbouwconcessies. </w:t>
      </w:r>
    </w:p>
    <w:p w:rsidRPr="007C5D49" w:rsidR="004A1F4D" w:rsidP="0011624F" w:rsidRDefault="008C42E0" w14:paraId="5A1D3A73" w14:textId="728E05C5">
      <w:pPr>
        <w:spacing w:line="276" w:lineRule="auto"/>
        <w:rPr>
          <w:lang w:val="nl-NL"/>
        </w:rPr>
      </w:pPr>
      <w:r w:rsidRPr="007C5D49">
        <w:rPr>
          <w:lang w:val="nl-NL"/>
        </w:rPr>
        <w:t xml:space="preserve">Een opschorting van het </w:t>
      </w:r>
      <w:r w:rsidRPr="007C5D49" w:rsidR="009872CF">
        <w:rPr>
          <w:lang w:val="nl-NL"/>
        </w:rPr>
        <w:t>gehele</w:t>
      </w:r>
      <w:r w:rsidRPr="007C5D49">
        <w:rPr>
          <w:lang w:val="nl-NL"/>
        </w:rPr>
        <w:t xml:space="preserve"> Associatieakkoord </w:t>
      </w:r>
      <w:r w:rsidRPr="007C5D49" w:rsidR="009872CF">
        <w:rPr>
          <w:lang w:val="nl-NL"/>
        </w:rPr>
        <w:t xml:space="preserve">door de EU en haar lidstaten </w:t>
      </w:r>
      <w:r w:rsidRPr="007C5D49" w:rsidR="00641AE8">
        <w:rPr>
          <w:lang w:val="nl-NL"/>
        </w:rPr>
        <w:t xml:space="preserve">heeft tot gevolg </w:t>
      </w:r>
      <w:r w:rsidRPr="007C5D49">
        <w:rPr>
          <w:lang w:val="nl-NL"/>
        </w:rPr>
        <w:t xml:space="preserve">dat bepalingen op de genoemde terreinen </w:t>
      </w:r>
      <w:r w:rsidRPr="007C5D49" w:rsidR="009872CF">
        <w:rPr>
          <w:lang w:val="nl-NL"/>
        </w:rPr>
        <w:t xml:space="preserve">tijdelijk </w:t>
      </w:r>
      <w:r w:rsidRPr="007C5D49">
        <w:rPr>
          <w:lang w:val="nl-NL"/>
        </w:rPr>
        <w:t xml:space="preserve">niet meer van </w:t>
      </w:r>
      <w:r w:rsidRPr="007C5D49" w:rsidR="009872CF">
        <w:rPr>
          <w:lang w:val="nl-NL"/>
        </w:rPr>
        <w:t>toepassing</w:t>
      </w:r>
      <w:r w:rsidRPr="007C5D49">
        <w:rPr>
          <w:lang w:val="nl-NL"/>
        </w:rPr>
        <w:t xml:space="preserve"> zijn. Zo vindt er bij opschorting van het akkoord geen politieke dialoog meer plaats en </w:t>
      </w:r>
      <w:r w:rsidRPr="007C5D49" w:rsidR="00641AE8">
        <w:rPr>
          <w:lang w:val="nl-NL"/>
        </w:rPr>
        <w:t xml:space="preserve">zijn </w:t>
      </w:r>
      <w:r w:rsidRPr="007C5D49" w:rsidR="009872CF">
        <w:rPr>
          <w:lang w:val="nl-NL"/>
        </w:rPr>
        <w:t>de</w:t>
      </w:r>
      <w:r w:rsidRPr="007C5D49">
        <w:rPr>
          <w:lang w:val="nl-NL"/>
        </w:rPr>
        <w:t xml:space="preserve"> samenwerkingsafspraken op de </w:t>
      </w:r>
      <w:r w:rsidRPr="007C5D49" w:rsidR="00641AE8">
        <w:rPr>
          <w:lang w:val="nl-NL"/>
        </w:rPr>
        <w:t>boven</w:t>
      </w:r>
      <w:r w:rsidRPr="007C5D49" w:rsidR="009872CF">
        <w:rPr>
          <w:lang w:val="nl-NL"/>
        </w:rPr>
        <w:t xml:space="preserve">genoemde </w:t>
      </w:r>
      <w:r w:rsidRPr="007C5D49">
        <w:rPr>
          <w:lang w:val="nl-NL"/>
        </w:rPr>
        <w:t>beleidsterreinen</w:t>
      </w:r>
      <w:r w:rsidRPr="007C5D49" w:rsidR="009872CF">
        <w:rPr>
          <w:lang w:val="nl-NL"/>
        </w:rPr>
        <w:t xml:space="preserve"> niet </w:t>
      </w:r>
      <w:r w:rsidRPr="007C5D49" w:rsidR="00641AE8">
        <w:rPr>
          <w:lang w:val="nl-NL"/>
        </w:rPr>
        <w:t>meer van kracht</w:t>
      </w:r>
      <w:r w:rsidRPr="007C5D49" w:rsidR="009872CF">
        <w:rPr>
          <w:lang w:val="nl-NL"/>
        </w:rPr>
        <w:t>.</w:t>
      </w:r>
      <w:r w:rsidRPr="007C5D49" w:rsidR="00FC2952">
        <w:rPr>
          <w:lang w:val="nl-NL"/>
        </w:rPr>
        <w:t xml:space="preserve"> </w:t>
      </w:r>
      <w:r w:rsidRPr="007C5D49">
        <w:rPr>
          <w:lang w:val="nl-NL"/>
        </w:rPr>
        <w:t xml:space="preserve">De </w:t>
      </w:r>
      <w:r w:rsidRPr="007C5D49" w:rsidR="009872CF">
        <w:rPr>
          <w:lang w:val="nl-NL"/>
        </w:rPr>
        <w:t>materiele</w:t>
      </w:r>
      <w:r w:rsidRPr="007C5D49">
        <w:rPr>
          <w:lang w:val="nl-NL"/>
        </w:rPr>
        <w:t xml:space="preserve"> implicaties hiervan zijn afhankelijk van de mate waarop</w:t>
      </w:r>
      <w:r w:rsidRPr="007C5D49" w:rsidR="001600EE">
        <w:rPr>
          <w:lang w:val="nl-NL"/>
        </w:rPr>
        <w:t>,</w:t>
      </w:r>
      <w:r w:rsidRPr="007C5D49">
        <w:rPr>
          <w:lang w:val="nl-NL"/>
        </w:rPr>
        <w:t xml:space="preserve"> op het moment van opschorting</w:t>
      </w:r>
      <w:r w:rsidRPr="007C5D49" w:rsidR="001600EE">
        <w:rPr>
          <w:lang w:val="nl-NL"/>
        </w:rPr>
        <w:t>,</w:t>
      </w:r>
      <w:r w:rsidRPr="007C5D49">
        <w:rPr>
          <w:lang w:val="nl-NL"/>
        </w:rPr>
        <w:t xml:space="preserve"> invulling wordt gegeven aan de in het akkoord voorziene afspraken. Het opschorten van het verdrag door de EU kan </w:t>
      </w:r>
      <w:r w:rsidRPr="007C5D49" w:rsidR="00641AE8">
        <w:rPr>
          <w:lang w:val="nl-NL"/>
        </w:rPr>
        <w:t xml:space="preserve">behalve voor de samenwerking ook </w:t>
      </w:r>
      <w:r w:rsidRPr="007C5D49">
        <w:rPr>
          <w:lang w:val="nl-NL"/>
        </w:rPr>
        <w:t xml:space="preserve">consequenties hebben voor de diplomatieke relaties tussen Israël en lidstaten die opschorting hebben gesteund. </w:t>
      </w:r>
    </w:p>
    <w:p w:rsidRPr="007C5D49" w:rsidR="0029048D" w:rsidP="0011624F" w:rsidRDefault="00E51B60" w14:paraId="245E03EB" w14:textId="2F1EA5B3">
      <w:pPr>
        <w:spacing w:line="276" w:lineRule="auto"/>
        <w:contextualSpacing/>
        <w:rPr>
          <w:i/>
          <w:iCs/>
          <w:lang w:val="nl-NL"/>
        </w:rPr>
      </w:pPr>
      <w:r w:rsidRPr="007C5D49">
        <w:rPr>
          <w:i/>
          <w:iCs/>
          <w:lang w:val="nl-NL"/>
        </w:rPr>
        <w:t>S</w:t>
      </w:r>
      <w:r w:rsidRPr="007C5D49" w:rsidR="0029048D">
        <w:rPr>
          <w:i/>
          <w:iCs/>
          <w:lang w:val="nl-NL"/>
        </w:rPr>
        <w:t>anctieomzeiling en gepaste zorgvuldigheidsmaatregelen</w:t>
      </w:r>
    </w:p>
    <w:p w:rsidRPr="007C5D49" w:rsidR="004B4297" w:rsidP="0011624F" w:rsidRDefault="00D85301" w14:paraId="6550ACD6" w14:textId="24EC1BFC">
      <w:pPr>
        <w:spacing w:line="276" w:lineRule="auto"/>
        <w:rPr>
          <w:lang w:val="nl-NL"/>
        </w:rPr>
      </w:pPr>
      <w:r w:rsidRPr="007C5D49">
        <w:rPr>
          <w:lang w:val="nl-NL"/>
        </w:rPr>
        <w:t>Verder komt het kabinet</w:t>
      </w:r>
      <w:r w:rsidRPr="007C5D49" w:rsidR="00450ECD">
        <w:rPr>
          <w:lang w:val="nl-NL"/>
        </w:rPr>
        <w:t xml:space="preserve"> graag</w:t>
      </w:r>
      <w:r w:rsidRPr="007C5D49" w:rsidR="004B4297">
        <w:rPr>
          <w:lang w:val="nl-NL"/>
        </w:rPr>
        <w:t xml:space="preserve"> terug op een vraag gesteld door het lid </w:t>
      </w:r>
      <w:proofErr w:type="spellStart"/>
      <w:r w:rsidRPr="007C5D49" w:rsidR="004B4297">
        <w:rPr>
          <w:lang w:val="nl-NL"/>
        </w:rPr>
        <w:t>Boswijk</w:t>
      </w:r>
      <w:proofErr w:type="spellEnd"/>
      <w:r w:rsidR="00C334DA">
        <w:rPr>
          <w:lang w:val="nl-NL"/>
        </w:rPr>
        <w:t xml:space="preserve"> </w:t>
      </w:r>
      <w:r w:rsidRPr="007C5D49" w:rsidR="004B4297">
        <w:rPr>
          <w:lang w:val="nl-NL"/>
        </w:rPr>
        <w:t xml:space="preserve">tijdens het tweeminutendebat </w:t>
      </w:r>
      <w:r w:rsidR="008C157E">
        <w:rPr>
          <w:lang w:val="nl-NL"/>
        </w:rPr>
        <w:t>s</w:t>
      </w:r>
      <w:r w:rsidRPr="007C5D49" w:rsidR="004B4297">
        <w:rPr>
          <w:lang w:val="nl-NL"/>
        </w:rPr>
        <w:t xml:space="preserve">ancties van 19 november </w:t>
      </w:r>
      <w:r w:rsidRPr="007C5D49">
        <w:rPr>
          <w:lang w:val="nl-NL"/>
        </w:rPr>
        <w:t>jl.</w:t>
      </w:r>
      <w:r w:rsidR="00C334DA">
        <w:rPr>
          <w:lang w:val="nl-NL"/>
        </w:rPr>
        <w:t xml:space="preserve"> </w:t>
      </w:r>
      <w:r w:rsidRPr="007C5D49" w:rsidR="004B4297">
        <w:rPr>
          <w:lang w:val="nl-NL"/>
        </w:rPr>
        <w:t>over gepaste zorgvuldigheidsmaatregelen voor bedrijven waarvan goederen via een omweg terechtkomen in Russisch wapentuig.</w:t>
      </w:r>
      <w:r w:rsidRPr="007C5D49" w:rsidR="00D77A78">
        <w:rPr>
          <w:lang w:val="nl-NL"/>
        </w:rPr>
        <w:t xml:space="preserve"> </w:t>
      </w:r>
      <w:r w:rsidRPr="007C5D49" w:rsidR="004B4297">
        <w:rPr>
          <w:lang w:val="nl-NL"/>
        </w:rPr>
        <w:t>Het tegengaan van sanctieomzeiling via derde landen is een prioriteit voor het kabinet</w:t>
      </w:r>
      <w:r w:rsidRPr="007C5D49" w:rsidR="00D80A9C">
        <w:rPr>
          <w:lang w:val="nl-NL"/>
        </w:rPr>
        <w:t>,</w:t>
      </w:r>
      <w:r w:rsidRPr="007C5D49" w:rsidR="004B4297">
        <w:rPr>
          <w:lang w:val="nl-NL"/>
        </w:rPr>
        <w:t xml:space="preserve"> en hier</w:t>
      </w:r>
      <w:r w:rsidRPr="007C5D49" w:rsidR="00D80A9C">
        <w:rPr>
          <w:lang w:val="nl-NL"/>
        </w:rPr>
        <w:t>naar</w:t>
      </w:r>
      <w:r w:rsidRPr="007C5D49" w:rsidR="004B4297">
        <w:rPr>
          <w:lang w:val="nl-NL"/>
        </w:rPr>
        <w:t xml:space="preserve"> wordt voortdurend en op verschillende manieren onderzoek gedaan. Van bijzonder belang zijn de zogenaamde </w:t>
      </w:r>
      <w:r w:rsidRPr="007C5D49" w:rsidR="004B4297">
        <w:rPr>
          <w:i/>
          <w:iCs/>
          <w:lang w:val="nl-NL"/>
        </w:rPr>
        <w:t>Common High Priority</w:t>
      </w:r>
      <w:r w:rsidRPr="007C5D49" w:rsidR="004B4297">
        <w:rPr>
          <w:lang w:val="nl-NL"/>
        </w:rPr>
        <w:t xml:space="preserve"> (CHP) goederen waar</w:t>
      </w:r>
      <w:r w:rsidRPr="007C5D49" w:rsidR="00D80A9C">
        <w:rPr>
          <w:lang w:val="nl-NL"/>
        </w:rPr>
        <w:t>aan</w:t>
      </w:r>
      <w:r w:rsidRPr="007C5D49" w:rsidR="004B4297">
        <w:rPr>
          <w:lang w:val="nl-NL"/>
        </w:rPr>
        <w:t xml:space="preserve"> het Russisch militair-industrieel complex grote behoefte heeft. Hieronder vallen ook bepaalde</w:t>
      </w:r>
      <w:r w:rsidRPr="007C5D49" w:rsidR="001B0615">
        <w:rPr>
          <w:lang w:val="nl-NL"/>
        </w:rPr>
        <w:t xml:space="preserve"> typen</w:t>
      </w:r>
      <w:r w:rsidRPr="007C5D49" w:rsidR="004B4297">
        <w:rPr>
          <w:lang w:val="nl-NL"/>
        </w:rPr>
        <w:t xml:space="preserve"> chips. Het kabinet staat hierover in goed contact met het </w:t>
      </w:r>
      <w:r w:rsidRPr="007C5D49" w:rsidR="00A30E5C">
        <w:rPr>
          <w:lang w:val="nl-NL"/>
        </w:rPr>
        <w:t>Nederlandse</w:t>
      </w:r>
      <w:r w:rsidRPr="007C5D49" w:rsidR="004B4297">
        <w:rPr>
          <w:lang w:val="nl-NL"/>
        </w:rPr>
        <w:t xml:space="preserve"> bedrijfsleven en werkt actief en succesvol samen om omzeiling tegen te gaan</w:t>
      </w:r>
      <w:r w:rsidRPr="007C5D49" w:rsidR="000E5DF2">
        <w:rPr>
          <w:lang w:val="nl-NL"/>
        </w:rPr>
        <w:t xml:space="preserve">, waaronder </w:t>
      </w:r>
      <w:r w:rsidRPr="007C5D49" w:rsidR="004B4297">
        <w:rPr>
          <w:lang w:val="nl-NL"/>
        </w:rPr>
        <w:t>door het delen van gerichte informatie. Levertijden en -kosten</w:t>
      </w:r>
      <w:r w:rsidRPr="007C5D49" w:rsidR="001B0615">
        <w:rPr>
          <w:lang w:val="nl-NL"/>
        </w:rPr>
        <w:t xml:space="preserve"> voor Rusland</w:t>
      </w:r>
      <w:r w:rsidRPr="007C5D49" w:rsidR="004B4297">
        <w:rPr>
          <w:lang w:val="nl-NL"/>
        </w:rPr>
        <w:t xml:space="preserve"> zijn namelijk aantoonbaar opgelopen. </w:t>
      </w:r>
      <w:r w:rsidRPr="007C5D49" w:rsidR="000E5DF2">
        <w:rPr>
          <w:lang w:val="nl-NL"/>
        </w:rPr>
        <w:t>Het aanpakken van sanc</w:t>
      </w:r>
      <w:r w:rsidRPr="007C5D49" w:rsidR="00A65458">
        <w:rPr>
          <w:lang w:val="nl-NL"/>
        </w:rPr>
        <w:t>t</w:t>
      </w:r>
      <w:r w:rsidRPr="007C5D49" w:rsidR="000E5DF2">
        <w:rPr>
          <w:lang w:val="nl-NL"/>
        </w:rPr>
        <w:t xml:space="preserve">ieomzeiling </w:t>
      </w:r>
      <w:r w:rsidRPr="007C5D49" w:rsidR="004B4297">
        <w:rPr>
          <w:lang w:val="nl-NL"/>
        </w:rPr>
        <w:t>blijft echter een kat-en-muisspel dat voortdurende aandacht behoeft en krijgt.</w:t>
      </w:r>
    </w:p>
    <w:p w:rsidRPr="007C5D49" w:rsidR="004B4297" w:rsidP="0011624F" w:rsidRDefault="00D947C3" w14:paraId="630389F9" w14:textId="40BACB66">
      <w:pPr>
        <w:spacing w:line="276" w:lineRule="auto"/>
        <w:rPr>
          <w:lang w:val="nl-NL"/>
        </w:rPr>
      </w:pPr>
      <w:r w:rsidRPr="007C5D49">
        <w:rPr>
          <w:lang w:val="nl-NL"/>
        </w:rPr>
        <w:t xml:space="preserve">Om deze reden </w:t>
      </w:r>
      <w:r w:rsidRPr="007C5D49" w:rsidR="004B4297">
        <w:rPr>
          <w:lang w:val="nl-NL"/>
        </w:rPr>
        <w:t>gelden aanvullende zorgvuldigheidsvoorschriften voor exporteurs van CHP</w:t>
      </w:r>
      <w:r w:rsidRPr="007C5D49" w:rsidR="00057286">
        <w:rPr>
          <w:lang w:val="nl-NL"/>
        </w:rPr>
        <w:t>-</w:t>
      </w:r>
      <w:r w:rsidRPr="007C5D49" w:rsidR="004B4297">
        <w:rPr>
          <w:lang w:val="nl-NL"/>
        </w:rPr>
        <w:t>goederen</w:t>
      </w:r>
      <w:r w:rsidRPr="007C5D49">
        <w:rPr>
          <w:lang w:val="nl-NL"/>
        </w:rPr>
        <w:t xml:space="preserve">. Hieronder </w:t>
      </w:r>
      <w:r w:rsidRPr="007C5D49" w:rsidR="00056486">
        <w:rPr>
          <w:lang w:val="nl-NL"/>
        </w:rPr>
        <w:t xml:space="preserve">valt </w:t>
      </w:r>
      <w:r w:rsidRPr="007C5D49">
        <w:rPr>
          <w:lang w:val="nl-NL"/>
        </w:rPr>
        <w:t>e</w:t>
      </w:r>
      <w:r w:rsidRPr="007C5D49" w:rsidR="004B4297">
        <w:rPr>
          <w:lang w:val="nl-NL"/>
        </w:rPr>
        <w:t xml:space="preserve">en inspanningsverplichting </w:t>
      </w:r>
      <w:r w:rsidRPr="007C5D49" w:rsidR="006B75EC">
        <w:rPr>
          <w:lang w:val="nl-NL"/>
        </w:rPr>
        <w:t xml:space="preserve">voor bedrijven om hun dochterondernemingen in derde landen </w:t>
      </w:r>
      <w:proofErr w:type="spellStart"/>
      <w:r w:rsidRPr="007C5D49" w:rsidR="006B75EC">
        <w:rPr>
          <w:i/>
          <w:iCs/>
          <w:lang w:val="nl-NL"/>
        </w:rPr>
        <w:t>due</w:t>
      </w:r>
      <w:proofErr w:type="spellEnd"/>
      <w:r w:rsidRPr="007C5D49" w:rsidR="006B75EC">
        <w:rPr>
          <w:i/>
          <w:iCs/>
          <w:lang w:val="nl-NL"/>
        </w:rPr>
        <w:t xml:space="preserve"> </w:t>
      </w:r>
      <w:proofErr w:type="spellStart"/>
      <w:r w:rsidRPr="007C5D49" w:rsidR="006B75EC">
        <w:rPr>
          <w:i/>
          <w:iCs/>
          <w:lang w:val="nl-NL"/>
        </w:rPr>
        <w:t>dilligence</w:t>
      </w:r>
      <w:proofErr w:type="spellEnd"/>
      <w:r w:rsidRPr="007C5D49" w:rsidR="006B75EC">
        <w:rPr>
          <w:i/>
          <w:iCs/>
          <w:lang w:val="nl-NL"/>
        </w:rPr>
        <w:t xml:space="preserve"> </w:t>
      </w:r>
      <w:r w:rsidRPr="007C5D49" w:rsidR="006B75EC">
        <w:rPr>
          <w:lang w:val="nl-NL"/>
        </w:rPr>
        <w:t xml:space="preserve">te laten uitvoeren, </w:t>
      </w:r>
      <w:r w:rsidRPr="007C5D49" w:rsidR="002006EC">
        <w:rPr>
          <w:lang w:val="nl-NL"/>
        </w:rPr>
        <w:t>die</w:t>
      </w:r>
      <w:r w:rsidRPr="007C5D49" w:rsidR="004B4297">
        <w:rPr>
          <w:lang w:val="nl-NL"/>
        </w:rPr>
        <w:t xml:space="preserve"> – mede op Nederlands aandringen – in het </w:t>
      </w:r>
      <w:r w:rsidRPr="007C5D49" w:rsidR="008E77A3">
        <w:rPr>
          <w:lang w:val="nl-NL"/>
        </w:rPr>
        <w:t>14</w:t>
      </w:r>
      <w:r w:rsidRPr="007C5D49" w:rsidR="008E77A3">
        <w:rPr>
          <w:vertAlign w:val="superscript"/>
          <w:lang w:val="nl-NL"/>
        </w:rPr>
        <w:t>e</w:t>
      </w:r>
      <w:r w:rsidRPr="007C5D49" w:rsidR="008E77A3">
        <w:rPr>
          <w:lang w:val="nl-NL"/>
        </w:rPr>
        <w:t xml:space="preserve"> </w:t>
      </w:r>
      <w:r w:rsidRPr="007C5D49">
        <w:rPr>
          <w:lang w:val="nl-NL"/>
        </w:rPr>
        <w:t xml:space="preserve">EU </w:t>
      </w:r>
      <w:r w:rsidRPr="007C5D49" w:rsidR="004B4297">
        <w:rPr>
          <w:lang w:val="nl-NL"/>
        </w:rPr>
        <w:t xml:space="preserve">sanctiepakket </w:t>
      </w:r>
      <w:r w:rsidRPr="007C5D49" w:rsidR="00A631E4">
        <w:rPr>
          <w:lang w:val="nl-NL"/>
        </w:rPr>
        <w:t xml:space="preserve">tegen Rusland </w:t>
      </w:r>
      <w:r w:rsidRPr="007C5D49" w:rsidR="004B4297">
        <w:rPr>
          <w:lang w:val="nl-NL"/>
        </w:rPr>
        <w:t xml:space="preserve">is opgenomen. Ook is het al langer verplicht om bij transacties van </w:t>
      </w:r>
      <w:r w:rsidRPr="007C5D49" w:rsidR="004B4297">
        <w:rPr>
          <w:lang w:val="nl-NL"/>
        </w:rPr>
        <w:lastRenderedPageBreak/>
        <w:t xml:space="preserve">bepaalde sanctiegoederen naar derde landen </w:t>
      </w:r>
      <w:r w:rsidRPr="007C5D49" w:rsidR="00781311">
        <w:rPr>
          <w:lang w:val="nl-NL"/>
        </w:rPr>
        <w:t xml:space="preserve">de </w:t>
      </w:r>
      <w:r w:rsidRPr="007C5D49" w:rsidR="004B4297">
        <w:rPr>
          <w:lang w:val="nl-NL"/>
        </w:rPr>
        <w:t xml:space="preserve">bepaling op te nemen in het verkoopcontract dat deze goederen niet mogen worden </w:t>
      </w:r>
      <w:proofErr w:type="spellStart"/>
      <w:r w:rsidRPr="007C5D49" w:rsidR="004B4297">
        <w:rPr>
          <w:lang w:val="nl-NL"/>
        </w:rPr>
        <w:t>gereëxporteerd</w:t>
      </w:r>
      <w:proofErr w:type="spellEnd"/>
      <w:r w:rsidRPr="007C5D49" w:rsidR="004B4297">
        <w:rPr>
          <w:lang w:val="nl-NL"/>
        </w:rPr>
        <w:t xml:space="preserve"> naar Rusland. Het kabinet is momenteel in afwachting van een EU </w:t>
      </w:r>
      <w:r w:rsidRPr="007C5D49" w:rsidR="004B4297">
        <w:rPr>
          <w:i/>
          <w:iCs/>
          <w:lang w:val="nl-NL"/>
        </w:rPr>
        <w:t>impact assessment</w:t>
      </w:r>
      <w:r w:rsidRPr="007C5D49" w:rsidR="004B4297">
        <w:rPr>
          <w:lang w:val="nl-NL"/>
        </w:rPr>
        <w:t xml:space="preserve"> ten aanzien van een verzwaring van deze </w:t>
      </w:r>
      <w:proofErr w:type="spellStart"/>
      <w:r w:rsidRPr="007C5D49" w:rsidR="004B4297">
        <w:rPr>
          <w:i/>
          <w:iCs/>
          <w:lang w:val="nl-NL"/>
        </w:rPr>
        <w:t>due</w:t>
      </w:r>
      <w:proofErr w:type="spellEnd"/>
      <w:r w:rsidRPr="007C5D49" w:rsidR="004B4297">
        <w:rPr>
          <w:i/>
          <w:iCs/>
          <w:lang w:val="nl-NL"/>
        </w:rPr>
        <w:t xml:space="preserve"> </w:t>
      </w:r>
      <w:proofErr w:type="spellStart"/>
      <w:r w:rsidRPr="007C5D49" w:rsidR="004B4297">
        <w:rPr>
          <w:i/>
          <w:iCs/>
          <w:lang w:val="nl-NL"/>
        </w:rPr>
        <w:t>dilligence</w:t>
      </w:r>
      <w:proofErr w:type="spellEnd"/>
      <w:r w:rsidRPr="007C5D49" w:rsidR="00D73866">
        <w:rPr>
          <w:i/>
          <w:iCs/>
          <w:lang w:val="nl-NL"/>
        </w:rPr>
        <w:t xml:space="preserve"> </w:t>
      </w:r>
      <w:r w:rsidRPr="007C5D49" w:rsidR="004B4297">
        <w:rPr>
          <w:lang w:val="nl-NL"/>
        </w:rPr>
        <w:t>verplichting en neemt de uitkomsten</w:t>
      </w:r>
      <w:r w:rsidRPr="007C5D49" w:rsidR="00D77A78">
        <w:rPr>
          <w:lang w:val="nl-NL"/>
        </w:rPr>
        <w:t xml:space="preserve"> hiervan</w:t>
      </w:r>
      <w:r w:rsidRPr="007C5D49" w:rsidR="00884774">
        <w:rPr>
          <w:lang w:val="nl-NL"/>
        </w:rPr>
        <w:t xml:space="preserve"> </w:t>
      </w:r>
      <w:r w:rsidRPr="007C5D49" w:rsidR="004B4297">
        <w:rPr>
          <w:lang w:val="nl-NL"/>
        </w:rPr>
        <w:t xml:space="preserve">– zodra bekend – mee in de voorbereiding voor een volgend sanctiepakket. </w:t>
      </w:r>
    </w:p>
    <w:p w:rsidRPr="007C5D49" w:rsidR="00724A3D" w:rsidP="0011624F" w:rsidRDefault="004B4297" w14:paraId="6C00C934" w14:textId="2018889A">
      <w:pPr>
        <w:spacing w:line="276" w:lineRule="auto"/>
        <w:rPr>
          <w:lang w:val="nl-NL"/>
        </w:rPr>
      </w:pPr>
      <w:r w:rsidRPr="007C5D49">
        <w:rPr>
          <w:lang w:val="nl-NL"/>
        </w:rPr>
        <w:t xml:space="preserve">Naast de gevraagde inzet van bedrijven </w:t>
      </w:r>
      <w:r w:rsidRPr="007C5D49" w:rsidR="00AC6949">
        <w:rPr>
          <w:lang w:val="nl-NL"/>
        </w:rPr>
        <w:t xml:space="preserve">werkt </w:t>
      </w:r>
      <w:r w:rsidRPr="007C5D49">
        <w:rPr>
          <w:lang w:val="nl-NL"/>
        </w:rPr>
        <w:t xml:space="preserve">het kabinet, al dan niet in EU verband, </w:t>
      </w:r>
      <w:r w:rsidRPr="007C5D49" w:rsidR="00AC6949">
        <w:rPr>
          <w:lang w:val="nl-NL"/>
        </w:rPr>
        <w:t>aan</w:t>
      </w:r>
      <w:r w:rsidRPr="007C5D49">
        <w:rPr>
          <w:lang w:val="nl-NL"/>
        </w:rPr>
        <w:t xml:space="preserve"> het tegengaan van omzeiling van CHP</w:t>
      </w:r>
      <w:r w:rsidRPr="007C5D49" w:rsidR="00057286">
        <w:rPr>
          <w:lang w:val="nl-NL"/>
        </w:rPr>
        <w:t>-</w:t>
      </w:r>
      <w:r w:rsidRPr="007C5D49">
        <w:rPr>
          <w:lang w:val="nl-NL"/>
        </w:rPr>
        <w:t>goederen. Zo wordt in bilateraal contact met derde landen en via de EU-sanctiegezant opgeroepen tot het tegengaan van doorvoer naar Rusland</w:t>
      </w:r>
      <w:r w:rsidRPr="007C5D49" w:rsidR="00057286">
        <w:rPr>
          <w:lang w:val="nl-NL"/>
        </w:rPr>
        <w:t>. Ook</w:t>
      </w:r>
      <w:r w:rsidRPr="007C5D49">
        <w:rPr>
          <w:lang w:val="nl-NL"/>
        </w:rPr>
        <w:t xml:space="preserve"> kunnen</w:t>
      </w:r>
      <w:r w:rsidRPr="007C5D49" w:rsidR="00D107D0">
        <w:rPr>
          <w:lang w:val="nl-NL"/>
        </w:rPr>
        <w:t>,</w:t>
      </w:r>
      <w:r w:rsidRPr="007C5D49">
        <w:rPr>
          <w:lang w:val="nl-NL"/>
        </w:rPr>
        <w:t xml:space="preserve"> sinds het</w:t>
      </w:r>
      <w:r w:rsidRPr="007C5D49" w:rsidR="008E77A3">
        <w:rPr>
          <w:lang w:val="nl-NL"/>
        </w:rPr>
        <w:t xml:space="preserve"> 11</w:t>
      </w:r>
      <w:r w:rsidRPr="007C5D49" w:rsidR="008E77A3">
        <w:rPr>
          <w:vertAlign w:val="superscript"/>
          <w:lang w:val="nl-NL"/>
        </w:rPr>
        <w:t>e</w:t>
      </w:r>
      <w:r w:rsidRPr="007C5D49" w:rsidR="008E77A3">
        <w:rPr>
          <w:lang w:val="nl-NL"/>
        </w:rPr>
        <w:t xml:space="preserve"> EU sanctie</w:t>
      </w:r>
      <w:r w:rsidRPr="007C5D49">
        <w:rPr>
          <w:lang w:val="nl-NL"/>
        </w:rPr>
        <w:t>pakket</w:t>
      </w:r>
      <w:r w:rsidRPr="007C5D49" w:rsidR="0066414E">
        <w:rPr>
          <w:lang w:val="nl-NL"/>
        </w:rPr>
        <w:t>,</w:t>
      </w:r>
      <w:r w:rsidRPr="007C5D49">
        <w:rPr>
          <w:lang w:val="nl-NL"/>
        </w:rPr>
        <w:t xml:space="preserve"> tussenhandelaren in derde landen die betrokken zijn bij sanctie-omzeiling</w:t>
      </w:r>
      <w:r w:rsidRPr="007C5D49" w:rsidR="00150E27">
        <w:rPr>
          <w:lang w:val="nl-NL"/>
        </w:rPr>
        <w:t>,</w:t>
      </w:r>
      <w:r w:rsidRPr="007C5D49">
        <w:rPr>
          <w:lang w:val="nl-NL"/>
        </w:rPr>
        <w:t xml:space="preserve"> opgenomen worden op de sanctielijst. Sindsdien is dat ook regelmatig gebeurd. </w:t>
      </w:r>
    </w:p>
    <w:p w:rsidRPr="007C5D49" w:rsidR="004B4297" w:rsidP="0011624F" w:rsidRDefault="004B4297" w14:paraId="0064BDAE" w14:textId="0CE28EC7">
      <w:pPr>
        <w:spacing w:line="276" w:lineRule="auto"/>
        <w:rPr>
          <w:lang w:val="nl-NL"/>
        </w:rPr>
      </w:pPr>
      <w:r w:rsidRPr="007C5D49">
        <w:rPr>
          <w:lang w:val="nl-NL"/>
        </w:rPr>
        <w:t>Meer in zijn algemeenheid zet het kabinet in op versterking van de Europese naleving van sancties. Uw Kamer wordt hierover per brief nader geïnformeer</w:t>
      </w:r>
      <w:r w:rsidR="00587DF5">
        <w:rPr>
          <w:lang w:val="nl-NL"/>
        </w:rPr>
        <w:t>d.</w:t>
      </w:r>
      <w:r w:rsidR="00587DF5">
        <w:rPr>
          <w:rStyle w:val="FootnoteReference"/>
          <w:lang w:val="nl-NL"/>
        </w:rPr>
        <w:footnoteReference w:id="15"/>
      </w:r>
      <w:r w:rsidRPr="00200458">
        <w:rPr>
          <w:b/>
          <w:bCs/>
          <w:lang w:val="nl-NL"/>
        </w:rPr>
        <w:t xml:space="preserve"> </w:t>
      </w:r>
      <w:r w:rsidRPr="007C5D49">
        <w:rPr>
          <w:lang w:val="nl-NL"/>
        </w:rPr>
        <w:t xml:space="preserve">Het kabinet doet een reeks concrete voorstellen in dit kader, waaronder het verkennen van mogelijkheden </w:t>
      </w:r>
      <w:r w:rsidRPr="007C5D49" w:rsidR="00D107D0">
        <w:rPr>
          <w:lang w:val="nl-NL"/>
        </w:rPr>
        <w:t>om</w:t>
      </w:r>
      <w:r w:rsidRPr="007C5D49">
        <w:rPr>
          <w:lang w:val="nl-NL"/>
        </w:rPr>
        <w:t xml:space="preserve"> eisen </w:t>
      </w:r>
      <w:r w:rsidRPr="007C5D49" w:rsidR="00D107D0">
        <w:rPr>
          <w:lang w:val="nl-NL"/>
        </w:rPr>
        <w:t>te stellen</w:t>
      </w:r>
      <w:r w:rsidRPr="007C5D49">
        <w:rPr>
          <w:lang w:val="nl-NL"/>
        </w:rPr>
        <w:t xml:space="preserve"> aan het risicomanagement en </w:t>
      </w:r>
      <w:proofErr w:type="spellStart"/>
      <w:r w:rsidRPr="007C5D49">
        <w:rPr>
          <w:i/>
          <w:iCs/>
          <w:lang w:val="nl-NL"/>
        </w:rPr>
        <w:t>due</w:t>
      </w:r>
      <w:proofErr w:type="spellEnd"/>
      <w:r w:rsidRPr="007C5D49">
        <w:rPr>
          <w:i/>
          <w:iCs/>
          <w:lang w:val="nl-NL"/>
        </w:rPr>
        <w:t xml:space="preserve"> </w:t>
      </w:r>
      <w:proofErr w:type="spellStart"/>
      <w:r w:rsidRPr="007C5D49">
        <w:rPr>
          <w:i/>
          <w:iCs/>
          <w:lang w:val="nl-NL"/>
        </w:rPr>
        <w:t>dilligence</w:t>
      </w:r>
      <w:proofErr w:type="spellEnd"/>
      <w:r w:rsidRPr="007C5D49">
        <w:rPr>
          <w:lang w:val="nl-NL"/>
        </w:rPr>
        <w:t xml:space="preserve"> voor hoog-risico sectoren.</w:t>
      </w:r>
    </w:p>
    <w:p w:rsidRPr="00A53E84" w:rsidR="004A1F4D" w:rsidP="0011624F" w:rsidRDefault="004A1F4D" w14:paraId="23332720" w14:textId="708F4AFC">
      <w:pPr>
        <w:spacing w:after="0" w:line="276" w:lineRule="auto"/>
        <w:rPr>
          <w:rFonts w:cs="Times New Roman"/>
          <w:lang w:val="nl-NL" w:eastAsia="ja-JP"/>
        </w:rPr>
      </w:pPr>
    </w:p>
    <w:sectPr w:rsidRPr="00A53E84" w:rsidR="004A1F4D" w:rsidSect="00144D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E4E4" w14:textId="77777777" w:rsidR="0020760C" w:rsidRDefault="0020760C">
      <w:pPr>
        <w:spacing w:after="0"/>
      </w:pPr>
      <w:r>
        <w:separator/>
      </w:r>
    </w:p>
  </w:endnote>
  <w:endnote w:type="continuationSeparator" w:id="0">
    <w:p w14:paraId="7D5219AF" w14:textId="77777777" w:rsidR="0020760C" w:rsidRDefault="0020760C">
      <w:pPr>
        <w:spacing w:after="0"/>
      </w:pPr>
      <w:r>
        <w:continuationSeparator/>
      </w:r>
    </w:p>
  </w:endnote>
  <w:endnote w:type="continuationNotice" w:id="1">
    <w:p w14:paraId="714FB6B1" w14:textId="77777777" w:rsidR="00EA11CD" w:rsidRDefault="00EA1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BA26" w14:textId="77777777" w:rsidR="004636E6" w:rsidRDefault="0046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29AB509F" w14:textId="77777777" w:rsidR="004636E6" w:rsidRDefault="004636E6"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C40B729" w14:textId="77777777" w:rsidR="004636E6" w:rsidRDefault="00463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B5B2" w14:textId="77777777" w:rsidR="004636E6" w:rsidRDefault="0046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C597" w14:textId="77777777" w:rsidR="0020760C" w:rsidRDefault="0020760C">
      <w:pPr>
        <w:spacing w:after="0"/>
      </w:pPr>
      <w:r>
        <w:separator/>
      </w:r>
    </w:p>
  </w:footnote>
  <w:footnote w:type="continuationSeparator" w:id="0">
    <w:p w14:paraId="2F0AF789" w14:textId="77777777" w:rsidR="0020760C" w:rsidRDefault="0020760C">
      <w:pPr>
        <w:spacing w:after="0"/>
      </w:pPr>
      <w:r>
        <w:continuationSeparator/>
      </w:r>
    </w:p>
  </w:footnote>
  <w:footnote w:type="continuationNotice" w:id="1">
    <w:p w14:paraId="37C48AD5" w14:textId="77777777" w:rsidR="00EA11CD" w:rsidRDefault="00EA11CD">
      <w:pPr>
        <w:spacing w:after="0"/>
      </w:pPr>
    </w:p>
  </w:footnote>
  <w:footnote w:id="2">
    <w:p w14:paraId="6D13DAF1" w14:textId="38EEBB5A" w:rsidR="00DF00BD" w:rsidRPr="009E52CF" w:rsidRDefault="00DF00BD">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21501-02, nr. 2962</w:t>
      </w:r>
    </w:p>
  </w:footnote>
  <w:footnote w:id="3">
    <w:p w14:paraId="56B62C6E" w14:textId="3CA2C189" w:rsidR="009F01E3" w:rsidRPr="007C5D49" w:rsidRDefault="009F01E3">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21501-02, nr. 2948</w:t>
      </w:r>
    </w:p>
  </w:footnote>
  <w:footnote w:id="4">
    <w:p w14:paraId="273FCF0E" w14:textId="3EE10894" w:rsidR="003B3298" w:rsidRPr="007C5D49" w:rsidRDefault="003B3298">
      <w:pPr>
        <w:pStyle w:val="FootnoteText"/>
        <w:rPr>
          <w:sz w:val="16"/>
          <w:szCs w:val="16"/>
          <w:lang w:val="nl-NL"/>
        </w:rPr>
      </w:pPr>
      <w:r w:rsidRPr="007C5D49">
        <w:rPr>
          <w:rStyle w:val="FootnoteReference"/>
          <w:sz w:val="16"/>
          <w:szCs w:val="16"/>
        </w:rPr>
        <w:footnoteRef/>
      </w:r>
      <w:r w:rsidRPr="007C5D49">
        <w:rPr>
          <w:sz w:val="16"/>
          <w:szCs w:val="16"/>
          <w:lang w:val="nl-NL"/>
        </w:rPr>
        <w:t xml:space="preserve"> </w:t>
      </w:r>
      <w:r w:rsidR="000E2ED7" w:rsidRPr="007C5D49">
        <w:rPr>
          <w:sz w:val="16"/>
          <w:szCs w:val="16"/>
          <w:lang w:val="nl-NL"/>
        </w:rPr>
        <w:t>Kamerstuk</w:t>
      </w:r>
      <w:r w:rsidRPr="007C5D49">
        <w:rPr>
          <w:sz w:val="16"/>
          <w:szCs w:val="16"/>
          <w:lang w:val="nl-NL"/>
        </w:rPr>
        <w:t xml:space="preserve"> 21501-20, nr. 2117</w:t>
      </w:r>
    </w:p>
  </w:footnote>
  <w:footnote w:id="5">
    <w:p w14:paraId="0A6747FB" w14:textId="240AF237" w:rsidR="000E2ED7" w:rsidRPr="007C5D49" w:rsidRDefault="000E2ED7" w:rsidP="000E2ED7">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21504-02, nr. 2870</w:t>
      </w:r>
    </w:p>
  </w:footnote>
  <w:footnote w:id="6">
    <w:p w14:paraId="16CDA0DD" w14:textId="35B4BBC8" w:rsidR="002A4A73" w:rsidRPr="007C5D49" w:rsidRDefault="002A4A73">
      <w:pPr>
        <w:pStyle w:val="FootnoteText"/>
        <w:rPr>
          <w:sz w:val="16"/>
          <w:szCs w:val="16"/>
          <w:lang w:val="nl-NL"/>
        </w:rPr>
      </w:pPr>
      <w:r w:rsidRPr="007C5D49">
        <w:rPr>
          <w:rStyle w:val="FootnoteReference"/>
          <w:sz w:val="16"/>
          <w:szCs w:val="16"/>
        </w:rPr>
        <w:footnoteRef/>
      </w:r>
      <w:r w:rsidRPr="007C5D49">
        <w:rPr>
          <w:sz w:val="16"/>
          <w:szCs w:val="16"/>
          <w:lang w:val="nl-NL"/>
        </w:rPr>
        <w:t xml:space="preserve"> </w:t>
      </w:r>
      <w:r w:rsidR="005A0242" w:rsidRPr="007C5D49">
        <w:rPr>
          <w:sz w:val="16"/>
          <w:szCs w:val="16"/>
          <w:lang w:val="nl-NL"/>
        </w:rPr>
        <w:t xml:space="preserve">Kamerstuk </w:t>
      </w:r>
      <w:r w:rsidRPr="007C5D49">
        <w:rPr>
          <w:rFonts w:eastAsia="Times New Roman" w:cs="Times New Roman"/>
          <w:sz w:val="16"/>
          <w:szCs w:val="16"/>
          <w:lang w:val="nl-NL" w:eastAsia="nl-NL"/>
        </w:rPr>
        <w:t>21501-02, nr. 2879</w:t>
      </w:r>
    </w:p>
  </w:footnote>
  <w:footnote w:id="7">
    <w:p w14:paraId="33FD0B01" w14:textId="43D9BA65" w:rsidR="00225019" w:rsidRPr="007C5D49" w:rsidRDefault="00225019">
      <w:pPr>
        <w:pStyle w:val="FootnoteText"/>
        <w:rPr>
          <w:sz w:val="16"/>
          <w:szCs w:val="16"/>
          <w:lang w:val="nl-NL"/>
        </w:rPr>
      </w:pPr>
      <w:r w:rsidRPr="007C5D49">
        <w:rPr>
          <w:rStyle w:val="FootnoteReference"/>
          <w:sz w:val="16"/>
          <w:szCs w:val="16"/>
        </w:rPr>
        <w:footnoteRef/>
      </w:r>
      <w:r w:rsidRPr="007C5D49">
        <w:rPr>
          <w:sz w:val="16"/>
          <w:szCs w:val="16"/>
          <w:lang w:val="nl-NL"/>
        </w:rPr>
        <w:t xml:space="preserve"> </w:t>
      </w:r>
      <w:r w:rsidRPr="007C5D49">
        <w:rPr>
          <w:rFonts w:eastAsia="Malgun Gothic"/>
          <w:bCs/>
          <w:sz w:val="16"/>
          <w:szCs w:val="16"/>
          <w:lang w:val="nl-NL" w:eastAsia="ko-KR"/>
        </w:rPr>
        <w:t>Kamerstuk 21501-02, nr. 2945</w:t>
      </w:r>
    </w:p>
  </w:footnote>
  <w:footnote w:id="8">
    <w:p w14:paraId="2427462B" w14:textId="6813734E" w:rsidR="008B41AD" w:rsidRPr="007C5D49" w:rsidRDefault="008B41AD">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21501-02, nr. 2946</w:t>
      </w:r>
    </w:p>
  </w:footnote>
  <w:footnote w:id="9">
    <w:p w14:paraId="0A063A00" w14:textId="10E9A554" w:rsidR="00B352C3" w:rsidRPr="007C5D49" w:rsidRDefault="00B352C3">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21501-20, nr. 2115</w:t>
      </w:r>
    </w:p>
  </w:footnote>
  <w:footnote w:id="10">
    <w:p w14:paraId="312BB636" w14:textId="33F22FA4" w:rsidR="00E87CD1" w:rsidRPr="007C5D49" w:rsidRDefault="00E87CD1">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w:t>
      </w:r>
      <w:r w:rsidRPr="007C5D49">
        <w:rPr>
          <w:rFonts w:eastAsia="Times New Roman" w:cs="Times New Roman"/>
          <w:sz w:val="16"/>
          <w:szCs w:val="16"/>
          <w:lang w:val="nl-NL" w:eastAsia="nl-NL"/>
        </w:rPr>
        <w:t>21501-02, nr. 2877</w:t>
      </w:r>
    </w:p>
  </w:footnote>
  <w:footnote w:id="11">
    <w:p w14:paraId="5319B987" w14:textId="05E8700A" w:rsidR="0019217A" w:rsidRPr="007C5D49" w:rsidRDefault="0019217A" w:rsidP="0019217A">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w:t>
      </w:r>
      <w:r w:rsidRPr="007C5D49">
        <w:rPr>
          <w:rStyle w:val="Emphasis"/>
          <w:i w:val="0"/>
          <w:sz w:val="16"/>
          <w:szCs w:val="16"/>
          <w:lang w:val="nl-NL"/>
        </w:rPr>
        <w:t>21501-02, nr. 2940</w:t>
      </w:r>
    </w:p>
  </w:footnote>
  <w:footnote w:id="12">
    <w:p w14:paraId="17567B17" w14:textId="4574F453" w:rsidR="004835FD" w:rsidRPr="00195247" w:rsidRDefault="004835FD">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w:t>
      </w:r>
      <w:r w:rsidRPr="007C5D49">
        <w:rPr>
          <w:rStyle w:val="Emphasis"/>
          <w:i w:val="0"/>
          <w:iCs w:val="0"/>
          <w:sz w:val="16"/>
          <w:szCs w:val="16"/>
          <w:lang w:val="nl-NL"/>
        </w:rPr>
        <w:t>21501-02, nr. 2967</w:t>
      </w:r>
    </w:p>
  </w:footnote>
  <w:footnote w:id="13">
    <w:p w14:paraId="778C357F" w14:textId="77777777" w:rsidR="00670538" w:rsidRPr="007C5D49" w:rsidRDefault="00670538" w:rsidP="00670538">
      <w:pPr>
        <w:pStyle w:val="FootnoteText"/>
        <w:rPr>
          <w:sz w:val="16"/>
          <w:szCs w:val="16"/>
          <w:lang w:val="nl-NL"/>
        </w:rPr>
      </w:pPr>
      <w:r w:rsidRPr="007C5D49">
        <w:rPr>
          <w:rStyle w:val="FootnoteReference"/>
          <w:sz w:val="16"/>
          <w:szCs w:val="16"/>
        </w:rPr>
        <w:footnoteRef/>
      </w:r>
      <w:r w:rsidRPr="007C5D49">
        <w:rPr>
          <w:sz w:val="16"/>
          <w:szCs w:val="16"/>
          <w:lang w:val="nl-NL"/>
        </w:rPr>
        <w:t xml:space="preserve"> Kamerstuk </w:t>
      </w:r>
      <w:r w:rsidRPr="007C5D49">
        <w:rPr>
          <w:rFonts w:cstheme="minorHAnsi"/>
          <w:sz w:val="16"/>
          <w:szCs w:val="16"/>
          <w:lang w:val="nl-NL"/>
        </w:rPr>
        <w:t>31793, nr. 277</w:t>
      </w:r>
    </w:p>
  </w:footnote>
  <w:footnote w:id="14">
    <w:p w14:paraId="163B6AC0" w14:textId="77777777" w:rsidR="006B3E1A" w:rsidRPr="008C157E" w:rsidRDefault="006B3E1A" w:rsidP="006B3E1A">
      <w:pPr>
        <w:pStyle w:val="FootnoteText"/>
        <w:rPr>
          <w:lang w:val="nl-NL"/>
        </w:rPr>
      </w:pPr>
      <w:r w:rsidRPr="007C5D49">
        <w:rPr>
          <w:rStyle w:val="FootnoteReference"/>
          <w:sz w:val="16"/>
          <w:szCs w:val="16"/>
        </w:rPr>
        <w:footnoteRef/>
      </w:r>
      <w:r w:rsidRPr="008C157E">
        <w:rPr>
          <w:sz w:val="16"/>
          <w:szCs w:val="16"/>
          <w:lang w:val="nl-NL"/>
        </w:rPr>
        <w:t xml:space="preserve"> Toezegging </w:t>
      </w:r>
      <w:r w:rsidRPr="007C5D49">
        <w:rPr>
          <w:sz w:val="16"/>
          <w:szCs w:val="16"/>
          <w:lang w:val="nl-NL"/>
        </w:rPr>
        <w:t>TZ202405-045</w:t>
      </w:r>
    </w:p>
  </w:footnote>
  <w:footnote w:id="15">
    <w:p w14:paraId="6A8C31CC" w14:textId="6FCD2CE0" w:rsidR="00587DF5" w:rsidRPr="005E754F" w:rsidRDefault="00587DF5">
      <w:pPr>
        <w:pStyle w:val="FootnoteText"/>
        <w:rPr>
          <w:sz w:val="16"/>
          <w:szCs w:val="16"/>
          <w:lang w:val="nl-NL"/>
        </w:rPr>
      </w:pPr>
      <w:r w:rsidRPr="0070063D">
        <w:rPr>
          <w:rStyle w:val="FootnoteReference"/>
          <w:sz w:val="16"/>
          <w:szCs w:val="16"/>
        </w:rPr>
        <w:footnoteRef/>
      </w:r>
      <w:r w:rsidRPr="0070063D">
        <w:rPr>
          <w:sz w:val="16"/>
          <w:szCs w:val="16"/>
          <w:lang w:val="nl-NL"/>
        </w:rPr>
        <w:t xml:space="preserve"> Kamerstuk 36600-V,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A545" w14:textId="77777777" w:rsidR="004636E6" w:rsidRDefault="0046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2E5F" w14:textId="77777777" w:rsidR="004636E6" w:rsidRDefault="00463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8A31" w14:textId="77777777" w:rsidR="004636E6" w:rsidRDefault="00463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A6C67"/>
    <w:multiLevelType w:val="multilevel"/>
    <w:tmpl w:val="0FE41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2656B8"/>
    <w:multiLevelType w:val="hybridMultilevel"/>
    <w:tmpl w:val="349223C4"/>
    <w:lvl w:ilvl="0" w:tplc="6A34ED9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4525E9"/>
    <w:multiLevelType w:val="multilevel"/>
    <w:tmpl w:val="4974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3377448">
    <w:abstractNumId w:val="1"/>
  </w:num>
  <w:num w:numId="2" w16cid:durableId="1163542434">
    <w:abstractNumId w:val="0"/>
  </w:num>
  <w:num w:numId="3" w16cid:durableId="359164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D5"/>
    <w:rsid w:val="0000184E"/>
    <w:rsid w:val="00002F97"/>
    <w:rsid w:val="00002F9E"/>
    <w:rsid w:val="00002FB5"/>
    <w:rsid w:val="00010FE3"/>
    <w:rsid w:val="00011885"/>
    <w:rsid w:val="000141D1"/>
    <w:rsid w:val="000143E3"/>
    <w:rsid w:val="00015B32"/>
    <w:rsid w:val="000216CB"/>
    <w:rsid w:val="00024360"/>
    <w:rsid w:val="00031C3C"/>
    <w:rsid w:val="00032DF1"/>
    <w:rsid w:val="00032FD9"/>
    <w:rsid w:val="00037644"/>
    <w:rsid w:val="00037A85"/>
    <w:rsid w:val="00037DEA"/>
    <w:rsid w:val="00045CB8"/>
    <w:rsid w:val="00047FD5"/>
    <w:rsid w:val="00056486"/>
    <w:rsid w:val="00056961"/>
    <w:rsid w:val="00057286"/>
    <w:rsid w:val="0006180A"/>
    <w:rsid w:val="000626FB"/>
    <w:rsid w:val="00064D2B"/>
    <w:rsid w:val="000669FC"/>
    <w:rsid w:val="00067D97"/>
    <w:rsid w:val="00081824"/>
    <w:rsid w:val="00083266"/>
    <w:rsid w:val="00084244"/>
    <w:rsid w:val="00086C72"/>
    <w:rsid w:val="000910F3"/>
    <w:rsid w:val="000920EA"/>
    <w:rsid w:val="00093763"/>
    <w:rsid w:val="0009516E"/>
    <w:rsid w:val="00095448"/>
    <w:rsid w:val="000B0AAB"/>
    <w:rsid w:val="000B43C2"/>
    <w:rsid w:val="000C776B"/>
    <w:rsid w:val="000C7D20"/>
    <w:rsid w:val="000D75E6"/>
    <w:rsid w:val="000E0389"/>
    <w:rsid w:val="000E07BF"/>
    <w:rsid w:val="000E0C91"/>
    <w:rsid w:val="000E24AA"/>
    <w:rsid w:val="000E2B9F"/>
    <w:rsid w:val="000E2ED7"/>
    <w:rsid w:val="000E5DF2"/>
    <w:rsid w:val="000E6FF6"/>
    <w:rsid w:val="000E7766"/>
    <w:rsid w:val="000F2A59"/>
    <w:rsid w:val="000F2C02"/>
    <w:rsid w:val="000F47FD"/>
    <w:rsid w:val="000F4F04"/>
    <w:rsid w:val="000F5C8F"/>
    <w:rsid w:val="000F6932"/>
    <w:rsid w:val="00101BC6"/>
    <w:rsid w:val="001021F3"/>
    <w:rsid w:val="00103C00"/>
    <w:rsid w:val="00103DE1"/>
    <w:rsid w:val="00104C3E"/>
    <w:rsid w:val="00104E4C"/>
    <w:rsid w:val="001101C1"/>
    <w:rsid w:val="001124D5"/>
    <w:rsid w:val="00114AA2"/>
    <w:rsid w:val="0011624F"/>
    <w:rsid w:val="001179B9"/>
    <w:rsid w:val="00121819"/>
    <w:rsid w:val="00123748"/>
    <w:rsid w:val="00123A5D"/>
    <w:rsid w:val="001257BD"/>
    <w:rsid w:val="001279D5"/>
    <w:rsid w:val="00131940"/>
    <w:rsid w:val="00132E11"/>
    <w:rsid w:val="00134C04"/>
    <w:rsid w:val="0014075D"/>
    <w:rsid w:val="00141218"/>
    <w:rsid w:val="0014125B"/>
    <w:rsid w:val="0014319C"/>
    <w:rsid w:val="0014396D"/>
    <w:rsid w:val="00144D1E"/>
    <w:rsid w:val="00150E27"/>
    <w:rsid w:val="00152B37"/>
    <w:rsid w:val="00156FEA"/>
    <w:rsid w:val="001600EE"/>
    <w:rsid w:val="001631C9"/>
    <w:rsid w:val="00166F81"/>
    <w:rsid w:val="00170E2F"/>
    <w:rsid w:val="00176569"/>
    <w:rsid w:val="00180095"/>
    <w:rsid w:val="00180D6D"/>
    <w:rsid w:val="00181ABB"/>
    <w:rsid w:val="001834ED"/>
    <w:rsid w:val="001849FB"/>
    <w:rsid w:val="001865C2"/>
    <w:rsid w:val="00186B33"/>
    <w:rsid w:val="00192152"/>
    <w:rsid w:val="0019217A"/>
    <w:rsid w:val="00195247"/>
    <w:rsid w:val="00197BBE"/>
    <w:rsid w:val="001A05E4"/>
    <w:rsid w:val="001A7904"/>
    <w:rsid w:val="001B0615"/>
    <w:rsid w:val="001B066E"/>
    <w:rsid w:val="001B42AC"/>
    <w:rsid w:val="001B4E6F"/>
    <w:rsid w:val="001B60B8"/>
    <w:rsid w:val="001C0541"/>
    <w:rsid w:val="001C0575"/>
    <w:rsid w:val="001C38B9"/>
    <w:rsid w:val="001C4EC3"/>
    <w:rsid w:val="001C5467"/>
    <w:rsid w:val="001C5DCB"/>
    <w:rsid w:val="001C626A"/>
    <w:rsid w:val="001D2ACE"/>
    <w:rsid w:val="001D53BD"/>
    <w:rsid w:val="001D667D"/>
    <w:rsid w:val="001E0050"/>
    <w:rsid w:val="001E086D"/>
    <w:rsid w:val="001E1112"/>
    <w:rsid w:val="001E1835"/>
    <w:rsid w:val="001E35B7"/>
    <w:rsid w:val="001E3E12"/>
    <w:rsid w:val="001E5527"/>
    <w:rsid w:val="001E62A3"/>
    <w:rsid w:val="001E6464"/>
    <w:rsid w:val="001F61D5"/>
    <w:rsid w:val="001F677B"/>
    <w:rsid w:val="00200458"/>
    <w:rsid w:val="002006EC"/>
    <w:rsid w:val="00204AFB"/>
    <w:rsid w:val="0020760C"/>
    <w:rsid w:val="002100CC"/>
    <w:rsid w:val="00210D4E"/>
    <w:rsid w:val="00211EA3"/>
    <w:rsid w:val="00212FA0"/>
    <w:rsid w:val="00215CA4"/>
    <w:rsid w:val="00216146"/>
    <w:rsid w:val="00217461"/>
    <w:rsid w:val="0022071F"/>
    <w:rsid w:val="00224CA0"/>
    <w:rsid w:val="00225019"/>
    <w:rsid w:val="00227068"/>
    <w:rsid w:val="00230BE0"/>
    <w:rsid w:val="0023305F"/>
    <w:rsid w:val="00233A21"/>
    <w:rsid w:val="00236F82"/>
    <w:rsid w:val="00240519"/>
    <w:rsid w:val="00240D2B"/>
    <w:rsid w:val="002432DA"/>
    <w:rsid w:val="0024478F"/>
    <w:rsid w:val="0024718D"/>
    <w:rsid w:val="00250701"/>
    <w:rsid w:val="002514F2"/>
    <w:rsid w:val="00252BB7"/>
    <w:rsid w:val="00254308"/>
    <w:rsid w:val="00256763"/>
    <w:rsid w:val="00263881"/>
    <w:rsid w:val="002653C6"/>
    <w:rsid w:val="002657B7"/>
    <w:rsid w:val="00266725"/>
    <w:rsid w:val="00267FEC"/>
    <w:rsid w:val="002734AE"/>
    <w:rsid w:val="002772D0"/>
    <w:rsid w:val="0028072F"/>
    <w:rsid w:val="00286081"/>
    <w:rsid w:val="0029048D"/>
    <w:rsid w:val="0029239E"/>
    <w:rsid w:val="00293DDE"/>
    <w:rsid w:val="0029761D"/>
    <w:rsid w:val="002A4A73"/>
    <w:rsid w:val="002A5D04"/>
    <w:rsid w:val="002B3883"/>
    <w:rsid w:val="002B419E"/>
    <w:rsid w:val="002B42D9"/>
    <w:rsid w:val="002B5699"/>
    <w:rsid w:val="002B6106"/>
    <w:rsid w:val="002B72AD"/>
    <w:rsid w:val="002C1635"/>
    <w:rsid w:val="002C20C9"/>
    <w:rsid w:val="002C35ED"/>
    <w:rsid w:val="002C4E14"/>
    <w:rsid w:val="002C6515"/>
    <w:rsid w:val="002D15B6"/>
    <w:rsid w:val="002D1AEB"/>
    <w:rsid w:val="002D1F66"/>
    <w:rsid w:val="002D2BAA"/>
    <w:rsid w:val="002D6FBF"/>
    <w:rsid w:val="002E07A3"/>
    <w:rsid w:val="002E3236"/>
    <w:rsid w:val="002E5AD4"/>
    <w:rsid w:val="002E7269"/>
    <w:rsid w:val="00300936"/>
    <w:rsid w:val="00300B49"/>
    <w:rsid w:val="00304514"/>
    <w:rsid w:val="00310390"/>
    <w:rsid w:val="00312284"/>
    <w:rsid w:val="003125C6"/>
    <w:rsid w:val="0031354D"/>
    <w:rsid w:val="00315153"/>
    <w:rsid w:val="0031625E"/>
    <w:rsid w:val="00321D3A"/>
    <w:rsid w:val="00326761"/>
    <w:rsid w:val="00333D6B"/>
    <w:rsid w:val="00336679"/>
    <w:rsid w:val="00336E9E"/>
    <w:rsid w:val="00340997"/>
    <w:rsid w:val="00340F38"/>
    <w:rsid w:val="00341FA4"/>
    <w:rsid w:val="00344DAA"/>
    <w:rsid w:val="00347322"/>
    <w:rsid w:val="003503E1"/>
    <w:rsid w:val="00350B62"/>
    <w:rsid w:val="00350C90"/>
    <w:rsid w:val="003523C6"/>
    <w:rsid w:val="0035274E"/>
    <w:rsid w:val="00356AB9"/>
    <w:rsid w:val="0035776D"/>
    <w:rsid w:val="00360C2A"/>
    <w:rsid w:val="003614F0"/>
    <w:rsid w:val="003616F0"/>
    <w:rsid w:val="00362C21"/>
    <w:rsid w:val="00363D67"/>
    <w:rsid w:val="00364731"/>
    <w:rsid w:val="00366CDD"/>
    <w:rsid w:val="00367BEA"/>
    <w:rsid w:val="00370AC0"/>
    <w:rsid w:val="00373897"/>
    <w:rsid w:val="003743F4"/>
    <w:rsid w:val="003761ED"/>
    <w:rsid w:val="00376FD1"/>
    <w:rsid w:val="00377F7E"/>
    <w:rsid w:val="0038289F"/>
    <w:rsid w:val="00385193"/>
    <w:rsid w:val="003926BD"/>
    <w:rsid w:val="00395CBC"/>
    <w:rsid w:val="003963C6"/>
    <w:rsid w:val="003A025C"/>
    <w:rsid w:val="003A1608"/>
    <w:rsid w:val="003A282E"/>
    <w:rsid w:val="003B2E2B"/>
    <w:rsid w:val="003B3298"/>
    <w:rsid w:val="003C5228"/>
    <w:rsid w:val="003D1D3D"/>
    <w:rsid w:val="003D3C8B"/>
    <w:rsid w:val="003E17B6"/>
    <w:rsid w:val="003E1DD3"/>
    <w:rsid w:val="003F07D3"/>
    <w:rsid w:val="003F6006"/>
    <w:rsid w:val="003F7085"/>
    <w:rsid w:val="003F7BE5"/>
    <w:rsid w:val="003F7D0E"/>
    <w:rsid w:val="00400EC5"/>
    <w:rsid w:val="004037CF"/>
    <w:rsid w:val="004051F1"/>
    <w:rsid w:val="00410217"/>
    <w:rsid w:val="00413DB8"/>
    <w:rsid w:val="00413EF1"/>
    <w:rsid w:val="00414B53"/>
    <w:rsid w:val="0042222A"/>
    <w:rsid w:val="00423148"/>
    <w:rsid w:val="00424540"/>
    <w:rsid w:val="0043058B"/>
    <w:rsid w:val="00434059"/>
    <w:rsid w:val="00442C28"/>
    <w:rsid w:val="0044326E"/>
    <w:rsid w:val="00444039"/>
    <w:rsid w:val="00444733"/>
    <w:rsid w:val="0044506D"/>
    <w:rsid w:val="00445BD9"/>
    <w:rsid w:val="0044657C"/>
    <w:rsid w:val="004509A7"/>
    <w:rsid w:val="00450ECD"/>
    <w:rsid w:val="00451566"/>
    <w:rsid w:val="004522C2"/>
    <w:rsid w:val="00453D08"/>
    <w:rsid w:val="00455EAA"/>
    <w:rsid w:val="0045626A"/>
    <w:rsid w:val="00460E23"/>
    <w:rsid w:val="00462258"/>
    <w:rsid w:val="004636E6"/>
    <w:rsid w:val="004663AF"/>
    <w:rsid w:val="00474D0F"/>
    <w:rsid w:val="004808F8"/>
    <w:rsid w:val="0048174A"/>
    <w:rsid w:val="00482DE7"/>
    <w:rsid w:val="004835FD"/>
    <w:rsid w:val="00483675"/>
    <w:rsid w:val="00483A78"/>
    <w:rsid w:val="004841A7"/>
    <w:rsid w:val="00484DB8"/>
    <w:rsid w:val="004854DD"/>
    <w:rsid w:val="00485783"/>
    <w:rsid w:val="00487B83"/>
    <w:rsid w:val="00492990"/>
    <w:rsid w:val="00492FD4"/>
    <w:rsid w:val="0049416F"/>
    <w:rsid w:val="00495AB3"/>
    <w:rsid w:val="004A1F4D"/>
    <w:rsid w:val="004A345B"/>
    <w:rsid w:val="004A5B43"/>
    <w:rsid w:val="004B12B7"/>
    <w:rsid w:val="004B294B"/>
    <w:rsid w:val="004B4297"/>
    <w:rsid w:val="004B7EDC"/>
    <w:rsid w:val="004C3071"/>
    <w:rsid w:val="004C5615"/>
    <w:rsid w:val="004C60B0"/>
    <w:rsid w:val="004C6CB3"/>
    <w:rsid w:val="004D0385"/>
    <w:rsid w:val="004D1F0B"/>
    <w:rsid w:val="004D2ED4"/>
    <w:rsid w:val="004D2EF3"/>
    <w:rsid w:val="004D5472"/>
    <w:rsid w:val="004D6069"/>
    <w:rsid w:val="004D6F5D"/>
    <w:rsid w:val="004E08A7"/>
    <w:rsid w:val="004E0ED0"/>
    <w:rsid w:val="004E5105"/>
    <w:rsid w:val="004E7F46"/>
    <w:rsid w:val="004F06D1"/>
    <w:rsid w:val="004F07F0"/>
    <w:rsid w:val="004F1050"/>
    <w:rsid w:val="004F2CA8"/>
    <w:rsid w:val="004F5357"/>
    <w:rsid w:val="004F6FB2"/>
    <w:rsid w:val="0050090C"/>
    <w:rsid w:val="005019B4"/>
    <w:rsid w:val="005028E5"/>
    <w:rsid w:val="005055DB"/>
    <w:rsid w:val="0050592D"/>
    <w:rsid w:val="00506CD8"/>
    <w:rsid w:val="005076F1"/>
    <w:rsid w:val="0051082F"/>
    <w:rsid w:val="00512C9E"/>
    <w:rsid w:val="005168E0"/>
    <w:rsid w:val="00525683"/>
    <w:rsid w:val="00534060"/>
    <w:rsid w:val="00535633"/>
    <w:rsid w:val="00535CA2"/>
    <w:rsid w:val="00536BB9"/>
    <w:rsid w:val="0053741F"/>
    <w:rsid w:val="00541DB4"/>
    <w:rsid w:val="005460F9"/>
    <w:rsid w:val="00546C5A"/>
    <w:rsid w:val="00551C73"/>
    <w:rsid w:val="00552212"/>
    <w:rsid w:val="00552CB0"/>
    <w:rsid w:val="00555D1B"/>
    <w:rsid w:val="00557CCB"/>
    <w:rsid w:val="005615E8"/>
    <w:rsid w:val="00562A0C"/>
    <w:rsid w:val="00565B33"/>
    <w:rsid w:val="00567376"/>
    <w:rsid w:val="0057082A"/>
    <w:rsid w:val="00570AA4"/>
    <w:rsid w:val="00571319"/>
    <w:rsid w:val="00572DFE"/>
    <w:rsid w:val="0057474F"/>
    <w:rsid w:val="00576A0D"/>
    <w:rsid w:val="00576FC9"/>
    <w:rsid w:val="00577C6B"/>
    <w:rsid w:val="00583B8D"/>
    <w:rsid w:val="00587DF5"/>
    <w:rsid w:val="00590991"/>
    <w:rsid w:val="00590EE1"/>
    <w:rsid w:val="00591934"/>
    <w:rsid w:val="00593642"/>
    <w:rsid w:val="00596862"/>
    <w:rsid w:val="00596D77"/>
    <w:rsid w:val="0059714F"/>
    <w:rsid w:val="005A0242"/>
    <w:rsid w:val="005A4A30"/>
    <w:rsid w:val="005B2589"/>
    <w:rsid w:val="005B2DC0"/>
    <w:rsid w:val="005B76EE"/>
    <w:rsid w:val="005B7779"/>
    <w:rsid w:val="005C0C2E"/>
    <w:rsid w:val="005C3822"/>
    <w:rsid w:val="005C4063"/>
    <w:rsid w:val="005C5BF5"/>
    <w:rsid w:val="005D348C"/>
    <w:rsid w:val="005D75A5"/>
    <w:rsid w:val="005E1666"/>
    <w:rsid w:val="005E1EC6"/>
    <w:rsid w:val="005E57C5"/>
    <w:rsid w:val="005E754F"/>
    <w:rsid w:val="005F13A0"/>
    <w:rsid w:val="00603CBB"/>
    <w:rsid w:val="0060448B"/>
    <w:rsid w:val="00611028"/>
    <w:rsid w:val="00614526"/>
    <w:rsid w:val="0061455E"/>
    <w:rsid w:val="006165AA"/>
    <w:rsid w:val="00617252"/>
    <w:rsid w:val="006172CF"/>
    <w:rsid w:val="00622D3F"/>
    <w:rsid w:val="0062346E"/>
    <w:rsid w:val="00626F04"/>
    <w:rsid w:val="00627D53"/>
    <w:rsid w:val="00641AE8"/>
    <w:rsid w:val="006449C0"/>
    <w:rsid w:val="00645E5C"/>
    <w:rsid w:val="0065321A"/>
    <w:rsid w:val="0065386D"/>
    <w:rsid w:val="00653BA5"/>
    <w:rsid w:val="00655D20"/>
    <w:rsid w:val="00662BB6"/>
    <w:rsid w:val="0066414E"/>
    <w:rsid w:val="00664803"/>
    <w:rsid w:val="00664C3A"/>
    <w:rsid w:val="00670006"/>
    <w:rsid w:val="00670538"/>
    <w:rsid w:val="006708EA"/>
    <w:rsid w:val="00675AFD"/>
    <w:rsid w:val="006838B5"/>
    <w:rsid w:val="00684AD4"/>
    <w:rsid w:val="006879E1"/>
    <w:rsid w:val="00690F2F"/>
    <w:rsid w:val="0069164B"/>
    <w:rsid w:val="00691CBF"/>
    <w:rsid w:val="006926F7"/>
    <w:rsid w:val="006978C5"/>
    <w:rsid w:val="006A03A5"/>
    <w:rsid w:val="006A081C"/>
    <w:rsid w:val="006A137B"/>
    <w:rsid w:val="006A3FB9"/>
    <w:rsid w:val="006A6A89"/>
    <w:rsid w:val="006A7191"/>
    <w:rsid w:val="006B0411"/>
    <w:rsid w:val="006B3DB2"/>
    <w:rsid w:val="006B3E1A"/>
    <w:rsid w:val="006B49B2"/>
    <w:rsid w:val="006B75EC"/>
    <w:rsid w:val="006C59E1"/>
    <w:rsid w:val="006C632A"/>
    <w:rsid w:val="006C7EAE"/>
    <w:rsid w:val="006C7F17"/>
    <w:rsid w:val="006D2B5D"/>
    <w:rsid w:val="006D3185"/>
    <w:rsid w:val="006D706A"/>
    <w:rsid w:val="006E2351"/>
    <w:rsid w:val="006F0D47"/>
    <w:rsid w:val="006F1899"/>
    <w:rsid w:val="006F1C64"/>
    <w:rsid w:val="006F25C4"/>
    <w:rsid w:val="006F3D64"/>
    <w:rsid w:val="006F6DAE"/>
    <w:rsid w:val="0070063D"/>
    <w:rsid w:val="00701182"/>
    <w:rsid w:val="00701623"/>
    <w:rsid w:val="00703B0A"/>
    <w:rsid w:val="00703C5C"/>
    <w:rsid w:val="007108DA"/>
    <w:rsid w:val="00716BCA"/>
    <w:rsid w:val="00721224"/>
    <w:rsid w:val="0072180B"/>
    <w:rsid w:val="00721987"/>
    <w:rsid w:val="00723957"/>
    <w:rsid w:val="00724559"/>
    <w:rsid w:val="00724A3D"/>
    <w:rsid w:val="0073099E"/>
    <w:rsid w:val="00734C6A"/>
    <w:rsid w:val="00742FBE"/>
    <w:rsid w:val="00743538"/>
    <w:rsid w:val="00754125"/>
    <w:rsid w:val="00756A00"/>
    <w:rsid w:val="00763D06"/>
    <w:rsid w:val="0076551A"/>
    <w:rsid w:val="00770D95"/>
    <w:rsid w:val="0077370C"/>
    <w:rsid w:val="007748FB"/>
    <w:rsid w:val="0077512A"/>
    <w:rsid w:val="00781311"/>
    <w:rsid w:val="00781609"/>
    <w:rsid w:val="00782783"/>
    <w:rsid w:val="00784D06"/>
    <w:rsid w:val="00787146"/>
    <w:rsid w:val="007872B2"/>
    <w:rsid w:val="007918CD"/>
    <w:rsid w:val="00791A3F"/>
    <w:rsid w:val="00793115"/>
    <w:rsid w:val="0079781A"/>
    <w:rsid w:val="00797C49"/>
    <w:rsid w:val="007A4751"/>
    <w:rsid w:val="007A5C46"/>
    <w:rsid w:val="007B0BF3"/>
    <w:rsid w:val="007B1A55"/>
    <w:rsid w:val="007B2144"/>
    <w:rsid w:val="007B2E4F"/>
    <w:rsid w:val="007B5985"/>
    <w:rsid w:val="007B6002"/>
    <w:rsid w:val="007C142D"/>
    <w:rsid w:val="007C4216"/>
    <w:rsid w:val="007C5D49"/>
    <w:rsid w:val="007C6A11"/>
    <w:rsid w:val="007C6EA1"/>
    <w:rsid w:val="007C7816"/>
    <w:rsid w:val="007D03E0"/>
    <w:rsid w:val="007D070D"/>
    <w:rsid w:val="007D46C2"/>
    <w:rsid w:val="007D4737"/>
    <w:rsid w:val="007D4A47"/>
    <w:rsid w:val="007D5994"/>
    <w:rsid w:val="007D7DEA"/>
    <w:rsid w:val="007E2569"/>
    <w:rsid w:val="007E2862"/>
    <w:rsid w:val="007E7F94"/>
    <w:rsid w:val="007F0102"/>
    <w:rsid w:val="007F4B0D"/>
    <w:rsid w:val="007F701D"/>
    <w:rsid w:val="008014EC"/>
    <w:rsid w:val="00802178"/>
    <w:rsid w:val="00813858"/>
    <w:rsid w:val="008138E1"/>
    <w:rsid w:val="008154FE"/>
    <w:rsid w:val="00816C3A"/>
    <w:rsid w:val="00821F73"/>
    <w:rsid w:val="00826569"/>
    <w:rsid w:val="00826752"/>
    <w:rsid w:val="008302D0"/>
    <w:rsid w:val="00831909"/>
    <w:rsid w:val="00833EC6"/>
    <w:rsid w:val="008342E4"/>
    <w:rsid w:val="00836A62"/>
    <w:rsid w:val="00836FAA"/>
    <w:rsid w:val="0083715E"/>
    <w:rsid w:val="008378D3"/>
    <w:rsid w:val="008379DA"/>
    <w:rsid w:val="008401A6"/>
    <w:rsid w:val="008403AB"/>
    <w:rsid w:val="00840DD3"/>
    <w:rsid w:val="00843098"/>
    <w:rsid w:val="00853FC0"/>
    <w:rsid w:val="0085555C"/>
    <w:rsid w:val="00860384"/>
    <w:rsid w:val="008645E8"/>
    <w:rsid w:val="0086610B"/>
    <w:rsid w:val="00867796"/>
    <w:rsid w:val="008770E1"/>
    <w:rsid w:val="0088028E"/>
    <w:rsid w:val="00881CF2"/>
    <w:rsid w:val="008838B7"/>
    <w:rsid w:val="00883F68"/>
    <w:rsid w:val="00884774"/>
    <w:rsid w:val="00886843"/>
    <w:rsid w:val="00886B30"/>
    <w:rsid w:val="00891F18"/>
    <w:rsid w:val="008920F6"/>
    <w:rsid w:val="008921AE"/>
    <w:rsid w:val="00892A32"/>
    <w:rsid w:val="00894CAA"/>
    <w:rsid w:val="008A0319"/>
    <w:rsid w:val="008A19F5"/>
    <w:rsid w:val="008A4128"/>
    <w:rsid w:val="008B31C1"/>
    <w:rsid w:val="008B41AD"/>
    <w:rsid w:val="008B4386"/>
    <w:rsid w:val="008B652D"/>
    <w:rsid w:val="008C157E"/>
    <w:rsid w:val="008C19D8"/>
    <w:rsid w:val="008C1FDF"/>
    <w:rsid w:val="008C42E0"/>
    <w:rsid w:val="008C7DCF"/>
    <w:rsid w:val="008D1256"/>
    <w:rsid w:val="008D4953"/>
    <w:rsid w:val="008D4DEA"/>
    <w:rsid w:val="008D608F"/>
    <w:rsid w:val="008D68EF"/>
    <w:rsid w:val="008E1075"/>
    <w:rsid w:val="008E26E5"/>
    <w:rsid w:val="008E400B"/>
    <w:rsid w:val="008E63AB"/>
    <w:rsid w:val="008E74F4"/>
    <w:rsid w:val="008E77A3"/>
    <w:rsid w:val="008F2560"/>
    <w:rsid w:val="008F3482"/>
    <w:rsid w:val="008F452A"/>
    <w:rsid w:val="008F4CF3"/>
    <w:rsid w:val="008F6A9D"/>
    <w:rsid w:val="008F7BE6"/>
    <w:rsid w:val="009036B3"/>
    <w:rsid w:val="00904236"/>
    <w:rsid w:val="00905327"/>
    <w:rsid w:val="00905598"/>
    <w:rsid w:val="00905E2A"/>
    <w:rsid w:val="00907BB6"/>
    <w:rsid w:val="00907E68"/>
    <w:rsid w:val="009105E2"/>
    <w:rsid w:val="009116B2"/>
    <w:rsid w:val="0091482C"/>
    <w:rsid w:val="00923B11"/>
    <w:rsid w:val="00923CC4"/>
    <w:rsid w:val="0092710A"/>
    <w:rsid w:val="009273AF"/>
    <w:rsid w:val="009315C6"/>
    <w:rsid w:val="009361CA"/>
    <w:rsid w:val="009377A8"/>
    <w:rsid w:val="00943ABE"/>
    <w:rsid w:val="00943ED0"/>
    <w:rsid w:val="00943F5E"/>
    <w:rsid w:val="00944026"/>
    <w:rsid w:val="00945C46"/>
    <w:rsid w:val="0094647F"/>
    <w:rsid w:val="0094729D"/>
    <w:rsid w:val="009516D5"/>
    <w:rsid w:val="0095294B"/>
    <w:rsid w:val="009531E1"/>
    <w:rsid w:val="0095383C"/>
    <w:rsid w:val="00961BEF"/>
    <w:rsid w:val="009655DD"/>
    <w:rsid w:val="00965C57"/>
    <w:rsid w:val="00966B15"/>
    <w:rsid w:val="0096707A"/>
    <w:rsid w:val="00967173"/>
    <w:rsid w:val="00967DC7"/>
    <w:rsid w:val="009700D5"/>
    <w:rsid w:val="009714CC"/>
    <w:rsid w:val="0097257B"/>
    <w:rsid w:val="00972F22"/>
    <w:rsid w:val="00974852"/>
    <w:rsid w:val="00974F79"/>
    <w:rsid w:val="009774FA"/>
    <w:rsid w:val="0098003A"/>
    <w:rsid w:val="009801E2"/>
    <w:rsid w:val="00981E8F"/>
    <w:rsid w:val="00983E1B"/>
    <w:rsid w:val="0098482C"/>
    <w:rsid w:val="00985D7C"/>
    <w:rsid w:val="009869D6"/>
    <w:rsid w:val="00987089"/>
    <w:rsid w:val="009872CF"/>
    <w:rsid w:val="0099697F"/>
    <w:rsid w:val="00996988"/>
    <w:rsid w:val="009A05E7"/>
    <w:rsid w:val="009A11F6"/>
    <w:rsid w:val="009A2C03"/>
    <w:rsid w:val="009A3576"/>
    <w:rsid w:val="009A4948"/>
    <w:rsid w:val="009A56C7"/>
    <w:rsid w:val="009A5D27"/>
    <w:rsid w:val="009A7142"/>
    <w:rsid w:val="009B3E3F"/>
    <w:rsid w:val="009B6EC4"/>
    <w:rsid w:val="009C0D08"/>
    <w:rsid w:val="009C1493"/>
    <w:rsid w:val="009C57A2"/>
    <w:rsid w:val="009D4E4F"/>
    <w:rsid w:val="009E2FD9"/>
    <w:rsid w:val="009E52CF"/>
    <w:rsid w:val="009E54DF"/>
    <w:rsid w:val="009E6B1D"/>
    <w:rsid w:val="009F01E3"/>
    <w:rsid w:val="009F0C86"/>
    <w:rsid w:val="009F1066"/>
    <w:rsid w:val="009F3649"/>
    <w:rsid w:val="009F4A64"/>
    <w:rsid w:val="009F4BDB"/>
    <w:rsid w:val="009F6B8B"/>
    <w:rsid w:val="00A005B7"/>
    <w:rsid w:val="00A0127E"/>
    <w:rsid w:val="00A01C97"/>
    <w:rsid w:val="00A03054"/>
    <w:rsid w:val="00A0359C"/>
    <w:rsid w:val="00A064F0"/>
    <w:rsid w:val="00A070A0"/>
    <w:rsid w:val="00A129FE"/>
    <w:rsid w:val="00A207A0"/>
    <w:rsid w:val="00A22636"/>
    <w:rsid w:val="00A2305C"/>
    <w:rsid w:val="00A240FD"/>
    <w:rsid w:val="00A27097"/>
    <w:rsid w:val="00A30E5C"/>
    <w:rsid w:val="00A30F17"/>
    <w:rsid w:val="00A3297F"/>
    <w:rsid w:val="00A4147B"/>
    <w:rsid w:val="00A4500D"/>
    <w:rsid w:val="00A45BD0"/>
    <w:rsid w:val="00A4601C"/>
    <w:rsid w:val="00A47155"/>
    <w:rsid w:val="00A508C0"/>
    <w:rsid w:val="00A50F90"/>
    <w:rsid w:val="00A53E84"/>
    <w:rsid w:val="00A61417"/>
    <w:rsid w:val="00A6176C"/>
    <w:rsid w:val="00A62D3E"/>
    <w:rsid w:val="00A631E4"/>
    <w:rsid w:val="00A64D20"/>
    <w:rsid w:val="00A65458"/>
    <w:rsid w:val="00A73E5B"/>
    <w:rsid w:val="00A74305"/>
    <w:rsid w:val="00A745CA"/>
    <w:rsid w:val="00A75F03"/>
    <w:rsid w:val="00A767C8"/>
    <w:rsid w:val="00A77725"/>
    <w:rsid w:val="00A80BFE"/>
    <w:rsid w:val="00A8131C"/>
    <w:rsid w:val="00A86657"/>
    <w:rsid w:val="00A9283F"/>
    <w:rsid w:val="00A9370F"/>
    <w:rsid w:val="00A94645"/>
    <w:rsid w:val="00AA0051"/>
    <w:rsid w:val="00AA04E6"/>
    <w:rsid w:val="00AA0B4B"/>
    <w:rsid w:val="00AA2650"/>
    <w:rsid w:val="00AB1F2D"/>
    <w:rsid w:val="00AB775A"/>
    <w:rsid w:val="00AC68BD"/>
    <w:rsid w:val="00AC6949"/>
    <w:rsid w:val="00AC73EB"/>
    <w:rsid w:val="00AD2390"/>
    <w:rsid w:val="00AD2BC6"/>
    <w:rsid w:val="00AD58D6"/>
    <w:rsid w:val="00AE14C1"/>
    <w:rsid w:val="00AE15F6"/>
    <w:rsid w:val="00AE224C"/>
    <w:rsid w:val="00AE3774"/>
    <w:rsid w:val="00AE55D7"/>
    <w:rsid w:val="00AE5F3E"/>
    <w:rsid w:val="00AE7F2D"/>
    <w:rsid w:val="00AF1C03"/>
    <w:rsid w:val="00AF1D57"/>
    <w:rsid w:val="00AF2A64"/>
    <w:rsid w:val="00AF3094"/>
    <w:rsid w:val="00AF3627"/>
    <w:rsid w:val="00AF6FDA"/>
    <w:rsid w:val="00B0106C"/>
    <w:rsid w:val="00B01509"/>
    <w:rsid w:val="00B03F6C"/>
    <w:rsid w:val="00B06151"/>
    <w:rsid w:val="00B10B3B"/>
    <w:rsid w:val="00B10DC2"/>
    <w:rsid w:val="00B1201F"/>
    <w:rsid w:val="00B123F8"/>
    <w:rsid w:val="00B1422F"/>
    <w:rsid w:val="00B1435A"/>
    <w:rsid w:val="00B14A88"/>
    <w:rsid w:val="00B1678C"/>
    <w:rsid w:val="00B221DC"/>
    <w:rsid w:val="00B325EC"/>
    <w:rsid w:val="00B352C3"/>
    <w:rsid w:val="00B3645F"/>
    <w:rsid w:val="00B3794F"/>
    <w:rsid w:val="00B37D15"/>
    <w:rsid w:val="00B4383D"/>
    <w:rsid w:val="00B45C6C"/>
    <w:rsid w:val="00B47A1C"/>
    <w:rsid w:val="00B47D29"/>
    <w:rsid w:val="00B50A76"/>
    <w:rsid w:val="00B513D8"/>
    <w:rsid w:val="00B51D5B"/>
    <w:rsid w:val="00B539FE"/>
    <w:rsid w:val="00B54267"/>
    <w:rsid w:val="00B55FE0"/>
    <w:rsid w:val="00B574A0"/>
    <w:rsid w:val="00B628C5"/>
    <w:rsid w:val="00B62A3E"/>
    <w:rsid w:val="00B62F9D"/>
    <w:rsid w:val="00B64C1B"/>
    <w:rsid w:val="00B65F9A"/>
    <w:rsid w:val="00B708AB"/>
    <w:rsid w:val="00B72149"/>
    <w:rsid w:val="00B73863"/>
    <w:rsid w:val="00B759B7"/>
    <w:rsid w:val="00B80525"/>
    <w:rsid w:val="00B82429"/>
    <w:rsid w:val="00B85A25"/>
    <w:rsid w:val="00B900C9"/>
    <w:rsid w:val="00B9011F"/>
    <w:rsid w:val="00B928EF"/>
    <w:rsid w:val="00B9372F"/>
    <w:rsid w:val="00B94A74"/>
    <w:rsid w:val="00B95654"/>
    <w:rsid w:val="00BA0690"/>
    <w:rsid w:val="00BA6EE4"/>
    <w:rsid w:val="00BB4101"/>
    <w:rsid w:val="00BB6D73"/>
    <w:rsid w:val="00BC0F5D"/>
    <w:rsid w:val="00BC4E65"/>
    <w:rsid w:val="00BC59ED"/>
    <w:rsid w:val="00BC73EE"/>
    <w:rsid w:val="00BD00A1"/>
    <w:rsid w:val="00BD6A1F"/>
    <w:rsid w:val="00BD7F1E"/>
    <w:rsid w:val="00BE0FE9"/>
    <w:rsid w:val="00BE254E"/>
    <w:rsid w:val="00BE4CD5"/>
    <w:rsid w:val="00BE4F46"/>
    <w:rsid w:val="00BF0649"/>
    <w:rsid w:val="00BF3921"/>
    <w:rsid w:val="00BF43E6"/>
    <w:rsid w:val="00BF4D16"/>
    <w:rsid w:val="00BF56A2"/>
    <w:rsid w:val="00BF6C4E"/>
    <w:rsid w:val="00C04128"/>
    <w:rsid w:val="00C047E5"/>
    <w:rsid w:val="00C22406"/>
    <w:rsid w:val="00C3342B"/>
    <w:rsid w:val="00C334DA"/>
    <w:rsid w:val="00C3562D"/>
    <w:rsid w:val="00C357B2"/>
    <w:rsid w:val="00C40DD4"/>
    <w:rsid w:val="00C40ED1"/>
    <w:rsid w:val="00C429FA"/>
    <w:rsid w:val="00C449E0"/>
    <w:rsid w:val="00C44A75"/>
    <w:rsid w:val="00C45E5D"/>
    <w:rsid w:val="00C45F6E"/>
    <w:rsid w:val="00C5076D"/>
    <w:rsid w:val="00C52107"/>
    <w:rsid w:val="00C524C2"/>
    <w:rsid w:val="00C528D5"/>
    <w:rsid w:val="00C550BF"/>
    <w:rsid w:val="00C55B2C"/>
    <w:rsid w:val="00C640FA"/>
    <w:rsid w:val="00C6614E"/>
    <w:rsid w:val="00C671CC"/>
    <w:rsid w:val="00C71478"/>
    <w:rsid w:val="00C7389A"/>
    <w:rsid w:val="00C74350"/>
    <w:rsid w:val="00C74CAE"/>
    <w:rsid w:val="00C74F18"/>
    <w:rsid w:val="00C81401"/>
    <w:rsid w:val="00C82483"/>
    <w:rsid w:val="00C84DC1"/>
    <w:rsid w:val="00C901C9"/>
    <w:rsid w:val="00C910D4"/>
    <w:rsid w:val="00C91E5B"/>
    <w:rsid w:val="00C91F94"/>
    <w:rsid w:val="00C94E0B"/>
    <w:rsid w:val="00CA57D2"/>
    <w:rsid w:val="00CA760F"/>
    <w:rsid w:val="00CB3B0A"/>
    <w:rsid w:val="00CB7E41"/>
    <w:rsid w:val="00CC219A"/>
    <w:rsid w:val="00CC388B"/>
    <w:rsid w:val="00CC52AF"/>
    <w:rsid w:val="00CC6E3B"/>
    <w:rsid w:val="00CD2A98"/>
    <w:rsid w:val="00CD3F18"/>
    <w:rsid w:val="00CD504A"/>
    <w:rsid w:val="00CD65FA"/>
    <w:rsid w:val="00CD6924"/>
    <w:rsid w:val="00CD6DC7"/>
    <w:rsid w:val="00CD6F8D"/>
    <w:rsid w:val="00CD71E8"/>
    <w:rsid w:val="00CE1BFB"/>
    <w:rsid w:val="00CE2ED7"/>
    <w:rsid w:val="00CE69E6"/>
    <w:rsid w:val="00CF12BC"/>
    <w:rsid w:val="00CF1C0F"/>
    <w:rsid w:val="00CF221F"/>
    <w:rsid w:val="00CF2739"/>
    <w:rsid w:val="00CF2CD2"/>
    <w:rsid w:val="00CF593A"/>
    <w:rsid w:val="00CF6A26"/>
    <w:rsid w:val="00CF7F7A"/>
    <w:rsid w:val="00D00F3A"/>
    <w:rsid w:val="00D0130B"/>
    <w:rsid w:val="00D03B7C"/>
    <w:rsid w:val="00D06823"/>
    <w:rsid w:val="00D07D08"/>
    <w:rsid w:val="00D107D0"/>
    <w:rsid w:val="00D17456"/>
    <w:rsid w:val="00D21DA2"/>
    <w:rsid w:val="00D25C33"/>
    <w:rsid w:val="00D25E2B"/>
    <w:rsid w:val="00D31A81"/>
    <w:rsid w:val="00D33362"/>
    <w:rsid w:val="00D34966"/>
    <w:rsid w:val="00D40238"/>
    <w:rsid w:val="00D4160A"/>
    <w:rsid w:val="00D43AC5"/>
    <w:rsid w:val="00D448F4"/>
    <w:rsid w:val="00D44F78"/>
    <w:rsid w:val="00D50010"/>
    <w:rsid w:val="00D504D1"/>
    <w:rsid w:val="00D50FBE"/>
    <w:rsid w:val="00D53F87"/>
    <w:rsid w:val="00D546D0"/>
    <w:rsid w:val="00D56904"/>
    <w:rsid w:val="00D576EF"/>
    <w:rsid w:val="00D5783E"/>
    <w:rsid w:val="00D607E6"/>
    <w:rsid w:val="00D62500"/>
    <w:rsid w:val="00D62CCB"/>
    <w:rsid w:val="00D633A3"/>
    <w:rsid w:val="00D651E1"/>
    <w:rsid w:val="00D66874"/>
    <w:rsid w:val="00D67F72"/>
    <w:rsid w:val="00D70253"/>
    <w:rsid w:val="00D709B9"/>
    <w:rsid w:val="00D72708"/>
    <w:rsid w:val="00D72D94"/>
    <w:rsid w:val="00D73516"/>
    <w:rsid w:val="00D73866"/>
    <w:rsid w:val="00D73DEC"/>
    <w:rsid w:val="00D74897"/>
    <w:rsid w:val="00D77A78"/>
    <w:rsid w:val="00D80A9C"/>
    <w:rsid w:val="00D82CF1"/>
    <w:rsid w:val="00D85301"/>
    <w:rsid w:val="00D85C0E"/>
    <w:rsid w:val="00D90662"/>
    <w:rsid w:val="00D91A06"/>
    <w:rsid w:val="00D942C9"/>
    <w:rsid w:val="00D947C3"/>
    <w:rsid w:val="00D9741E"/>
    <w:rsid w:val="00DA516D"/>
    <w:rsid w:val="00DA768E"/>
    <w:rsid w:val="00DB3633"/>
    <w:rsid w:val="00DB4584"/>
    <w:rsid w:val="00DB4670"/>
    <w:rsid w:val="00DC363B"/>
    <w:rsid w:val="00DC5358"/>
    <w:rsid w:val="00DC657E"/>
    <w:rsid w:val="00DD5DCA"/>
    <w:rsid w:val="00DD6418"/>
    <w:rsid w:val="00DE1599"/>
    <w:rsid w:val="00DE1E63"/>
    <w:rsid w:val="00DE62D6"/>
    <w:rsid w:val="00DF00BD"/>
    <w:rsid w:val="00DF0C62"/>
    <w:rsid w:val="00DF3548"/>
    <w:rsid w:val="00DF3786"/>
    <w:rsid w:val="00E03FFC"/>
    <w:rsid w:val="00E07C18"/>
    <w:rsid w:val="00E105F2"/>
    <w:rsid w:val="00E1108B"/>
    <w:rsid w:val="00E11662"/>
    <w:rsid w:val="00E124B6"/>
    <w:rsid w:val="00E12FAC"/>
    <w:rsid w:val="00E13864"/>
    <w:rsid w:val="00E13E22"/>
    <w:rsid w:val="00E1418D"/>
    <w:rsid w:val="00E20525"/>
    <w:rsid w:val="00E20A6D"/>
    <w:rsid w:val="00E20B4B"/>
    <w:rsid w:val="00E2187D"/>
    <w:rsid w:val="00E22DEE"/>
    <w:rsid w:val="00E23417"/>
    <w:rsid w:val="00E2429F"/>
    <w:rsid w:val="00E247E4"/>
    <w:rsid w:val="00E255B0"/>
    <w:rsid w:val="00E26125"/>
    <w:rsid w:val="00E26C59"/>
    <w:rsid w:val="00E26E92"/>
    <w:rsid w:val="00E324F8"/>
    <w:rsid w:val="00E32A42"/>
    <w:rsid w:val="00E334FD"/>
    <w:rsid w:val="00E37737"/>
    <w:rsid w:val="00E42A94"/>
    <w:rsid w:val="00E439C0"/>
    <w:rsid w:val="00E51B60"/>
    <w:rsid w:val="00E52430"/>
    <w:rsid w:val="00E53C0F"/>
    <w:rsid w:val="00E55464"/>
    <w:rsid w:val="00E57623"/>
    <w:rsid w:val="00E60FD9"/>
    <w:rsid w:val="00E65D08"/>
    <w:rsid w:val="00E65DE5"/>
    <w:rsid w:val="00E672F5"/>
    <w:rsid w:val="00E70D2E"/>
    <w:rsid w:val="00E71596"/>
    <w:rsid w:val="00E723D8"/>
    <w:rsid w:val="00E7561C"/>
    <w:rsid w:val="00E77F65"/>
    <w:rsid w:val="00E811F3"/>
    <w:rsid w:val="00E82540"/>
    <w:rsid w:val="00E85E8F"/>
    <w:rsid w:val="00E87CC5"/>
    <w:rsid w:val="00E87CD1"/>
    <w:rsid w:val="00E95A86"/>
    <w:rsid w:val="00E96380"/>
    <w:rsid w:val="00EA11CD"/>
    <w:rsid w:val="00EA12FF"/>
    <w:rsid w:val="00EA1FAB"/>
    <w:rsid w:val="00EA28BE"/>
    <w:rsid w:val="00EA3F04"/>
    <w:rsid w:val="00EA5CA6"/>
    <w:rsid w:val="00EB0056"/>
    <w:rsid w:val="00EB1A6C"/>
    <w:rsid w:val="00EC1D98"/>
    <w:rsid w:val="00EC210C"/>
    <w:rsid w:val="00EC2732"/>
    <w:rsid w:val="00EC33C3"/>
    <w:rsid w:val="00EC3E1B"/>
    <w:rsid w:val="00ED169B"/>
    <w:rsid w:val="00ED29F6"/>
    <w:rsid w:val="00ED67C6"/>
    <w:rsid w:val="00ED6F4C"/>
    <w:rsid w:val="00EE21CC"/>
    <w:rsid w:val="00EE61BE"/>
    <w:rsid w:val="00EE765D"/>
    <w:rsid w:val="00EF1EFE"/>
    <w:rsid w:val="00EF2711"/>
    <w:rsid w:val="00EF2A63"/>
    <w:rsid w:val="00EF4846"/>
    <w:rsid w:val="00F0036D"/>
    <w:rsid w:val="00F0335E"/>
    <w:rsid w:val="00F1063F"/>
    <w:rsid w:val="00F13E0D"/>
    <w:rsid w:val="00F17037"/>
    <w:rsid w:val="00F245BF"/>
    <w:rsid w:val="00F331F5"/>
    <w:rsid w:val="00F34A06"/>
    <w:rsid w:val="00F4064F"/>
    <w:rsid w:val="00F4581F"/>
    <w:rsid w:val="00F47FF8"/>
    <w:rsid w:val="00F516C4"/>
    <w:rsid w:val="00F6075A"/>
    <w:rsid w:val="00F6266B"/>
    <w:rsid w:val="00F66A72"/>
    <w:rsid w:val="00F66F4A"/>
    <w:rsid w:val="00F70340"/>
    <w:rsid w:val="00F76DD0"/>
    <w:rsid w:val="00F81871"/>
    <w:rsid w:val="00F85FA6"/>
    <w:rsid w:val="00F86CB5"/>
    <w:rsid w:val="00F93A25"/>
    <w:rsid w:val="00F961CA"/>
    <w:rsid w:val="00FA02CE"/>
    <w:rsid w:val="00FA0A9F"/>
    <w:rsid w:val="00FA15BC"/>
    <w:rsid w:val="00FA2058"/>
    <w:rsid w:val="00FA3618"/>
    <w:rsid w:val="00FA5620"/>
    <w:rsid w:val="00FA7AF5"/>
    <w:rsid w:val="00FC2952"/>
    <w:rsid w:val="00FC3292"/>
    <w:rsid w:val="00FC6930"/>
    <w:rsid w:val="00FD1FA6"/>
    <w:rsid w:val="00FD474B"/>
    <w:rsid w:val="00FD6A65"/>
    <w:rsid w:val="00FD75E4"/>
    <w:rsid w:val="00FE0715"/>
    <w:rsid w:val="00FE2C67"/>
    <w:rsid w:val="00FE3C91"/>
    <w:rsid w:val="00FE7481"/>
    <w:rsid w:val="00FE7A15"/>
    <w:rsid w:val="00FF1C82"/>
    <w:rsid w:val="00FF422F"/>
    <w:rsid w:val="0B89214B"/>
    <w:rsid w:val="32DFF679"/>
    <w:rsid w:val="335120A1"/>
    <w:rsid w:val="39207413"/>
    <w:rsid w:val="4C66B0BB"/>
    <w:rsid w:val="593BB2A6"/>
    <w:rsid w:val="62F7F40B"/>
    <w:rsid w:val="6459ECC9"/>
    <w:rsid w:val="6D012382"/>
    <w:rsid w:val="7027B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E7A5"/>
  <w15:chartTrackingRefBased/>
  <w15:docId w15:val="{E7F1A96B-7CC7-45D5-9499-8391B1CD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1E"/>
    <w:pPr>
      <w:spacing w:after="200" w:line="240" w:lineRule="auto"/>
    </w:pPr>
    <w:rPr>
      <w:rFonts w:ascii="Verdana" w:eastAsia="MS Mincho" w:hAnsi="Verdana"/>
      <w:kern w:val="0"/>
      <w:sz w:val="1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D1E"/>
    <w:pPr>
      <w:spacing w:after="0" w:line="240" w:lineRule="auto"/>
    </w:pPr>
    <w:rPr>
      <w:rFonts w:ascii="Verdana" w:eastAsia="MS Mincho" w:hAnsi="Verdana"/>
      <w:kern w:val="0"/>
      <w:sz w:val="18"/>
      <w:lang w:val="en-US"/>
      <w14:ligatures w14:val="none"/>
    </w:rPr>
  </w:style>
  <w:style w:type="paragraph" w:styleId="Header">
    <w:name w:val="header"/>
    <w:basedOn w:val="Normal"/>
    <w:link w:val="HeaderChar"/>
    <w:uiPriority w:val="99"/>
    <w:unhideWhenUsed/>
    <w:rsid w:val="00144D1E"/>
    <w:pPr>
      <w:tabs>
        <w:tab w:val="center" w:pos="4513"/>
        <w:tab w:val="right" w:pos="9026"/>
      </w:tabs>
      <w:spacing w:after="0"/>
    </w:pPr>
  </w:style>
  <w:style w:type="character" w:customStyle="1" w:styleId="HeaderChar">
    <w:name w:val="Header Char"/>
    <w:basedOn w:val="DefaultParagraphFont"/>
    <w:link w:val="Header"/>
    <w:uiPriority w:val="99"/>
    <w:rsid w:val="00144D1E"/>
    <w:rPr>
      <w:rFonts w:ascii="Verdana" w:eastAsia="MS Mincho" w:hAnsi="Verdana"/>
      <w:kern w:val="0"/>
      <w:sz w:val="18"/>
      <w:lang w:val="en-US"/>
      <w14:ligatures w14:val="none"/>
    </w:rPr>
  </w:style>
  <w:style w:type="paragraph" w:styleId="Footer">
    <w:name w:val="footer"/>
    <w:basedOn w:val="Normal"/>
    <w:link w:val="FooterChar"/>
    <w:uiPriority w:val="99"/>
    <w:unhideWhenUsed/>
    <w:rsid w:val="00144D1E"/>
    <w:pPr>
      <w:tabs>
        <w:tab w:val="center" w:pos="4513"/>
        <w:tab w:val="right" w:pos="9026"/>
      </w:tabs>
      <w:spacing w:after="0"/>
    </w:pPr>
  </w:style>
  <w:style w:type="character" w:customStyle="1" w:styleId="FooterChar">
    <w:name w:val="Footer Char"/>
    <w:basedOn w:val="DefaultParagraphFont"/>
    <w:link w:val="Footer"/>
    <w:uiPriority w:val="99"/>
    <w:rsid w:val="00144D1E"/>
    <w:rPr>
      <w:rFonts w:ascii="Verdana" w:eastAsia="MS Mincho" w:hAnsi="Verdana"/>
      <w:kern w:val="0"/>
      <w:sz w:val="18"/>
      <w:lang w:val="en-US"/>
      <w14:ligatures w14:val="none"/>
    </w:rPr>
  </w:style>
  <w:style w:type="paragraph" w:styleId="ListParagraph">
    <w:name w:val="List Paragraph"/>
    <w:basedOn w:val="Normal"/>
    <w:uiPriority w:val="34"/>
    <w:qFormat/>
    <w:rsid w:val="00721224"/>
    <w:pPr>
      <w:spacing w:after="160" w:line="259" w:lineRule="auto"/>
      <w:ind w:left="720"/>
      <w:contextualSpacing/>
    </w:pPr>
    <w:rPr>
      <w:rFonts w:asciiTheme="minorHAnsi" w:eastAsiaTheme="minorHAnsi" w:hAnsiTheme="minorHAnsi"/>
      <w:kern w:val="2"/>
      <w:sz w:val="22"/>
      <w:lang w:val="nl-NL"/>
      <w14:ligatures w14:val="standardContextual"/>
    </w:rPr>
  </w:style>
  <w:style w:type="character" w:styleId="CommentReference">
    <w:name w:val="annotation reference"/>
    <w:basedOn w:val="DefaultParagraphFont"/>
    <w:uiPriority w:val="99"/>
    <w:semiHidden/>
    <w:unhideWhenUsed/>
    <w:rsid w:val="001C626A"/>
    <w:rPr>
      <w:sz w:val="16"/>
      <w:szCs w:val="16"/>
    </w:rPr>
  </w:style>
  <w:style w:type="paragraph" w:styleId="CommentText">
    <w:name w:val="annotation text"/>
    <w:basedOn w:val="Normal"/>
    <w:link w:val="CommentTextChar"/>
    <w:uiPriority w:val="99"/>
    <w:unhideWhenUsed/>
    <w:rsid w:val="001C626A"/>
    <w:rPr>
      <w:sz w:val="20"/>
      <w:szCs w:val="20"/>
    </w:rPr>
  </w:style>
  <w:style w:type="character" w:customStyle="1" w:styleId="CommentTextChar">
    <w:name w:val="Comment Text Char"/>
    <w:basedOn w:val="DefaultParagraphFont"/>
    <w:link w:val="CommentText"/>
    <w:uiPriority w:val="99"/>
    <w:rsid w:val="001C626A"/>
    <w:rPr>
      <w:rFonts w:ascii="Verdana" w:eastAsia="MS Mincho"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C626A"/>
    <w:rPr>
      <w:b/>
      <w:bCs/>
    </w:rPr>
  </w:style>
  <w:style w:type="character" w:customStyle="1" w:styleId="CommentSubjectChar">
    <w:name w:val="Comment Subject Char"/>
    <w:basedOn w:val="CommentTextChar"/>
    <w:link w:val="CommentSubject"/>
    <w:uiPriority w:val="99"/>
    <w:semiHidden/>
    <w:rsid w:val="001C626A"/>
    <w:rPr>
      <w:rFonts w:ascii="Verdana" w:eastAsia="MS Mincho" w:hAnsi="Verdana"/>
      <w:b/>
      <w:bCs/>
      <w:kern w:val="0"/>
      <w:sz w:val="20"/>
      <w:szCs w:val="20"/>
      <w:lang w:val="en-US"/>
      <w14:ligatures w14:val="none"/>
    </w:rPr>
  </w:style>
  <w:style w:type="character" w:styleId="Hyperlink">
    <w:name w:val="Hyperlink"/>
    <w:basedOn w:val="DefaultParagraphFont"/>
    <w:uiPriority w:val="99"/>
    <w:unhideWhenUsed/>
    <w:rsid w:val="0020760C"/>
    <w:rPr>
      <w:color w:val="0563C1" w:themeColor="hyperlink"/>
      <w:u w:val="single"/>
    </w:rPr>
  </w:style>
  <w:style w:type="character" w:styleId="UnresolvedMention">
    <w:name w:val="Unresolved Mention"/>
    <w:basedOn w:val="DefaultParagraphFont"/>
    <w:uiPriority w:val="99"/>
    <w:semiHidden/>
    <w:unhideWhenUsed/>
    <w:rsid w:val="0020760C"/>
    <w:rPr>
      <w:color w:val="605E5C"/>
      <w:shd w:val="clear" w:color="auto" w:fill="E1DFDD"/>
    </w:rPr>
  </w:style>
  <w:style w:type="paragraph" w:styleId="Revision">
    <w:name w:val="Revision"/>
    <w:hidden/>
    <w:uiPriority w:val="99"/>
    <w:semiHidden/>
    <w:rsid w:val="00DD6418"/>
    <w:pPr>
      <w:spacing w:after="0" w:line="240" w:lineRule="auto"/>
    </w:pPr>
    <w:rPr>
      <w:rFonts w:ascii="Verdana" w:eastAsia="MS Mincho" w:hAnsi="Verdana"/>
      <w:kern w:val="0"/>
      <w:sz w:val="18"/>
      <w:lang w:val="en-US"/>
      <w14:ligatures w14:val="none"/>
    </w:rPr>
  </w:style>
  <w:style w:type="paragraph" w:customStyle="1" w:styleId="Default">
    <w:name w:val="Default"/>
    <w:rsid w:val="00DD5DCA"/>
    <w:pPr>
      <w:autoSpaceDE w:val="0"/>
      <w:autoSpaceDN w:val="0"/>
      <w:adjustRightInd w:val="0"/>
      <w:spacing w:after="0" w:line="240" w:lineRule="auto"/>
    </w:pPr>
    <w:rPr>
      <w:rFonts w:ascii="Verdana" w:hAnsi="Verdana" w:cs="Verdana"/>
      <w:color w:val="000000"/>
      <w:kern w:val="0"/>
      <w:sz w:val="24"/>
      <w:szCs w:val="24"/>
    </w:rPr>
  </w:style>
  <w:style w:type="paragraph" w:styleId="FootnoteText">
    <w:name w:val="footnote text"/>
    <w:basedOn w:val="Normal"/>
    <w:link w:val="FootnoteTextChar"/>
    <w:uiPriority w:val="99"/>
    <w:semiHidden/>
    <w:unhideWhenUsed/>
    <w:rsid w:val="00B47A1C"/>
    <w:pPr>
      <w:spacing w:after="0"/>
    </w:pPr>
    <w:rPr>
      <w:sz w:val="20"/>
      <w:szCs w:val="20"/>
    </w:rPr>
  </w:style>
  <w:style w:type="character" w:customStyle="1" w:styleId="FootnoteTextChar">
    <w:name w:val="Footnote Text Char"/>
    <w:basedOn w:val="DefaultParagraphFont"/>
    <w:link w:val="FootnoteText"/>
    <w:uiPriority w:val="99"/>
    <w:semiHidden/>
    <w:rsid w:val="00B47A1C"/>
    <w:rPr>
      <w:rFonts w:ascii="Verdana" w:eastAsia="MS Mincho" w:hAnsi="Verdana"/>
      <w:kern w:val="0"/>
      <w:sz w:val="20"/>
      <w:szCs w:val="20"/>
      <w:lang w:val="en-US"/>
      <w14:ligatures w14:val="none"/>
    </w:rPr>
  </w:style>
  <w:style w:type="character" w:styleId="FootnoteReference">
    <w:name w:val="footnote reference"/>
    <w:basedOn w:val="DefaultParagraphFont"/>
    <w:uiPriority w:val="99"/>
    <w:semiHidden/>
    <w:unhideWhenUsed/>
    <w:rsid w:val="00B47A1C"/>
    <w:rPr>
      <w:vertAlign w:val="superscript"/>
    </w:rPr>
  </w:style>
  <w:style w:type="paragraph" w:styleId="NormalWeb">
    <w:name w:val="Normal (Web)"/>
    <w:basedOn w:val="Normal"/>
    <w:uiPriority w:val="99"/>
    <w:unhideWhenUsed/>
    <w:rsid w:val="000E6FF6"/>
    <w:pPr>
      <w:spacing w:before="100" w:beforeAutospacing="1" w:after="100" w:afterAutospacing="1"/>
    </w:pPr>
    <w:rPr>
      <w:rFonts w:ascii="Calibri" w:eastAsiaTheme="minorHAnsi" w:hAnsi="Calibri" w:cs="Calibri"/>
      <w:sz w:val="22"/>
      <w:lang w:val="nl-NL" w:eastAsia="nl-NL"/>
    </w:rPr>
  </w:style>
  <w:style w:type="character" w:styleId="Emphasis">
    <w:name w:val="Emphasis"/>
    <w:basedOn w:val="DefaultParagraphFont"/>
    <w:uiPriority w:val="20"/>
    <w:qFormat/>
    <w:rsid w:val="000E6FF6"/>
    <w:rPr>
      <w:i/>
      <w:iCs/>
    </w:rPr>
  </w:style>
  <w:style w:type="character" w:styleId="Strong">
    <w:name w:val="Strong"/>
    <w:basedOn w:val="DefaultParagraphFont"/>
    <w:uiPriority w:val="22"/>
    <w:qFormat/>
    <w:rsid w:val="00EC3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019">
      <w:bodyDiv w:val="1"/>
      <w:marLeft w:val="0"/>
      <w:marRight w:val="0"/>
      <w:marTop w:val="0"/>
      <w:marBottom w:val="0"/>
      <w:divBdr>
        <w:top w:val="none" w:sz="0" w:space="0" w:color="auto"/>
        <w:left w:val="none" w:sz="0" w:space="0" w:color="auto"/>
        <w:bottom w:val="none" w:sz="0" w:space="0" w:color="auto"/>
        <w:right w:val="none" w:sz="0" w:space="0" w:color="auto"/>
      </w:divBdr>
    </w:div>
    <w:div w:id="81342091">
      <w:bodyDiv w:val="1"/>
      <w:marLeft w:val="0"/>
      <w:marRight w:val="0"/>
      <w:marTop w:val="0"/>
      <w:marBottom w:val="0"/>
      <w:divBdr>
        <w:top w:val="none" w:sz="0" w:space="0" w:color="auto"/>
        <w:left w:val="none" w:sz="0" w:space="0" w:color="auto"/>
        <w:bottom w:val="none" w:sz="0" w:space="0" w:color="auto"/>
        <w:right w:val="none" w:sz="0" w:space="0" w:color="auto"/>
      </w:divBdr>
    </w:div>
    <w:div w:id="274754762">
      <w:bodyDiv w:val="1"/>
      <w:marLeft w:val="0"/>
      <w:marRight w:val="0"/>
      <w:marTop w:val="0"/>
      <w:marBottom w:val="0"/>
      <w:divBdr>
        <w:top w:val="none" w:sz="0" w:space="0" w:color="auto"/>
        <w:left w:val="none" w:sz="0" w:space="0" w:color="auto"/>
        <w:bottom w:val="none" w:sz="0" w:space="0" w:color="auto"/>
        <w:right w:val="none" w:sz="0" w:space="0" w:color="auto"/>
      </w:divBdr>
    </w:div>
    <w:div w:id="348455816">
      <w:bodyDiv w:val="1"/>
      <w:marLeft w:val="0"/>
      <w:marRight w:val="0"/>
      <w:marTop w:val="0"/>
      <w:marBottom w:val="0"/>
      <w:divBdr>
        <w:top w:val="none" w:sz="0" w:space="0" w:color="auto"/>
        <w:left w:val="none" w:sz="0" w:space="0" w:color="auto"/>
        <w:bottom w:val="none" w:sz="0" w:space="0" w:color="auto"/>
        <w:right w:val="none" w:sz="0" w:space="0" w:color="auto"/>
      </w:divBdr>
    </w:div>
    <w:div w:id="574627604">
      <w:bodyDiv w:val="1"/>
      <w:marLeft w:val="0"/>
      <w:marRight w:val="0"/>
      <w:marTop w:val="0"/>
      <w:marBottom w:val="0"/>
      <w:divBdr>
        <w:top w:val="none" w:sz="0" w:space="0" w:color="auto"/>
        <w:left w:val="none" w:sz="0" w:space="0" w:color="auto"/>
        <w:bottom w:val="none" w:sz="0" w:space="0" w:color="auto"/>
        <w:right w:val="none" w:sz="0" w:space="0" w:color="auto"/>
      </w:divBdr>
    </w:div>
    <w:div w:id="1526359232">
      <w:bodyDiv w:val="1"/>
      <w:marLeft w:val="0"/>
      <w:marRight w:val="0"/>
      <w:marTop w:val="0"/>
      <w:marBottom w:val="0"/>
      <w:divBdr>
        <w:top w:val="none" w:sz="0" w:space="0" w:color="auto"/>
        <w:left w:val="none" w:sz="0" w:space="0" w:color="auto"/>
        <w:bottom w:val="none" w:sz="0" w:space="0" w:color="auto"/>
        <w:right w:val="none" w:sz="0" w:space="0" w:color="auto"/>
      </w:divBdr>
    </w:div>
    <w:div w:id="1670791698">
      <w:bodyDiv w:val="1"/>
      <w:marLeft w:val="0"/>
      <w:marRight w:val="0"/>
      <w:marTop w:val="0"/>
      <w:marBottom w:val="0"/>
      <w:divBdr>
        <w:top w:val="none" w:sz="0" w:space="0" w:color="auto"/>
        <w:left w:val="none" w:sz="0" w:space="0" w:color="auto"/>
        <w:bottom w:val="none" w:sz="0" w:space="0" w:color="auto"/>
        <w:right w:val="none" w:sz="0" w:space="0" w:color="auto"/>
      </w:divBdr>
    </w:div>
    <w:div w:id="1957062008">
      <w:bodyDiv w:val="1"/>
      <w:marLeft w:val="0"/>
      <w:marRight w:val="0"/>
      <w:marTop w:val="0"/>
      <w:marBottom w:val="0"/>
      <w:divBdr>
        <w:top w:val="none" w:sz="0" w:space="0" w:color="auto"/>
        <w:left w:val="none" w:sz="0" w:space="0" w:color="auto"/>
        <w:bottom w:val="none" w:sz="0" w:space="0" w:color="auto"/>
        <w:right w:val="none" w:sz="0" w:space="0" w:color="auto"/>
      </w:divBdr>
    </w:div>
    <w:div w:id="2000495538">
      <w:bodyDiv w:val="1"/>
      <w:marLeft w:val="0"/>
      <w:marRight w:val="0"/>
      <w:marTop w:val="0"/>
      <w:marBottom w:val="0"/>
      <w:divBdr>
        <w:top w:val="none" w:sz="0" w:space="0" w:color="auto"/>
        <w:left w:val="none" w:sz="0" w:space="0" w:color="auto"/>
        <w:bottom w:val="none" w:sz="0" w:space="0" w:color="auto"/>
        <w:right w:val="none" w:sz="0" w:space="0" w:color="auto"/>
      </w:divBdr>
    </w:div>
    <w:div w:id="2015568419">
      <w:bodyDiv w:val="1"/>
      <w:marLeft w:val="0"/>
      <w:marRight w:val="0"/>
      <w:marTop w:val="0"/>
      <w:marBottom w:val="0"/>
      <w:divBdr>
        <w:top w:val="none" w:sz="0" w:space="0" w:color="auto"/>
        <w:left w:val="none" w:sz="0" w:space="0" w:color="auto"/>
        <w:bottom w:val="none" w:sz="0" w:space="0" w:color="auto"/>
        <w:right w:val="none" w:sz="0" w:space="0" w:color="auto"/>
      </w:divBdr>
    </w:div>
    <w:div w:id="21422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2544</ap:Words>
  <ap:Characters>13998</ap:Characters>
  <ap:DocSecurity>0</ap:DocSecurity>
  <ap:Lines>116</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2024-11-26T09:41:00.0000000Z</lastPrinted>
  <dcterms:created xsi:type="dcterms:W3CDTF">2024-11-26T15:15:00.0000000Z</dcterms:created>
  <dcterms:modified xsi:type="dcterms:W3CDTF">2024-11-26T15:15:00.0000000Z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7;#Military and civil cooperation|b8dca804-e27b-465f-bf91-3b704e18e8a2</vt:lpwstr>
  </property>
  <property fmtid="{D5CDD505-2E9C-101B-9397-08002B2CF9AE}" pid="4" name="ContentTypeId">
    <vt:lpwstr>0x0101009C7CE436063D44E9BE7DC0259EF7C32F006EB9F9836A634AE58B6169785FD3936F00D8EBB22FD6970B4F9F6AB8BA3A59DDD9</vt:lpwstr>
  </property>
  <property fmtid="{D5CDD505-2E9C-101B-9397-08002B2CF9AE}" pid="5" name="BZCountryState">
    <vt:lpwstr>8;#Germany|0b1c626f-21ec-4bba-be13-5681feaf0b9c</vt:lpwstr>
  </property>
  <property fmtid="{D5CDD505-2E9C-101B-9397-08002B2CF9AE}" pid="6" name="_dlc_DocIdItemGuid">
    <vt:lpwstr>acfa4db4-3360-4c0e-8bdb-413b0f4a6d19</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