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87762" w:rsidR="008F2199" w:rsidRDefault="00956B45" w14:paraId="23EC1C00" w14:textId="77777777">
      <w:pPr>
        <w:rPr>
          <w:rFonts w:cstheme="minorHAnsi"/>
        </w:rPr>
      </w:pPr>
      <w:r w:rsidRPr="00B87762">
        <w:rPr>
          <w:rFonts w:cstheme="minorHAnsi"/>
        </w:rPr>
        <w:t>19637</w:t>
      </w:r>
      <w:r w:rsidRPr="00B87762" w:rsidR="008F2199">
        <w:rPr>
          <w:rFonts w:cstheme="minorHAnsi"/>
        </w:rPr>
        <w:tab/>
      </w:r>
      <w:r w:rsidRPr="00B87762" w:rsidR="008F2199">
        <w:rPr>
          <w:rFonts w:cstheme="minorHAnsi"/>
        </w:rPr>
        <w:tab/>
      </w:r>
      <w:r w:rsidRPr="00B87762" w:rsidR="008F2199">
        <w:rPr>
          <w:rFonts w:cstheme="minorHAnsi"/>
        </w:rPr>
        <w:tab/>
        <w:t>Vreemdelingenbeleid</w:t>
      </w:r>
    </w:p>
    <w:p w:rsidRPr="00B87762" w:rsidR="008F2199" w:rsidP="00956B45" w:rsidRDefault="008F2199" w14:paraId="368139DB" w14:textId="465891EA">
      <w:pPr>
        <w:rPr>
          <w:rFonts w:cstheme="minorHAnsi"/>
        </w:rPr>
      </w:pPr>
      <w:r w:rsidRPr="00B87762">
        <w:rPr>
          <w:rFonts w:cstheme="minorHAnsi"/>
        </w:rPr>
        <w:t xml:space="preserve">Nr. </w:t>
      </w:r>
      <w:r w:rsidRPr="00B87762">
        <w:rPr>
          <w:rFonts w:cstheme="minorHAnsi"/>
        </w:rPr>
        <w:t>3318</w:t>
      </w:r>
      <w:r w:rsidRPr="00B87762">
        <w:rPr>
          <w:rFonts w:cstheme="minorHAnsi"/>
        </w:rPr>
        <w:tab/>
      </w:r>
      <w:r w:rsidRPr="00B87762">
        <w:rPr>
          <w:rFonts w:cstheme="minorHAnsi"/>
        </w:rPr>
        <w:tab/>
        <w:t xml:space="preserve">Brief van de </w:t>
      </w:r>
      <w:r w:rsidRPr="00B87762" w:rsidR="00B87762">
        <w:rPr>
          <w:rFonts w:cstheme="minorHAnsi"/>
        </w:rPr>
        <w:t>minister van Asiel en Migratie</w:t>
      </w:r>
    </w:p>
    <w:p w:rsidRPr="00B87762" w:rsidR="00B87762" w:rsidP="00956B45" w:rsidRDefault="00B87762" w14:paraId="634D4F81" w14:textId="7E77429A">
      <w:pPr>
        <w:rPr>
          <w:rFonts w:cstheme="minorHAnsi"/>
        </w:rPr>
      </w:pPr>
      <w:r w:rsidRPr="00B87762">
        <w:rPr>
          <w:rFonts w:cstheme="minorHAnsi"/>
        </w:rPr>
        <w:t>Aan de Voorzitter van de Tweede Kamer der Staten-Generaal</w:t>
      </w:r>
    </w:p>
    <w:p w:rsidRPr="00B87762" w:rsidR="00B87762" w:rsidP="00956B45" w:rsidRDefault="00B87762" w14:paraId="66B3A2DC" w14:textId="21A046F7">
      <w:pPr>
        <w:rPr>
          <w:rFonts w:cstheme="minorHAnsi"/>
        </w:rPr>
      </w:pPr>
      <w:r w:rsidRPr="00B87762">
        <w:rPr>
          <w:rFonts w:cstheme="minorHAnsi"/>
        </w:rPr>
        <w:t>Den Haag, 26 november 2024</w:t>
      </w:r>
    </w:p>
    <w:p w:rsidRPr="00B87762" w:rsidR="00956B45" w:rsidP="00956B45" w:rsidRDefault="00956B45" w14:paraId="7EADD552" w14:textId="77777777">
      <w:pPr>
        <w:rPr>
          <w:rFonts w:cstheme="minorHAnsi"/>
        </w:rPr>
      </w:pPr>
    </w:p>
    <w:p w:rsidRPr="00B87762" w:rsidR="00956B45" w:rsidP="00956B45" w:rsidRDefault="00956B45" w14:paraId="64205E5C" w14:textId="39B41B21">
      <w:pPr>
        <w:rPr>
          <w:rFonts w:cstheme="minorHAnsi"/>
        </w:rPr>
      </w:pPr>
      <w:r w:rsidRPr="00B87762">
        <w:rPr>
          <w:rFonts w:cstheme="minorHAnsi"/>
        </w:rPr>
        <w:t>Op 5 juli jl. heeft de minister van Buitenlandse Zaken een nieuw algemeen ambtsbericht gepubliceerd over de (</w:t>
      </w:r>
      <w:proofErr w:type="spellStart"/>
      <w:r w:rsidRPr="00B87762">
        <w:rPr>
          <w:rFonts w:cstheme="minorHAnsi"/>
        </w:rPr>
        <w:t>veiligheids</w:t>
      </w:r>
      <w:proofErr w:type="spellEnd"/>
      <w:r w:rsidRPr="00B87762">
        <w:rPr>
          <w:rFonts w:cstheme="minorHAnsi"/>
        </w:rPr>
        <w:t xml:space="preserve">)situatie in Pakistan. Op basis van de informatie in het ambtsbericht heb ik geconcludeerd enkele wijzigingen door te moeten voeren in het </w:t>
      </w:r>
      <w:proofErr w:type="spellStart"/>
      <w:r w:rsidRPr="00B87762">
        <w:rPr>
          <w:rFonts w:cstheme="minorHAnsi"/>
        </w:rPr>
        <w:t>landgebonden</w:t>
      </w:r>
      <w:proofErr w:type="spellEnd"/>
      <w:r w:rsidRPr="00B87762">
        <w:rPr>
          <w:rFonts w:cstheme="minorHAnsi"/>
        </w:rPr>
        <w:t xml:space="preserve"> asielbeleid voor Pakistan.</w:t>
      </w:r>
    </w:p>
    <w:p w:rsidRPr="00B87762" w:rsidR="00956B45" w:rsidP="00956B45" w:rsidRDefault="00956B45" w14:paraId="0E66AE43" w14:textId="77777777">
      <w:pPr>
        <w:rPr>
          <w:rFonts w:cstheme="minorHAnsi"/>
        </w:rPr>
      </w:pPr>
      <w:r w:rsidRPr="00B87762">
        <w:rPr>
          <w:rFonts w:cstheme="minorHAnsi"/>
        </w:rPr>
        <w:t>Eerder bent u, door de toenmalige staatssecretaris van Justitie en Veiligheid, geïnformeerd over de aanpassingen in het groepenbeleid</w:t>
      </w:r>
      <w:r w:rsidRPr="00B87762">
        <w:rPr>
          <w:rStyle w:val="Voetnootmarkering"/>
          <w:rFonts w:cstheme="minorHAnsi"/>
        </w:rPr>
        <w:footnoteReference w:id="1"/>
      </w:r>
      <w:r w:rsidRPr="00B87762">
        <w:rPr>
          <w:rFonts w:cstheme="minorHAnsi"/>
        </w:rPr>
        <w:t xml:space="preserve">. Op grond van de informatie in het ambtsbericht concludeer ik dat </w:t>
      </w:r>
      <w:proofErr w:type="spellStart"/>
      <w:r w:rsidRPr="00B87762">
        <w:rPr>
          <w:rFonts w:cstheme="minorHAnsi"/>
        </w:rPr>
        <w:t>ahmadi’s</w:t>
      </w:r>
      <w:proofErr w:type="spellEnd"/>
      <w:r w:rsidRPr="00B87762">
        <w:rPr>
          <w:rFonts w:cstheme="minorHAnsi"/>
        </w:rPr>
        <w:t xml:space="preserve">, christenen, afvalligen van het islamitisch geloof, </w:t>
      </w:r>
      <w:proofErr w:type="spellStart"/>
      <w:r w:rsidRPr="00B87762">
        <w:rPr>
          <w:rFonts w:cstheme="minorHAnsi"/>
        </w:rPr>
        <w:t>hazara’s</w:t>
      </w:r>
      <w:proofErr w:type="spellEnd"/>
      <w:r w:rsidRPr="00B87762">
        <w:rPr>
          <w:rFonts w:cstheme="minorHAnsi"/>
        </w:rPr>
        <w:t xml:space="preserve">, </w:t>
      </w:r>
      <w:proofErr w:type="spellStart"/>
      <w:r w:rsidRPr="00B87762">
        <w:rPr>
          <w:rFonts w:cstheme="minorHAnsi"/>
        </w:rPr>
        <w:t>lhbti’s</w:t>
      </w:r>
      <w:proofErr w:type="spellEnd"/>
      <w:r w:rsidRPr="00B87762">
        <w:rPr>
          <w:rFonts w:cstheme="minorHAnsi"/>
        </w:rPr>
        <w:t xml:space="preserve"> en journalisten en mensenrechtenverdedigers nog altijd in bepaalde mate risico lopen om slachtoffer te worden van geweld en vervolging. Deze groepen blijven daarom aangemerkt als risicoprofiel. Na het afzetten van de toenmalige premier </w:t>
      </w:r>
      <w:proofErr w:type="spellStart"/>
      <w:r w:rsidRPr="00B87762">
        <w:rPr>
          <w:rFonts w:cstheme="minorHAnsi"/>
        </w:rPr>
        <w:t>Imran</w:t>
      </w:r>
      <w:proofErr w:type="spellEnd"/>
      <w:r w:rsidRPr="00B87762">
        <w:rPr>
          <w:rFonts w:cstheme="minorHAnsi"/>
        </w:rPr>
        <w:t xml:space="preserve"> Khan, lopen ook leiders en leden van de partij, Pakistan </w:t>
      </w:r>
      <w:proofErr w:type="spellStart"/>
      <w:r w:rsidRPr="00B87762">
        <w:rPr>
          <w:rFonts w:cstheme="minorHAnsi"/>
        </w:rPr>
        <w:t>Thereek</w:t>
      </w:r>
      <w:proofErr w:type="spellEnd"/>
      <w:r w:rsidRPr="00B87762">
        <w:rPr>
          <w:rFonts w:cstheme="minorHAnsi"/>
        </w:rPr>
        <w:t>-e-</w:t>
      </w:r>
      <w:proofErr w:type="spellStart"/>
      <w:r w:rsidRPr="00B87762">
        <w:rPr>
          <w:rFonts w:cstheme="minorHAnsi"/>
        </w:rPr>
        <w:t>Insaf</w:t>
      </w:r>
      <w:proofErr w:type="spellEnd"/>
      <w:r w:rsidRPr="00B87762">
        <w:rPr>
          <w:rFonts w:cstheme="minorHAnsi"/>
        </w:rPr>
        <w:t xml:space="preserve"> (PTI) in algemene zin een bepaalde mate van risico om slachtoffer te worden van geweld en vervolging. Om die reden heb ik besloten om leiders en leden van PTI op te nemen als risicoprofiel.  </w:t>
      </w:r>
    </w:p>
    <w:p w:rsidRPr="00B87762" w:rsidR="00956B45" w:rsidP="00956B45" w:rsidRDefault="00956B45" w14:paraId="43EFEF4F" w14:textId="77777777">
      <w:pPr>
        <w:rPr>
          <w:rFonts w:cstheme="minorHAnsi"/>
        </w:rPr>
      </w:pPr>
      <w:r w:rsidRPr="00B87762">
        <w:rPr>
          <w:rFonts w:cstheme="minorHAnsi"/>
        </w:rPr>
        <w:t xml:space="preserve">Verder heb ik op basis van de informatie in het ambtsbericht beleidsmatig aangenomen dat er in de provincies </w:t>
      </w:r>
      <w:proofErr w:type="spellStart"/>
      <w:r w:rsidRPr="00B87762">
        <w:rPr>
          <w:rFonts w:cstheme="minorHAnsi"/>
        </w:rPr>
        <w:t>Balochistan</w:t>
      </w:r>
      <w:proofErr w:type="spellEnd"/>
      <w:r w:rsidRPr="00B87762">
        <w:rPr>
          <w:rFonts w:cstheme="minorHAnsi"/>
        </w:rPr>
        <w:t xml:space="preserve"> en Khyber Pakhtunkhwa (KP) sprake is van de laagste gradatie (relatief lager niveau van willekeurig geweld) van een situatie zoals bedoeld in artikel 15 onder c van de Kwalificatierichtlijn. Er is in deze provincies sprake van een gewapend conflict en een bepaalde mate van willekeurig geweld. Voor deze provincies geldt niettemin dat de kans om slachtoffer te worden van willekeurig geweld dermate gering is, dat de individuele omstandigheden zeer veel gewicht moeten hebben om te komen tot een reëel risico op ernstige schade. Hierbij heb ik ook de meeste recente uitspraak van de afdeling bestuursrechtspraak van de Raad van State</w:t>
      </w:r>
      <w:r w:rsidRPr="00B87762">
        <w:rPr>
          <w:rStyle w:val="Voetnootmarkering"/>
          <w:rFonts w:cstheme="minorHAnsi"/>
        </w:rPr>
        <w:footnoteReference w:id="2"/>
      </w:r>
      <w:r w:rsidRPr="00B87762">
        <w:rPr>
          <w:rFonts w:cstheme="minorHAnsi"/>
        </w:rPr>
        <w:t xml:space="preserve"> betrokken, waarover uw Kamer bij brief van 19 november jl. (kenmerk 5685921) is geïnformeerd.</w:t>
      </w:r>
    </w:p>
    <w:p w:rsidRPr="00B87762" w:rsidR="00956B45" w:rsidP="00956B45" w:rsidRDefault="00956B45" w14:paraId="7AF0D634" w14:textId="77777777">
      <w:pPr>
        <w:rPr>
          <w:rFonts w:cstheme="minorHAnsi"/>
        </w:rPr>
      </w:pPr>
      <w:r w:rsidRPr="00B87762">
        <w:rPr>
          <w:rFonts w:cstheme="minorHAnsi"/>
        </w:rPr>
        <w:t xml:space="preserve">Voor de overige provincies geldt dat voor zover er sprake is van, al dan niet incidenteel, willekeurig geweld, dit is als gevolg van extremistische en terroristische aanslagen. Op basis van het ambtsbericht concludeer ik dat in de overige provincies geen sprake is van een gewapend conflict en daarmee geen situatie als bedoeld in artikel 15 onder c van de Kwalificatierichtlijn. </w:t>
      </w:r>
    </w:p>
    <w:p w:rsidRPr="00B87762" w:rsidR="00956B45" w:rsidP="00956B45" w:rsidRDefault="00956B45" w14:paraId="4518C7FD" w14:textId="711CDA55">
      <w:pPr>
        <w:rPr>
          <w:rFonts w:cstheme="minorHAnsi"/>
        </w:rPr>
      </w:pPr>
      <w:r w:rsidRPr="00B87762">
        <w:rPr>
          <w:rFonts w:cstheme="minorHAnsi"/>
        </w:rPr>
        <w:lastRenderedPageBreak/>
        <w:t xml:space="preserve">Voor alleenstaande minderjarigen concludeer ik dat er in Pakistan sprake is van adequate opvang. Uit het ambtsbericht maak ik op dat er opvangvoorzieningen voor alleenstaande minderjarigen in Pakistan aanwezig zijn. Zowel door overheidsinstellingen als door private partijen worden kinderen opgevangen. Zij krijgen daar onderwijs, medische zorg, kleding en eten naar lokale maatstaven. De instellingen zijn bedoeld voor jongens en meisjes tussen 5/6 jaar en 23 jaar. Alle religies zijn welkom. In het ambtsbericht wordt ook aangegeven dat er sinds 2022 meer opvangvoorzieningen zijn bijgekomen in Pakistan.   </w:t>
      </w:r>
    </w:p>
    <w:p w:rsidRPr="00B87762" w:rsidR="00956B45" w:rsidP="00956B45" w:rsidRDefault="00956B45" w14:paraId="08C67A9E" w14:textId="77777777">
      <w:pPr>
        <w:pStyle w:val="WitregelW1bodytekst"/>
        <w:rPr>
          <w:rFonts w:asciiTheme="minorHAnsi" w:hAnsiTheme="minorHAnsi" w:cstheme="minorHAnsi"/>
          <w:sz w:val="22"/>
          <w:szCs w:val="22"/>
        </w:rPr>
      </w:pPr>
      <w:r w:rsidRPr="00B87762">
        <w:rPr>
          <w:rFonts w:asciiTheme="minorHAnsi" w:hAnsiTheme="minorHAnsi" w:cstheme="minorHAnsi"/>
          <w:sz w:val="22"/>
          <w:szCs w:val="22"/>
        </w:rPr>
        <w:t>Ten aanzien van de bescherming door de Pakistaanse autoriteiten en internationale organisaties alsmede ten aanzien van het binnenlands beschermingsalternatief zie ik in het ambtsbericht, anders dan dat dit ook geldt voor de leiders en leden PTI, geen reden om het beleid aan te passen.</w:t>
      </w:r>
    </w:p>
    <w:p w:rsidRPr="00B87762" w:rsidR="00956B45" w:rsidP="00956B45" w:rsidRDefault="00956B45" w14:paraId="415AB0C7" w14:textId="77777777">
      <w:pPr>
        <w:rPr>
          <w:rFonts w:cstheme="minorHAnsi"/>
        </w:rPr>
      </w:pPr>
    </w:p>
    <w:p w:rsidRPr="00B87762" w:rsidR="00956B45" w:rsidP="00956B45" w:rsidRDefault="00956B45" w14:paraId="4F3C90AB" w14:textId="77777777">
      <w:pPr>
        <w:rPr>
          <w:rFonts w:cstheme="minorHAnsi"/>
        </w:rPr>
      </w:pPr>
    </w:p>
    <w:p w:rsidRPr="00B87762" w:rsidR="00956B45" w:rsidP="00B87762" w:rsidRDefault="00956B45" w14:paraId="6186C9CF" w14:textId="272789CF">
      <w:pPr>
        <w:pStyle w:val="Geenafstand"/>
        <w:rPr>
          <w:rFonts w:cstheme="minorHAnsi"/>
        </w:rPr>
      </w:pPr>
      <w:r w:rsidRPr="00B87762">
        <w:rPr>
          <w:rFonts w:cstheme="minorHAnsi"/>
        </w:rPr>
        <w:t xml:space="preserve">De </w:t>
      </w:r>
      <w:r w:rsidRPr="00B87762" w:rsidR="00B87762">
        <w:rPr>
          <w:rFonts w:cstheme="minorHAnsi"/>
        </w:rPr>
        <w:t>m</w:t>
      </w:r>
      <w:r w:rsidRPr="00B87762">
        <w:rPr>
          <w:rFonts w:cstheme="minorHAnsi"/>
        </w:rPr>
        <w:t xml:space="preserve">inister van Asiel en Migratie, </w:t>
      </w:r>
    </w:p>
    <w:p w:rsidRPr="00B87762" w:rsidR="00956B45" w:rsidP="00B87762" w:rsidRDefault="00956B45" w14:paraId="4DDD0FF0" w14:textId="34D6298C">
      <w:pPr>
        <w:pStyle w:val="Geenafstand"/>
        <w:rPr>
          <w:rFonts w:cstheme="minorHAnsi"/>
        </w:rPr>
      </w:pPr>
      <w:r w:rsidRPr="00B87762">
        <w:rPr>
          <w:rFonts w:cstheme="minorHAnsi"/>
        </w:rPr>
        <w:t xml:space="preserve">M.H.M. Faber - </w:t>
      </w:r>
      <w:r w:rsidRPr="00B87762" w:rsidR="00B87762">
        <w:rPr>
          <w:rFonts w:cstheme="minorHAnsi"/>
        </w:rPr>
        <w:t>v</w:t>
      </w:r>
      <w:r w:rsidRPr="00B87762">
        <w:rPr>
          <w:rFonts w:cstheme="minorHAnsi"/>
        </w:rPr>
        <w:t>an de Klashorst</w:t>
      </w:r>
    </w:p>
    <w:p w:rsidRPr="00B87762" w:rsidR="00956B45" w:rsidP="00956B45" w:rsidRDefault="00956B45" w14:paraId="34B937F7" w14:textId="77777777">
      <w:pPr>
        <w:rPr>
          <w:rFonts w:cstheme="minorHAnsi"/>
        </w:rPr>
      </w:pPr>
    </w:p>
    <w:p w:rsidRPr="00B87762" w:rsidR="00956B45" w:rsidP="00956B45" w:rsidRDefault="00956B45" w14:paraId="40A4C709" w14:textId="77777777">
      <w:pPr>
        <w:rPr>
          <w:rFonts w:cstheme="minorHAnsi"/>
        </w:rPr>
      </w:pPr>
    </w:p>
    <w:p w:rsidRPr="00B87762" w:rsidR="00956B45" w:rsidP="00956B45" w:rsidRDefault="00956B45" w14:paraId="0C7488FA" w14:textId="77777777">
      <w:pPr>
        <w:rPr>
          <w:rFonts w:cstheme="minorHAnsi"/>
        </w:rPr>
      </w:pPr>
    </w:p>
    <w:p w:rsidRPr="00B87762" w:rsidR="00956B45" w:rsidP="00956B45" w:rsidRDefault="00956B45" w14:paraId="6DB79717" w14:textId="77777777">
      <w:pPr>
        <w:rPr>
          <w:rFonts w:cstheme="minorHAnsi"/>
        </w:rPr>
      </w:pPr>
    </w:p>
    <w:p w:rsidRPr="00B87762" w:rsidR="008C653D" w:rsidRDefault="008C653D" w14:paraId="372C3701" w14:textId="77777777">
      <w:pPr>
        <w:rPr>
          <w:rFonts w:cstheme="minorHAnsi"/>
        </w:rPr>
      </w:pPr>
    </w:p>
    <w:sectPr w:rsidRPr="00B87762" w:rsidR="008C653D" w:rsidSect="00956B4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25FD0" w14:textId="77777777" w:rsidR="00956B45" w:rsidRDefault="00956B45" w:rsidP="00956B45">
      <w:pPr>
        <w:spacing w:after="0" w:line="240" w:lineRule="auto"/>
      </w:pPr>
      <w:r>
        <w:separator/>
      </w:r>
    </w:p>
  </w:endnote>
  <w:endnote w:type="continuationSeparator" w:id="0">
    <w:p w14:paraId="00C88D0C" w14:textId="77777777" w:rsidR="00956B45" w:rsidRDefault="00956B45" w:rsidP="00956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1431" w14:textId="77777777" w:rsidR="00956B45" w:rsidRPr="00956B45" w:rsidRDefault="00956B45" w:rsidP="00956B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778A" w14:textId="77777777" w:rsidR="00956B45" w:rsidRPr="00956B45" w:rsidRDefault="00956B45" w:rsidP="00956B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EAAB" w14:textId="77777777" w:rsidR="00956B45" w:rsidRPr="00956B45" w:rsidRDefault="00956B45" w:rsidP="00956B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3594E" w14:textId="77777777" w:rsidR="00956B45" w:rsidRDefault="00956B45" w:rsidP="00956B45">
      <w:pPr>
        <w:spacing w:after="0" w:line="240" w:lineRule="auto"/>
      </w:pPr>
      <w:r>
        <w:separator/>
      </w:r>
    </w:p>
  </w:footnote>
  <w:footnote w:type="continuationSeparator" w:id="0">
    <w:p w14:paraId="03B8FBA2" w14:textId="77777777" w:rsidR="00956B45" w:rsidRDefault="00956B45" w:rsidP="00956B45">
      <w:pPr>
        <w:spacing w:after="0" w:line="240" w:lineRule="auto"/>
      </w:pPr>
      <w:r>
        <w:continuationSeparator/>
      </w:r>
    </w:p>
  </w:footnote>
  <w:footnote w:id="1">
    <w:p w14:paraId="3B6D5FAF" w14:textId="77777777" w:rsidR="00956B45" w:rsidRPr="00B87762" w:rsidRDefault="00956B45" w:rsidP="00956B45">
      <w:pPr>
        <w:pStyle w:val="Voetnoottekst"/>
        <w:rPr>
          <w:rFonts w:asciiTheme="minorHAnsi" w:hAnsiTheme="minorHAnsi" w:cstheme="minorHAnsi"/>
        </w:rPr>
      </w:pPr>
      <w:r w:rsidRPr="00B87762">
        <w:rPr>
          <w:rStyle w:val="Voetnootmarkering"/>
          <w:rFonts w:asciiTheme="minorHAnsi" w:hAnsiTheme="minorHAnsi" w:cstheme="minorHAnsi"/>
        </w:rPr>
        <w:footnoteRef/>
      </w:r>
      <w:r w:rsidRPr="00B87762">
        <w:rPr>
          <w:rFonts w:asciiTheme="minorHAnsi" w:hAnsiTheme="minorHAnsi" w:cstheme="minorHAnsi"/>
        </w:rPr>
        <w:t xml:space="preserve"> Kamerstuk 19 637, nr. 3211</w:t>
      </w:r>
    </w:p>
  </w:footnote>
  <w:footnote w:id="2">
    <w:p w14:paraId="6DFC8720" w14:textId="77777777" w:rsidR="00956B45" w:rsidRPr="00B87762" w:rsidRDefault="00956B45" w:rsidP="00956B45">
      <w:pPr>
        <w:pStyle w:val="Voetnoottekst"/>
        <w:rPr>
          <w:rFonts w:asciiTheme="minorHAnsi" w:hAnsiTheme="minorHAnsi" w:cstheme="minorHAnsi"/>
        </w:rPr>
      </w:pPr>
      <w:r w:rsidRPr="00B87762">
        <w:rPr>
          <w:rStyle w:val="Voetnootmarkering"/>
          <w:rFonts w:asciiTheme="minorHAnsi" w:hAnsiTheme="minorHAnsi" w:cstheme="minorHAnsi"/>
        </w:rPr>
        <w:footnoteRef/>
      </w:r>
      <w:r w:rsidRPr="00B87762">
        <w:rPr>
          <w:rFonts w:asciiTheme="minorHAnsi" w:hAnsiTheme="minorHAnsi" w:cstheme="minorHAnsi"/>
        </w:rPr>
        <w:t xml:space="preserve"> ECLI:NL:RVS:2024:2927 d.d. 17 juli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453E" w14:textId="77777777" w:rsidR="00956B45" w:rsidRPr="00956B45" w:rsidRDefault="00956B45" w:rsidP="00956B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74A2" w14:textId="77777777" w:rsidR="00956B45" w:rsidRPr="00956B45" w:rsidRDefault="00956B45" w:rsidP="00956B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421" w14:textId="77777777" w:rsidR="00956B45" w:rsidRPr="00956B45" w:rsidRDefault="00956B45" w:rsidP="00956B4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45"/>
    <w:rsid w:val="008C653D"/>
    <w:rsid w:val="008F2199"/>
    <w:rsid w:val="00956B45"/>
    <w:rsid w:val="00B877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AE39"/>
  <w15:chartTrackingRefBased/>
  <w15:docId w15:val="{6740FD5D-123F-4E32-8B03-A1455E81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956B4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56B4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956B4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956B4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956B4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956B4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56B4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56B45"/>
    <w:rPr>
      <w:vertAlign w:val="superscript"/>
    </w:rPr>
  </w:style>
  <w:style w:type="paragraph" w:styleId="Koptekst">
    <w:name w:val="header"/>
    <w:basedOn w:val="Standaard"/>
    <w:link w:val="KoptekstChar"/>
    <w:uiPriority w:val="99"/>
    <w:unhideWhenUsed/>
    <w:rsid w:val="00956B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56B45"/>
  </w:style>
  <w:style w:type="paragraph" w:styleId="Voettekst">
    <w:name w:val="footer"/>
    <w:basedOn w:val="Standaard"/>
    <w:link w:val="VoettekstChar"/>
    <w:uiPriority w:val="99"/>
    <w:unhideWhenUsed/>
    <w:rsid w:val="00956B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56B45"/>
  </w:style>
  <w:style w:type="paragraph" w:styleId="Geenafstand">
    <w:name w:val="No Spacing"/>
    <w:uiPriority w:val="1"/>
    <w:qFormat/>
    <w:rsid w:val="00B877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531</ap:Words>
  <ap:Characters>2925</ap:Characters>
  <ap:DocSecurity>0</ap:DocSecurity>
  <ap:Lines>24</ap:Lines>
  <ap:Paragraphs>6</ap:Paragraphs>
  <ap:ScaleCrop>false</ap:ScaleCrop>
  <ap:LinksUpToDate>false</ap:LinksUpToDate>
  <ap:CharactersWithSpaces>3450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2024-12-02T09:00:00.0000000Z</dcterms:created>
  <dcterms:modified xsi:type="dcterms:W3CDTF">2024-12-02T09:00:00.0000000Z</dcterms:modified>
  <version/>
  <category/>
</coreProperties>
</file>