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6AE1" w:rsidR="00BC6AE1" w:rsidRDefault="00E6471D" w14:paraId="669C128F" w14:textId="77777777">
      <w:pPr>
        <w:rPr>
          <w:rFonts w:cstheme="minorHAnsi"/>
        </w:rPr>
      </w:pPr>
      <w:r w:rsidRPr="00BC6AE1">
        <w:rPr>
          <w:rFonts w:cstheme="minorHAnsi"/>
          <w:iCs/>
        </w:rPr>
        <w:t>26643</w:t>
      </w:r>
      <w:r w:rsidRPr="00BC6AE1" w:rsidR="00BC6AE1">
        <w:rPr>
          <w:rFonts w:cstheme="minorHAnsi"/>
          <w:iCs/>
        </w:rPr>
        <w:tab/>
      </w:r>
      <w:r w:rsidRPr="00BC6AE1" w:rsidR="00BC6AE1">
        <w:rPr>
          <w:rFonts w:cstheme="minorHAnsi"/>
          <w:iCs/>
        </w:rPr>
        <w:tab/>
      </w:r>
      <w:r w:rsidRPr="00BC6AE1" w:rsidR="00BC6AE1">
        <w:rPr>
          <w:rFonts w:cstheme="minorHAnsi"/>
          <w:iCs/>
        </w:rPr>
        <w:tab/>
      </w:r>
      <w:r w:rsidRPr="00BC6AE1" w:rsidR="00BC6AE1">
        <w:rPr>
          <w:rFonts w:cstheme="minorHAnsi"/>
        </w:rPr>
        <w:t>Informatie- en communicatietechnologie (ICT)</w:t>
      </w:r>
    </w:p>
    <w:p w:rsidRPr="00BC6AE1" w:rsidR="00BC6AE1" w:rsidRDefault="00E6471D" w14:paraId="1573A804" w14:textId="77777777">
      <w:pPr>
        <w:rPr>
          <w:rFonts w:cstheme="minorHAnsi"/>
        </w:rPr>
      </w:pPr>
      <w:r w:rsidRPr="00BC6AE1">
        <w:rPr>
          <w:rFonts w:cstheme="minorHAnsi"/>
          <w:iCs/>
        </w:rPr>
        <w:t>35510</w:t>
      </w:r>
      <w:r w:rsidRPr="00BC6AE1" w:rsidR="00BC6AE1">
        <w:rPr>
          <w:rFonts w:cstheme="minorHAnsi"/>
          <w:iCs/>
        </w:rPr>
        <w:tab/>
      </w:r>
      <w:r w:rsidRPr="00BC6AE1" w:rsidR="00BC6AE1">
        <w:rPr>
          <w:rFonts w:cstheme="minorHAnsi"/>
          <w:iCs/>
        </w:rPr>
        <w:tab/>
      </w:r>
      <w:r w:rsidRPr="00BC6AE1" w:rsidR="00BC6AE1">
        <w:rPr>
          <w:rFonts w:cstheme="minorHAnsi"/>
          <w:iCs/>
        </w:rPr>
        <w:tab/>
      </w:r>
      <w:r w:rsidRPr="00BC6AE1" w:rsidR="00BC6AE1">
        <w:rPr>
          <w:rFonts w:cstheme="minorHAnsi"/>
        </w:rPr>
        <w:t>Parlementaire ondervraging kinderopvangtoeslag</w:t>
      </w:r>
    </w:p>
    <w:p w:rsidRPr="00BC6AE1" w:rsidR="00BC6AE1" w:rsidP="00BC6AE1" w:rsidRDefault="00BC6AE1" w14:paraId="12374CA5" w14:textId="5E5B1226">
      <w:pPr>
        <w:ind w:left="2124" w:hanging="2124"/>
        <w:rPr>
          <w:rFonts w:cstheme="minorHAnsi"/>
        </w:rPr>
      </w:pPr>
      <w:r w:rsidRPr="00BC6AE1">
        <w:rPr>
          <w:rFonts w:cstheme="minorHAnsi"/>
          <w:iCs/>
        </w:rPr>
        <w:t xml:space="preserve">Nr. </w:t>
      </w:r>
      <w:r w:rsidRPr="00BC6AE1">
        <w:rPr>
          <w:rFonts w:cstheme="minorHAnsi"/>
          <w:iCs/>
        </w:rPr>
        <w:t>1247</w:t>
      </w:r>
      <w:r w:rsidRPr="00BC6AE1">
        <w:rPr>
          <w:rFonts w:cstheme="minorHAnsi"/>
          <w:iCs/>
        </w:rPr>
        <w:tab/>
        <w:t xml:space="preserve">Brief van de </w:t>
      </w:r>
      <w:r w:rsidRPr="00BC6AE1">
        <w:rPr>
          <w:rFonts w:cstheme="minorHAnsi"/>
        </w:rPr>
        <w:t>staatssecretaris van Binnenlandse Zaken en Koninkrijksrelaties</w:t>
      </w:r>
    </w:p>
    <w:p w:rsidRPr="00BC6AE1" w:rsidR="00BC6AE1" w:rsidP="00BC6AE1" w:rsidRDefault="00BC6AE1" w14:paraId="72F2D9BB" w14:textId="2357BD24">
      <w:pPr>
        <w:ind w:left="2124" w:hanging="2124"/>
        <w:rPr>
          <w:rFonts w:cstheme="minorHAnsi"/>
        </w:rPr>
      </w:pPr>
      <w:r w:rsidRPr="00BC6AE1">
        <w:rPr>
          <w:rFonts w:cstheme="minorHAnsi"/>
        </w:rPr>
        <w:t>Aan de Voorzitter van de Tweede Kamer der Staten-Generaal</w:t>
      </w:r>
    </w:p>
    <w:p w:rsidRPr="00BC6AE1" w:rsidR="00BC6AE1" w:rsidP="00BC6AE1" w:rsidRDefault="00BC6AE1" w14:paraId="2DA228DE" w14:textId="11E2A566">
      <w:pPr>
        <w:ind w:left="2124" w:hanging="2124"/>
        <w:rPr>
          <w:rFonts w:cstheme="minorHAnsi"/>
        </w:rPr>
      </w:pPr>
      <w:r w:rsidRPr="00BC6AE1">
        <w:rPr>
          <w:rFonts w:cstheme="minorHAnsi"/>
        </w:rPr>
        <w:t>Den Haag, 2 december 2024</w:t>
      </w:r>
    </w:p>
    <w:p w:rsidRPr="00BC6AE1" w:rsidR="00BC6AE1" w:rsidP="00E6471D" w:rsidRDefault="00BC6AE1" w14:paraId="02453493" w14:textId="6E8423B7">
      <w:pPr>
        <w:spacing w:after="0"/>
        <w:rPr>
          <w:rFonts w:cstheme="minorHAnsi"/>
          <w:iCs/>
        </w:rPr>
      </w:pPr>
      <w:r w:rsidRPr="00BC6AE1">
        <w:rPr>
          <w:rFonts w:cstheme="minorHAnsi"/>
          <w:iCs/>
        </w:rPr>
        <w:tab/>
      </w:r>
    </w:p>
    <w:p w:rsidRPr="00BC6AE1" w:rsidR="00E6471D" w:rsidP="00E6471D" w:rsidRDefault="00E6471D" w14:paraId="05185008" w14:textId="58C8D6E7">
      <w:pPr>
        <w:spacing w:after="0"/>
        <w:rPr>
          <w:rFonts w:cstheme="minorHAnsi"/>
          <w:iCs/>
        </w:rPr>
      </w:pPr>
      <w:r w:rsidRPr="00BC6AE1">
        <w:rPr>
          <w:rFonts w:cstheme="minorHAnsi"/>
          <w:iCs/>
        </w:rPr>
        <w:t>Hierbij bied ik uw Kamer de resultaten aan van het door de Auditdienst Rijk (ADR) uitgevoerde onderzoek naar de kwaliteit van de uitvoering van Motie#21</w:t>
      </w:r>
      <w:r w:rsidRPr="00BC6AE1">
        <w:rPr>
          <w:rStyle w:val="Voetnootmarkering"/>
          <w:rFonts w:cstheme="minorHAnsi"/>
        </w:rPr>
        <w:footnoteReference w:id="1"/>
      </w:r>
      <w:r w:rsidRPr="00BC6AE1">
        <w:rPr>
          <w:rFonts w:cstheme="minorHAnsi"/>
          <w:iCs/>
        </w:rPr>
        <w:t xml:space="preserve">. In deze brief reageer ik op de bevindingen van de ADR. In de rode draden rapportage staan de onderzoeksresultaten aangaande het inventariseren en beoordelen van het gebruik van </w:t>
      </w:r>
      <w:proofErr w:type="spellStart"/>
      <w:r w:rsidRPr="00BC6AE1">
        <w:rPr>
          <w:rFonts w:cstheme="minorHAnsi"/>
          <w:iCs/>
        </w:rPr>
        <w:t>afkomstgerelateerde</w:t>
      </w:r>
      <w:proofErr w:type="spellEnd"/>
      <w:r w:rsidRPr="00BC6AE1">
        <w:rPr>
          <w:rFonts w:cstheme="minorHAnsi"/>
          <w:iCs/>
        </w:rPr>
        <w:t xml:space="preserve"> indicatoren in risicomodellen en in andere verwerkingen bij de Rijksoverheid en het opruimen ervan wanneer deze niet rechtmatig of behoorlijk zijn bevonden. Bovendien worden geleerde lessen en handelingsperspectieven voorgelegd.</w:t>
      </w:r>
    </w:p>
    <w:p w:rsidRPr="00BC6AE1" w:rsidR="00E6471D" w:rsidP="00E6471D" w:rsidRDefault="00E6471D" w14:paraId="10C2F70F" w14:textId="77777777">
      <w:pPr>
        <w:spacing w:after="0"/>
        <w:rPr>
          <w:rFonts w:cstheme="minorHAnsi"/>
          <w:iCs/>
        </w:rPr>
      </w:pPr>
    </w:p>
    <w:p w:rsidRPr="00BC6AE1" w:rsidR="00E6471D" w:rsidP="00E6471D" w:rsidRDefault="00E6471D" w14:paraId="228CBE1D" w14:textId="77777777">
      <w:pPr>
        <w:spacing w:after="0"/>
        <w:rPr>
          <w:rFonts w:cstheme="minorHAnsi"/>
          <w:iCs/>
        </w:rPr>
      </w:pPr>
      <w:r w:rsidRPr="00BC6AE1">
        <w:rPr>
          <w:rFonts w:cstheme="minorHAnsi"/>
          <w:iCs/>
        </w:rPr>
        <w:t>Het rapport Ongekend Onrecht</w:t>
      </w:r>
      <w:r w:rsidRPr="00BC6AE1">
        <w:rPr>
          <w:rStyle w:val="Voetnootmarkering"/>
          <w:rFonts w:cstheme="minorHAnsi"/>
        </w:rPr>
        <w:footnoteReference w:id="2"/>
      </w:r>
      <w:r w:rsidRPr="00BC6AE1">
        <w:rPr>
          <w:rFonts w:cstheme="minorHAnsi"/>
          <w:iCs/>
        </w:rPr>
        <w:t xml:space="preserve"> van de Parlementaire ondervragingscommissie Kinderopvangtoeslag was een belangrijke aanleiding voor Motie#21. Ongekend onrecht gaat niet louter over gegevensgebruik maar ook over onrecht, financiële problemen, problemen met de wet, en gezinnen die werden gebroken. De Moties van het lid Marijnissen </w:t>
      </w:r>
      <w:r w:rsidRPr="00BC6AE1">
        <w:rPr>
          <w:rFonts w:cstheme="minorHAnsi"/>
        </w:rPr>
        <w:t>(SP)</w:t>
      </w:r>
      <w:r w:rsidRPr="00BC6AE1">
        <w:rPr>
          <w:rStyle w:val="Voetnootmarkering"/>
          <w:rFonts w:cstheme="minorHAnsi"/>
        </w:rPr>
        <w:footnoteReference w:id="3"/>
      </w:r>
      <w:r w:rsidRPr="00BC6AE1">
        <w:rPr>
          <w:rFonts w:cstheme="minorHAnsi"/>
        </w:rPr>
        <w:t xml:space="preserve"> c.s. en het lid Klaver (GroenLinks)</w:t>
      </w:r>
      <w:r w:rsidRPr="00BC6AE1">
        <w:rPr>
          <w:rStyle w:val="Voetnootmarkering"/>
          <w:rFonts w:cstheme="minorHAnsi"/>
        </w:rPr>
        <w:footnoteReference w:id="4"/>
      </w:r>
      <w:r w:rsidRPr="00BC6AE1">
        <w:rPr>
          <w:rFonts w:cstheme="minorHAnsi"/>
        </w:rPr>
        <w:t xml:space="preserve"> c.s. (tezamen Motie#21)</w:t>
      </w:r>
      <w:r w:rsidRPr="00BC6AE1">
        <w:rPr>
          <w:rFonts w:cstheme="minorHAnsi"/>
          <w:iCs/>
        </w:rPr>
        <w:t xml:space="preserve"> vroegen </w:t>
      </w:r>
      <w:bookmarkStart w:name="_Hlk177993105" w:id="0"/>
      <w:r w:rsidRPr="00BC6AE1">
        <w:rPr>
          <w:rFonts w:cstheme="minorHAnsi"/>
          <w:iCs/>
        </w:rPr>
        <w:t>om het inventariseren en beoordelen van rechtmatigheid en behoorlijkheid, en het opruimen van risicomodellen wanneer deze onrechtmatig of onbehoorlijk bleken</w:t>
      </w:r>
      <w:bookmarkEnd w:id="0"/>
      <w:r w:rsidRPr="00BC6AE1">
        <w:rPr>
          <w:rFonts w:cstheme="minorHAnsi"/>
          <w:iCs/>
        </w:rPr>
        <w:t>. Overwegende dat het risico op discriminerende algoritmes niet enkel afhangt van de indicator ‘nationaliteit’, werd verzocht om het gebruik van nationaliteit, etniciteit en geboorteplaats als datavariabele in risicomodellen te toetsen.</w:t>
      </w:r>
    </w:p>
    <w:p w:rsidRPr="00BC6AE1" w:rsidR="00E6471D" w:rsidP="00E6471D" w:rsidRDefault="00E6471D" w14:paraId="0C6612D7" w14:textId="77777777">
      <w:pPr>
        <w:spacing w:after="0"/>
        <w:rPr>
          <w:rFonts w:cstheme="minorHAnsi"/>
          <w:iCs/>
        </w:rPr>
      </w:pPr>
    </w:p>
    <w:p w:rsidRPr="00BC6AE1" w:rsidR="00E6471D" w:rsidP="00E6471D" w:rsidRDefault="00E6471D" w14:paraId="42ED6D57" w14:textId="77777777">
      <w:pPr>
        <w:spacing w:after="0"/>
        <w:rPr>
          <w:rFonts w:cstheme="minorHAnsi"/>
          <w:iCs/>
        </w:rPr>
      </w:pPr>
      <w:r w:rsidRPr="00BC6AE1">
        <w:rPr>
          <w:rFonts w:cstheme="minorHAnsi"/>
          <w:iCs/>
        </w:rPr>
        <w:t xml:space="preserve">De overheid gebruikt een breed scala aan algoritmes, op basis waarvan belangrijke beslissingen worden gemaakt die grote impact kunnen hebben op veel Nederlanders. Motie#21 was een eerste stap, een opruimactie bedoeld om zeker te </w:t>
      </w:r>
      <w:r w:rsidRPr="00BC6AE1">
        <w:rPr>
          <w:rFonts w:cstheme="minorHAnsi"/>
        </w:rPr>
        <w:t xml:space="preserve">stellen dat de overheid niet onrechtmatig of oneigenlijk </w:t>
      </w:r>
      <w:proofErr w:type="spellStart"/>
      <w:r w:rsidRPr="00BC6AE1">
        <w:rPr>
          <w:rFonts w:cstheme="minorHAnsi"/>
          <w:iCs/>
        </w:rPr>
        <w:t>afkomstgerelateerde</w:t>
      </w:r>
      <w:proofErr w:type="spellEnd"/>
      <w:r w:rsidRPr="00BC6AE1">
        <w:rPr>
          <w:rFonts w:cstheme="minorHAnsi"/>
          <w:iCs/>
        </w:rPr>
        <w:t xml:space="preserve"> indicatoren in risicomodellen inzet. Onder andere in het kielzog van deze motie zijn </w:t>
      </w:r>
      <w:r w:rsidRPr="00BC6AE1">
        <w:rPr>
          <w:rFonts w:cstheme="minorHAnsi"/>
          <w:iCs/>
        </w:rPr>
        <w:lastRenderedPageBreak/>
        <w:t>verdere stappen gezet om bij te dragen aan dit doel. Het is belangrijk als overheid aanhoudend waakzaam te blijven op het voorkomen van onrecht en deze aandacht vast te houden, ook na dit rapport en deze motie.</w:t>
      </w:r>
    </w:p>
    <w:p w:rsidRPr="00BC6AE1" w:rsidR="00E6471D" w:rsidP="00E6471D" w:rsidRDefault="00E6471D" w14:paraId="29887507" w14:textId="77777777">
      <w:pPr>
        <w:spacing w:after="0"/>
        <w:rPr>
          <w:rFonts w:cstheme="minorHAnsi"/>
        </w:rPr>
      </w:pPr>
    </w:p>
    <w:p w:rsidRPr="00BC6AE1" w:rsidR="00E6471D" w:rsidP="00E6471D" w:rsidRDefault="00E6471D" w14:paraId="72FE5FE3" w14:textId="77777777">
      <w:pPr>
        <w:spacing w:after="0"/>
        <w:rPr>
          <w:rFonts w:cstheme="minorHAnsi"/>
          <w:i/>
          <w:iCs/>
        </w:rPr>
      </w:pPr>
      <w:r w:rsidRPr="00BC6AE1">
        <w:rPr>
          <w:rFonts w:cstheme="minorHAnsi"/>
          <w:i/>
          <w:iCs/>
        </w:rPr>
        <w:t>Opdracht ADR</w:t>
      </w:r>
    </w:p>
    <w:p w:rsidRPr="00BC6AE1" w:rsidR="00E6471D" w:rsidP="00E6471D" w:rsidRDefault="00E6471D" w14:paraId="23B17935" w14:textId="77777777">
      <w:pPr>
        <w:spacing w:after="0"/>
        <w:rPr>
          <w:rFonts w:cstheme="minorHAnsi"/>
          <w:iCs/>
        </w:rPr>
      </w:pPr>
      <w:r w:rsidRPr="00BC6AE1">
        <w:rPr>
          <w:rFonts w:cstheme="minorHAnsi"/>
        </w:rPr>
        <w:t>Met de brief van 8 april 2021</w:t>
      </w:r>
      <w:r w:rsidRPr="00BC6AE1">
        <w:rPr>
          <w:rStyle w:val="Voetnootmarkering"/>
          <w:rFonts w:cstheme="minorHAnsi"/>
        </w:rPr>
        <w:footnoteReference w:id="5"/>
      </w:r>
      <w:r w:rsidRPr="00BC6AE1">
        <w:rPr>
          <w:rFonts w:cstheme="minorHAnsi"/>
        </w:rPr>
        <w:t xml:space="preserve"> is uw Kamer geïnformeerd over de uitwerking van Motie#21. De motie van het lid Van Baarle (DENK) c.s. verzocht het kabinet om een externe toets te laten uitvoeren op de departementale uitkomsten van Motie#21</w:t>
      </w:r>
      <w:r w:rsidRPr="00BC6AE1">
        <w:rPr>
          <w:rStyle w:val="Voetnootmarkering"/>
          <w:rFonts w:cstheme="minorHAnsi"/>
        </w:rPr>
        <w:footnoteReference w:id="6"/>
      </w:r>
      <w:r w:rsidRPr="00BC6AE1">
        <w:rPr>
          <w:rFonts w:cstheme="minorHAnsi"/>
        </w:rPr>
        <w:t>. In navolging hierop heeft de CIO Rijk namens de staatssecretaris van BZK, als coördinator van de uitvoering van Motie#21, de ADR gevraagd een externe toets uit te voeren naar de kwaliteit van de uitvoering van Motie#21</w:t>
      </w:r>
      <w:r w:rsidRPr="00BC6AE1">
        <w:rPr>
          <w:rFonts w:cstheme="minorHAnsi"/>
          <w:iCs/>
        </w:rPr>
        <w:t xml:space="preserve"> en of de uitkomsten in de rapportages procesmatig zijn geborgd</w:t>
      </w:r>
      <w:r w:rsidRPr="00BC6AE1">
        <w:rPr>
          <w:rFonts w:cstheme="minorHAnsi"/>
        </w:rPr>
        <w:t>. In juli 2023</w:t>
      </w:r>
      <w:r w:rsidRPr="00BC6AE1">
        <w:rPr>
          <w:rStyle w:val="Voetnootmarkering"/>
          <w:rFonts w:cstheme="minorHAnsi"/>
        </w:rPr>
        <w:footnoteReference w:id="7"/>
      </w:r>
      <w:r w:rsidRPr="00BC6AE1">
        <w:rPr>
          <w:rFonts w:cstheme="minorHAnsi"/>
        </w:rPr>
        <w:t xml:space="preserve"> is uw Kamer geïnformeerd over de onderzoeksopdracht van de ADR naar de uitvoering van Motie#21. </w:t>
      </w:r>
    </w:p>
    <w:p w:rsidRPr="00BC6AE1" w:rsidR="00E6471D" w:rsidP="00E6471D" w:rsidRDefault="00E6471D" w14:paraId="6A83B5E7" w14:textId="77777777">
      <w:pPr>
        <w:spacing w:after="0"/>
        <w:rPr>
          <w:rFonts w:cstheme="minorHAnsi"/>
          <w:i/>
        </w:rPr>
      </w:pPr>
    </w:p>
    <w:p w:rsidRPr="00BC6AE1" w:rsidR="00E6471D" w:rsidP="00E6471D" w:rsidRDefault="00E6471D" w14:paraId="59E63BFA" w14:textId="77777777">
      <w:pPr>
        <w:spacing w:after="0"/>
        <w:rPr>
          <w:rFonts w:cstheme="minorHAnsi"/>
          <w:i/>
        </w:rPr>
      </w:pPr>
      <w:r w:rsidRPr="00BC6AE1">
        <w:rPr>
          <w:rFonts w:cstheme="minorHAnsi"/>
          <w:i/>
        </w:rPr>
        <w:t>Bevindingen ADR en repliek</w:t>
      </w:r>
    </w:p>
    <w:p w:rsidRPr="00BC6AE1" w:rsidR="00E6471D" w:rsidP="00E6471D" w:rsidRDefault="00E6471D" w14:paraId="7097D696" w14:textId="77777777">
      <w:pPr>
        <w:spacing w:after="0"/>
        <w:rPr>
          <w:rFonts w:cstheme="minorHAnsi"/>
        </w:rPr>
      </w:pPr>
      <w:r w:rsidRPr="00BC6AE1">
        <w:rPr>
          <w:rFonts w:cstheme="minorHAnsi"/>
        </w:rPr>
        <w:t xml:space="preserve">De ADR heeft onderzocht hoe de betrokken departementen de accuraat- en volledigheid van de uitvoering van Motie#21 en de uitkomsten in de rapportage procesmatig hebben geborgd. De ADR concludeert dat departementen waarborgen hebben getroffen voor een accurate en volledige uitvoering van Motie#21. </w:t>
      </w:r>
      <w:bookmarkStart w:name="_Hlk178749937" w:id="1"/>
      <w:r w:rsidRPr="00BC6AE1">
        <w:rPr>
          <w:rFonts w:cstheme="minorHAnsi"/>
        </w:rPr>
        <w:t xml:space="preserve">De ADR concludeert dat de toetsing op rechtmatigheid zichtbaar is uitgevoerd en dat de toetsing op oneigenlijk gebruik verschillend is uitgevoerd. Dat de ADR verschillen heeft aangetroffen in de wijze waarop departementen Motie#21 hebben uitgevoerd, is in lijn met de gekozen aanpak </w:t>
      </w:r>
      <w:bookmarkStart w:name="_Hlk179186120" w:id="2"/>
      <w:r w:rsidRPr="00BC6AE1">
        <w:rPr>
          <w:rFonts w:cstheme="minorHAnsi"/>
        </w:rPr>
        <w:t>waarbij werd gesteld dat departementen ruimte krijgen om een aanpak te bepalen die aansluit bij hun situatie</w:t>
      </w:r>
      <w:bookmarkEnd w:id="2"/>
      <w:r w:rsidRPr="00BC6AE1">
        <w:rPr>
          <w:rFonts w:cstheme="minorHAnsi"/>
        </w:rPr>
        <w:t xml:space="preserve">. De departementale plannen van aanpak zijn vervolgens aan de Kamer aangeboden. </w:t>
      </w:r>
      <w:bookmarkEnd w:id="1"/>
      <w:r w:rsidRPr="00BC6AE1">
        <w:rPr>
          <w:rFonts w:cstheme="minorHAnsi"/>
        </w:rPr>
        <w:t xml:space="preserve">Via rapportages aan de Kamer hebben de departementen toegelicht op welke wijze de beoordeling op oneigenlijk gebruik is uitgevoerd. De in de motie bedoelde wijze van toetsing heeft zodoende plaatsgevonden en is naar mijn mening door de toelichtingen en de departementale contexten zo repliceer- en navolgbaar mogelijk uitgevoerd. Daarnaast constateert de ADR dat er bij departementen waar na onderzoek bleek dat er sprake was van onrechtmatige of oneigenlijke verwerkingen van </w:t>
      </w:r>
      <w:proofErr w:type="spellStart"/>
      <w:r w:rsidRPr="00BC6AE1">
        <w:rPr>
          <w:rFonts w:cstheme="minorHAnsi"/>
        </w:rPr>
        <w:t>afkomstgerelateerde</w:t>
      </w:r>
      <w:proofErr w:type="spellEnd"/>
      <w:r w:rsidRPr="00BC6AE1">
        <w:rPr>
          <w:rFonts w:cstheme="minorHAnsi"/>
        </w:rPr>
        <w:t xml:space="preserve"> indicatoren (opruim)acties zijn opgesteld en uitgevoerd, volgend uit de uitvoering van Motie#21.</w:t>
      </w:r>
    </w:p>
    <w:p w:rsidRPr="00BC6AE1" w:rsidR="00E6471D" w:rsidP="00E6471D" w:rsidRDefault="00E6471D" w14:paraId="0C10207F" w14:textId="77777777">
      <w:pPr>
        <w:spacing w:after="0"/>
        <w:rPr>
          <w:rFonts w:cstheme="minorHAnsi"/>
        </w:rPr>
      </w:pPr>
    </w:p>
    <w:p w:rsidRPr="00BC6AE1" w:rsidR="00E6471D" w:rsidP="00E6471D" w:rsidRDefault="00E6471D" w14:paraId="61BB601B" w14:textId="77777777">
      <w:pPr>
        <w:spacing w:after="0"/>
        <w:rPr>
          <w:rFonts w:cstheme="minorHAnsi"/>
        </w:rPr>
      </w:pPr>
      <w:r w:rsidRPr="00BC6AE1">
        <w:rPr>
          <w:rFonts w:cstheme="minorHAnsi"/>
        </w:rPr>
        <w:t>De ADR heeft vijf aanbevelingen geformuleerd, zoals hieronder beschreven in tabelvorm. Ik heb hiernaast toegelicht of ik deze aanbeveling overneem.</w:t>
      </w:r>
    </w:p>
    <w:p w:rsidRPr="00BC6AE1" w:rsidR="00E6471D" w:rsidP="00E6471D" w:rsidRDefault="00E6471D" w14:paraId="6C62DFF2" w14:textId="77777777">
      <w:pPr>
        <w:spacing w:after="0"/>
        <w:rPr>
          <w:rFonts w:cstheme="minorHAnsi"/>
        </w:rPr>
      </w:pPr>
    </w:p>
    <w:p w:rsidRPr="00BC6AE1" w:rsidR="00E6471D" w:rsidP="00E6471D" w:rsidRDefault="00E6471D" w14:paraId="28363596" w14:textId="77777777">
      <w:pPr>
        <w:spacing w:after="0"/>
        <w:rPr>
          <w:rFonts w:cstheme="minorHAnsi"/>
        </w:rPr>
      </w:pPr>
    </w:p>
    <w:p w:rsidRPr="00BC6AE1" w:rsidR="00E6471D" w:rsidP="00E6471D" w:rsidRDefault="00E6471D" w14:paraId="42B279E8" w14:textId="77777777">
      <w:pPr>
        <w:spacing w:after="0"/>
        <w:rPr>
          <w:rFonts w:cstheme="minorHAnsi"/>
        </w:rPr>
      </w:pPr>
    </w:p>
    <w:p w:rsidRPr="00BC6AE1" w:rsidR="00E6471D" w:rsidP="00E6471D" w:rsidRDefault="00E6471D" w14:paraId="53FB9EE2" w14:textId="77777777">
      <w:pPr>
        <w:spacing w:after="0"/>
        <w:rPr>
          <w:rFonts w:cstheme="minorHAnsi"/>
        </w:rPr>
      </w:pPr>
    </w:p>
    <w:p w:rsidRPr="00BC6AE1" w:rsidR="00E6471D" w:rsidP="00E6471D" w:rsidRDefault="00E6471D" w14:paraId="770B29A0" w14:textId="77777777">
      <w:pPr>
        <w:spacing w:after="0"/>
        <w:rPr>
          <w:rFonts w:cstheme="minorHAnsi"/>
        </w:rPr>
      </w:pPr>
    </w:p>
    <w:p w:rsidRPr="00BC6AE1" w:rsidR="00E6471D" w:rsidP="00E6471D" w:rsidRDefault="00E6471D" w14:paraId="0248E40D" w14:textId="77777777">
      <w:pPr>
        <w:spacing w:after="0"/>
        <w:rPr>
          <w:rFonts w:cstheme="minorHAnsi"/>
        </w:rPr>
      </w:pPr>
    </w:p>
    <w:p w:rsidRPr="00BC6AE1" w:rsidR="00E6471D" w:rsidP="00E6471D" w:rsidRDefault="00E6471D" w14:paraId="41618331" w14:textId="77777777">
      <w:pPr>
        <w:spacing w:after="0"/>
        <w:rPr>
          <w:rFonts w:cstheme="minorHAnsi"/>
        </w:rPr>
      </w:pPr>
    </w:p>
    <w:p w:rsidRPr="00BC6AE1" w:rsidR="00E6471D" w:rsidP="00E6471D" w:rsidRDefault="00E6471D" w14:paraId="54F2B8AE" w14:textId="77777777">
      <w:pPr>
        <w:spacing w:after="0"/>
        <w:rPr>
          <w:rFonts w:cstheme="minorHAnsi"/>
        </w:rPr>
      </w:pPr>
    </w:p>
    <w:p w:rsidRPr="00BC6AE1" w:rsidR="00E6471D" w:rsidP="00E6471D" w:rsidRDefault="00E6471D" w14:paraId="7EA3DFCC" w14:textId="77777777">
      <w:pPr>
        <w:spacing w:after="0"/>
        <w:rPr>
          <w:rFonts w:cstheme="minorHAnsi"/>
        </w:rPr>
      </w:pPr>
    </w:p>
    <w:p w:rsidRPr="00BC6AE1" w:rsidR="00E6471D" w:rsidP="00E6471D" w:rsidRDefault="00E6471D" w14:paraId="6FCD8739" w14:textId="77777777">
      <w:pPr>
        <w:spacing w:after="0"/>
        <w:rPr>
          <w:rFonts w:cstheme="minorHAnsi"/>
        </w:rPr>
      </w:pPr>
    </w:p>
    <w:p w:rsidRPr="00BC6AE1" w:rsidR="00E6471D" w:rsidP="00E6471D" w:rsidRDefault="00E6471D" w14:paraId="3AC98820" w14:textId="77777777">
      <w:pPr>
        <w:spacing w:after="0"/>
        <w:rPr>
          <w:rFonts w:cstheme="minorHAnsi"/>
        </w:rPr>
      </w:pPr>
    </w:p>
    <w:tbl>
      <w:tblPr>
        <w:tblStyle w:val="Tabelraster"/>
        <w:tblW w:w="7650" w:type="dxa"/>
        <w:tblInd w:w="0" w:type="dxa"/>
        <w:tblCellMar>
          <w:top w:w="28" w:type="dxa"/>
          <w:left w:w="57" w:type="dxa"/>
          <w:right w:w="57" w:type="dxa"/>
        </w:tblCellMar>
        <w:tblLook w:val="04A0" w:firstRow="1" w:lastRow="0" w:firstColumn="1" w:lastColumn="0" w:noHBand="0" w:noVBand="1"/>
      </w:tblPr>
      <w:tblGrid>
        <w:gridCol w:w="397"/>
        <w:gridCol w:w="1928"/>
        <w:gridCol w:w="1701"/>
        <w:gridCol w:w="3624"/>
      </w:tblGrid>
      <w:tr w:rsidRPr="00BC6AE1" w:rsidR="00E6471D" w:rsidTr="00DE7A2C" w14:paraId="5E947A2A" w14:textId="77777777">
        <w:trPr>
          <w:trHeight w:val="339"/>
        </w:trPr>
        <w:tc>
          <w:tcPr>
            <w:tcW w:w="397" w:type="dxa"/>
          </w:tcPr>
          <w:p w:rsidRPr="00BC6AE1" w:rsidR="00E6471D" w:rsidP="00E6471D" w:rsidRDefault="00E6471D" w14:paraId="6077F530" w14:textId="77777777">
            <w:pPr>
              <w:rPr>
                <w:rFonts w:asciiTheme="minorHAnsi" w:hAnsiTheme="minorHAnsi" w:cstheme="minorHAnsi"/>
                <w:b/>
                <w:bCs/>
                <w:sz w:val="22"/>
                <w:szCs w:val="22"/>
              </w:rPr>
            </w:pPr>
            <w:r w:rsidRPr="00BC6AE1">
              <w:rPr>
                <w:rFonts w:asciiTheme="minorHAnsi" w:hAnsiTheme="minorHAnsi" w:cstheme="minorHAnsi"/>
                <w:b/>
                <w:bCs/>
                <w:sz w:val="22"/>
                <w:szCs w:val="22"/>
              </w:rPr>
              <w:t>nr.</w:t>
            </w:r>
          </w:p>
        </w:tc>
        <w:tc>
          <w:tcPr>
            <w:tcW w:w="1928" w:type="dxa"/>
          </w:tcPr>
          <w:p w:rsidRPr="00BC6AE1" w:rsidR="00E6471D" w:rsidP="00E6471D" w:rsidRDefault="00E6471D" w14:paraId="750609CD" w14:textId="77777777">
            <w:pPr>
              <w:rPr>
                <w:rFonts w:asciiTheme="minorHAnsi" w:hAnsiTheme="minorHAnsi" w:cstheme="minorHAnsi"/>
                <w:b/>
                <w:bCs/>
                <w:sz w:val="22"/>
                <w:szCs w:val="22"/>
              </w:rPr>
            </w:pPr>
            <w:r w:rsidRPr="00BC6AE1">
              <w:rPr>
                <w:rFonts w:asciiTheme="minorHAnsi" w:hAnsiTheme="minorHAnsi" w:cstheme="minorHAnsi"/>
                <w:b/>
                <w:bCs/>
                <w:sz w:val="22"/>
                <w:szCs w:val="22"/>
              </w:rPr>
              <w:t>ADR aanbeveling</w:t>
            </w:r>
          </w:p>
        </w:tc>
        <w:tc>
          <w:tcPr>
            <w:tcW w:w="1701" w:type="dxa"/>
          </w:tcPr>
          <w:p w:rsidRPr="00BC6AE1" w:rsidR="00E6471D" w:rsidP="00E6471D" w:rsidRDefault="00E6471D" w14:paraId="03B2F5BD" w14:textId="77777777">
            <w:pPr>
              <w:rPr>
                <w:rFonts w:asciiTheme="minorHAnsi" w:hAnsiTheme="minorHAnsi" w:cstheme="minorHAnsi"/>
                <w:b/>
                <w:bCs/>
                <w:sz w:val="22"/>
                <w:szCs w:val="22"/>
              </w:rPr>
            </w:pPr>
            <w:r w:rsidRPr="00BC6AE1">
              <w:rPr>
                <w:rFonts w:asciiTheme="minorHAnsi" w:hAnsiTheme="minorHAnsi" w:cstheme="minorHAnsi"/>
                <w:b/>
                <w:bCs/>
                <w:sz w:val="22"/>
                <w:szCs w:val="22"/>
              </w:rPr>
              <w:t>Overgenomen?</w:t>
            </w:r>
          </w:p>
        </w:tc>
        <w:tc>
          <w:tcPr>
            <w:tcW w:w="3624" w:type="dxa"/>
          </w:tcPr>
          <w:p w:rsidRPr="00BC6AE1" w:rsidR="00E6471D" w:rsidP="00E6471D" w:rsidRDefault="00E6471D" w14:paraId="0389F54F" w14:textId="77777777">
            <w:pPr>
              <w:rPr>
                <w:rFonts w:asciiTheme="minorHAnsi" w:hAnsiTheme="minorHAnsi" w:cstheme="minorHAnsi"/>
                <w:b/>
                <w:bCs/>
                <w:sz w:val="22"/>
                <w:szCs w:val="22"/>
              </w:rPr>
            </w:pPr>
            <w:r w:rsidRPr="00BC6AE1">
              <w:rPr>
                <w:rFonts w:asciiTheme="minorHAnsi" w:hAnsiTheme="minorHAnsi" w:cstheme="minorHAnsi"/>
                <w:b/>
                <w:bCs/>
                <w:sz w:val="22"/>
                <w:szCs w:val="22"/>
              </w:rPr>
              <w:t>Toelichting</w:t>
            </w:r>
          </w:p>
        </w:tc>
      </w:tr>
      <w:tr w:rsidRPr="00BC6AE1" w:rsidR="00E6471D" w:rsidTr="00DE7A2C" w14:paraId="3F9C4AE8" w14:textId="77777777">
        <w:trPr>
          <w:trHeight w:val="2839"/>
        </w:trPr>
        <w:tc>
          <w:tcPr>
            <w:tcW w:w="397" w:type="dxa"/>
          </w:tcPr>
          <w:p w:rsidRPr="00BC6AE1" w:rsidR="00E6471D" w:rsidP="00E6471D" w:rsidRDefault="00E6471D" w14:paraId="011F8C61" w14:textId="77777777">
            <w:pPr>
              <w:rPr>
                <w:rFonts w:asciiTheme="minorHAnsi" w:hAnsiTheme="minorHAnsi" w:cstheme="minorHAnsi"/>
                <w:sz w:val="22"/>
                <w:szCs w:val="22"/>
              </w:rPr>
            </w:pPr>
            <w:r w:rsidRPr="00BC6AE1">
              <w:rPr>
                <w:rFonts w:asciiTheme="minorHAnsi" w:hAnsiTheme="minorHAnsi" w:cstheme="minorHAnsi"/>
                <w:sz w:val="22"/>
                <w:szCs w:val="22"/>
              </w:rPr>
              <w:t>1</w:t>
            </w:r>
          </w:p>
        </w:tc>
        <w:tc>
          <w:tcPr>
            <w:tcW w:w="1928" w:type="dxa"/>
          </w:tcPr>
          <w:p w:rsidRPr="00BC6AE1" w:rsidR="00E6471D" w:rsidP="00E6471D" w:rsidRDefault="00E6471D" w14:paraId="32592707" w14:textId="77777777">
            <w:pPr>
              <w:rPr>
                <w:rFonts w:asciiTheme="minorHAnsi" w:hAnsiTheme="minorHAnsi" w:cstheme="minorHAnsi"/>
                <w:sz w:val="22"/>
                <w:szCs w:val="22"/>
              </w:rPr>
            </w:pPr>
            <w:r w:rsidRPr="00BC6AE1">
              <w:rPr>
                <w:rFonts w:asciiTheme="minorHAnsi" w:hAnsiTheme="minorHAnsi" w:cstheme="minorHAnsi"/>
                <w:sz w:val="22"/>
                <w:szCs w:val="22"/>
              </w:rPr>
              <w:t>Zorg voor een gezamenlijk startpunt.</w:t>
            </w:r>
          </w:p>
        </w:tc>
        <w:tc>
          <w:tcPr>
            <w:tcW w:w="1701" w:type="dxa"/>
          </w:tcPr>
          <w:p w:rsidRPr="00BC6AE1" w:rsidR="00E6471D" w:rsidP="00E6471D" w:rsidRDefault="00E6471D" w14:paraId="213AFD74" w14:textId="77777777">
            <w:pPr>
              <w:rPr>
                <w:rFonts w:asciiTheme="minorHAnsi" w:hAnsiTheme="minorHAnsi" w:cstheme="minorHAnsi"/>
                <w:sz w:val="22"/>
                <w:szCs w:val="22"/>
              </w:rPr>
            </w:pPr>
            <w:r w:rsidRPr="00BC6AE1">
              <w:rPr>
                <w:rFonts w:asciiTheme="minorHAnsi" w:hAnsiTheme="minorHAnsi" w:cstheme="minorHAnsi"/>
                <w:sz w:val="22"/>
                <w:szCs w:val="22"/>
              </w:rPr>
              <w:t>Ja</w:t>
            </w:r>
          </w:p>
        </w:tc>
        <w:tc>
          <w:tcPr>
            <w:tcW w:w="3624" w:type="dxa"/>
          </w:tcPr>
          <w:p w:rsidRPr="00BC6AE1" w:rsidR="00E6471D" w:rsidP="00E6471D" w:rsidRDefault="00E6471D" w14:paraId="6F1A1C2C" w14:textId="77777777">
            <w:pPr>
              <w:rPr>
                <w:rFonts w:asciiTheme="minorHAnsi" w:hAnsiTheme="minorHAnsi" w:cstheme="minorHAnsi"/>
                <w:sz w:val="22"/>
                <w:szCs w:val="22"/>
              </w:rPr>
            </w:pPr>
            <w:r w:rsidRPr="00BC6AE1">
              <w:rPr>
                <w:rFonts w:asciiTheme="minorHAnsi" w:hAnsiTheme="minorHAnsi" w:cstheme="minorHAnsi"/>
                <w:sz w:val="22"/>
                <w:szCs w:val="22"/>
              </w:rPr>
              <w:t xml:space="preserve">De aanbeveling van de ADR om voorafgaand een gezamenlijk startpunt te formuleren onderschrijf ik in vergelijkbare gevallen. Voor toekomstige moties zouden, net zoals bij Motie#21, departementen ruimte kunnen krijgen voor het invullen van het </w:t>
            </w:r>
            <w:r w:rsidRPr="00BC6AE1">
              <w:rPr>
                <w:rFonts w:asciiTheme="minorHAnsi" w:hAnsiTheme="minorHAnsi" w:cstheme="minorHAnsi"/>
                <w:i/>
                <w:iCs/>
                <w:sz w:val="22"/>
                <w:szCs w:val="22"/>
              </w:rPr>
              <w:t xml:space="preserve">hoe </w:t>
            </w:r>
            <w:r w:rsidRPr="00BC6AE1">
              <w:rPr>
                <w:rFonts w:asciiTheme="minorHAnsi" w:hAnsiTheme="minorHAnsi" w:cstheme="minorHAnsi"/>
                <w:sz w:val="22"/>
                <w:szCs w:val="22"/>
              </w:rPr>
              <w:t xml:space="preserve">(de aanpak) maar dan is overeenstemming over het </w:t>
            </w:r>
            <w:r w:rsidRPr="00BC6AE1">
              <w:rPr>
                <w:rFonts w:asciiTheme="minorHAnsi" w:hAnsiTheme="minorHAnsi" w:cstheme="minorHAnsi"/>
                <w:i/>
                <w:iCs/>
                <w:sz w:val="22"/>
                <w:szCs w:val="22"/>
              </w:rPr>
              <w:t>wat (</w:t>
            </w:r>
            <w:r w:rsidRPr="00BC6AE1">
              <w:rPr>
                <w:rFonts w:asciiTheme="minorHAnsi" w:hAnsiTheme="minorHAnsi" w:cstheme="minorHAnsi"/>
                <w:sz w:val="22"/>
                <w:szCs w:val="22"/>
              </w:rPr>
              <w:t>de interpretatie van de motie) een randvoorwaarde.</w:t>
            </w:r>
          </w:p>
          <w:p w:rsidRPr="00BC6AE1" w:rsidR="00E6471D" w:rsidP="00E6471D" w:rsidRDefault="00E6471D" w14:paraId="57B7C20D" w14:textId="77777777">
            <w:pPr>
              <w:rPr>
                <w:rFonts w:asciiTheme="minorHAnsi" w:hAnsiTheme="minorHAnsi" w:cstheme="minorHAnsi"/>
                <w:sz w:val="22"/>
                <w:szCs w:val="22"/>
              </w:rPr>
            </w:pPr>
          </w:p>
        </w:tc>
      </w:tr>
      <w:tr w:rsidRPr="00BC6AE1" w:rsidR="00E6471D" w:rsidTr="00DE7A2C" w14:paraId="26EE7545" w14:textId="77777777">
        <w:trPr>
          <w:trHeight w:val="2310"/>
        </w:trPr>
        <w:tc>
          <w:tcPr>
            <w:tcW w:w="397" w:type="dxa"/>
          </w:tcPr>
          <w:p w:rsidRPr="00BC6AE1" w:rsidR="00E6471D" w:rsidP="00E6471D" w:rsidRDefault="00E6471D" w14:paraId="69F28C7B" w14:textId="77777777">
            <w:pPr>
              <w:rPr>
                <w:rFonts w:asciiTheme="minorHAnsi" w:hAnsiTheme="minorHAnsi" w:cstheme="minorHAnsi"/>
                <w:sz w:val="22"/>
                <w:szCs w:val="22"/>
              </w:rPr>
            </w:pPr>
            <w:r w:rsidRPr="00BC6AE1">
              <w:rPr>
                <w:rFonts w:asciiTheme="minorHAnsi" w:hAnsiTheme="minorHAnsi" w:cstheme="minorHAnsi"/>
                <w:sz w:val="22"/>
                <w:szCs w:val="22"/>
              </w:rPr>
              <w:t>2</w:t>
            </w:r>
          </w:p>
        </w:tc>
        <w:tc>
          <w:tcPr>
            <w:tcW w:w="1928" w:type="dxa"/>
          </w:tcPr>
          <w:p w:rsidRPr="00BC6AE1" w:rsidR="00E6471D" w:rsidP="00E6471D" w:rsidRDefault="00E6471D" w14:paraId="19044199" w14:textId="77777777">
            <w:pPr>
              <w:rPr>
                <w:rFonts w:asciiTheme="minorHAnsi" w:hAnsiTheme="minorHAnsi" w:cstheme="minorHAnsi"/>
                <w:sz w:val="22"/>
                <w:szCs w:val="22"/>
              </w:rPr>
            </w:pPr>
            <w:r w:rsidRPr="00BC6AE1">
              <w:rPr>
                <w:rFonts w:asciiTheme="minorHAnsi" w:hAnsiTheme="minorHAnsi" w:cstheme="minorHAnsi"/>
                <w:sz w:val="22"/>
                <w:szCs w:val="22"/>
              </w:rPr>
              <w:t>Verken de mogelijkheden voor aanvullende capaciteit, wanneer wordt besloten tot de uitvoering van een dergelijk omvangrijke opdracht.</w:t>
            </w:r>
          </w:p>
        </w:tc>
        <w:tc>
          <w:tcPr>
            <w:tcW w:w="1701" w:type="dxa"/>
          </w:tcPr>
          <w:p w:rsidRPr="00BC6AE1" w:rsidR="00E6471D" w:rsidP="00E6471D" w:rsidRDefault="00E6471D" w14:paraId="5355482C" w14:textId="77777777">
            <w:pPr>
              <w:rPr>
                <w:rFonts w:asciiTheme="minorHAnsi" w:hAnsiTheme="minorHAnsi" w:cstheme="minorHAnsi"/>
                <w:sz w:val="22"/>
                <w:szCs w:val="22"/>
              </w:rPr>
            </w:pPr>
            <w:r w:rsidRPr="00BC6AE1">
              <w:rPr>
                <w:rFonts w:asciiTheme="minorHAnsi" w:hAnsiTheme="minorHAnsi" w:cstheme="minorHAnsi"/>
                <w:sz w:val="22"/>
                <w:szCs w:val="22"/>
              </w:rPr>
              <w:t>Ja</w:t>
            </w:r>
          </w:p>
        </w:tc>
        <w:tc>
          <w:tcPr>
            <w:tcW w:w="3624" w:type="dxa"/>
          </w:tcPr>
          <w:p w:rsidRPr="00BC6AE1" w:rsidR="00E6471D" w:rsidP="00E6471D" w:rsidRDefault="00E6471D" w14:paraId="09BEA5AA" w14:textId="77777777">
            <w:pPr>
              <w:rPr>
                <w:rFonts w:asciiTheme="minorHAnsi" w:hAnsiTheme="minorHAnsi" w:cstheme="minorHAnsi"/>
                <w:sz w:val="22"/>
                <w:szCs w:val="22"/>
              </w:rPr>
            </w:pPr>
            <w:r w:rsidRPr="00BC6AE1">
              <w:rPr>
                <w:rFonts w:asciiTheme="minorHAnsi" w:hAnsiTheme="minorHAnsi" w:cstheme="minorHAnsi"/>
                <w:sz w:val="22"/>
                <w:szCs w:val="22"/>
              </w:rPr>
              <w:t>Deze aanbeveling neem ik over. Zoals genoemd in de bevindingen, zorgt meer capaciteit ervoor dat er meer waarborgen kunnen worden getroffen voor de correcte uitvoering van de moties.</w:t>
            </w:r>
          </w:p>
          <w:p w:rsidRPr="00BC6AE1" w:rsidR="00E6471D" w:rsidP="00E6471D" w:rsidRDefault="00E6471D" w14:paraId="71E630E3" w14:textId="77777777">
            <w:pPr>
              <w:rPr>
                <w:rFonts w:asciiTheme="minorHAnsi" w:hAnsiTheme="minorHAnsi" w:cstheme="minorHAnsi"/>
                <w:sz w:val="22"/>
                <w:szCs w:val="22"/>
              </w:rPr>
            </w:pPr>
          </w:p>
        </w:tc>
      </w:tr>
      <w:tr w:rsidRPr="00BC6AE1" w:rsidR="00E6471D" w:rsidTr="00DE7A2C" w14:paraId="39CAA116" w14:textId="77777777">
        <w:trPr>
          <w:trHeight w:val="1339"/>
        </w:trPr>
        <w:tc>
          <w:tcPr>
            <w:tcW w:w="397" w:type="dxa"/>
          </w:tcPr>
          <w:p w:rsidRPr="00BC6AE1" w:rsidR="00E6471D" w:rsidP="00E6471D" w:rsidRDefault="00E6471D" w14:paraId="251594D6" w14:textId="77777777">
            <w:pPr>
              <w:rPr>
                <w:rFonts w:asciiTheme="minorHAnsi" w:hAnsiTheme="minorHAnsi" w:cstheme="minorHAnsi"/>
                <w:sz w:val="22"/>
                <w:szCs w:val="22"/>
              </w:rPr>
            </w:pPr>
            <w:r w:rsidRPr="00BC6AE1">
              <w:rPr>
                <w:rFonts w:asciiTheme="minorHAnsi" w:hAnsiTheme="minorHAnsi" w:cstheme="minorHAnsi"/>
                <w:sz w:val="22"/>
                <w:szCs w:val="22"/>
              </w:rPr>
              <w:t>3</w:t>
            </w:r>
          </w:p>
        </w:tc>
        <w:tc>
          <w:tcPr>
            <w:tcW w:w="1928" w:type="dxa"/>
          </w:tcPr>
          <w:p w:rsidRPr="00BC6AE1" w:rsidR="00E6471D" w:rsidP="00E6471D" w:rsidRDefault="00E6471D" w14:paraId="47FB9522" w14:textId="77777777">
            <w:pPr>
              <w:rPr>
                <w:rFonts w:asciiTheme="minorHAnsi" w:hAnsiTheme="minorHAnsi" w:cstheme="minorHAnsi"/>
                <w:sz w:val="22"/>
                <w:szCs w:val="22"/>
              </w:rPr>
            </w:pPr>
            <w:r w:rsidRPr="00BC6AE1">
              <w:rPr>
                <w:rFonts w:asciiTheme="minorHAnsi" w:hAnsiTheme="minorHAnsi" w:cstheme="minorHAnsi"/>
                <w:sz w:val="22"/>
                <w:szCs w:val="22"/>
              </w:rPr>
              <w:t>Voer een impactanalyse uit op basis van taakuitvoering.</w:t>
            </w:r>
          </w:p>
        </w:tc>
        <w:tc>
          <w:tcPr>
            <w:tcW w:w="1701" w:type="dxa"/>
          </w:tcPr>
          <w:p w:rsidRPr="00BC6AE1" w:rsidR="00E6471D" w:rsidP="00E6471D" w:rsidRDefault="00E6471D" w14:paraId="19950675" w14:textId="77777777">
            <w:pPr>
              <w:rPr>
                <w:rFonts w:asciiTheme="minorHAnsi" w:hAnsiTheme="minorHAnsi" w:cstheme="minorHAnsi"/>
                <w:sz w:val="22"/>
                <w:szCs w:val="22"/>
              </w:rPr>
            </w:pPr>
            <w:r w:rsidRPr="00BC6AE1">
              <w:rPr>
                <w:rFonts w:asciiTheme="minorHAnsi" w:hAnsiTheme="minorHAnsi" w:cstheme="minorHAnsi"/>
                <w:sz w:val="22"/>
                <w:szCs w:val="22"/>
              </w:rPr>
              <w:t>Ja</w:t>
            </w:r>
          </w:p>
        </w:tc>
        <w:tc>
          <w:tcPr>
            <w:tcW w:w="3624" w:type="dxa"/>
          </w:tcPr>
          <w:p w:rsidRPr="00BC6AE1" w:rsidR="00E6471D" w:rsidP="00E6471D" w:rsidRDefault="00E6471D" w14:paraId="05256676" w14:textId="77777777">
            <w:pPr>
              <w:rPr>
                <w:rFonts w:asciiTheme="minorHAnsi" w:hAnsiTheme="minorHAnsi" w:cstheme="minorHAnsi"/>
                <w:sz w:val="22"/>
                <w:szCs w:val="22"/>
              </w:rPr>
            </w:pPr>
            <w:r w:rsidRPr="00BC6AE1">
              <w:rPr>
                <w:rFonts w:asciiTheme="minorHAnsi" w:hAnsiTheme="minorHAnsi" w:cstheme="minorHAnsi"/>
                <w:sz w:val="22"/>
                <w:szCs w:val="22"/>
              </w:rPr>
              <w:t>Ook de aanbeveling van een impactanalyse neem ik over. De behoefte aan capaciteit vergt een integrale afweging tussen taakuitvoering ten opzichte van andere prioriteiten.</w:t>
            </w:r>
          </w:p>
          <w:p w:rsidRPr="00BC6AE1" w:rsidR="00E6471D" w:rsidP="00E6471D" w:rsidRDefault="00E6471D" w14:paraId="06D879F0" w14:textId="77777777">
            <w:pPr>
              <w:rPr>
                <w:rFonts w:asciiTheme="minorHAnsi" w:hAnsiTheme="minorHAnsi" w:cstheme="minorHAnsi"/>
                <w:sz w:val="22"/>
                <w:szCs w:val="22"/>
              </w:rPr>
            </w:pPr>
          </w:p>
        </w:tc>
      </w:tr>
      <w:tr w:rsidRPr="00BC6AE1" w:rsidR="00E6471D" w:rsidTr="00DE7A2C" w14:paraId="3A58747B" w14:textId="77777777">
        <w:trPr>
          <w:trHeight w:val="1813"/>
        </w:trPr>
        <w:tc>
          <w:tcPr>
            <w:tcW w:w="397" w:type="dxa"/>
          </w:tcPr>
          <w:p w:rsidRPr="00BC6AE1" w:rsidR="00E6471D" w:rsidP="00E6471D" w:rsidRDefault="00E6471D" w14:paraId="2D92ABF9" w14:textId="77777777">
            <w:pPr>
              <w:rPr>
                <w:rFonts w:asciiTheme="minorHAnsi" w:hAnsiTheme="minorHAnsi" w:cstheme="minorHAnsi"/>
                <w:sz w:val="22"/>
                <w:szCs w:val="22"/>
              </w:rPr>
            </w:pPr>
            <w:r w:rsidRPr="00BC6AE1">
              <w:rPr>
                <w:rFonts w:asciiTheme="minorHAnsi" w:hAnsiTheme="minorHAnsi" w:cstheme="minorHAnsi"/>
                <w:sz w:val="22"/>
                <w:szCs w:val="22"/>
              </w:rPr>
              <w:lastRenderedPageBreak/>
              <w:t>4</w:t>
            </w:r>
          </w:p>
        </w:tc>
        <w:tc>
          <w:tcPr>
            <w:tcW w:w="1928" w:type="dxa"/>
          </w:tcPr>
          <w:p w:rsidRPr="00BC6AE1" w:rsidR="00E6471D" w:rsidP="00E6471D" w:rsidRDefault="00E6471D" w14:paraId="6EDC4745" w14:textId="77777777">
            <w:pPr>
              <w:rPr>
                <w:rFonts w:asciiTheme="minorHAnsi" w:hAnsiTheme="minorHAnsi" w:cstheme="minorHAnsi"/>
                <w:sz w:val="22"/>
                <w:szCs w:val="22"/>
              </w:rPr>
            </w:pPr>
            <w:r w:rsidRPr="00BC6AE1">
              <w:rPr>
                <w:rFonts w:asciiTheme="minorHAnsi" w:hAnsiTheme="minorHAnsi" w:cstheme="minorHAnsi"/>
                <w:sz w:val="22"/>
                <w:szCs w:val="22"/>
              </w:rPr>
              <w:t>Streef naar een praktische aanpak die bijdraagt aan een duurzame beheersing in de toekomst.</w:t>
            </w:r>
          </w:p>
        </w:tc>
        <w:tc>
          <w:tcPr>
            <w:tcW w:w="1701" w:type="dxa"/>
          </w:tcPr>
          <w:p w:rsidRPr="00BC6AE1" w:rsidR="00E6471D" w:rsidP="00E6471D" w:rsidRDefault="00E6471D" w14:paraId="13A71DC7" w14:textId="77777777">
            <w:pPr>
              <w:rPr>
                <w:rFonts w:asciiTheme="minorHAnsi" w:hAnsiTheme="minorHAnsi" w:cstheme="minorHAnsi"/>
                <w:sz w:val="22"/>
                <w:szCs w:val="22"/>
              </w:rPr>
            </w:pPr>
            <w:r w:rsidRPr="00BC6AE1">
              <w:rPr>
                <w:rFonts w:asciiTheme="minorHAnsi" w:hAnsiTheme="minorHAnsi" w:cstheme="minorHAnsi"/>
                <w:sz w:val="22"/>
                <w:szCs w:val="22"/>
              </w:rPr>
              <w:t>Ja</w:t>
            </w:r>
          </w:p>
        </w:tc>
        <w:tc>
          <w:tcPr>
            <w:tcW w:w="3624" w:type="dxa"/>
          </w:tcPr>
          <w:p w:rsidRPr="00BC6AE1" w:rsidR="00E6471D" w:rsidP="00E6471D" w:rsidRDefault="00E6471D" w14:paraId="0D2E0A93" w14:textId="77777777">
            <w:pPr>
              <w:rPr>
                <w:rFonts w:asciiTheme="minorHAnsi" w:hAnsiTheme="minorHAnsi" w:cstheme="minorHAnsi"/>
                <w:sz w:val="22"/>
                <w:szCs w:val="22"/>
              </w:rPr>
            </w:pPr>
            <w:r w:rsidRPr="00BC6AE1">
              <w:rPr>
                <w:rFonts w:asciiTheme="minorHAnsi" w:hAnsiTheme="minorHAnsi" w:cstheme="minorHAnsi"/>
                <w:sz w:val="22"/>
                <w:szCs w:val="22"/>
              </w:rPr>
              <w:t>De aanbeveling om te streven naar een duurzame aanpak onderschrijf ik. Dit waarborgen we nu met het lanceren en invullen van het Algoritmeregister. Mede door dit register zouden toekomstige moties efficiënter opgepakt kunnen worden.</w:t>
            </w:r>
          </w:p>
        </w:tc>
      </w:tr>
      <w:tr w:rsidRPr="00BC6AE1" w:rsidR="00E6471D" w:rsidTr="00DE7A2C" w14:paraId="1D2180D6" w14:textId="77777777">
        <w:tc>
          <w:tcPr>
            <w:tcW w:w="397" w:type="dxa"/>
          </w:tcPr>
          <w:p w:rsidRPr="00BC6AE1" w:rsidR="00E6471D" w:rsidP="00E6471D" w:rsidRDefault="00E6471D" w14:paraId="6E796CAC" w14:textId="77777777">
            <w:pPr>
              <w:rPr>
                <w:rFonts w:asciiTheme="minorHAnsi" w:hAnsiTheme="minorHAnsi" w:cstheme="minorHAnsi"/>
                <w:sz w:val="22"/>
                <w:szCs w:val="22"/>
              </w:rPr>
            </w:pPr>
            <w:r w:rsidRPr="00BC6AE1">
              <w:rPr>
                <w:rFonts w:asciiTheme="minorHAnsi" w:hAnsiTheme="minorHAnsi" w:cstheme="minorHAnsi"/>
                <w:sz w:val="22"/>
                <w:szCs w:val="22"/>
              </w:rPr>
              <w:t>5</w:t>
            </w:r>
          </w:p>
        </w:tc>
        <w:tc>
          <w:tcPr>
            <w:tcW w:w="1928" w:type="dxa"/>
          </w:tcPr>
          <w:p w:rsidRPr="00BC6AE1" w:rsidR="00E6471D" w:rsidP="00E6471D" w:rsidRDefault="00E6471D" w14:paraId="434AE218" w14:textId="77777777">
            <w:pPr>
              <w:rPr>
                <w:rFonts w:asciiTheme="minorHAnsi" w:hAnsiTheme="minorHAnsi" w:cstheme="minorHAnsi"/>
                <w:sz w:val="22"/>
                <w:szCs w:val="22"/>
              </w:rPr>
            </w:pPr>
            <w:r w:rsidRPr="00BC6AE1">
              <w:rPr>
                <w:rFonts w:asciiTheme="minorHAnsi" w:hAnsiTheme="minorHAnsi" w:cstheme="minorHAnsi"/>
                <w:sz w:val="22"/>
                <w:szCs w:val="22"/>
              </w:rPr>
              <w:t>In het verlengde van het voorgaande kan overwogen worden alleen vanuit CIO Rijk de voortgang en resultaten te rapporteren.</w:t>
            </w:r>
          </w:p>
        </w:tc>
        <w:tc>
          <w:tcPr>
            <w:tcW w:w="1701" w:type="dxa"/>
          </w:tcPr>
          <w:p w:rsidRPr="00BC6AE1" w:rsidR="00E6471D" w:rsidP="00E6471D" w:rsidRDefault="00E6471D" w14:paraId="2AD083DE" w14:textId="77777777">
            <w:pPr>
              <w:rPr>
                <w:rFonts w:asciiTheme="minorHAnsi" w:hAnsiTheme="minorHAnsi" w:cstheme="minorHAnsi"/>
                <w:sz w:val="22"/>
                <w:szCs w:val="22"/>
              </w:rPr>
            </w:pPr>
            <w:r w:rsidRPr="00BC6AE1">
              <w:rPr>
                <w:rFonts w:asciiTheme="minorHAnsi" w:hAnsiTheme="minorHAnsi" w:cstheme="minorHAnsi"/>
                <w:sz w:val="22"/>
                <w:szCs w:val="22"/>
              </w:rPr>
              <w:t>Nee</w:t>
            </w:r>
          </w:p>
        </w:tc>
        <w:tc>
          <w:tcPr>
            <w:tcW w:w="3624" w:type="dxa"/>
          </w:tcPr>
          <w:p w:rsidRPr="00BC6AE1" w:rsidR="00E6471D" w:rsidP="00E6471D" w:rsidRDefault="00E6471D" w14:paraId="1C5FAAA0" w14:textId="77777777">
            <w:pPr>
              <w:rPr>
                <w:rFonts w:asciiTheme="minorHAnsi" w:hAnsiTheme="minorHAnsi" w:cstheme="minorHAnsi"/>
                <w:sz w:val="22"/>
                <w:szCs w:val="22"/>
              </w:rPr>
            </w:pPr>
            <w:r w:rsidRPr="00BC6AE1">
              <w:rPr>
                <w:rFonts w:asciiTheme="minorHAnsi" w:hAnsiTheme="minorHAnsi" w:cstheme="minorHAnsi"/>
                <w:sz w:val="22"/>
                <w:szCs w:val="22"/>
              </w:rPr>
              <w:t>De ministeriële verantwoordelijkheid voor verwerking van persoonsgegevens en rapportage daarover ligt bij de bewindspersonen van de departementen zelf. Wel onderschrijf ik dat eenduidiger rapporteren kan worden bewerkstelligd door middel van het vaststellen van een gezamenlijk format voor deze rapportages.</w:t>
            </w:r>
          </w:p>
        </w:tc>
      </w:tr>
    </w:tbl>
    <w:p w:rsidRPr="00BC6AE1" w:rsidR="00E6471D" w:rsidP="00E6471D" w:rsidRDefault="00E6471D" w14:paraId="29585AE0" w14:textId="77777777">
      <w:pPr>
        <w:spacing w:after="0"/>
        <w:rPr>
          <w:rFonts w:cstheme="minorHAnsi"/>
          <w:i/>
        </w:rPr>
      </w:pPr>
      <w:r w:rsidRPr="00BC6AE1">
        <w:rPr>
          <w:rFonts w:cstheme="minorHAnsi"/>
          <w:i/>
        </w:rPr>
        <w:t>Blik op de toekomst</w:t>
      </w:r>
    </w:p>
    <w:p w:rsidRPr="00BC6AE1" w:rsidR="00E6471D" w:rsidP="00E6471D" w:rsidRDefault="00E6471D" w14:paraId="3DA301A4" w14:textId="77777777">
      <w:pPr>
        <w:spacing w:after="0"/>
        <w:rPr>
          <w:rFonts w:cstheme="minorHAnsi"/>
        </w:rPr>
      </w:pPr>
      <w:r w:rsidRPr="00BC6AE1">
        <w:rPr>
          <w:rFonts w:cstheme="minorHAnsi"/>
        </w:rPr>
        <w:t xml:space="preserve">De burger moet erop kunnen vertrouwen dat zorgvuldig wordt omgegaan met </w:t>
      </w:r>
      <w:proofErr w:type="spellStart"/>
      <w:r w:rsidRPr="00BC6AE1">
        <w:rPr>
          <w:rFonts w:cstheme="minorHAnsi"/>
        </w:rPr>
        <w:t>afkomstgerelateerde</w:t>
      </w:r>
      <w:proofErr w:type="spellEnd"/>
      <w:r w:rsidRPr="00BC6AE1">
        <w:rPr>
          <w:rFonts w:cstheme="minorHAnsi"/>
        </w:rPr>
        <w:t xml:space="preserve"> indicatoren, en dat verwerking alleen gebeurt als vooraf getoetst is of daar een wettelijke grondslag voor is. De uitvoering van Motie#21 heeft het bewustzijn van deze zorgvuldigheid bij de Rijksoverheid aantoonbaar vergroot. De departementen hebben afgesproken om alle hoog-risico algoritmes die zij gebruiken uiterlijk eind 2025 in het Algoritmeregister op te nemen</w:t>
      </w:r>
      <w:r w:rsidRPr="00BC6AE1">
        <w:rPr>
          <w:rFonts w:cstheme="minorHAnsi"/>
          <w:vertAlign w:val="superscript"/>
        </w:rPr>
        <w:footnoteReference w:id="8"/>
      </w:r>
      <w:r w:rsidRPr="00BC6AE1">
        <w:rPr>
          <w:rFonts w:cstheme="minorHAnsi"/>
        </w:rPr>
        <w:t>. Het bijhouden van dergelijke registers biedt uw Kamer en burgers inzicht in de werking van de Rijksoverheid.</w:t>
      </w:r>
    </w:p>
    <w:p w:rsidRPr="00BC6AE1" w:rsidR="00E6471D" w:rsidP="00E6471D" w:rsidRDefault="00E6471D" w14:paraId="3182C83F" w14:textId="77777777">
      <w:pPr>
        <w:spacing w:after="0"/>
        <w:rPr>
          <w:rFonts w:cstheme="minorHAnsi"/>
        </w:rPr>
      </w:pPr>
    </w:p>
    <w:p w:rsidRPr="00BC6AE1" w:rsidR="00E6471D" w:rsidP="00E6471D" w:rsidRDefault="00E6471D" w14:paraId="0148E04C" w14:textId="77777777">
      <w:pPr>
        <w:spacing w:after="0"/>
        <w:rPr>
          <w:rFonts w:cstheme="minorHAnsi"/>
          <w:iCs/>
        </w:rPr>
      </w:pPr>
      <w:r w:rsidRPr="00BC6AE1">
        <w:rPr>
          <w:rFonts w:cstheme="minorHAnsi"/>
          <w:iCs/>
        </w:rPr>
        <w:t>Ik dank de ADR hartelijk voor het uitvoeren van de externe toets die is verricht naar de kwaliteit van de uitvoering van Motie#21. De onderzoeksresultaten helpen de Rijksoverheid bij de verdere vormgeving van hun verantwoorde omgang met (gevoelige) indicatoren.</w:t>
      </w:r>
    </w:p>
    <w:p w:rsidRPr="00BC6AE1" w:rsidR="00E6471D" w:rsidP="00E6471D" w:rsidRDefault="00E6471D" w14:paraId="63D17B0E" w14:textId="77777777">
      <w:pPr>
        <w:spacing w:after="0"/>
        <w:rPr>
          <w:rFonts w:cstheme="minorHAnsi"/>
          <w:iCs/>
        </w:rPr>
      </w:pPr>
    </w:p>
    <w:p w:rsidR="00BC6AE1" w:rsidP="00E6471D" w:rsidRDefault="00BC6AE1" w14:paraId="3E9B6267" w14:textId="77777777">
      <w:pPr>
        <w:spacing w:after="0"/>
        <w:rPr>
          <w:rFonts w:cstheme="minorHAnsi"/>
          <w:iCs/>
        </w:rPr>
      </w:pPr>
    </w:p>
    <w:p w:rsidR="00BC6AE1" w:rsidP="00E6471D" w:rsidRDefault="00BC6AE1" w14:paraId="2162911F" w14:textId="77777777">
      <w:pPr>
        <w:spacing w:after="0"/>
        <w:rPr>
          <w:rFonts w:cstheme="minorHAnsi"/>
          <w:iCs/>
        </w:rPr>
      </w:pPr>
    </w:p>
    <w:p w:rsidRPr="00BC6AE1" w:rsidR="00E6471D" w:rsidP="00E6471D" w:rsidRDefault="00E6471D" w14:paraId="766AB1CF" w14:textId="6A1ACE20">
      <w:pPr>
        <w:spacing w:after="0"/>
        <w:rPr>
          <w:rFonts w:cstheme="minorHAnsi"/>
          <w:iCs/>
        </w:rPr>
      </w:pPr>
      <w:r w:rsidRPr="00BC6AE1">
        <w:rPr>
          <w:rFonts w:cstheme="minorHAnsi"/>
          <w:iCs/>
        </w:rPr>
        <w:t>De staatssecretaris van Binnenlandse Zaken en Koninkrijksrelaties</w:t>
      </w:r>
      <w:r w:rsidR="00BC6AE1">
        <w:rPr>
          <w:rFonts w:cstheme="minorHAnsi"/>
          <w:iCs/>
        </w:rPr>
        <w:t>,</w:t>
      </w:r>
    </w:p>
    <w:p w:rsidRPr="00BC6AE1" w:rsidR="00E6471D" w:rsidP="00E6471D" w:rsidRDefault="00BC6AE1" w14:paraId="6576C321" w14:textId="3E86F307">
      <w:pPr>
        <w:spacing w:after="0"/>
        <w:rPr>
          <w:rFonts w:cstheme="minorHAnsi"/>
          <w:iCs/>
        </w:rPr>
      </w:pPr>
      <w:r>
        <w:rPr>
          <w:rFonts w:cstheme="minorHAnsi"/>
          <w:iCs/>
        </w:rPr>
        <w:t xml:space="preserve">F.Z. </w:t>
      </w:r>
      <w:proofErr w:type="spellStart"/>
      <w:r w:rsidRPr="00BC6AE1" w:rsidR="00E6471D">
        <w:rPr>
          <w:rFonts w:cstheme="minorHAnsi"/>
          <w:iCs/>
        </w:rPr>
        <w:t>Szabó</w:t>
      </w:r>
      <w:proofErr w:type="spellEnd"/>
    </w:p>
    <w:p w:rsidRPr="00BC6AE1" w:rsidR="00E6471D" w:rsidP="00E6471D" w:rsidRDefault="00E6471D" w14:paraId="1828AD65" w14:textId="77777777">
      <w:pPr>
        <w:pStyle w:val="WitregelW1bodytekst"/>
        <w:rPr>
          <w:rFonts w:asciiTheme="minorHAnsi" w:hAnsiTheme="minorHAnsi" w:cstheme="minorHAnsi"/>
          <w:sz w:val="22"/>
          <w:szCs w:val="22"/>
        </w:rPr>
      </w:pPr>
      <w:r w:rsidRPr="00BC6AE1">
        <w:rPr>
          <w:rFonts w:asciiTheme="minorHAnsi" w:hAnsiTheme="minorHAnsi" w:cstheme="minorHAnsi"/>
          <w:sz w:val="22"/>
          <w:szCs w:val="22"/>
        </w:rPr>
        <w:t xml:space="preserve"> </w:t>
      </w:r>
    </w:p>
    <w:p w:rsidRPr="00BC6AE1" w:rsidR="00E6471D" w:rsidP="00E6471D" w:rsidRDefault="00E6471D" w14:paraId="6B90BE73" w14:textId="77777777">
      <w:pPr>
        <w:pStyle w:val="WitregelW1bodytekst"/>
        <w:rPr>
          <w:rFonts w:asciiTheme="minorHAnsi" w:hAnsiTheme="minorHAnsi" w:cstheme="minorHAnsi"/>
          <w:sz w:val="22"/>
          <w:szCs w:val="22"/>
        </w:rPr>
      </w:pPr>
      <w:r w:rsidRPr="00BC6AE1">
        <w:rPr>
          <w:rFonts w:asciiTheme="minorHAnsi" w:hAnsiTheme="minorHAnsi" w:cstheme="minorHAnsi"/>
          <w:sz w:val="22"/>
          <w:szCs w:val="22"/>
        </w:rPr>
        <w:t xml:space="preserve"> </w:t>
      </w:r>
    </w:p>
    <w:p w:rsidRPr="00BC6AE1" w:rsidR="008159D9" w:rsidP="00E6471D" w:rsidRDefault="008159D9" w14:paraId="2AE73BE9" w14:textId="77777777">
      <w:pPr>
        <w:spacing w:after="0"/>
        <w:rPr>
          <w:rFonts w:cstheme="minorHAnsi"/>
        </w:rPr>
      </w:pPr>
    </w:p>
    <w:sectPr w:rsidRPr="00BC6AE1" w:rsidR="008159D9" w:rsidSect="00E6471D">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0C59" w14:textId="77777777" w:rsidR="00E6471D" w:rsidRDefault="00E6471D" w:rsidP="00E6471D">
      <w:pPr>
        <w:spacing w:after="0" w:line="240" w:lineRule="auto"/>
      </w:pPr>
      <w:r>
        <w:separator/>
      </w:r>
    </w:p>
  </w:endnote>
  <w:endnote w:type="continuationSeparator" w:id="0">
    <w:p w14:paraId="13E4206A" w14:textId="77777777" w:rsidR="00E6471D" w:rsidRDefault="00E6471D" w:rsidP="00E6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CAF2" w14:textId="77777777" w:rsidR="00E6471D" w:rsidRPr="00E6471D" w:rsidRDefault="00E6471D" w:rsidP="00E647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38D6" w14:textId="77777777" w:rsidR="00E6471D" w:rsidRPr="00E6471D" w:rsidRDefault="00E6471D" w:rsidP="00E647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C3F8" w14:textId="77777777" w:rsidR="00E6471D" w:rsidRPr="00E6471D" w:rsidRDefault="00E6471D" w:rsidP="00E647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6347" w14:textId="77777777" w:rsidR="00E6471D" w:rsidRDefault="00E6471D" w:rsidP="00E6471D">
      <w:pPr>
        <w:spacing w:after="0" w:line="240" w:lineRule="auto"/>
      </w:pPr>
      <w:r>
        <w:separator/>
      </w:r>
    </w:p>
  </w:footnote>
  <w:footnote w:type="continuationSeparator" w:id="0">
    <w:p w14:paraId="38EE97CC" w14:textId="77777777" w:rsidR="00E6471D" w:rsidRDefault="00E6471D" w:rsidP="00E6471D">
      <w:pPr>
        <w:spacing w:after="0" w:line="240" w:lineRule="auto"/>
      </w:pPr>
      <w:r>
        <w:continuationSeparator/>
      </w:r>
    </w:p>
  </w:footnote>
  <w:footnote w:id="1">
    <w:p w14:paraId="40214164" w14:textId="354CEB59" w:rsidR="00E6471D" w:rsidRPr="00E6471D" w:rsidRDefault="00E6471D" w:rsidP="00E6471D">
      <w:pPr>
        <w:pStyle w:val="Voetnoottekst"/>
        <w:rPr>
          <w:rFonts w:cstheme="minorHAnsi"/>
        </w:rPr>
      </w:pPr>
      <w:r w:rsidRPr="00E6471D">
        <w:rPr>
          <w:rStyle w:val="Voetnootmarkering"/>
          <w:rFonts w:cstheme="minorHAnsi"/>
        </w:rPr>
        <w:footnoteRef/>
      </w:r>
      <w:r w:rsidRPr="00E6471D">
        <w:rPr>
          <w:rFonts w:cstheme="minorHAnsi"/>
        </w:rPr>
        <w:t xml:space="preserve"> </w:t>
      </w:r>
      <w:r w:rsidRPr="00E6471D">
        <w:rPr>
          <w:rFonts w:cstheme="minorHAnsi"/>
          <w:i/>
          <w:iCs/>
        </w:rPr>
        <w:t>Kamerstukken II</w:t>
      </w:r>
      <w:r w:rsidRPr="00E6471D">
        <w:rPr>
          <w:rFonts w:cstheme="minorHAnsi"/>
        </w:rPr>
        <w:t>, 2022-2023, 26 643</w:t>
      </w:r>
      <w:r>
        <w:rPr>
          <w:rFonts w:cstheme="minorHAnsi"/>
        </w:rPr>
        <w:t>,</w:t>
      </w:r>
      <w:r w:rsidRPr="00E6471D">
        <w:rPr>
          <w:rFonts w:cstheme="minorHAnsi"/>
        </w:rPr>
        <w:t xml:space="preserve"> nr. 1059</w:t>
      </w:r>
    </w:p>
  </w:footnote>
  <w:footnote w:id="2">
    <w:p w14:paraId="56D65D83" w14:textId="62ED7984" w:rsidR="00E6471D" w:rsidRPr="00BC6AE1" w:rsidRDefault="00E6471D" w:rsidP="00E6471D">
      <w:pPr>
        <w:pStyle w:val="Voetnoottekst"/>
        <w:rPr>
          <w:rFonts w:cstheme="minorHAnsi"/>
        </w:rPr>
      </w:pPr>
      <w:r w:rsidRPr="00BC6AE1">
        <w:rPr>
          <w:rStyle w:val="Voetnootmarkering"/>
          <w:rFonts w:cstheme="minorHAnsi"/>
        </w:rPr>
        <w:footnoteRef/>
      </w:r>
      <w:r w:rsidRPr="00BC6AE1">
        <w:rPr>
          <w:rFonts w:cstheme="minorHAnsi"/>
        </w:rPr>
        <w:t xml:space="preserve"> </w:t>
      </w:r>
      <w:r w:rsidRPr="00BC6AE1">
        <w:rPr>
          <w:rFonts w:cstheme="minorHAnsi"/>
          <w:i/>
          <w:iCs/>
        </w:rPr>
        <w:t>Kamerstukken II</w:t>
      </w:r>
      <w:r w:rsidRPr="00BC6AE1">
        <w:rPr>
          <w:rFonts w:cstheme="minorHAnsi"/>
        </w:rPr>
        <w:t>, 2020-2021, 35 510, nr. 2</w:t>
      </w:r>
    </w:p>
  </w:footnote>
  <w:footnote w:id="3">
    <w:p w14:paraId="78CE4FAA" w14:textId="4B5BA208" w:rsidR="00E6471D" w:rsidRPr="00BC6AE1" w:rsidRDefault="00E6471D" w:rsidP="00E6471D">
      <w:pPr>
        <w:pStyle w:val="Voetnoottekst"/>
        <w:rPr>
          <w:rFonts w:cstheme="minorHAnsi"/>
        </w:rPr>
      </w:pPr>
      <w:r w:rsidRPr="00BC6AE1">
        <w:rPr>
          <w:rStyle w:val="Voetnootmarkering"/>
          <w:rFonts w:cstheme="minorHAnsi"/>
        </w:rPr>
        <w:footnoteRef/>
      </w:r>
      <w:r w:rsidRPr="00BC6AE1">
        <w:rPr>
          <w:rFonts w:cstheme="minorHAnsi"/>
        </w:rPr>
        <w:t xml:space="preserve"> </w:t>
      </w:r>
      <w:r w:rsidRPr="00BC6AE1">
        <w:rPr>
          <w:rFonts w:cstheme="minorHAnsi"/>
          <w:i/>
          <w:iCs/>
        </w:rPr>
        <w:t>Kamerstukken II,</w:t>
      </w:r>
      <w:r w:rsidRPr="00BC6AE1">
        <w:rPr>
          <w:rFonts w:cstheme="minorHAnsi"/>
        </w:rPr>
        <w:t xml:space="preserve"> 2020-2021, 35 510, nr. 21</w:t>
      </w:r>
    </w:p>
  </w:footnote>
  <w:footnote w:id="4">
    <w:p w14:paraId="1DD32E3C" w14:textId="1563E806" w:rsidR="00E6471D" w:rsidRPr="00E6471D" w:rsidRDefault="00E6471D" w:rsidP="00E6471D">
      <w:pPr>
        <w:pStyle w:val="Voetnoottekst"/>
        <w:rPr>
          <w:rFonts w:cstheme="minorHAnsi"/>
        </w:rPr>
      </w:pPr>
      <w:r w:rsidRPr="00BC6AE1">
        <w:rPr>
          <w:rStyle w:val="Voetnootmarkering"/>
          <w:rFonts w:cstheme="minorHAnsi"/>
        </w:rPr>
        <w:footnoteRef/>
      </w:r>
      <w:r w:rsidRPr="00BC6AE1">
        <w:rPr>
          <w:rFonts w:cstheme="minorHAnsi"/>
        </w:rPr>
        <w:t xml:space="preserve"> </w:t>
      </w:r>
      <w:r w:rsidRPr="00BC6AE1">
        <w:rPr>
          <w:rFonts w:cstheme="minorHAnsi"/>
          <w:i/>
          <w:iCs/>
        </w:rPr>
        <w:t>Kamerstukken II</w:t>
      </w:r>
      <w:r w:rsidRPr="00BC6AE1">
        <w:rPr>
          <w:rFonts w:cstheme="minorHAnsi"/>
        </w:rPr>
        <w:t>, 2020-2021, 35 510, nr. 16</w:t>
      </w:r>
    </w:p>
  </w:footnote>
  <w:footnote w:id="5">
    <w:p w14:paraId="49A188D7" w14:textId="34C8DCDC" w:rsidR="00E6471D" w:rsidRPr="00BC6AE1" w:rsidRDefault="00E6471D" w:rsidP="00E6471D">
      <w:pPr>
        <w:pStyle w:val="Voetnoottekst"/>
        <w:rPr>
          <w:rFonts w:cstheme="minorHAnsi"/>
        </w:rPr>
      </w:pPr>
      <w:r w:rsidRPr="00BC6AE1">
        <w:rPr>
          <w:rStyle w:val="Voetnootmarkering"/>
          <w:rFonts w:cstheme="minorHAnsi"/>
        </w:rPr>
        <w:footnoteRef/>
      </w:r>
      <w:r w:rsidRPr="00BC6AE1">
        <w:rPr>
          <w:rFonts w:cstheme="minorHAnsi"/>
        </w:rPr>
        <w:t xml:space="preserve"> </w:t>
      </w:r>
      <w:r w:rsidRPr="00BC6AE1">
        <w:rPr>
          <w:rFonts w:cstheme="minorHAnsi"/>
          <w:i/>
          <w:iCs/>
        </w:rPr>
        <w:t>Kamerstukken II</w:t>
      </w:r>
      <w:r w:rsidRPr="00BC6AE1">
        <w:rPr>
          <w:rFonts w:cstheme="minorHAnsi"/>
        </w:rPr>
        <w:t>, 2020-2021, 26 643, nr. 751</w:t>
      </w:r>
    </w:p>
  </w:footnote>
  <w:footnote w:id="6">
    <w:p w14:paraId="550B802A" w14:textId="18CDC3FC" w:rsidR="00E6471D" w:rsidRPr="00BC6AE1" w:rsidRDefault="00E6471D" w:rsidP="00E6471D">
      <w:pPr>
        <w:pStyle w:val="Voetnoottekst"/>
        <w:rPr>
          <w:rFonts w:cstheme="minorHAnsi"/>
        </w:rPr>
      </w:pPr>
      <w:r w:rsidRPr="00BC6AE1">
        <w:rPr>
          <w:rStyle w:val="Voetnootmarkering"/>
          <w:rFonts w:cstheme="minorHAnsi"/>
        </w:rPr>
        <w:footnoteRef/>
      </w:r>
      <w:r w:rsidRPr="00BC6AE1">
        <w:rPr>
          <w:rFonts w:cstheme="minorHAnsi"/>
        </w:rPr>
        <w:t xml:space="preserve"> </w:t>
      </w:r>
      <w:r w:rsidRPr="00BC6AE1">
        <w:rPr>
          <w:rFonts w:cstheme="minorHAnsi"/>
          <w:i/>
          <w:iCs/>
        </w:rPr>
        <w:t>Kamerstukken II</w:t>
      </w:r>
      <w:r w:rsidRPr="00BC6AE1">
        <w:rPr>
          <w:rFonts w:cstheme="minorHAnsi"/>
        </w:rPr>
        <w:t>, 2021-2022, 26 643, nr. 827</w:t>
      </w:r>
    </w:p>
  </w:footnote>
  <w:footnote w:id="7">
    <w:p w14:paraId="35409FDA" w14:textId="77777777" w:rsidR="00E6471D" w:rsidRPr="00E6471D" w:rsidRDefault="00E6471D" w:rsidP="00E6471D">
      <w:pPr>
        <w:pStyle w:val="Voetnoottekst"/>
        <w:rPr>
          <w:rFonts w:cstheme="minorHAnsi"/>
        </w:rPr>
      </w:pPr>
      <w:r w:rsidRPr="00BC6AE1">
        <w:rPr>
          <w:rStyle w:val="Voetnootmarkering"/>
          <w:rFonts w:cstheme="minorHAnsi"/>
        </w:rPr>
        <w:footnoteRef/>
      </w:r>
      <w:r w:rsidRPr="00BC6AE1">
        <w:rPr>
          <w:rFonts w:cstheme="minorHAnsi"/>
        </w:rPr>
        <w:t xml:space="preserve"> </w:t>
      </w:r>
      <w:r w:rsidRPr="00BC6AE1">
        <w:rPr>
          <w:rFonts w:cstheme="minorHAnsi"/>
          <w:i/>
          <w:iCs/>
        </w:rPr>
        <w:t>Kamerstukken II</w:t>
      </w:r>
      <w:r w:rsidRPr="00BC6AE1">
        <w:rPr>
          <w:rFonts w:cstheme="minorHAnsi"/>
        </w:rPr>
        <w:t>, 2022-2023, 26 643 nr. 1059</w:t>
      </w:r>
    </w:p>
  </w:footnote>
  <w:footnote w:id="8">
    <w:p w14:paraId="0B414ACF" w14:textId="28E448C8" w:rsidR="00E6471D" w:rsidRPr="00E6471D" w:rsidRDefault="00E6471D" w:rsidP="00E6471D">
      <w:pPr>
        <w:pStyle w:val="Voetnoottekst"/>
        <w:rPr>
          <w:rFonts w:cstheme="minorHAnsi"/>
        </w:rPr>
      </w:pPr>
      <w:r w:rsidRPr="00E6471D">
        <w:rPr>
          <w:rStyle w:val="Voetnootmarkering"/>
          <w:rFonts w:cstheme="minorHAnsi"/>
        </w:rPr>
        <w:footnoteRef/>
      </w:r>
      <w:r w:rsidRPr="00E6471D">
        <w:rPr>
          <w:rFonts w:cstheme="minorHAnsi"/>
        </w:rPr>
        <w:t xml:space="preserve"> </w:t>
      </w:r>
      <w:r w:rsidRPr="00E6471D">
        <w:rPr>
          <w:rFonts w:cstheme="minorHAnsi"/>
          <w:i/>
          <w:iCs/>
        </w:rPr>
        <w:t>Kamerstukken II</w:t>
      </w:r>
      <w:r w:rsidRPr="00E6471D">
        <w:rPr>
          <w:rFonts w:cstheme="minorHAnsi"/>
        </w:rPr>
        <w:t>, 2022-2023, 26</w:t>
      </w:r>
      <w:r>
        <w:rPr>
          <w:rFonts w:cstheme="minorHAnsi"/>
        </w:rPr>
        <w:t xml:space="preserve"> </w:t>
      </w:r>
      <w:r w:rsidRPr="00E6471D">
        <w:rPr>
          <w:rFonts w:cstheme="minorHAnsi"/>
        </w:rPr>
        <w:t>643 nr. 1056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92DC" w14:textId="77777777" w:rsidR="00E6471D" w:rsidRPr="00E6471D" w:rsidRDefault="00E6471D" w:rsidP="00E647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4ECA" w14:textId="77777777" w:rsidR="00E6471D" w:rsidRPr="00E6471D" w:rsidRDefault="00E6471D" w:rsidP="00E647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3CBB" w14:textId="77777777" w:rsidR="00E6471D" w:rsidRPr="00E6471D" w:rsidRDefault="00E6471D" w:rsidP="00E647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1D"/>
    <w:rsid w:val="008159D9"/>
    <w:rsid w:val="00BC6AE1"/>
    <w:rsid w:val="00E64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B3A5"/>
  <w15:chartTrackingRefBased/>
  <w15:docId w15:val="{5C207797-E814-435A-A7F6-AD72610A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E6471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E6471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E6471D"/>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referentiegegevens">
    <w:name w:val="Kopje referentiegegevens"/>
    <w:basedOn w:val="Referentiegegevens"/>
    <w:next w:val="Standaard"/>
    <w:rsid w:val="00E6471D"/>
    <w:rPr>
      <w:b/>
    </w:rPr>
  </w:style>
  <w:style w:type="paragraph" w:customStyle="1" w:styleId="Referentiegegevens">
    <w:name w:val="Referentiegegevens"/>
    <w:next w:val="Standaard"/>
    <w:rsid w:val="00E6471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E6471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E6471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647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6471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647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6471D"/>
    <w:rPr>
      <w:rFonts w:ascii="Verdana" w:eastAsia="DejaVu Sans" w:hAnsi="Verdana" w:cs="Lohit Hindi"/>
      <w:color w:val="000000"/>
      <w:kern w:val="0"/>
      <w:sz w:val="18"/>
      <w:szCs w:val="18"/>
      <w:lang w:eastAsia="nl-NL"/>
      <w14:ligatures w14:val="none"/>
    </w:rPr>
  </w:style>
  <w:style w:type="paragraph" w:customStyle="1" w:styleId="Referentiegegevensbold">
    <w:name w:val="Referentiegegevens bold"/>
    <w:basedOn w:val="Standaard"/>
    <w:next w:val="Standaard"/>
    <w:rsid w:val="00E6471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character" w:styleId="Hyperlink">
    <w:name w:val="Hyperlink"/>
    <w:basedOn w:val="Standaardalinea-lettertype"/>
    <w:uiPriority w:val="99"/>
    <w:unhideWhenUsed/>
    <w:rsid w:val="00E6471D"/>
    <w:rPr>
      <w:color w:val="0563C1" w:themeColor="hyperlink"/>
      <w:u w:val="single"/>
    </w:rPr>
  </w:style>
  <w:style w:type="table" w:styleId="Tabelraster">
    <w:name w:val="Table Grid"/>
    <w:rsid w:val="00E6471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E6471D"/>
    <w:pPr>
      <w:spacing w:after="0" w:line="240" w:lineRule="auto"/>
    </w:pPr>
    <w:rPr>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6471D"/>
    <w:rPr>
      <w:kern w:val="0"/>
      <w:sz w:val="20"/>
      <w:szCs w:val="20"/>
      <w:lang w:eastAsia="nl-NL"/>
      <w14:ligatures w14:val="none"/>
    </w:rPr>
  </w:style>
  <w:style w:type="character" w:styleId="Voetnootmarkering">
    <w:name w:val="footnote reference"/>
    <w:basedOn w:val="Standaardalinea-lettertype"/>
    <w:uiPriority w:val="99"/>
    <w:semiHidden/>
    <w:unhideWhenUsed/>
    <w:rsid w:val="00E64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1103</ap:Words>
  <ap:Characters>6067</ap:Characters>
  <ap:DocSecurity>0</ap:DocSecurity>
  <ap:Lines>50</ap:Lines>
  <ap:Paragraphs>14</ap:Paragraphs>
  <ap:ScaleCrop>false</ap:ScaleCrop>
  <ap:LinksUpToDate>false</ap:LinksUpToDate>
  <ap:CharactersWithSpaces>7156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2024-12-03T15:30:00.0000000Z</dcterms:created>
  <dcterms:modified xsi:type="dcterms:W3CDTF">2024-12-03T15:30:00.0000000Z</dcterms:modified>
  <version/>
  <category/>
</coreProperties>
</file>