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2CD5" w:rsidRDefault="00224914" w14:paraId="14AFD400" w14:textId="3016663C">
      <w:r>
        <w:rPr>
          <w:rFonts w:eastAsia="Calibri" w:cs="Times New Roman"/>
        </w:rPr>
        <w:t>21501-03</w:t>
      </w:r>
      <w:r w:rsidR="00E32CD5">
        <w:rPr>
          <w:rFonts w:eastAsia="Calibri" w:cs="Times New Roman"/>
        </w:rPr>
        <w:tab/>
      </w:r>
      <w:r w:rsidR="00E32CD5">
        <w:rPr>
          <w:rFonts w:eastAsia="Calibri" w:cs="Times New Roman"/>
        </w:rPr>
        <w:tab/>
      </w:r>
      <w:r w:rsidR="00E32CD5">
        <w:t>Begrotingsraad</w:t>
      </w:r>
    </w:p>
    <w:p w:rsidRPr="00D80872" w:rsidR="00E32CD5" w:rsidP="00D80872" w:rsidRDefault="00E32CD5" w14:paraId="793A5337" w14:textId="77777777">
      <w:pPr>
        <w:rPr>
          <w:rFonts w:ascii="Times New Roman" w:hAnsi="Times New Roman"/>
          <w:sz w:val="24"/>
          <w:szCs w:val="24"/>
        </w:rPr>
      </w:pPr>
      <w:r>
        <w:rPr>
          <w:rFonts w:eastAsia="Calibri" w:cs="Times New Roman"/>
        </w:rPr>
        <w:t xml:space="preserve">Nr. </w:t>
      </w:r>
      <w:r>
        <w:rPr>
          <w:rFonts w:eastAsia="Calibri" w:cs="Times New Roman"/>
        </w:rPr>
        <w:t>189</w:t>
      </w:r>
      <w:r>
        <w:rPr>
          <w:rFonts w:eastAsia="Calibri" w:cs="Times New Roman"/>
        </w:rPr>
        <w:tab/>
      </w:r>
      <w:r>
        <w:rPr>
          <w:rFonts w:eastAsia="Calibri" w:cs="Times New Roman"/>
        </w:rPr>
        <w:tab/>
      </w:r>
      <w:r>
        <w:rPr>
          <w:rFonts w:eastAsia="Calibri" w:cs="Times New Roman"/>
        </w:rPr>
        <w:tab/>
      </w:r>
      <w:r w:rsidRPr="00E32CD5">
        <w:rPr>
          <w:rFonts w:eastAsia="Calibri" w:cs="Times New Roman"/>
          <w:sz w:val="24"/>
        </w:rPr>
        <w:t>Brief van de</w:t>
      </w:r>
      <w:r>
        <w:rPr>
          <w:rFonts w:eastAsia="Calibri" w:cs="Times New Roman"/>
        </w:rPr>
        <w:t xml:space="preserve"> </w:t>
      </w:r>
      <w:r w:rsidRPr="00D80872">
        <w:rPr>
          <w:rFonts w:ascii="Times New Roman" w:hAnsi="Times New Roman"/>
          <w:sz w:val="24"/>
          <w:szCs w:val="24"/>
        </w:rPr>
        <w:t>minister van Financiën</w:t>
      </w:r>
    </w:p>
    <w:p w:rsidR="00E32CD5" w:rsidP="00224914" w:rsidRDefault="00E32CD5" w14:paraId="0B20F63D" w14:textId="68FD8150">
      <w:pPr>
        <w:spacing w:after="0"/>
        <w:rPr>
          <w:rFonts w:eastAsia="Calibri" w:cs="Times New Roman"/>
        </w:rPr>
      </w:pPr>
      <w:r w:rsidRPr="00E32CD5">
        <w:rPr>
          <w:rFonts w:eastAsia="Calibri" w:cs="Times New Roman"/>
          <w:sz w:val="24"/>
          <w:szCs w:val="24"/>
        </w:rPr>
        <w:t>Aan de Voorzitter van de Tweede Kamer der Staten-Generaal</w:t>
      </w:r>
    </w:p>
    <w:p w:rsidR="00E32CD5" w:rsidP="00224914" w:rsidRDefault="00E32CD5" w14:paraId="7E735AB5" w14:textId="77777777">
      <w:pPr>
        <w:spacing w:after="0"/>
        <w:rPr>
          <w:rFonts w:eastAsia="Calibri" w:cs="Times New Roman"/>
        </w:rPr>
      </w:pPr>
    </w:p>
    <w:p w:rsidR="00E32CD5" w:rsidP="00224914" w:rsidRDefault="00E32CD5" w14:paraId="06D544FF" w14:textId="2E58B93D">
      <w:pPr>
        <w:spacing w:after="0"/>
        <w:rPr>
          <w:rFonts w:eastAsia="Calibri" w:cs="Times New Roman"/>
        </w:rPr>
      </w:pPr>
      <w:r>
        <w:rPr>
          <w:rFonts w:eastAsia="Calibri" w:cs="Times New Roman"/>
        </w:rPr>
        <w:t>Den Haag, 9 december 2024</w:t>
      </w:r>
    </w:p>
    <w:p w:rsidR="00E32CD5" w:rsidP="00224914" w:rsidRDefault="00E32CD5" w14:paraId="215B3468" w14:textId="77777777">
      <w:pPr>
        <w:spacing w:after="0"/>
        <w:rPr>
          <w:rFonts w:eastAsia="Calibri" w:cs="Times New Roman"/>
        </w:rPr>
      </w:pPr>
    </w:p>
    <w:p w:rsidR="00224914" w:rsidP="00224914" w:rsidRDefault="00224914" w14:paraId="368BD223" w14:textId="77777777">
      <w:pPr>
        <w:spacing w:after="0"/>
        <w:rPr>
          <w:rFonts w:eastAsia="Calibri" w:cs="Times New Roman"/>
        </w:rPr>
      </w:pPr>
    </w:p>
    <w:p w:rsidR="00224914" w:rsidP="00224914" w:rsidRDefault="00224914" w14:paraId="01646B48" w14:textId="651CF2D8">
      <w:pPr>
        <w:spacing w:after="0"/>
        <w:rPr>
          <w:rFonts w:eastAsia="Calibri" w:cs="Times New Roman"/>
        </w:rPr>
      </w:pPr>
      <w:r>
        <w:rPr>
          <w:rFonts w:eastAsia="Calibri" w:cs="Times New Roman"/>
        </w:rPr>
        <w:t xml:space="preserve">Op 16 november jl. bereikten </w:t>
      </w:r>
      <w:bookmarkStart w:name="_Hlk153357642" w:id="0"/>
      <w:r>
        <w:rPr>
          <w:rFonts w:eastAsia="Calibri" w:cs="Times New Roman"/>
        </w:rPr>
        <w:t>de Raad van de Europese Unie (de Raad) en het Europees Parlement (EP) een politiek akkoord over de Europese jaarbegroting voor 202</w:t>
      </w:r>
      <w:bookmarkEnd w:id="0"/>
      <w:r>
        <w:rPr>
          <w:rFonts w:eastAsia="Calibri" w:cs="Times New Roman"/>
        </w:rPr>
        <w:t xml:space="preserve">5, tijdens het zogeheten conciliatiecomité. </w:t>
      </w:r>
      <w:bookmarkStart w:name="_Hlk153357652" w:id="1"/>
      <w:r>
        <w:rPr>
          <w:rFonts w:eastAsia="Calibri" w:cs="Times New Roman"/>
        </w:rPr>
        <w:t xml:space="preserve">Nederland heeft samen met een aantal andere gelijkgestemde lidstaten onthouden </w:t>
      </w:r>
      <w:bookmarkEnd w:id="1"/>
      <w:r>
        <w:rPr>
          <w:rFonts w:eastAsia="Calibri" w:cs="Times New Roman"/>
        </w:rPr>
        <w:t xml:space="preserve">van stemming. In deze brief informeer ik uw Kamer over de inhoud van de overeengekomen Europese jaarbegroting voor 2025 en de Nederlandse appreciatie daarop. Bovendien informeer ik uw Kamer over het proces van de aanstaande nacalculatie van de </w:t>
      </w:r>
      <w:proofErr w:type="spellStart"/>
      <w:r>
        <w:rPr>
          <w:rFonts w:eastAsia="Calibri" w:cs="Times New Roman"/>
        </w:rPr>
        <w:t>bni</w:t>
      </w:r>
      <w:proofErr w:type="spellEnd"/>
      <w:r>
        <w:rPr>
          <w:rFonts w:eastAsia="Calibri" w:cs="Times New Roman"/>
        </w:rPr>
        <w:t>-, btw- en plastic-afdrachten.</w:t>
      </w:r>
    </w:p>
    <w:p w:rsidR="00224914" w:rsidP="00224914" w:rsidRDefault="00224914" w14:paraId="04745A63" w14:textId="77777777">
      <w:pPr>
        <w:spacing w:after="0"/>
        <w:rPr>
          <w:rFonts w:eastAsia="Calibri" w:cs="Times New Roman"/>
          <w:b/>
        </w:rPr>
      </w:pPr>
    </w:p>
    <w:p w:rsidRPr="00E233CA" w:rsidR="00224914" w:rsidP="00224914" w:rsidRDefault="00224914" w14:paraId="7EBC4867" w14:textId="77777777">
      <w:pPr>
        <w:spacing w:after="0"/>
        <w:rPr>
          <w:rFonts w:eastAsia="Calibri" w:cs="Times New Roman"/>
          <w:b/>
        </w:rPr>
      </w:pPr>
      <w:bookmarkStart w:name="_Hlk153357664" w:id="2"/>
      <w:r>
        <w:rPr>
          <w:rFonts w:eastAsia="Calibri" w:cs="Times New Roman"/>
          <w:b/>
        </w:rPr>
        <w:t>Akkoord Europese jaarbegroting 2025</w:t>
      </w:r>
    </w:p>
    <w:p w:rsidR="00224914" w:rsidP="00224914" w:rsidRDefault="00224914" w14:paraId="183284D9" w14:textId="77777777">
      <w:pPr>
        <w:spacing w:after="0"/>
        <w:rPr>
          <w:rFonts w:eastAsia="Calibri" w:cs="Times New Roman"/>
        </w:rPr>
      </w:pPr>
      <w:r>
        <w:rPr>
          <w:rFonts w:eastAsia="Calibri" w:cs="Times New Roman"/>
        </w:rPr>
        <w:t>In het akkoord heeft de Europese jaarbegroting 2025 een totale omvang van 199,4 mld. euro in vastleggingen</w:t>
      </w:r>
      <w:r w:rsidRPr="00417C94">
        <w:rPr>
          <w:rFonts w:eastAsia="Calibri" w:cs="Times New Roman"/>
        </w:rPr>
        <w:t xml:space="preserve"> </w:t>
      </w:r>
      <w:r>
        <w:rPr>
          <w:rFonts w:eastAsia="Calibri" w:cs="Times New Roman"/>
        </w:rPr>
        <w:t>en 155,2 mld. euro in betalingen</w:t>
      </w:r>
      <w:r>
        <w:rPr>
          <w:rFonts w:eastAsia="Calibri" w:cs="Times New Roman"/>
          <w:vertAlign w:val="superscript"/>
          <w:lang w:val="en-US"/>
        </w:rPr>
        <w:footnoteReference w:id="1"/>
      </w:r>
      <w:r w:rsidRPr="00417C94">
        <w:rPr>
          <w:rFonts w:eastAsia="Calibri" w:cs="Times New Roman"/>
        </w:rPr>
        <w:t xml:space="preserve"> </w:t>
      </w:r>
      <w:r>
        <w:rPr>
          <w:rFonts w:eastAsia="Calibri" w:cs="Times New Roman"/>
        </w:rPr>
        <w:t>inclusief speciale thematische instrumenten</w:t>
      </w:r>
      <w:r>
        <w:rPr>
          <w:rStyle w:val="Voetnootmarkering"/>
          <w:rFonts w:eastAsia="Calibri" w:cs="Times New Roman"/>
        </w:rPr>
        <w:footnoteReference w:id="2"/>
      </w:r>
      <w:r>
        <w:rPr>
          <w:rFonts w:eastAsia="Calibri" w:cs="Times New Roman"/>
        </w:rPr>
        <w:t>. In totaal bedraagt het vastleggingenmarge</w:t>
      </w:r>
      <w:r>
        <w:rPr>
          <w:rStyle w:val="Voetnootmarkering"/>
          <w:rFonts w:eastAsia="Calibri" w:cs="Times New Roman"/>
        </w:rPr>
        <w:footnoteReference w:id="3"/>
      </w:r>
      <w:r>
        <w:rPr>
          <w:rFonts w:eastAsia="Calibri" w:cs="Times New Roman"/>
        </w:rPr>
        <w:t xml:space="preserve"> ca. 0,8 mld. euro en de betalingenmarge</w:t>
      </w:r>
      <w:r>
        <w:rPr>
          <w:rStyle w:val="Voetnootmarkering"/>
          <w:rFonts w:eastAsia="Calibri" w:cs="Times New Roman"/>
        </w:rPr>
        <w:footnoteReference w:id="4"/>
      </w:r>
      <w:r>
        <w:rPr>
          <w:rFonts w:eastAsia="Calibri" w:cs="Times New Roman"/>
        </w:rPr>
        <w:t xml:space="preserve"> ca. 28,3 mld. euro. De omvang van de begroting ligt boven de door de lidstaten ingenomen Raadspositie en blijft dicht bij de omvang uit het aangepaste Commissievoorstel (</w:t>
      </w:r>
      <w:r>
        <w:rPr>
          <w:rFonts w:eastAsia="Calibri" w:cs="Times New Roman"/>
          <w:i/>
          <w:iCs/>
        </w:rPr>
        <w:t>Amending Letter 1</w:t>
      </w:r>
      <w:r>
        <w:rPr>
          <w:rFonts w:eastAsia="Calibri" w:cs="Times New Roman"/>
        </w:rPr>
        <w:t xml:space="preserve">; AL1). </w:t>
      </w:r>
      <w:bookmarkEnd w:id="2"/>
      <w:r>
        <w:rPr>
          <w:rFonts w:eastAsia="Calibri" w:cs="Times New Roman"/>
        </w:rPr>
        <w:t xml:space="preserve">Tabel 1 in de bijlage geeft een overzicht van het akkoord en een vergelijking met het Commissievoorstel, de Raadspositie en de positie van het EP. </w:t>
      </w:r>
    </w:p>
    <w:p w:rsidR="00224914" w:rsidP="00224914" w:rsidRDefault="00224914" w14:paraId="651F42EF" w14:textId="77777777">
      <w:pPr>
        <w:spacing w:after="0"/>
        <w:rPr>
          <w:rFonts w:eastAsia="Calibri" w:cs="Times New Roman"/>
        </w:rPr>
      </w:pPr>
    </w:p>
    <w:p w:rsidRPr="00E233CA" w:rsidR="00224914" w:rsidP="00224914" w:rsidRDefault="00224914" w14:paraId="7B57BD50" w14:textId="77777777">
      <w:pPr>
        <w:spacing w:after="0"/>
        <w:rPr>
          <w:rFonts w:eastAsia="Calibri" w:cs="Times New Roman"/>
        </w:rPr>
      </w:pPr>
      <w:r>
        <w:rPr>
          <w:rFonts w:eastAsia="Calibri" w:cs="Times New Roman"/>
        </w:rPr>
        <w:t xml:space="preserve">Per saldo bevat het akkoord voor 24,7 mln. euro aan extra uitgaven ten opzichte van AL1 in vastleggingen. De extra uitgaven worden grotendeels gedekt door een meevaller in het Europees Landbouwgarantiefonds (ELGF) van 201,1 mln. euro en een besparing op het </w:t>
      </w:r>
      <w:r w:rsidRPr="001E5E28">
        <w:rPr>
          <w:rFonts w:eastAsia="Calibri" w:cs="Times New Roman"/>
          <w:i/>
          <w:iCs/>
        </w:rPr>
        <w:t>Digital Europe</w:t>
      </w:r>
      <w:r>
        <w:rPr>
          <w:rFonts w:eastAsia="Calibri" w:cs="Times New Roman"/>
          <w:i/>
          <w:iCs/>
        </w:rPr>
        <w:t xml:space="preserve"> </w:t>
      </w:r>
      <w:r>
        <w:rPr>
          <w:rFonts w:eastAsia="Calibri" w:cs="Times New Roman"/>
        </w:rPr>
        <w:t xml:space="preserve">programma van 5 mln. euro. De extra uitgaven worden voornamelijk ingezet voor </w:t>
      </w:r>
      <w:r>
        <w:rPr>
          <w:rFonts w:eastAsia="Calibri" w:cs="Times New Roman"/>
          <w:i/>
          <w:iCs/>
        </w:rPr>
        <w:t xml:space="preserve">pilot </w:t>
      </w:r>
      <w:proofErr w:type="spellStart"/>
      <w:r>
        <w:rPr>
          <w:rFonts w:eastAsia="Calibri" w:cs="Times New Roman"/>
          <w:i/>
          <w:iCs/>
        </w:rPr>
        <w:t>projects</w:t>
      </w:r>
      <w:proofErr w:type="spellEnd"/>
      <w:r>
        <w:rPr>
          <w:rFonts w:eastAsia="Calibri" w:cs="Times New Roman"/>
          <w:i/>
          <w:iCs/>
        </w:rPr>
        <w:t xml:space="preserve"> </w:t>
      </w:r>
      <w:r>
        <w:rPr>
          <w:rFonts w:eastAsia="Calibri" w:cs="Times New Roman"/>
        </w:rPr>
        <w:t xml:space="preserve">met 104 mln. euro. Dit zijn projecten in de begroting om nieuwe beleidsinitiatieven te testen en nieuwe programma’s voor te bereiden. Daarnaast zijn er intensiveringen afgesproken voor een aantal programma’s. De grootste intensiveringen zijn 25 mln. euro voor Horizon, 10 mln. euro voor IBMF/BMVI, 50 mln. euro voor humanitaire hulp en 10,8 mln. euro voor administratieve uitgaven. Tabel 2 geeft een overzicht van de wijzigingen ten opzichte van het Commissievoorstel. </w:t>
      </w:r>
    </w:p>
    <w:p w:rsidR="00224914" w:rsidP="00224914" w:rsidRDefault="00224914" w14:paraId="700694E1" w14:textId="77777777">
      <w:pPr>
        <w:spacing w:after="0"/>
      </w:pPr>
    </w:p>
    <w:p w:rsidR="00224914" w:rsidP="00224914" w:rsidRDefault="00224914" w14:paraId="478A6E74" w14:textId="77777777">
      <w:pPr>
        <w:spacing w:after="0"/>
      </w:pPr>
      <w:r>
        <w:t xml:space="preserve">In het akkoord is een oplossing gevonden voor de kostenoverschrijding van de rentekosten van het coronaherstelfonds </w:t>
      </w:r>
      <w:proofErr w:type="spellStart"/>
      <w:r>
        <w:rPr>
          <w:i/>
          <w:iCs/>
        </w:rPr>
        <w:t>NextGenerationEU</w:t>
      </w:r>
      <w:proofErr w:type="spellEnd"/>
      <w:r>
        <w:t xml:space="preserve"> (NGEU) van 2,3 mld. euro in 2025. In de herziening van het Meerjarig Financieel Kader (MFK) uit februari jl. is een ‘cascademechanisme’ afgesproken voor de financiering van de rentekosten voor NGEU middels een vaste volgorde. In de eerste stap wordt het reeds begrote budget gebruikt. Indien dit onvoldoende is wordt voor de overschrijding middels stap 2 financiering gezocht door middel van </w:t>
      </w:r>
      <w:proofErr w:type="spellStart"/>
      <w:r>
        <w:t>herprioriteringen</w:t>
      </w:r>
      <w:proofErr w:type="spellEnd"/>
      <w:r>
        <w:t xml:space="preserve"> en de inzet van de marges en speciale instrumenten. Op de Europese Raad van 1 februari jl.</w:t>
      </w:r>
      <w:r>
        <w:rPr>
          <w:rStyle w:val="Voetnootmarkering"/>
        </w:rPr>
        <w:footnoteReference w:id="5"/>
      </w:r>
      <w:r>
        <w:t xml:space="preserve"> is afgesproken dat, als benchmark, 50% van de overschrijding via stap 2 moet worden gefinancierd. Indien dit onvoldoende middelen oplevert, wordt middels stap 3 het in de MFK-herziening overeengekomen EURI-instrument ingezet. Hiermee kunnen </w:t>
      </w:r>
      <w:proofErr w:type="spellStart"/>
      <w:r>
        <w:t>decommiteringen</w:t>
      </w:r>
      <w:proofErr w:type="spellEnd"/>
      <w:r>
        <w:t xml:space="preserve"> (niet tot betaling gekomen vastleggingen) opnieuw worden ingezet. Indien er onvoldoende </w:t>
      </w:r>
      <w:proofErr w:type="spellStart"/>
      <w:r>
        <w:t>decommiteringen</w:t>
      </w:r>
      <w:proofErr w:type="spellEnd"/>
      <w:r>
        <w:t xml:space="preserve"> zijn geldt de </w:t>
      </w:r>
      <w:r w:rsidRPr="00A13E0E">
        <w:rPr>
          <w:i/>
          <w:iCs/>
        </w:rPr>
        <w:t>backstop</w:t>
      </w:r>
      <w:r>
        <w:t xml:space="preserve">, die er toe leidt dat de lidstaten via de afdrachten aan de Unie op basis van het eigenmiddelenbesluit extra bijdragen om de overschrijding te dekken. Het inzetten van deze backstop is momenteel niet aan de orde. </w:t>
      </w:r>
    </w:p>
    <w:p w:rsidR="00224914" w:rsidP="00224914" w:rsidRDefault="00224914" w14:paraId="24BC3594" w14:textId="77777777">
      <w:pPr>
        <w:spacing w:after="0"/>
      </w:pPr>
    </w:p>
    <w:p w:rsidR="00224914" w:rsidP="00224914" w:rsidRDefault="00224914" w14:paraId="636035A5" w14:textId="77777777">
      <w:pPr>
        <w:spacing w:after="0"/>
      </w:pPr>
      <w:r>
        <w:t xml:space="preserve">In het akkoord wordt de kostenoverschrijding van 2,3 mld. euro met 50% uit stap 2 van het cascademechanisme volledig gedekt door de inzet van het Flexibiliteitsinstrument. De overige 50% wordt gedekt uit het EURI-instrument (stap 3). Er wordt geen gebruik gemaakt van </w:t>
      </w:r>
      <w:proofErr w:type="spellStart"/>
      <w:r>
        <w:t>herprioriteringen</w:t>
      </w:r>
      <w:proofErr w:type="spellEnd"/>
      <w:r>
        <w:t xml:space="preserve"> voor de dekking van de rentekosten voor NGEU. In het Flexibiliteitsinstrument resteert nog 845 mln. euro voor 2025. In totaal is er circa 1,2 mld. euro vrij beschikbare ruimte voor onvoorziene omstandigheden voor volgend jaar. </w:t>
      </w:r>
    </w:p>
    <w:p w:rsidR="00224914" w:rsidP="00224914" w:rsidRDefault="00224914" w14:paraId="7CF6F4B2" w14:textId="77777777">
      <w:pPr>
        <w:spacing w:after="0"/>
      </w:pPr>
    </w:p>
    <w:p w:rsidRPr="00EB2EF7" w:rsidR="00224914" w:rsidP="00224914" w:rsidRDefault="00224914" w14:paraId="2916573D" w14:textId="77777777">
      <w:pPr>
        <w:spacing w:after="0"/>
        <w:rPr>
          <w:rFonts w:eastAsia="Calibri" w:cs="Times New Roman"/>
        </w:rPr>
      </w:pPr>
      <w:r>
        <w:rPr>
          <w:rFonts w:eastAsia="Calibri" w:cs="Times New Roman"/>
        </w:rPr>
        <w:t>Bij het akkoord over de Europese jaarbegroting voor 2025 zijn ook twee verklaringen aangenomen. De Raad en het EP roepen met een verklaring voor de betalingen de Commissie op om in 2025 actief toezicht te blijven houden op de uitvoering van de programma’s van het huidige en vorige MFK. Daartoe wordt de Commissie verzocht om tijdig bijgewerkte cijfers en ramingen te presenteren met betrekking tot de betalingen voor 2025. In het kader van het RESTORE-voorstel is een verklaring opgenomen over de voorgestelde verhoging van het betalingenniveau. De Commissie heeft het voorstel op 21 oktober jl. gepresenteerd</w:t>
      </w:r>
      <w:r>
        <w:rPr>
          <w:rStyle w:val="Voetnootmarkering"/>
          <w:rFonts w:eastAsia="Calibri" w:cs="Times New Roman"/>
        </w:rPr>
        <w:footnoteReference w:id="6"/>
      </w:r>
      <w:r>
        <w:rPr>
          <w:rFonts w:eastAsia="Calibri" w:cs="Times New Roman"/>
        </w:rPr>
        <w:t xml:space="preserve">, waarin twee bestaande verordeningen onder het cohesiebeleid worden aangepast om lidstaten te ondersteunen in wederopbouwwerkzaamheden na recente natuurrampen. Het voorstel heeft invloed op het moment dat de betalingen worden gedaan vanwege aanpassingen aan het cofinancieringspercentage en prefinancieringspercentage. In de verklaring is opgenomen dat in afwachting van de goedkeuring van de rechtsgrondslag, de voorgestelde verhoging van het </w:t>
      </w:r>
      <w:r>
        <w:rPr>
          <w:rFonts w:eastAsia="Calibri" w:cs="Times New Roman"/>
        </w:rPr>
        <w:lastRenderedPageBreak/>
        <w:t>betalingenniveau van 3 mld. euro in de begroting voor 2025 wordt opgenomen als provisie. De middelen zullen worden vrijgegeven indien het RESTORE-voorstel wordt aangenomen.</w:t>
      </w:r>
    </w:p>
    <w:p w:rsidR="00224914" w:rsidP="00224914" w:rsidRDefault="00224914" w14:paraId="591D7B54" w14:textId="77777777">
      <w:pPr>
        <w:spacing w:after="0"/>
        <w:rPr>
          <w:rFonts w:cs="Calibri"/>
        </w:rPr>
      </w:pPr>
    </w:p>
    <w:p w:rsidRPr="00795991" w:rsidR="00224914" w:rsidP="00224914" w:rsidRDefault="00224914" w14:paraId="5B1119E2" w14:textId="77777777">
      <w:pPr>
        <w:spacing w:after="0"/>
        <w:rPr>
          <w:rFonts w:eastAsia="Calibri" w:cs="Times New Roman"/>
          <w:bCs/>
          <w:i/>
          <w:iCs/>
        </w:rPr>
      </w:pPr>
      <w:r w:rsidRPr="00795991">
        <w:rPr>
          <w:rFonts w:eastAsia="Calibri" w:cs="Times New Roman"/>
          <w:bCs/>
          <w:i/>
          <w:iCs/>
        </w:rPr>
        <w:t>Nederlandse appreciatie</w:t>
      </w:r>
    </w:p>
    <w:p w:rsidR="00224914" w:rsidP="00224914" w:rsidRDefault="00224914" w14:paraId="3A1AE12C" w14:textId="77777777">
      <w:pPr>
        <w:spacing w:after="0"/>
        <w:rPr>
          <w:rFonts w:eastAsia="Calibri" w:cs="Times New Roman"/>
        </w:rPr>
      </w:pPr>
      <w:r>
        <w:rPr>
          <w:rFonts w:eastAsia="Calibri" w:cs="Times New Roman"/>
        </w:rPr>
        <w:t>Zoals voorafgaand aan de onderhandelingen aan de Kamer gecommuniceerd</w:t>
      </w:r>
      <w:r>
        <w:rPr>
          <w:rFonts w:eastAsia="Calibri" w:cs="Times New Roman"/>
          <w:vertAlign w:val="superscript"/>
          <w:lang w:val="en-US"/>
        </w:rPr>
        <w:footnoteReference w:id="7"/>
      </w:r>
      <w:r>
        <w:rPr>
          <w:rFonts w:eastAsia="Calibri" w:cs="Times New Roman"/>
        </w:rPr>
        <w:t xml:space="preserve"> heeft Nederland zich samen met gelijkgestemde lidstaten ingezet voor </w:t>
      </w:r>
      <w:bookmarkStart w:name="_Hlk119420890" w:id="3"/>
      <w:r>
        <w:rPr>
          <w:rFonts w:eastAsia="Calibri" w:cs="Times New Roman"/>
        </w:rPr>
        <w:t xml:space="preserve">een prudente, realistische en moderne begroting. </w:t>
      </w:r>
      <w:bookmarkEnd w:id="3"/>
      <w:r>
        <w:rPr>
          <w:rFonts w:eastAsia="Calibri" w:cs="Times New Roman"/>
        </w:rPr>
        <w:t>D</w:t>
      </w:r>
      <w:r w:rsidRPr="00726F8F">
        <w:rPr>
          <w:rFonts w:eastAsia="Calibri" w:cs="Times New Roman"/>
        </w:rPr>
        <w:t>it wil zeggen dat er volgens Nederland voldoende flexibele bestedingsruimte moet zijn om in te spelen op onvoorziene omstandigheden en dat rekening gehouden moet worden met de absorptiecapaciteit van de verschillende programma’s op de Europese begroting.</w:t>
      </w:r>
    </w:p>
    <w:p w:rsidR="00224914" w:rsidP="00224914" w:rsidRDefault="00224914" w14:paraId="343D284E" w14:textId="77777777">
      <w:pPr>
        <w:spacing w:after="0"/>
        <w:rPr>
          <w:rFonts w:eastAsia="Calibri" w:cs="Times New Roman"/>
        </w:rPr>
      </w:pPr>
    </w:p>
    <w:p w:rsidR="00224914" w:rsidP="00224914" w:rsidRDefault="00224914" w14:paraId="29401194" w14:textId="77777777">
      <w:pPr>
        <w:spacing w:after="0"/>
        <w:rPr>
          <w:rFonts w:eastAsia="Calibri" w:cs="Times New Roman"/>
        </w:rPr>
      </w:pPr>
      <w:r>
        <w:rPr>
          <w:rFonts w:eastAsia="Calibri" w:cs="Times New Roman"/>
        </w:rPr>
        <w:t xml:space="preserve">Nederland heeft prioriteit gegeven aan het dekken van de gestegen rentekosten voor NGEU in </w:t>
      </w:r>
      <w:r w:rsidRPr="00726F8F">
        <w:rPr>
          <w:rFonts w:eastAsia="Calibri" w:cs="Times New Roman"/>
        </w:rPr>
        <w:t>de context van de in de MFK-herziening gemaakte afspraken over het EURI-instrument.</w:t>
      </w:r>
      <w:r>
        <w:rPr>
          <w:rFonts w:eastAsia="Calibri" w:cs="Times New Roman"/>
        </w:rPr>
        <w:t xml:space="preserve"> Hierbij is ingezet op minimaal 50% dekking uit stap 2 van het cascademechanisme met substantiële </w:t>
      </w:r>
      <w:proofErr w:type="spellStart"/>
      <w:r>
        <w:rPr>
          <w:rFonts w:eastAsia="Calibri" w:cs="Times New Roman"/>
        </w:rPr>
        <w:t>herprioriteringen</w:t>
      </w:r>
      <w:proofErr w:type="spellEnd"/>
      <w:r>
        <w:rPr>
          <w:rFonts w:eastAsia="Calibri" w:cs="Times New Roman"/>
        </w:rPr>
        <w:t xml:space="preserve">, naast inzet speciale instrumenten. Hoewel inderdaad 50% van de overschrijding wordt gedekt uit stap 2, bevat het akkoord slechts 5 mln. euro aan </w:t>
      </w:r>
      <w:proofErr w:type="spellStart"/>
      <w:r>
        <w:rPr>
          <w:rFonts w:eastAsia="Calibri" w:cs="Times New Roman"/>
        </w:rPr>
        <w:t>herprioriteringen</w:t>
      </w:r>
      <w:proofErr w:type="spellEnd"/>
      <w:r>
        <w:rPr>
          <w:rFonts w:eastAsia="Calibri" w:cs="Times New Roman"/>
        </w:rPr>
        <w:t xml:space="preserve">. De dekking van de kostenoverschrijding van de rentekosten in stap 2 komt volledig uit inzet van het Flexibiliteitinstrument. Hiermee resteert nog circa 1,2 mld. euro vrij beschikbare ruimte in de speciale instrumenten in 2025. Het kabinet is van mening dat het prudenter zou zijn om deze flexibele ruimte te waarborgen voor onvoorziene omstandigheden en de dekking van de rentekosten in 2026 en 2027, aangezien de overschrijding van de rentekosten in die jaren naar verwachting aanzienlijk groter is. </w:t>
      </w:r>
    </w:p>
    <w:p w:rsidR="00224914" w:rsidP="00224914" w:rsidRDefault="00224914" w14:paraId="19EF1B0F" w14:textId="77777777">
      <w:pPr>
        <w:spacing w:after="0"/>
        <w:rPr>
          <w:rFonts w:eastAsia="Calibri" w:cs="Times New Roman"/>
        </w:rPr>
      </w:pPr>
    </w:p>
    <w:p w:rsidR="00224914" w:rsidP="00224914" w:rsidRDefault="00224914" w14:paraId="04EDBC16" w14:textId="77777777">
      <w:pPr>
        <w:spacing w:after="0"/>
        <w:rPr>
          <w:rFonts w:eastAsia="Calibri" w:cs="Times New Roman"/>
        </w:rPr>
      </w:pPr>
      <w:r>
        <w:rPr>
          <w:rFonts w:eastAsia="Calibri" w:cs="Times New Roman"/>
        </w:rPr>
        <w:t>Daarnaast stijgen ook de administratieve uitgaven en worden hiervoor de speciale instrumenten ingezet. Nederland heeft zich kritisch geuit over deze dekking en roept de Commissie op om met structurele oplossingen te komen.</w:t>
      </w:r>
    </w:p>
    <w:p w:rsidR="00224914" w:rsidP="00224914" w:rsidRDefault="00224914" w14:paraId="2F553CDC" w14:textId="77777777">
      <w:pPr>
        <w:spacing w:after="0"/>
        <w:rPr>
          <w:rFonts w:eastAsia="Calibri" w:cs="Times New Roman"/>
        </w:rPr>
      </w:pPr>
    </w:p>
    <w:p w:rsidR="00224914" w:rsidP="00224914" w:rsidRDefault="00224914" w14:paraId="740C857B" w14:textId="77777777">
      <w:pPr>
        <w:spacing w:after="0"/>
        <w:rPr>
          <w:rFonts w:eastAsia="Calibri" w:cs="Times New Roman"/>
        </w:rPr>
      </w:pPr>
      <w:r>
        <w:rPr>
          <w:rFonts w:eastAsia="Calibri" w:cs="Times New Roman"/>
        </w:rPr>
        <w:t>Nederland is tevreden dat de intensiveringen die in het akkoord zijn opgenomen ten goede komen aan programma’s die voor Nederland prioritair zijn zoals onderzoek en innovatie, defensie, veiligheid en migratie.</w:t>
      </w:r>
    </w:p>
    <w:p w:rsidR="00224914" w:rsidP="00224914" w:rsidRDefault="00224914" w14:paraId="1F69BD6A" w14:textId="77777777">
      <w:pPr>
        <w:spacing w:after="0"/>
        <w:rPr>
          <w:rFonts w:eastAsia="Calibri" w:cs="Times New Roman"/>
        </w:rPr>
      </w:pPr>
    </w:p>
    <w:p w:rsidR="00224914" w:rsidP="00224914" w:rsidRDefault="00224914" w14:paraId="36945D8E" w14:textId="77777777">
      <w:pPr>
        <w:spacing w:after="0"/>
        <w:rPr>
          <w:rFonts w:eastAsia="Calibri" w:cs="Times New Roman"/>
        </w:rPr>
      </w:pPr>
      <w:r>
        <w:rPr>
          <w:rFonts w:eastAsia="Calibri" w:cs="Times New Roman"/>
        </w:rPr>
        <w:t xml:space="preserve">Alles overziend heeft Nederland besloten te onthouden van stemming over de Europese jaarbegroting 2025. Hoewel de rentekosten voor 2025 gedekt zijn, is het kabinet van mening dat dit, vanwege het ontbreken van substantiële </w:t>
      </w:r>
      <w:proofErr w:type="spellStart"/>
      <w:r>
        <w:rPr>
          <w:rFonts w:eastAsia="Calibri" w:cs="Times New Roman"/>
        </w:rPr>
        <w:t>herprioriteringen</w:t>
      </w:r>
      <w:proofErr w:type="spellEnd"/>
      <w:r>
        <w:rPr>
          <w:rFonts w:eastAsia="Calibri" w:cs="Times New Roman"/>
        </w:rPr>
        <w:t>, niet volledig in de geest is van de conclusies van de Europese Raad van 1 februari jl.</w:t>
      </w:r>
    </w:p>
    <w:p w:rsidR="00224914" w:rsidP="00224914" w:rsidRDefault="00224914" w14:paraId="74D5E673" w14:textId="77777777">
      <w:pPr>
        <w:spacing w:after="0"/>
        <w:rPr>
          <w:rFonts w:eastAsia="Calibri" w:cs="Times New Roman"/>
        </w:rPr>
      </w:pPr>
    </w:p>
    <w:p w:rsidR="00224914" w:rsidP="00224914" w:rsidRDefault="00224914" w14:paraId="4CF6D020" w14:textId="77777777">
      <w:pPr>
        <w:spacing w:after="0"/>
        <w:rPr>
          <w:rFonts w:eastAsia="Calibri" w:cs="Times New Roman"/>
          <w:bCs/>
          <w:i/>
          <w:iCs/>
        </w:rPr>
      </w:pPr>
      <w:r w:rsidRPr="00795991">
        <w:rPr>
          <w:rFonts w:eastAsia="Calibri" w:cs="Times New Roman"/>
          <w:bCs/>
          <w:i/>
          <w:iCs/>
        </w:rPr>
        <w:t>Gevolgen Nederlandse afdrachten</w:t>
      </w:r>
    </w:p>
    <w:p w:rsidR="00224914" w:rsidP="00224914" w:rsidRDefault="00224914" w14:paraId="339B2954" w14:textId="77777777">
      <w:pPr>
        <w:spacing w:after="0"/>
      </w:pPr>
      <w:r>
        <w:lastRenderedPageBreak/>
        <w:t xml:space="preserve">Het betalingenniveau voor de Europese jaarbegroting 2025 is 155,2 mld. euro. Het akkoord blijft daarmee onder de Nederlandse raming en heeft derhalve niet direct gevolgen voor de Nederlandse afdrachten aan de Europese Unie. </w:t>
      </w:r>
    </w:p>
    <w:p w:rsidR="00224914" w:rsidP="00224914" w:rsidRDefault="00224914" w14:paraId="628D3CDA" w14:textId="77777777">
      <w:pPr>
        <w:spacing w:after="0"/>
      </w:pPr>
    </w:p>
    <w:p w:rsidR="00224914" w:rsidP="00224914" w:rsidRDefault="00224914" w14:paraId="5F646005" w14:textId="77777777">
      <w:pPr>
        <w:spacing w:after="0"/>
      </w:pPr>
      <w:r>
        <w:t>Zoals toegelicht in de begroting van het ministerie van Buitenlandse Zaken, artikel 3.1, is de raming van de Nederlandse afdrachten aan de Europese begroting normaliter gebaseerd op de omvang van het jaarlijkse betalingenplafond uit het MFK plus de maximale inzet van speciale instrumenten die boven dit plafond worden gefinancierd. Op 4 september jl. is uw Kamer geïnformeerd over de afwijking van de gebruikelijke systematiek, omdat de marge tussen de uitgavenniveaus en de betalingenplafonds erg groot was.</w:t>
      </w:r>
      <w:r>
        <w:rPr>
          <w:rStyle w:val="Voetnootmarkering"/>
        </w:rPr>
        <w:footnoteReference w:id="8"/>
      </w:r>
      <w:r>
        <w:t xml:space="preserve"> Daarom is gekozen om de Nederlandse raming in de Ontwerpbegroting te baseren op het betalingenniveau zoals door de Commissie voorgesteld in de Europese begroting voor 2025 (152,7 mld. euro). Daarbij is (op EU-niveau) een marge van 3,5 mld. euro aangehouden bovenop dit betalingenniveau. </w:t>
      </w:r>
    </w:p>
    <w:p w:rsidR="00224914" w:rsidP="00224914" w:rsidRDefault="00224914" w14:paraId="28C47E14" w14:textId="77777777">
      <w:pPr>
        <w:spacing w:after="0"/>
      </w:pPr>
    </w:p>
    <w:p w:rsidR="00224914" w:rsidP="00224914" w:rsidRDefault="00224914" w14:paraId="15258C13" w14:textId="77777777">
      <w:pPr>
        <w:spacing w:after="0"/>
      </w:pPr>
      <w:r>
        <w:t xml:space="preserve">De marge waarmee in de Nederlandse raming rekening wordt gehouden is door het akkoord kleiner geworden. De resterende marge tussen het vastgestelde uitgavenniveau en de Nederlandse raming bedraagt </w:t>
      </w:r>
      <w:r w:rsidRPr="0078666E">
        <w:t>nog ca. 975 mln. euro. De</w:t>
      </w:r>
      <w:r>
        <w:t xml:space="preserve"> resterende marge is in het bereikte akkoord vergroot, aangezien dit bij AL1 nog 843 mln. euro was. Het is mogelijk dat de raming van de Nederlandse afdrachten voor 2025 in de loop van het jaar naar boven bijgesteld moet worden, bijvoorbeeld als in aanvullende Europese jaarbegrotingen de betalingenniveaus verder verhoogd worden</w:t>
      </w:r>
      <w:r w:rsidRPr="000C0F07">
        <w:t>. Ik zal uw Kamer zoals gebruikelijk per brief informeren over Europese aanvullende begrotingen en wijz</w:t>
      </w:r>
      <w:r>
        <w:t>iging</w:t>
      </w:r>
      <w:r w:rsidRPr="000C0F07">
        <w:t xml:space="preserve">en in de raming van de Nederlandse afdrachten als gevolg hiervan. </w:t>
      </w:r>
    </w:p>
    <w:p w:rsidR="00224914" w:rsidP="00224914" w:rsidRDefault="00224914" w14:paraId="5C7B8154" w14:textId="77777777">
      <w:pPr>
        <w:spacing w:after="0"/>
        <w:rPr>
          <w:b/>
          <w:bCs/>
        </w:rPr>
      </w:pPr>
    </w:p>
    <w:p w:rsidRPr="00795991" w:rsidR="00224914" w:rsidP="00224914" w:rsidRDefault="00224914" w14:paraId="091D57D9" w14:textId="77777777">
      <w:pPr>
        <w:spacing w:after="0"/>
        <w:rPr>
          <w:i/>
          <w:iCs/>
        </w:rPr>
      </w:pPr>
      <w:r w:rsidRPr="00795991">
        <w:rPr>
          <w:i/>
          <w:iCs/>
        </w:rPr>
        <w:t>Proces</w:t>
      </w:r>
    </w:p>
    <w:p w:rsidR="00224914" w:rsidP="00224914" w:rsidRDefault="00224914" w14:paraId="45BFDBA0" w14:textId="77777777">
      <w:pPr>
        <w:spacing w:after="0"/>
        <w:rPr>
          <w:rFonts w:eastAsia="Calibri" w:cs="Times New Roman"/>
        </w:rPr>
      </w:pPr>
      <w:r>
        <w:rPr>
          <w:rFonts w:eastAsia="Calibri" w:cs="Times New Roman"/>
        </w:rPr>
        <w:t>Nederland heeft samen met Denemarken, Oostenrijk en Finland onthouden van de stemming over de Europese jaarbegroting 2025. Zweden heeft tegengestemd. Nederland heeft samen met deze lidstaten een stemverklaring opgesteld.</w:t>
      </w:r>
      <w:r>
        <w:rPr>
          <w:rStyle w:val="Voetnootmarkering"/>
          <w:rFonts w:eastAsia="Calibri" w:cs="Times New Roman"/>
        </w:rPr>
        <w:footnoteReference w:id="9"/>
      </w:r>
      <w:r>
        <w:rPr>
          <w:rFonts w:eastAsia="Calibri" w:cs="Times New Roman"/>
        </w:rPr>
        <w:t xml:space="preserve"> Aangezien over de Europese jaarbegroting met gekwalificeerde meerderheid gestemd wordt, is de begroting voor 2025 aangenomen. Het akkoord is op 25 november formeel aangenomen door de Raad en op 27 november door het EP.</w:t>
      </w:r>
    </w:p>
    <w:p w:rsidR="00224914" w:rsidP="00224914" w:rsidRDefault="00224914" w14:paraId="6C596103" w14:textId="77777777">
      <w:pPr>
        <w:spacing w:after="0"/>
        <w:rPr>
          <w:rFonts w:eastAsia="Calibri" w:cs="Times New Roman"/>
        </w:rPr>
      </w:pPr>
    </w:p>
    <w:p w:rsidR="00224914" w:rsidP="00224914" w:rsidRDefault="00224914" w14:paraId="3BEBB2C4" w14:textId="77777777">
      <w:pPr>
        <w:pStyle w:val="Geenafstand"/>
        <w:spacing w:line="240" w:lineRule="atLeast"/>
        <w:rPr>
          <w:b/>
          <w:bCs/>
        </w:rPr>
      </w:pPr>
      <w:bookmarkStart w:name="_Hlk183705461" w:id="4"/>
      <w:r>
        <w:rPr>
          <w:b/>
          <w:bCs/>
        </w:rPr>
        <w:t xml:space="preserve">Informatie over de aanstaande nacalculatie </w:t>
      </w:r>
    </w:p>
    <w:p w:rsidR="00224914" w:rsidP="00224914" w:rsidRDefault="00224914" w14:paraId="5C35DAA6" w14:textId="77777777">
      <w:pPr>
        <w:shd w:val="clear" w:color="auto" w:fill="FFFFFF"/>
        <w:spacing w:after="0"/>
        <w:rPr>
          <w:rFonts w:eastAsia="Times New Roman" w:cs="Arial"/>
          <w:b/>
          <w:bCs/>
        </w:rPr>
      </w:pPr>
      <w:r>
        <w:t xml:space="preserve">De jaarlijkse afdrachten van de lidstaten aan de Europese begroting worden enerzijds bepaald door de uitgaven van de Europese Unie (de uitgavenniveaus in de Europese begroting) en anderzijds door de invoerrechten, de btw-grondslag, de plastic-grondslag en de </w:t>
      </w:r>
      <w:proofErr w:type="spellStart"/>
      <w:r>
        <w:t>bni</w:t>
      </w:r>
      <w:proofErr w:type="spellEnd"/>
      <w:r>
        <w:t xml:space="preserve">-grondslag van een lidstaat. De lidstaten betalen iedere maand op basis van de geraamde grondslagen. </w:t>
      </w:r>
      <w:r>
        <w:lastRenderedPageBreak/>
        <w:t>Jaarlijks worden de verschillen tussen de ramingen en de realisaties van deze grondslagen met terugwerkende kracht verrekend tussen de lidstaten. Het doel van de nacalculatie is om de bijdrage van lidstaten in lijn te brengen met hun daadwerkelijke economische prestaties (realisaties). Het gaat hier dus om een herverdeling van afdrachten tussen de lidstaten, niet om meer of minder uitgaven aan de Europese Unie.</w:t>
      </w:r>
      <w:r>
        <w:rPr>
          <w:rFonts w:eastAsia="Times New Roman" w:cs="Arial"/>
          <w:b/>
          <w:bCs/>
        </w:rPr>
        <w:t xml:space="preserve"> </w:t>
      </w:r>
    </w:p>
    <w:p w:rsidR="00224914" w:rsidP="00224914" w:rsidRDefault="00224914" w14:paraId="1911FD28" w14:textId="77777777">
      <w:pPr>
        <w:shd w:val="clear" w:color="auto" w:fill="FFFFFF"/>
        <w:spacing w:after="0"/>
        <w:rPr>
          <w:rFonts w:eastAsia="Times New Roman" w:cs="Arial"/>
          <w:b/>
          <w:bCs/>
        </w:rPr>
      </w:pPr>
    </w:p>
    <w:p w:rsidR="00224914" w:rsidP="00224914" w:rsidRDefault="00224914" w14:paraId="62299BC1" w14:textId="77777777">
      <w:pPr>
        <w:shd w:val="clear" w:color="auto" w:fill="FFFFFF"/>
        <w:spacing w:after="0"/>
      </w:pPr>
      <w:r>
        <w:rPr>
          <w:rFonts w:eastAsia="Times New Roman" w:cs="Arial"/>
        </w:rPr>
        <w:t xml:space="preserve">De realisaties voor de </w:t>
      </w:r>
      <w:proofErr w:type="spellStart"/>
      <w:r>
        <w:rPr>
          <w:rFonts w:eastAsia="Times New Roman" w:cs="Arial"/>
        </w:rPr>
        <w:t>bni</w:t>
      </w:r>
      <w:proofErr w:type="spellEnd"/>
      <w:r>
        <w:rPr>
          <w:rFonts w:eastAsia="Times New Roman" w:cs="Arial"/>
        </w:rPr>
        <w:t xml:space="preserve">-afdracht worden ieder jaar vastgesteld in de </w:t>
      </w:r>
      <w:bookmarkStart w:name="_Hlk183704376" w:id="5"/>
      <w:r>
        <w:rPr>
          <w:rFonts w:eastAsia="Times New Roman" w:cs="Arial"/>
        </w:rPr>
        <w:t xml:space="preserve">zogenoemde </w:t>
      </w:r>
      <w:proofErr w:type="spellStart"/>
      <w:r>
        <w:rPr>
          <w:rFonts w:eastAsia="Times New Roman" w:cs="Arial"/>
        </w:rPr>
        <w:t>bni</w:t>
      </w:r>
      <w:proofErr w:type="spellEnd"/>
      <w:r>
        <w:rPr>
          <w:rFonts w:eastAsia="Times New Roman" w:cs="Arial"/>
        </w:rPr>
        <w:t xml:space="preserve"> expert </w:t>
      </w:r>
      <w:proofErr w:type="spellStart"/>
      <w:r>
        <w:rPr>
          <w:rFonts w:eastAsia="Times New Roman" w:cs="Arial"/>
        </w:rPr>
        <w:t>group</w:t>
      </w:r>
      <w:proofErr w:type="spellEnd"/>
      <w:r>
        <w:rPr>
          <w:rFonts w:eastAsia="Times New Roman" w:cs="Arial"/>
        </w:rPr>
        <w:t xml:space="preserve"> van </w:t>
      </w:r>
      <w:proofErr w:type="spellStart"/>
      <w:r>
        <w:rPr>
          <w:rFonts w:eastAsia="Times New Roman" w:cs="Arial"/>
        </w:rPr>
        <w:t>Eurostat</w:t>
      </w:r>
      <w:proofErr w:type="spellEnd"/>
      <w:r>
        <w:rPr>
          <w:rFonts w:eastAsia="Times New Roman" w:cs="Arial"/>
        </w:rPr>
        <w:t xml:space="preserve"> </w:t>
      </w:r>
      <w:bookmarkEnd w:id="5"/>
      <w:r>
        <w:rPr>
          <w:rFonts w:eastAsia="Times New Roman" w:cs="Arial"/>
        </w:rPr>
        <w:t xml:space="preserve">op basis van de laatst beschikbare data. Voor Nederland zit het CBS in deze groep. De meest recente realisaties kunnen het </w:t>
      </w:r>
      <w:proofErr w:type="spellStart"/>
      <w:r>
        <w:rPr>
          <w:rFonts w:eastAsia="Times New Roman" w:cs="Arial"/>
        </w:rPr>
        <w:t>bni</w:t>
      </w:r>
      <w:proofErr w:type="spellEnd"/>
      <w:r>
        <w:rPr>
          <w:rFonts w:eastAsia="Times New Roman" w:cs="Arial"/>
        </w:rPr>
        <w:t xml:space="preserve"> van de afzonderlijke lidstaten wijzigen tot vier jaar terug. </w:t>
      </w:r>
    </w:p>
    <w:p w:rsidR="00224914" w:rsidP="00224914" w:rsidRDefault="00224914" w14:paraId="71492C1A" w14:textId="77777777">
      <w:pPr>
        <w:shd w:val="clear" w:color="auto" w:fill="FFFFFF"/>
        <w:spacing w:after="0"/>
      </w:pPr>
    </w:p>
    <w:p w:rsidR="00224914" w:rsidP="00224914" w:rsidRDefault="00224914" w14:paraId="1F2DDE5A" w14:textId="77777777">
      <w:pPr>
        <w:pStyle w:val="Geenafstand"/>
        <w:spacing w:line="240" w:lineRule="atLeast"/>
      </w:pPr>
      <w:bookmarkStart w:name="_Hlk183704150" w:id="6"/>
      <w:bookmarkStart w:name="_Hlk183774308" w:id="7"/>
      <w:r>
        <w:t xml:space="preserve">Naast de jaarlijkse nacalculatie, is er in de </w:t>
      </w:r>
      <w:proofErr w:type="spellStart"/>
      <w:r>
        <w:t>bni</w:t>
      </w:r>
      <w:proofErr w:type="spellEnd"/>
      <w:r>
        <w:t xml:space="preserve"> expert </w:t>
      </w:r>
      <w:proofErr w:type="spellStart"/>
      <w:r>
        <w:t>group</w:t>
      </w:r>
      <w:proofErr w:type="spellEnd"/>
      <w:r>
        <w:t xml:space="preserve"> een vijfjaarlijkse verificatiecyclus van de </w:t>
      </w:r>
      <w:proofErr w:type="spellStart"/>
      <w:r>
        <w:t>bni</w:t>
      </w:r>
      <w:proofErr w:type="spellEnd"/>
      <w:r>
        <w:t>-cijfers voor alle lidstaten. Deze cyclus eindigt in 2024 en betreft voor Nederland de jaren vanaf 2018.</w:t>
      </w:r>
      <w:bookmarkStart w:name="_Hlk183704164" w:id="8"/>
      <w:bookmarkEnd w:id="6"/>
      <w:r>
        <w:t xml:space="preserve"> </w:t>
      </w:r>
      <w:bookmarkStart w:name="_Hlk183774413" w:id="9"/>
      <w:bookmarkEnd w:id="7"/>
      <w:r>
        <w:t xml:space="preserve">Afgelopen juni heeft het CBS mede hiertoe de bijstelling van het Nederlands </w:t>
      </w:r>
      <w:proofErr w:type="spellStart"/>
      <w:r>
        <w:t>bni</w:t>
      </w:r>
      <w:proofErr w:type="spellEnd"/>
      <w:r>
        <w:t xml:space="preserve"> tot en met 2022 gepubliceerd en de eerste realisaties voor 2023, de zogeheten revisie van de nationale rekeningen</w:t>
      </w:r>
      <w:bookmarkEnd w:id="9"/>
      <w:r>
        <w:t>.</w:t>
      </w:r>
      <w:r>
        <w:rPr>
          <w:rStyle w:val="Voetnootmarkering"/>
        </w:rPr>
        <w:footnoteReference w:id="10"/>
      </w:r>
      <w:r>
        <w:t xml:space="preserve"> </w:t>
      </w:r>
      <w:bookmarkEnd w:id="8"/>
      <w:r w:rsidRPr="008A70B8">
        <w:t xml:space="preserve">Bij een revisie </w:t>
      </w:r>
      <w:r>
        <w:t xml:space="preserve">van de nationale rekeningen </w:t>
      </w:r>
      <w:r w:rsidRPr="008A70B8">
        <w:t>worden de laatste</w:t>
      </w:r>
      <w:r>
        <w:t xml:space="preserve"> statistische</w:t>
      </w:r>
      <w:r w:rsidRPr="008A70B8">
        <w:t xml:space="preserve"> inzichten</w:t>
      </w:r>
      <w:r>
        <w:t xml:space="preserve"> in samenhang</w:t>
      </w:r>
      <w:r w:rsidRPr="008A70B8">
        <w:t xml:space="preserve"> verwerkt </w:t>
      </w:r>
      <w:r>
        <w:t>voor de raming van alle macro-economische indicatoren van het CBS</w:t>
      </w:r>
      <w:r w:rsidRPr="008A70B8">
        <w:t>.</w:t>
      </w:r>
      <w:r w:rsidRPr="00CF4996">
        <w:t xml:space="preserve"> </w:t>
      </w:r>
      <w:r>
        <w:t xml:space="preserve">Voor het </w:t>
      </w:r>
      <w:proofErr w:type="spellStart"/>
      <w:r>
        <w:t>ijkjaar</w:t>
      </w:r>
      <w:proofErr w:type="spellEnd"/>
      <w:r>
        <w:t xml:space="preserve"> 2021</w:t>
      </w:r>
      <w:r w:rsidRPr="00CF4996">
        <w:t xml:space="preserve"> is </w:t>
      </w:r>
      <w:r>
        <w:t xml:space="preserve">het </w:t>
      </w:r>
      <w:proofErr w:type="spellStart"/>
      <w:r>
        <w:t>bni</w:t>
      </w:r>
      <w:proofErr w:type="spellEnd"/>
      <w:r>
        <w:t xml:space="preserve"> </w:t>
      </w:r>
      <w:r w:rsidRPr="00CF4996">
        <w:t>met 17,9 m</w:t>
      </w:r>
      <w:r>
        <w:t>ld.</w:t>
      </w:r>
      <w:r w:rsidRPr="00CF4996">
        <w:t xml:space="preserve"> euro opwaarts bijgesteld, een verhoging van 2</w:t>
      </w:r>
      <w:r>
        <w:t>%</w:t>
      </w:r>
      <w:r w:rsidRPr="00CF4996">
        <w:t xml:space="preserve">. </w:t>
      </w:r>
      <w:bookmarkStart w:name="_Hlk183704182" w:id="10"/>
      <w:r>
        <w:t xml:space="preserve">Ook andere lidstaten hebben een dergelijke revisie van de </w:t>
      </w:r>
      <w:proofErr w:type="spellStart"/>
      <w:r>
        <w:t>bni</w:t>
      </w:r>
      <w:proofErr w:type="spellEnd"/>
      <w:r>
        <w:t xml:space="preserve">-cijfers gedaan. Inmiddels is bekend dat bij de meeste lidstaten sprake is van opwaartse bijstellingen van het </w:t>
      </w:r>
      <w:proofErr w:type="spellStart"/>
      <w:r>
        <w:t>bni</w:t>
      </w:r>
      <w:proofErr w:type="spellEnd"/>
      <w:r>
        <w:t xml:space="preserve">. Het Nederlandse </w:t>
      </w:r>
      <w:proofErr w:type="spellStart"/>
      <w:r>
        <w:t>bni</w:t>
      </w:r>
      <w:proofErr w:type="spellEnd"/>
      <w:r>
        <w:t xml:space="preserve"> is relatief gezien verder naar boven bijgesteld.</w:t>
      </w:r>
      <w:bookmarkEnd w:id="10"/>
      <w:r>
        <w:t xml:space="preserve"> </w:t>
      </w:r>
      <w:bookmarkStart w:name="_Hlk183704190" w:id="11"/>
      <w:r>
        <w:t xml:space="preserve">Naar verwachting zal het </w:t>
      </w:r>
      <w:proofErr w:type="spellStart"/>
      <w:r>
        <w:t>bni</w:t>
      </w:r>
      <w:proofErr w:type="spellEnd"/>
      <w:r>
        <w:t xml:space="preserve">-aandeel van Nederland ten opzichte van de totale EU stijgen. Een dergelijke relatieve stijging zal leiden tot een eenmalige extra afdracht voor Nederland. </w:t>
      </w:r>
      <w:bookmarkEnd w:id="11"/>
      <w:r w:rsidRPr="00C74274">
        <w:t xml:space="preserve">Als </w:t>
      </w:r>
      <w:bookmarkStart w:name="_Hlk183774529" w:id="12"/>
      <w:r w:rsidRPr="00C74274">
        <w:t xml:space="preserve">het Nederlandse </w:t>
      </w:r>
      <w:proofErr w:type="spellStart"/>
      <w:r w:rsidRPr="00C74274">
        <w:t>bni</w:t>
      </w:r>
      <w:proofErr w:type="spellEnd"/>
      <w:r w:rsidRPr="00C74274">
        <w:t xml:space="preserve"> relatief stijgt ten opzichte van de andere lidstaten zal dat ook</w:t>
      </w:r>
      <w:r>
        <w:t xml:space="preserve"> in</w:t>
      </w:r>
      <w:r w:rsidRPr="00C74274">
        <w:t xml:space="preserve"> toekomst</w:t>
      </w:r>
      <w:r>
        <w:t>ige jaren</w:t>
      </w:r>
      <w:r w:rsidRPr="00C74274">
        <w:t xml:space="preserve"> leiden tot hogere afdrachten.</w:t>
      </w:r>
      <w:r>
        <w:t xml:space="preserve"> </w:t>
      </w:r>
    </w:p>
    <w:bookmarkEnd w:id="12"/>
    <w:p w:rsidR="00224914" w:rsidP="00224914" w:rsidRDefault="00224914" w14:paraId="3DB7F4BE" w14:textId="77777777">
      <w:pPr>
        <w:pStyle w:val="Geenafstand"/>
        <w:spacing w:line="240" w:lineRule="atLeast"/>
      </w:pPr>
    </w:p>
    <w:p w:rsidRPr="00E47F8C" w:rsidR="00224914" w:rsidP="00224914" w:rsidRDefault="00224914" w14:paraId="5534F2E4" w14:textId="77777777">
      <w:pPr>
        <w:pStyle w:val="Geenafstand"/>
        <w:spacing w:line="240" w:lineRule="atLeast"/>
      </w:pPr>
      <w:r>
        <w:rPr>
          <w:rFonts w:eastAsia="Times New Roman" w:cs="Arial"/>
          <w:color w:val="auto"/>
        </w:rPr>
        <w:t>De precieze omvang van de nacalculatie is afhankelijk van de definitieve cijfers van alle grondslagen (ook de btw- en plastic-grondslagen) en de cijfers van de andere lidstaten.</w:t>
      </w:r>
      <w:r>
        <w:t xml:space="preserve"> </w:t>
      </w:r>
      <w:r w:rsidRPr="00E47F8C">
        <w:rPr>
          <w:rFonts w:eastAsia="Times New Roman" w:cs="Arial"/>
          <w:color w:val="auto"/>
        </w:rPr>
        <w:t xml:space="preserve">De Europese Commissie publiceert </w:t>
      </w:r>
      <w:r>
        <w:rPr>
          <w:rFonts w:eastAsia="Times New Roman" w:cs="Arial"/>
          <w:color w:val="auto"/>
        </w:rPr>
        <w:t xml:space="preserve">de definitieve nacalculatie van alle grondslagen </w:t>
      </w:r>
      <w:r w:rsidRPr="00E47F8C">
        <w:rPr>
          <w:rFonts w:eastAsia="Times New Roman" w:cs="Arial"/>
          <w:color w:val="auto"/>
        </w:rPr>
        <w:t>begin 2025.</w:t>
      </w:r>
      <w:bookmarkEnd w:id="4"/>
      <w:r w:rsidRPr="00E47F8C">
        <w:rPr>
          <w:rFonts w:eastAsia="Times New Roman" w:cs="Arial"/>
          <w:color w:val="auto"/>
        </w:rPr>
        <w:t xml:space="preserve"> Uw Kamer </w:t>
      </w:r>
      <w:r>
        <w:rPr>
          <w:rFonts w:eastAsia="Times New Roman" w:cs="Arial"/>
          <w:color w:val="auto"/>
        </w:rPr>
        <w:t>zal</w:t>
      </w:r>
      <w:r w:rsidRPr="00E47F8C">
        <w:rPr>
          <w:rFonts w:eastAsia="Times New Roman" w:cs="Arial"/>
          <w:color w:val="auto"/>
        </w:rPr>
        <w:t xml:space="preserve"> kort daarna worden geïnformeerd over de definitieve nacalculatie en de budgettaire effecten</w:t>
      </w:r>
      <w:bookmarkStart w:name="_Hlk153366381" w:id="13"/>
      <w:r w:rsidRPr="00E47F8C">
        <w:rPr>
          <w:rFonts w:eastAsia="Times New Roman" w:cs="Arial"/>
          <w:color w:val="auto"/>
        </w:rPr>
        <w:t xml:space="preserve"> hiervan. De budgettaire effecten worden verwerkt in de eerste suppletoire begroting van het ministerie van Buitenlandse Zaken.</w:t>
      </w:r>
    </w:p>
    <w:p w:rsidR="00224914" w:rsidP="00224914" w:rsidRDefault="00224914" w14:paraId="6B56F4CF" w14:textId="77777777">
      <w:pPr>
        <w:pStyle w:val="StandaardSlotzin"/>
      </w:pPr>
      <w:bookmarkStart w:name="_Hlk153361503" w:id="14"/>
      <w:bookmarkEnd w:id="13"/>
    </w:p>
    <w:p w:rsidR="00224914" w:rsidP="00224914" w:rsidRDefault="00E32CD5" w14:paraId="066D1B2C" w14:textId="5C0C86BD">
      <w:pPr>
        <w:spacing w:after="0"/>
      </w:pPr>
      <w:r>
        <w:t>D</w:t>
      </w:r>
      <w:r>
        <w:t>e minister van Financiën,</w:t>
      </w:r>
    </w:p>
    <w:p w:rsidR="00E32CD5" w:rsidP="00224914" w:rsidRDefault="00E32CD5" w14:paraId="3C86EB69" w14:textId="1F01FDAD">
      <w:pPr>
        <w:spacing w:after="0"/>
      </w:pPr>
      <w:r>
        <w:t>E. Heinen</w:t>
      </w:r>
    </w:p>
    <w:p w:rsidR="00E32CD5" w:rsidP="00224914" w:rsidRDefault="00E32CD5" w14:paraId="154BE792" w14:textId="77777777">
      <w:pPr>
        <w:spacing w:after="0"/>
      </w:pPr>
    </w:p>
    <w:p w:rsidR="00224914" w:rsidP="00224914" w:rsidRDefault="00224914" w14:paraId="29605ECB" w14:textId="77777777">
      <w:pPr>
        <w:spacing w:after="0"/>
        <w:rPr>
          <w:b/>
          <w:bCs/>
        </w:rPr>
      </w:pPr>
      <w:r>
        <w:rPr>
          <w:b/>
          <w:bCs/>
        </w:rPr>
        <w:t xml:space="preserve"> </w:t>
      </w:r>
    </w:p>
    <w:p w:rsidR="00224914" w:rsidP="00224914" w:rsidRDefault="00224914" w14:paraId="71215BB3" w14:textId="77777777">
      <w:pPr>
        <w:spacing w:after="0" w:line="240" w:lineRule="auto"/>
        <w:rPr>
          <w:b/>
          <w:bCs/>
        </w:rPr>
      </w:pPr>
      <w:r>
        <w:rPr>
          <w:b/>
          <w:bCs/>
        </w:rPr>
        <w:br w:type="page"/>
      </w:r>
    </w:p>
    <w:p w:rsidR="00224914" w:rsidP="00224914" w:rsidRDefault="00224914" w14:paraId="27C7C695" w14:textId="77777777">
      <w:pPr>
        <w:spacing w:after="0"/>
        <w:rPr>
          <w:b/>
          <w:bCs/>
        </w:rPr>
      </w:pPr>
      <w:r>
        <w:rPr>
          <w:b/>
          <w:bCs/>
        </w:rPr>
        <w:lastRenderedPageBreak/>
        <w:t>Bijlagen</w:t>
      </w:r>
    </w:p>
    <w:tbl>
      <w:tblPr>
        <w:tblpPr w:leftFromText="141" w:rightFromText="141" w:vertAnchor="text" w:horzAnchor="margin" w:tblpXSpec="center" w:tblpY="294"/>
        <w:tblW w:w="10250" w:type="dxa"/>
        <w:tblCellMar>
          <w:left w:w="70" w:type="dxa"/>
          <w:right w:w="70" w:type="dxa"/>
        </w:tblCellMar>
        <w:tblLook w:val="04A0" w:firstRow="1" w:lastRow="0" w:firstColumn="1" w:lastColumn="0" w:noHBand="0" w:noVBand="1"/>
      </w:tblPr>
      <w:tblGrid>
        <w:gridCol w:w="3366"/>
        <w:gridCol w:w="859"/>
        <w:gridCol w:w="860"/>
        <w:gridCol w:w="859"/>
        <w:gridCol w:w="860"/>
        <w:gridCol w:w="859"/>
        <w:gridCol w:w="860"/>
        <w:gridCol w:w="859"/>
        <w:gridCol w:w="868"/>
      </w:tblGrid>
      <w:tr w:rsidRPr="00556607" w:rsidR="00224914" w:rsidTr="00557986" w14:paraId="2156DA49" w14:textId="77777777">
        <w:trPr>
          <w:trHeight w:val="284"/>
        </w:trPr>
        <w:tc>
          <w:tcPr>
            <w:tcW w:w="10250" w:type="dxa"/>
            <w:gridSpan w:val="9"/>
            <w:tcBorders>
              <w:top w:val="nil"/>
              <w:bottom w:val="nil"/>
              <w:right w:val="nil"/>
            </w:tcBorders>
            <w:shd w:val="clear" w:color="auto" w:fill="0A2F41" w:themeFill="accent1" w:themeFillShade="80"/>
            <w:noWrap/>
            <w:vAlign w:val="center"/>
            <w:hideMark/>
          </w:tcPr>
          <w:p w:rsidRPr="00F22992" w:rsidR="00224914" w:rsidP="00224914" w:rsidRDefault="00224914" w14:paraId="361A12FA" w14:textId="77777777">
            <w:pPr>
              <w:spacing w:after="0" w:line="240" w:lineRule="auto"/>
              <w:rPr>
                <w:rFonts w:eastAsia="Times New Roman" w:cs="Calibri"/>
                <w:b/>
                <w:bCs/>
                <w:color w:val="FFFFFF"/>
                <w:sz w:val="16"/>
                <w:szCs w:val="16"/>
              </w:rPr>
            </w:pPr>
            <w:r w:rsidRPr="00F22992">
              <w:rPr>
                <w:rFonts w:eastAsia="Times New Roman" w:cs="Calibri"/>
                <w:b/>
                <w:bCs/>
                <w:color w:val="FFFFFF"/>
                <w:sz w:val="16"/>
                <w:szCs w:val="16"/>
              </w:rPr>
              <w:t xml:space="preserve">Tabel 1: Gevolgen voor de raming van de NL-afdrachten </w:t>
            </w:r>
            <w:r w:rsidRPr="00F22992">
              <w:rPr>
                <w:rFonts w:eastAsia="Times New Roman" w:cs="Calibri"/>
                <w:color w:val="FFFFFF"/>
                <w:sz w:val="16"/>
                <w:szCs w:val="16"/>
              </w:rPr>
              <w:t>(in miljoenen euro, lopende prijzen)</w:t>
            </w:r>
          </w:p>
        </w:tc>
      </w:tr>
      <w:tr w:rsidRPr="00556607" w:rsidR="00224914" w:rsidTr="00557986" w14:paraId="4BA63BBD" w14:textId="77777777">
        <w:trPr>
          <w:trHeight w:val="178"/>
        </w:trPr>
        <w:tc>
          <w:tcPr>
            <w:tcW w:w="3366" w:type="dxa"/>
            <w:tcBorders>
              <w:top w:val="single" w:color="auto" w:sz="4" w:space="0"/>
              <w:bottom w:val="single" w:color="auto" w:sz="4" w:space="0"/>
              <w:right w:val="nil"/>
            </w:tcBorders>
            <w:shd w:val="clear" w:color="000000" w:fill="1F4E79"/>
            <w:noWrap/>
            <w:hideMark/>
          </w:tcPr>
          <w:p w:rsidRPr="00556607" w:rsidR="00224914" w:rsidP="00224914" w:rsidRDefault="00224914" w14:paraId="1C00F7B7" w14:textId="77777777">
            <w:pPr>
              <w:spacing w:after="0" w:line="240" w:lineRule="auto"/>
              <w:rPr>
                <w:rFonts w:eastAsia="Times New Roman" w:cs="Calibri"/>
                <w:b/>
                <w:bCs/>
                <w:color w:val="FFFFFF"/>
                <w:sz w:val="16"/>
                <w:szCs w:val="16"/>
              </w:rPr>
            </w:pPr>
            <w:r w:rsidRPr="00556607">
              <w:rPr>
                <w:rFonts w:eastAsia="Times New Roman" w:cs="Calibri"/>
                <w:b/>
                <w:bCs/>
                <w:color w:val="FFFFFF"/>
                <w:sz w:val="16"/>
                <w:szCs w:val="16"/>
              </w:rPr>
              <w:t> </w:t>
            </w:r>
          </w:p>
        </w:tc>
        <w:tc>
          <w:tcPr>
            <w:tcW w:w="1719" w:type="dxa"/>
            <w:gridSpan w:val="2"/>
            <w:tcBorders>
              <w:top w:val="single" w:color="auto" w:sz="4" w:space="0"/>
              <w:left w:val="nil"/>
              <w:bottom w:val="single" w:color="auto" w:sz="4" w:space="0"/>
              <w:right w:val="nil"/>
            </w:tcBorders>
            <w:shd w:val="clear" w:color="000000" w:fill="1F4E79"/>
            <w:noWrap/>
            <w:hideMark/>
          </w:tcPr>
          <w:p w:rsidRPr="00556607" w:rsidR="00224914" w:rsidP="00224914" w:rsidRDefault="00224914" w14:paraId="6C2BEF1C" w14:textId="77777777">
            <w:pPr>
              <w:spacing w:after="0" w:line="240" w:lineRule="auto"/>
              <w:jc w:val="center"/>
              <w:rPr>
                <w:rFonts w:eastAsia="Times New Roman" w:cs="Calibri"/>
                <w:b/>
                <w:bCs/>
                <w:color w:val="FFFFFF"/>
                <w:sz w:val="16"/>
                <w:szCs w:val="16"/>
              </w:rPr>
            </w:pPr>
            <w:r w:rsidRPr="00556607">
              <w:rPr>
                <w:rFonts w:eastAsia="Times New Roman" w:cs="Calibri"/>
                <w:b/>
                <w:bCs/>
                <w:color w:val="FFFFFF"/>
                <w:sz w:val="16"/>
                <w:szCs w:val="16"/>
              </w:rPr>
              <w:t>AL1</w:t>
            </w:r>
          </w:p>
        </w:tc>
        <w:tc>
          <w:tcPr>
            <w:tcW w:w="1719" w:type="dxa"/>
            <w:gridSpan w:val="2"/>
            <w:tcBorders>
              <w:top w:val="single" w:color="auto" w:sz="4" w:space="0"/>
              <w:left w:val="nil"/>
              <w:bottom w:val="single" w:color="auto" w:sz="4" w:space="0"/>
              <w:right w:val="nil"/>
            </w:tcBorders>
            <w:shd w:val="clear" w:color="000000" w:fill="1F4E79"/>
            <w:noWrap/>
            <w:hideMark/>
          </w:tcPr>
          <w:p w:rsidRPr="00556607" w:rsidR="00224914" w:rsidP="00224914" w:rsidRDefault="00224914" w14:paraId="6C80F7E2" w14:textId="77777777">
            <w:pPr>
              <w:spacing w:after="0" w:line="240" w:lineRule="auto"/>
              <w:jc w:val="center"/>
              <w:rPr>
                <w:rFonts w:eastAsia="Times New Roman" w:cs="Calibri"/>
                <w:b/>
                <w:bCs/>
                <w:color w:val="FFFFFF"/>
                <w:sz w:val="16"/>
                <w:szCs w:val="16"/>
              </w:rPr>
            </w:pPr>
            <w:r w:rsidRPr="00556607">
              <w:rPr>
                <w:rFonts w:eastAsia="Times New Roman" w:cs="Calibri"/>
                <w:b/>
                <w:bCs/>
                <w:color w:val="FFFFFF"/>
                <w:sz w:val="16"/>
                <w:szCs w:val="16"/>
              </w:rPr>
              <w:t xml:space="preserve">Raadspositie </w:t>
            </w:r>
          </w:p>
        </w:tc>
        <w:tc>
          <w:tcPr>
            <w:tcW w:w="1719" w:type="dxa"/>
            <w:gridSpan w:val="2"/>
            <w:tcBorders>
              <w:top w:val="single" w:color="auto" w:sz="4" w:space="0"/>
              <w:left w:val="nil"/>
              <w:bottom w:val="single" w:color="auto" w:sz="4" w:space="0"/>
              <w:right w:val="nil"/>
            </w:tcBorders>
            <w:shd w:val="clear" w:color="000000" w:fill="1F4E79"/>
            <w:noWrap/>
            <w:hideMark/>
          </w:tcPr>
          <w:p w:rsidRPr="00556607" w:rsidR="00224914" w:rsidP="00224914" w:rsidRDefault="00224914" w14:paraId="2AB29CE7" w14:textId="77777777">
            <w:pPr>
              <w:spacing w:after="0" w:line="240" w:lineRule="auto"/>
              <w:jc w:val="center"/>
              <w:rPr>
                <w:rFonts w:eastAsia="Times New Roman" w:cs="Calibri"/>
                <w:b/>
                <w:bCs/>
                <w:color w:val="FFFFFF"/>
                <w:sz w:val="16"/>
                <w:szCs w:val="16"/>
              </w:rPr>
            </w:pPr>
            <w:r w:rsidRPr="00556607">
              <w:rPr>
                <w:rFonts w:eastAsia="Times New Roman" w:cs="Calibri"/>
                <w:b/>
                <w:bCs/>
                <w:color w:val="FFFFFF"/>
                <w:sz w:val="16"/>
                <w:szCs w:val="16"/>
              </w:rPr>
              <w:t>EP</w:t>
            </w:r>
          </w:p>
        </w:tc>
        <w:tc>
          <w:tcPr>
            <w:tcW w:w="1724" w:type="dxa"/>
            <w:gridSpan w:val="2"/>
            <w:tcBorders>
              <w:top w:val="single" w:color="auto" w:sz="4" w:space="0"/>
              <w:left w:val="nil"/>
              <w:bottom w:val="single" w:color="auto" w:sz="4" w:space="0"/>
              <w:right w:val="nil"/>
            </w:tcBorders>
            <w:shd w:val="clear" w:color="000000" w:fill="1F4E79"/>
            <w:noWrap/>
            <w:hideMark/>
          </w:tcPr>
          <w:p w:rsidRPr="00556607" w:rsidR="00224914" w:rsidP="00224914" w:rsidRDefault="00224914" w14:paraId="213A10E1" w14:textId="77777777">
            <w:pPr>
              <w:spacing w:after="0" w:line="240" w:lineRule="auto"/>
              <w:jc w:val="center"/>
              <w:rPr>
                <w:rFonts w:eastAsia="Times New Roman" w:cs="Calibri"/>
                <w:b/>
                <w:bCs/>
                <w:color w:val="FFFFFF"/>
                <w:sz w:val="16"/>
                <w:szCs w:val="16"/>
              </w:rPr>
            </w:pPr>
            <w:r w:rsidRPr="00556607">
              <w:rPr>
                <w:rFonts w:eastAsia="Times New Roman" w:cs="Calibri"/>
                <w:b/>
                <w:bCs/>
                <w:color w:val="FFFFFF"/>
                <w:sz w:val="16"/>
                <w:szCs w:val="16"/>
              </w:rPr>
              <w:t>Akkoord</w:t>
            </w:r>
          </w:p>
        </w:tc>
      </w:tr>
      <w:tr w:rsidRPr="00556607" w:rsidR="00224914" w:rsidTr="00557986" w14:paraId="3A163870" w14:textId="77777777">
        <w:trPr>
          <w:trHeight w:val="256"/>
        </w:trPr>
        <w:tc>
          <w:tcPr>
            <w:tcW w:w="3366" w:type="dxa"/>
            <w:tcBorders>
              <w:top w:val="single" w:color="auto" w:sz="4" w:space="0"/>
              <w:bottom w:val="single" w:color="auto" w:sz="4" w:space="0"/>
            </w:tcBorders>
            <w:shd w:val="clear" w:color="000000" w:fill="1F4E79"/>
            <w:noWrap/>
            <w:hideMark/>
          </w:tcPr>
          <w:p w:rsidRPr="00556607" w:rsidR="00224914" w:rsidP="00224914" w:rsidRDefault="00224914" w14:paraId="434E9DBF" w14:textId="77777777">
            <w:pPr>
              <w:spacing w:after="0" w:line="240" w:lineRule="auto"/>
              <w:rPr>
                <w:rFonts w:eastAsia="Times New Roman" w:cs="Calibri"/>
                <w:b/>
                <w:bCs/>
                <w:color w:val="FFFFFF"/>
                <w:sz w:val="16"/>
                <w:szCs w:val="16"/>
              </w:rPr>
            </w:pPr>
            <w:r w:rsidRPr="00556607">
              <w:rPr>
                <w:rFonts w:eastAsia="Times New Roman" w:cs="Calibri"/>
                <w:b/>
                <w:bCs/>
                <w:color w:val="FFFFFF"/>
                <w:sz w:val="16"/>
                <w:szCs w:val="16"/>
              </w:rPr>
              <w:t> </w:t>
            </w:r>
            <w:r w:rsidRPr="00556607">
              <w:rPr>
                <w:rFonts w:eastAsia="Times New Roman" w:cs="Calibri"/>
                <w:b/>
                <w:bCs/>
                <w:sz w:val="16"/>
                <w:szCs w:val="16"/>
              </w:rPr>
              <w:t xml:space="preserve"> </w:t>
            </w:r>
            <w:r w:rsidRPr="00556607">
              <w:rPr>
                <w:rFonts w:eastAsia="Times New Roman" w:cs="Calibri"/>
                <w:b/>
                <w:bCs/>
                <w:color w:val="FFFFFF" w:themeColor="background1"/>
                <w:sz w:val="16"/>
                <w:szCs w:val="16"/>
              </w:rPr>
              <w:t>Begrotingscat</w:t>
            </w:r>
            <w:r>
              <w:rPr>
                <w:rFonts w:eastAsia="Times New Roman" w:cs="Calibri"/>
                <w:b/>
                <w:bCs/>
                <w:color w:val="FFFFFF" w:themeColor="background1"/>
                <w:sz w:val="16"/>
                <w:szCs w:val="16"/>
              </w:rPr>
              <w:t>e</w:t>
            </w:r>
            <w:r w:rsidRPr="00556607">
              <w:rPr>
                <w:rFonts w:eastAsia="Times New Roman" w:cs="Calibri"/>
                <w:b/>
                <w:bCs/>
                <w:color w:val="FFFFFF" w:themeColor="background1"/>
                <w:sz w:val="16"/>
                <w:szCs w:val="16"/>
              </w:rPr>
              <w:t>gorieën</w:t>
            </w:r>
          </w:p>
        </w:tc>
        <w:tc>
          <w:tcPr>
            <w:tcW w:w="859" w:type="dxa"/>
            <w:tcBorders>
              <w:top w:val="single" w:color="auto" w:sz="4" w:space="0"/>
              <w:bottom w:val="single" w:color="auto" w:sz="4" w:space="0"/>
            </w:tcBorders>
            <w:shd w:val="clear" w:color="000000" w:fill="1F4E79"/>
            <w:noWrap/>
            <w:hideMark/>
          </w:tcPr>
          <w:p w:rsidRPr="00556607" w:rsidR="00224914" w:rsidP="00224914" w:rsidRDefault="00224914" w14:paraId="3A068B4B" w14:textId="77777777">
            <w:pPr>
              <w:spacing w:after="0" w:line="240" w:lineRule="auto"/>
              <w:rPr>
                <w:rFonts w:eastAsia="Times New Roman" w:cs="Calibri"/>
                <w:b/>
                <w:bCs/>
                <w:color w:val="FFFFFF"/>
                <w:sz w:val="16"/>
                <w:szCs w:val="16"/>
              </w:rPr>
            </w:pPr>
            <w:r w:rsidRPr="00556607">
              <w:rPr>
                <w:rFonts w:eastAsia="Times New Roman" w:cs="Calibri"/>
                <w:b/>
                <w:bCs/>
                <w:color w:val="FFFFFF"/>
                <w:sz w:val="16"/>
                <w:szCs w:val="16"/>
              </w:rPr>
              <w:t>Vastl.*</w:t>
            </w:r>
          </w:p>
        </w:tc>
        <w:tc>
          <w:tcPr>
            <w:tcW w:w="859" w:type="dxa"/>
            <w:tcBorders>
              <w:top w:val="single" w:color="auto" w:sz="4" w:space="0"/>
              <w:bottom w:val="single" w:color="auto" w:sz="4" w:space="0"/>
            </w:tcBorders>
            <w:shd w:val="clear" w:color="000000" w:fill="1F4E79"/>
            <w:noWrap/>
            <w:hideMark/>
          </w:tcPr>
          <w:p w:rsidRPr="00556607" w:rsidR="00224914" w:rsidP="00224914" w:rsidRDefault="00224914" w14:paraId="281A8D18" w14:textId="77777777">
            <w:pPr>
              <w:spacing w:after="0" w:line="240" w:lineRule="auto"/>
              <w:rPr>
                <w:rFonts w:eastAsia="Times New Roman" w:cs="Calibri"/>
                <w:b/>
                <w:bCs/>
                <w:color w:val="FFFFFF"/>
                <w:sz w:val="16"/>
                <w:szCs w:val="16"/>
              </w:rPr>
            </w:pPr>
            <w:r w:rsidRPr="00556607">
              <w:rPr>
                <w:rFonts w:eastAsia="Times New Roman" w:cs="Calibri"/>
                <w:b/>
                <w:bCs/>
                <w:color w:val="FFFFFF"/>
                <w:sz w:val="16"/>
                <w:szCs w:val="16"/>
              </w:rPr>
              <w:t>Bet.**</w:t>
            </w:r>
          </w:p>
        </w:tc>
        <w:tc>
          <w:tcPr>
            <w:tcW w:w="859" w:type="dxa"/>
            <w:tcBorders>
              <w:top w:val="single" w:color="auto" w:sz="4" w:space="0"/>
              <w:bottom w:val="single" w:color="auto" w:sz="4" w:space="0"/>
            </w:tcBorders>
            <w:shd w:val="clear" w:color="000000" w:fill="1F4E79"/>
            <w:noWrap/>
            <w:hideMark/>
          </w:tcPr>
          <w:p w:rsidRPr="00556607" w:rsidR="00224914" w:rsidP="00224914" w:rsidRDefault="00224914" w14:paraId="1DA3AB30" w14:textId="77777777">
            <w:pPr>
              <w:spacing w:after="0" w:line="240" w:lineRule="auto"/>
              <w:rPr>
                <w:rFonts w:eastAsia="Times New Roman" w:cs="Calibri"/>
                <w:b/>
                <w:bCs/>
                <w:color w:val="FFFFFF"/>
                <w:sz w:val="16"/>
                <w:szCs w:val="16"/>
              </w:rPr>
            </w:pPr>
            <w:proofErr w:type="spellStart"/>
            <w:r w:rsidRPr="00556607">
              <w:rPr>
                <w:rFonts w:eastAsia="Times New Roman" w:cs="Calibri"/>
                <w:b/>
                <w:bCs/>
                <w:color w:val="FFFFFF"/>
                <w:sz w:val="16"/>
                <w:szCs w:val="16"/>
              </w:rPr>
              <w:t>Vastl</w:t>
            </w:r>
            <w:proofErr w:type="spellEnd"/>
            <w:r w:rsidRPr="00556607">
              <w:rPr>
                <w:rFonts w:eastAsia="Times New Roman" w:cs="Calibri"/>
                <w:b/>
                <w:bCs/>
                <w:color w:val="FFFFFF"/>
                <w:sz w:val="16"/>
                <w:szCs w:val="16"/>
              </w:rPr>
              <w:t>.</w:t>
            </w:r>
          </w:p>
        </w:tc>
        <w:tc>
          <w:tcPr>
            <w:tcW w:w="859" w:type="dxa"/>
            <w:tcBorders>
              <w:top w:val="single" w:color="auto" w:sz="4" w:space="0"/>
              <w:bottom w:val="single" w:color="auto" w:sz="4" w:space="0"/>
            </w:tcBorders>
            <w:shd w:val="clear" w:color="000000" w:fill="1F4E79"/>
            <w:noWrap/>
            <w:hideMark/>
          </w:tcPr>
          <w:p w:rsidRPr="00556607" w:rsidR="00224914" w:rsidP="00224914" w:rsidRDefault="00224914" w14:paraId="2AEAFF45" w14:textId="77777777">
            <w:pPr>
              <w:spacing w:after="0" w:line="240" w:lineRule="auto"/>
              <w:rPr>
                <w:rFonts w:eastAsia="Times New Roman" w:cs="Calibri"/>
                <w:b/>
                <w:bCs/>
                <w:color w:val="FFFFFF"/>
                <w:sz w:val="16"/>
                <w:szCs w:val="16"/>
              </w:rPr>
            </w:pPr>
            <w:r w:rsidRPr="00556607">
              <w:rPr>
                <w:rFonts w:eastAsia="Times New Roman" w:cs="Calibri"/>
                <w:b/>
                <w:bCs/>
                <w:color w:val="FFFFFF"/>
                <w:sz w:val="16"/>
                <w:szCs w:val="16"/>
              </w:rPr>
              <w:t>Bet.</w:t>
            </w:r>
          </w:p>
        </w:tc>
        <w:tc>
          <w:tcPr>
            <w:tcW w:w="859" w:type="dxa"/>
            <w:tcBorders>
              <w:top w:val="single" w:color="auto" w:sz="4" w:space="0"/>
              <w:bottom w:val="single" w:color="auto" w:sz="4" w:space="0"/>
            </w:tcBorders>
            <w:shd w:val="clear" w:color="000000" w:fill="1F4E79"/>
            <w:noWrap/>
            <w:hideMark/>
          </w:tcPr>
          <w:p w:rsidRPr="00556607" w:rsidR="00224914" w:rsidP="00224914" w:rsidRDefault="00224914" w14:paraId="144FC1B3" w14:textId="77777777">
            <w:pPr>
              <w:spacing w:after="0" w:line="240" w:lineRule="auto"/>
              <w:rPr>
                <w:rFonts w:eastAsia="Times New Roman" w:cs="Calibri"/>
                <w:b/>
                <w:bCs/>
                <w:color w:val="FFFFFF"/>
                <w:sz w:val="16"/>
                <w:szCs w:val="16"/>
              </w:rPr>
            </w:pPr>
            <w:proofErr w:type="spellStart"/>
            <w:r w:rsidRPr="00556607">
              <w:rPr>
                <w:rFonts w:eastAsia="Times New Roman" w:cs="Calibri"/>
                <w:b/>
                <w:bCs/>
                <w:color w:val="FFFFFF"/>
                <w:sz w:val="16"/>
                <w:szCs w:val="16"/>
              </w:rPr>
              <w:t>Vastl</w:t>
            </w:r>
            <w:proofErr w:type="spellEnd"/>
            <w:r w:rsidRPr="00556607">
              <w:rPr>
                <w:rFonts w:eastAsia="Times New Roman" w:cs="Calibri"/>
                <w:b/>
                <w:bCs/>
                <w:color w:val="FFFFFF"/>
                <w:sz w:val="16"/>
                <w:szCs w:val="16"/>
              </w:rPr>
              <w:t>.</w:t>
            </w:r>
          </w:p>
        </w:tc>
        <w:tc>
          <w:tcPr>
            <w:tcW w:w="859" w:type="dxa"/>
            <w:tcBorders>
              <w:top w:val="single" w:color="auto" w:sz="4" w:space="0"/>
              <w:bottom w:val="single" w:color="auto" w:sz="4" w:space="0"/>
            </w:tcBorders>
            <w:shd w:val="clear" w:color="000000" w:fill="1F4E79"/>
            <w:noWrap/>
            <w:hideMark/>
          </w:tcPr>
          <w:p w:rsidRPr="00556607" w:rsidR="00224914" w:rsidP="00224914" w:rsidRDefault="00224914" w14:paraId="52C6BC61" w14:textId="77777777">
            <w:pPr>
              <w:spacing w:after="0" w:line="240" w:lineRule="auto"/>
              <w:rPr>
                <w:rFonts w:eastAsia="Times New Roman" w:cs="Calibri"/>
                <w:b/>
                <w:bCs/>
                <w:color w:val="FFFFFF"/>
                <w:sz w:val="16"/>
                <w:szCs w:val="16"/>
              </w:rPr>
            </w:pPr>
            <w:r w:rsidRPr="00556607">
              <w:rPr>
                <w:rFonts w:eastAsia="Times New Roman" w:cs="Calibri"/>
                <w:b/>
                <w:bCs/>
                <w:color w:val="FFFFFF"/>
                <w:sz w:val="16"/>
                <w:szCs w:val="16"/>
              </w:rPr>
              <w:t>Bet.</w:t>
            </w:r>
          </w:p>
        </w:tc>
        <w:tc>
          <w:tcPr>
            <w:tcW w:w="859" w:type="dxa"/>
            <w:tcBorders>
              <w:top w:val="single" w:color="auto" w:sz="4" w:space="0"/>
              <w:bottom w:val="single" w:color="auto" w:sz="4" w:space="0"/>
            </w:tcBorders>
            <w:shd w:val="clear" w:color="000000" w:fill="1F4E79"/>
            <w:noWrap/>
            <w:hideMark/>
          </w:tcPr>
          <w:p w:rsidRPr="00556607" w:rsidR="00224914" w:rsidP="00224914" w:rsidRDefault="00224914" w14:paraId="2D35B29A" w14:textId="77777777">
            <w:pPr>
              <w:spacing w:after="0" w:line="240" w:lineRule="auto"/>
              <w:rPr>
                <w:rFonts w:eastAsia="Times New Roman" w:cs="Calibri"/>
                <w:b/>
                <w:bCs/>
                <w:color w:val="FFFFFF"/>
                <w:sz w:val="16"/>
                <w:szCs w:val="16"/>
              </w:rPr>
            </w:pPr>
            <w:proofErr w:type="spellStart"/>
            <w:r w:rsidRPr="00556607">
              <w:rPr>
                <w:rFonts w:eastAsia="Times New Roman" w:cs="Calibri"/>
                <w:b/>
                <w:bCs/>
                <w:color w:val="FFFFFF"/>
                <w:sz w:val="16"/>
                <w:szCs w:val="16"/>
              </w:rPr>
              <w:t>Vastl</w:t>
            </w:r>
            <w:proofErr w:type="spellEnd"/>
            <w:r w:rsidRPr="00556607">
              <w:rPr>
                <w:rFonts w:eastAsia="Times New Roman" w:cs="Calibri"/>
                <w:b/>
                <w:bCs/>
                <w:color w:val="FFFFFF"/>
                <w:sz w:val="16"/>
                <w:szCs w:val="16"/>
              </w:rPr>
              <w:t>.</w:t>
            </w:r>
          </w:p>
        </w:tc>
        <w:tc>
          <w:tcPr>
            <w:tcW w:w="859" w:type="dxa"/>
            <w:tcBorders>
              <w:top w:val="single" w:color="auto" w:sz="4" w:space="0"/>
              <w:bottom w:val="single" w:color="auto" w:sz="4" w:space="0"/>
              <w:right w:val="nil"/>
            </w:tcBorders>
            <w:shd w:val="clear" w:color="000000" w:fill="1F4E79"/>
            <w:noWrap/>
            <w:hideMark/>
          </w:tcPr>
          <w:p w:rsidRPr="00556607" w:rsidR="00224914" w:rsidP="00224914" w:rsidRDefault="00224914" w14:paraId="00117DDD" w14:textId="77777777">
            <w:pPr>
              <w:spacing w:after="0" w:line="240" w:lineRule="auto"/>
              <w:rPr>
                <w:rFonts w:eastAsia="Times New Roman" w:cs="Calibri"/>
                <w:b/>
                <w:bCs/>
                <w:color w:val="FFFFFF"/>
                <w:sz w:val="16"/>
                <w:szCs w:val="16"/>
              </w:rPr>
            </w:pPr>
            <w:r w:rsidRPr="00556607">
              <w:rPr>
                <w:rFonts w:eastAsia="Times New Roman" w:cs="Calibri"/>
                <w:b/>
                <w:bCs/>
                <w:color w:val="FFFFFF"/>
                <w:sz w:val="16"/>
                <w:szCs w:val="16"/>
              </w:rPr>
              <w:t>Bet.</w:t>
            </w:r>
          </w:p>
        </w:tc>
      </w:tr>
      <w:tr w:rsidRPr="00556607" w:rsidR="00224914" w:rsidTr="00557986" w14:paraId="6FC1839A" w14:textId="77777777">
        <w:trPr>
          <w:trHeight w:val="256"/>
        </w:trPr>
        <w:tc>
          <w:tcPr>
            <w:tcW w:w="3366" w:type="dxa"/>
            <w:tcBorders>
              <w:top w:val="nil"/>
            </w:tcBorders>
            <w:shd w:val="clear" w:color="auto" w:fill="auto"/>
            <w:hideMark/>
          </w:tcPr>
          <w:p w:rsidRPr="00556607" w:rsidR="00224914" w:rsidP="00224914" w:rsidRDefault="00224914" w14:paraId="01800087" w14:textId="77777777">
            <w:pPr>
              <w:spacing w:after="0" w:line="240" w:lineRule="auto"/>
              <w:rPr>
                <w:rFonts w:eastAsia="Times New Roman" w:cs="Calibri"/>
                <w:sz w:val="16"/>
                <w:szCs w:val="16"/>
              </w:rPr>
            </w:pPr>
            <w:r w:rsidRPr="00556607">
              <w:rPr>
                <w:rFonts w:eastAsia="Times New Roman" w:cs="Calibri"/>
                <w:sz w:val="16"/>
                <w:szCs w:val="16"/>
              </w:rPr>
              <w:t>H1. Interne markt, innovatie en digitaal</w:t>
            </w:r>
          </w:p>
        </w:tc>
        <w:tc>
          <w:tcPr>
            <w:tcW w:w="859" w:type="dxa"/>
            <w:tcBorders>
              <w:top w:val="nil"/>
            </w:tcBorders>
            <w:shd w:val="clear" w:color="auto" w:fill="auto"/>
            <w:vAlign w:val="bottom"/>
            <w:hideMark/>
          </w:tcPr>
          <w:p w:rsidRPr="00556607" w:rsidR="00224914" w:rsidP="00224914" w:rsidRDefault="00224914" w14:paraId="26A0E202" w14:textId="77777777">
            <w:pPr>
              <w:spacing w:after="0" w:line="240" w:lineRule="auto"/>
              <w:jc w:val="right"/>
              <w:rPr>
                <w:rFonts w:eastAsia="Times New Roman" w:cs="Calibri"/>
                <w:sz w:val="16"/>
                <w:szCs w:val="16"/>
              </w:rPr>
            </w:pPr>
            <w:r w:rsidRPr="00556607">
              <w:rPr>
                <w:rFonts w:eastAsia="Times New Roman" w:cs="Calibri"/>
                <w:sz w:val="16"/>
                <w:szCs w:val="16"/>
              </w:rPr>
              <w:t>21.383</w:t>
            </w:r>
          </w:p>
        </w:tc>
        <w:tc>
          <w:tcPr>
            <w:tcW w:w="859" w:type="dxa"/>
            <w:tcBorders>
              <w:top w:val="nil"/>
              <w:right w:val="dotted" w:color="auto" w:sz="4" w:space="0"/>
            </w:tcBorders>
            <w:shd w:val="clear" w:color="auto" w:fill="auto"/>
            <w:vAlign w:val="bottom"/>
            <w:hideMark/>
          </w:tcPr>
          <w:p w:rsidRPr="00556607" w:rsidR="00224914" w:rsidP="00224914" w:rsidRDefault="00224914" w14:paraId="050B2B97" w14:textId="77777777">
            <w:pPr>
              <w:spacing w:after="0" w:line="240" w:lineRule="auto"/>
              <w:jc w:val="right"/>
              <w:rPr>
                <w:rFonts w:eastAsia="Times New Roman" w:cs="Calibri"/>
                <w:sz w:val="16"/>
                <w:szCs w:val="16"/>
              </w:rPr>
            </w:pPr>
            <w:r w:rsidRPr="00556607">
              <w:rPr>
                <w:rFonts w:eastAsia="Times New Roman" w:cs="Calibri"/>
                <w:sz w:val="16"/>
                <w:szCs w:val="16"/>
              </w:rPr>
              <w:t>20.444</w:t>
            </w:r>
          </w:p>
        </w:tc>
        <w:tc>
          <w:tcPr>
            <w:tcW w:w="859" w:type="dxa"/>
            <w:tcBorders>
              <w:top w:val="nil"/>
              <w:left w:val="dotted" w:color="auto" w:sz="4" w:space="0"/>
            </w:tcBorders>
            <w:shd w:val="clear" w:color="auto" w:fill="auto"/>
            <w:vAlign w:val="bottom"/>
            <w:hideMark/>
          </w:tcPr>
          <w:p w:rsidRPr="00556607" w:rsidR="00224914" w:rsidP="00224914" w:rsidRDefault="00224914" w14:paraId="1893FC10" w14:textId="77777777">
            <w:pPr>
              <w:spacing w:after="0" w:line="240" w:lineRule="auto"/>
              <w:jc w:val="right"/>
              <w:rPr>
                <w:rFonts w:eastAsia="Times New Roman" w:cs="Calibri"/>
                <w:sz w:val="16"/>
                <w:szCs w:val="16"/>
              </w:rPr>
            </w:pPr>
            <w:r w:rsidRPr="00556607">
              <w:rPr>
                <w:rFonts w:eastAsia="Times New Roman" w:cs="Calibri"/>
                <w:sz w:val="16"/>
                <w:szCs w:val="16"/>
              </w:rPr>
              <w:t>20.734</w:t>
            </w:r>
          </w:p>
        </w:tc>
        <w:tc>
          <w:tcPr>
            <w:tcW w:w="859" w:type="dxa"/>
            <w:tcBorders>
              <w:top w:val="nil"/>
              <w:right w:val="dotted" w:color="auto" w:sz="4" w:space="0"/>
            </w:tcBorders>
            <w:shd w:val="clear" w:color="auto" w:fill="auto"/>
            <w:vAlign w:val="bottom"/>
            <w:hideMark/>
          </w:tcPr>
          <w:p w:rsidRPr="00556607" w:rsidR="00224914" w:rsidP="00224914" w:rsidRDefault="00224914" w14:paraId="0039B67D" w14:textId="77777777">
            <w:pPr>
              <w:spacing w:after="0" w:line="240" w:lineRule="auto"/>
              <w:jc w:val="right"/>
              <w:rPr>
                <w:rFonts w:eastAsia="Times New Roman" w:cs="Calibri"/>
                <w:sz w:val="16"/>
                <w:szCs w:val="16"/>
              </w:rPr>
            </w:pPr>
            <w:r w:rsidRPr="00556607">
              <w:rPr>
                <w:rFonts w:eastAsia="Times New Roman" w:cs="Calibri"/>
                <w:sz w:val="16"/>
                <w:szCs w:val="16"/>
              </w:rPr>
              <w:t>20.217</w:t>
            </w:r>
          </w:p>
        </w:tc>
        <w:tc>
          <w:tcPr>
            <w:tcW w:w="859" w:type="dxa"/>
            <w:tcBorders>
              <w:top w:val="nil"/>
              <w:left w:val="dotted" w:color="auto" w:sz="4" w:space="0"/>
            </w:tcBorders>
            <w:shd w:val="clear" w:color="auto" w:fill="auto"/>
            <w:noWrap/>
            <w:vAlign w:val="bottom"/>
            <w:hideMark/>
          </w:tcPr>
          <w:p w:rsidRPr="00556607" w:rsidR="00224914" w:rsidP="00224914" w:rsidRDefault="00224914" w14:paraId="411A8BE0" w14:textId="77777777">
            <w:pPr>
              <w:spacing w:after="0" w:line="240" w:lineRule="auto"/>
              <w:jc w:val="right"/>
              <w:rPr>
                <w:rFonts w:eastAsia="Times New Roman" w:cs="Calibri"/>
                <w:sz w:val="16"/>
                <w:szCs w:val="16"/>
              </w:rPr>
            </w:pPr>
            <w:r w:rsidRPr="00556607">
              <w:rPr>
                <w:rFonts w:eastAsia="Times New Roman" w:cs="Calibri"/>
                <w:sz w:val="16"/>
                <w:szCs w:val="16"/>
              </w:rPr>
              <w:t>21.797</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3274E3E3" w14:textId="77777777">
            <w:pPr>
              <w:spacing w:after="0" w:line="240" w:lineRule="auto"/>
              <w:jc w:val="right"/>
              <w:rPr>
                <w:rFonts w:eastAsia="Times New Roman" w:cs="Calibri"/>
                <w:sz w:val="16"/>
                <w:szCs w:val="16"/>
              </w:rPr>
            </w:pPr>
            <w:r w:rsidRPr="00556607">
              <w:rPr>
                <w:rFonts w:eastAsia="Times New Roman" w:cs="Calibri"/>
                <w:sz w:val="16"/>
                <w:szCs w:val="16"/>
              </w:rPr>
              <w:t>20.658</w:t>
            </w:r>
          </w:p>
        </w:tc>
        <w:tc>
          <w:tcPr>
            <w:tcW w:w="859" w:type="dxa"/>
            <w:tcBorders>
              <w:top w:val="nil"/>
              <w:left w:val="dotted" w:color="auto" w:sz="4" w:space="0"/>
            </w:tcBorders>
            <w:shd w:val="clear" w:color="auto" w:fill="auto"/>
            <w:noWrap/>
            <w:vAlign w:val="bottom"/>
            <w:hideMark/>
          </w:tcPr>
          <w:p w:rsidRPr="00556607" w:rsidR="00224914" w:rsidP="00224914" w:rsidRDefault="00224914" w14:paraId="49573AEE" w14:textId="77777777">
            <w:pPr>
              <w:spacing w:after="0" w:line="240" w:lineRule="auto"/>
              <w:jc w:val="right"/>
              <w:rPr>
                <w:rFonts w:eastAsia="Times New Roman" w:cs="Calibri"/>
                <w:sz w:val="16"/>
                <w:szCs w:val="16"/>
              </w:rPr>
            </w:pPr>
            <w:r>
              <w:rPr>
                <w:rFonts w:eastAsia="Times New Roman" w:cs="Calibri"/>
                <w:sz w:val="16"/>
                <w:szCs w:val="16"/>
              </w:rPr>
              <w:t>21.480</w:t>
            </w:r>
          </w:p>
        </w:tc>
        <w:tc>
          <w:tcPr>
            <w:tcW w:w="859" w:type="dxa"/>
            <w:tcBorders>
              <w:top w:val="nil"/>
            </w:tcBorders>
            <w:shd w:val="clear" w:color="auto" w:fill="auto"/>
            <w:noWrap/>
            <w:vAlign w:val="bottom"/>
            <w:hideMark/>
          </w:tcPr>
          <w:p w:rsidRPr="00556607" w:rsidR="00224914" w:rsidP="00224914" w:rsidRDefault="00224914" w14:paraId="327C9088" w14:textId="77777777">
            <w:pPr>
              <w:spacing w:after="0" w:line="240" w:lineRule="auto"/>
              <w:jc w:val="right"/>
              <w:rPr>
                <w:rFonts w:eastAsia="Times New Roman" w:cs="Calibri"/>
                <w:sz w:val="16"/>
                <w:szCs w:val="16"/>
              </w:rPr>
            </w:pPr>
            <w:r>
              <w:rPr>
                <w:rFonts w:eastAsia="Times New Roman" w:cs="Calibri"/>
                <w:sz w:val="16"/>
                <w:szCs w:val="16"/>
              </w:rPr>
              <w:t>20.461</w:t>
            </w:r>
          </w:p>
        </w:tc>
      </w:tr>
      <w:tr w:rsidRPr="00556607" w:rsidR="00224914" w:rsidTr="00557986" w14:paraId="4D346AF9" w14:textId="77777777">
        <w:trPr>
          <w:trHeight w:val="256"/>
        </w:trPr>
        <w:tc>
          <w:tcPr>
            <w:tcW w:w="3366" w:type="dxa"/>
            <w:tcBorders>
              <w:top w:val="nil"/>
            </w:tcBorders>
            <w:shd w:val="clear" w:color="auto" w:fill="auto"/>
            <w:hideMark/>
          </w:tcPr>
          <w:p w:rsidRPr="00556607" w:rsidR="00224914" w:rsidP="00224914" w:rsidRDefault="00224914" w14:paraId="6DE28EBF" w14:textId="77777777">
            <w:pPr>
              <w:spacing w:after="0" w:line="240" w:lineRule="auto"/>
              <w:rPr>
                <w:rFonts w:eastAsia="Times New Roman" w:cs="Calibri"/>
                <w:sz w:val="16"/>
                <w:szCs w:val="16"/>
              </w:rPr>
            </w:pPr>
            <w:r w:rsidRPr="00556607">
              <w:rPr>
                <w:rFonts w:eastAsia="Times New Roman" w:cs="Calibri"/>
                <w:sz w:val="16"/>
                <w:szCs w:val="16"/>
              </w:rPr>
              <w:t>H2. Cohesie, veerkracht en waarden</w:t>
            </w:r>
          </w:p>
        </w:tc>
        <w:tc>
          <w:tcPr>
            <w:tcW w:w="859" w:type="dxa"/>
            <w:tcBorders>
              <w:top w:val="nil"/>
            </w:tcBorders>
            <w:shd w:val="clear" w:color="auto" w:fill="auto"/>
            <w:vAlign w:val="bottom"/>
            <w:hideMark/>
          </w:tcPr>
          <w:p w:rsidRPr="00556607" w:rsidR="00224914" w:rsidP="00224914" w:rsidRDefault="00224914" w14:paraId="278B337E" w14:textId="77777777">
            <w:pPr>
              <w:spacing w:after="0" w:line="240" w:lineRule="auto"/>
              <w:jc w:val="right"/>
              <w:rPr>
                <w:rFonts w:eastAsia="Times New Roman" w:cs="Calibri"/>
                <w:sz w:val="16"/>
                <w:szCs w:val="16"/>
              </w:rPr>
            </w:pPr>
            <w:r w:rsidRPr="00556607">
              <w:rPr>
                <w:rFonts w:eastAsia="Times New Roman" w:cs="Calibri"/>
                <w:sz w:val="16"/>
                <w:szCs w:val="16"/>
              </w:rPr>
              <w:t>77.944</w:t>
            </w:r>
          </w:p>
        </w:tc>
        <w:tc>
          <w:tcPr>
            <w:tcW w:w="859" w:type="dxa"/>
            <w:tcBorders>
              <w:top w:val="nil"/>
              <w:right w:val="dotted" w:color="auto" w:sz="4" w:space="0"/>
            </w:tcBorders>
            <w:shd w:val="clear" w:color="auto" w:fill="auto"/>
            <w:vAlign w:val="bottom"/>
            <w:hideMark/>
          </w:tcPr>
          <w:p w:rsidRPr="00556607" w:rsidR="00224914" w:rsidP="00224914" w:rsidRDefault="00224914" w14:paraId="2243373A" w14:textId="77777777">
            <w:pPr>
              <w:spacing w:after="0" w:line="240" w:lineRule="auto"/>
              <w:jc w:val="right"/>
              <w:rPr>
                <w:rFonts w:eastAsia="Times New Roman" w:cs="Calibri"/>
                <w:sz w:val="16"/>
                <w:szCs w:val="16"/>
              </w:rPr>
            </w:pPr>
            <w:r w:rsidRPr="00556607">
              <w:rPr>
                <w:rFonts w:eastAsia="Times New Roman" w:cs="Calibri"/>
                <w:sz w:val="16"/>
                <w:szCs w:val="16"/>
              </w:rPr>
              <w:t>44.434</w:t>
            </w:r>
          </w:p>
        </w:tc>
        <w:tc>
          <w:tcPr>
            <w:tcW w:w="859" w:type="dxa"/>
            <w:tcBorders>
              <w:top w:val="nil"/>
              <w:left w:val="dotted" w:color="auto" w:sz="4" w:space="0"/>
            </w:tcBorders>
            <w:shd w:val="clear" w:color="auto" w:fill="auto"/>
            <w:vAlign w:val="bottom"/>
            <w:hideMark/>
          </w:tcPr>
          <w:p w:rsidRPr="00556607" w:rsidR="00224914" w:rsidP="00224914" w:rsidRDefault="00224914" w14:paraId="07AA665E" w14:textId="77777777">
            <w:pPr>
              <w:spacing w:after="0" w:line="240" w:lineRule="auto"/>
              <w:jc w:val="right"/>
              <w:rPr>
                <w:rFonts w:eastAsia="Times New Roman" w:cs="Calibri"/>
                <w:sz w:val="16"/>
                <w:szCs w:val="16"/>
              </w:rPr>
            </w:pPr>
            <w:r w:rsidRPr="00556607">
              <w:rPr>
                <w:rFonts w:eastAsia="Times New Roman" w:cs="Calibri"/>
                <w:sz w:val="16"/>
                <w:szCs w:val="16"/>
              </w:rPr>
              <w:t>77.319</w:t>
            </w:r>
          </w:p>
        </w:tc>
        <w:tc>
          <w:tcPr>
            <w:tcW w:w="859" w:type="dxa"/>
            <w:tcBorders>
              <w:top w:val="nil"/>
              <w:right w:val="dotted" w:color="auto" w:sz="4" w:space="0"/>
            </w:tcBorders>
            <w:shd w:val="clear" w:color="auto" w:fill="auto"/>
            <w:vAlign w:val="bottom"/>
            <w:hideMark/>
          </w:tcPr>
          <w:p w:rsidRPr="00556607" w:rsidR="00224914" w:rsidP="00224914" w:rsidRDefault="00224914" w14:paraId="2F25E3C4" w14:textId="77777777">
            <w:pPr>
              <w:spacing w:after="0" w:line="240" w:lineRule="auto"/>
              <w:jc w:val="right"/>
              <w:rPr>
                <w:rFonts w:eastAsia="Times New Roman" w:cs="Calibri"/>
                <w:sz w:val="16"/>
                <w:szCs w:val="16"/>
              </w:rPr>
            </w:pPr>
            <w:r w:rsidRPr="00556607">
              <w:rPr>
                <w:rFonts w:eastAsia="Times New Roman" w:cs="Calibri"/>
                <w:sz w:val="16"/>
                <w:szCs w:val="16"/>
              </w:rPr>
              <w:t>41.044</w:t>
            </w:r>
          </w:p>
        </w:tc>
        <w:tc>
          <w:tcPr>
            <w:tcW w:w="859" w:type="dxa"/>
            <w:tcBorders>
              <w:top w:val="nil"/>
              <w:left w:val="dotted" w:color="auto" w:sz="4" w:space="0"/>
            </w:tcBorders>
            <w:shd w:val="clear" w:color="auto" w:fill="auto"/>
            <w:noWrap/>
            <w:vAlign w:val="bottom"/>
            <w:hideMark/>
          </w:tcPr>
          <w:p w:rsidRPr="00556607" w:rsidR="00224914" w:rsidP="00224914" w:rsidRDefault="00224914" w14:paraId="5B9F91D8" w14:textId="77777777">
            <w:pPr>
              <w:spacing w:after="0" w:line="240" w:lineRule="auto"/>
              <w:jc w:val="right"/>
              <w:rPr>
                <w:rFonts w:eastAsia="Times New Roman" w:cs="Calibri"/>
                <w:sz w:val="16"/>
                <w:szCs w:val="16"/>
              </w:rPr>
            </w:pPr>
            <w:r w:rsidRPr="00556607">
              <w:rPr>
                <w:rFonts w:eastAsia="Times New Roman" w:cs="Calibri"/>
                <w:sz w:val="16"/>
                <w:szCs w:val="16"/>
              </w:rPr>
              <w:t>78.395</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13AAFBCA" w14:textId="77777777">
            <w:pPr>
              <w:spacing w:after="0" w:line="240" w:lineRule="auto"/>
              <w:jc w:val="right"/>
              <w:rPr>
                <w:rFonts w:eastAsia="Times New Roman" w:cs="Calibri"/>
                <w:sz w:val="16"/>
                <w:szCs w:val="16"/>
              </w:rPr>
            </w:pPr>
            <w:r w:rsidRPr="00556607">
              <w:rPr>
                <w:rFonts w:eastAsia="Times New Roman" w:cs="Calibri"/>
                <w:sz w:val="16"/>
                <w:szCs w:val="16"/>
              </w:rPr>
              <w:t>41.791</w:t>
            </w:r>
          </w:p>
        </w:tc>
        <w:tc>
          <w:tcPr>
            <w:tcW w:w="859" w:type="dxa"/>
            <w:tcBorders>
              <w:top w:val="nil"/>
              <w:left w:val="dotted" w:color="auto" w:sz="4" w:space="0"/>
            </w:tcBorders>
            <w:shd w:val="clear" w:color="auto" w:fill="auto"/>
            <w:noWrap/>
            <w:vAlign w:val="bottom"/>
            <w:hideMark/>
          </w:tcPr>
          <w:p w:rsidRPr="00556607" w:rsidR="00224914" w:rsidP="00224914" w:rsidRDefault="00224914" w14:paraId="218A3293" w14:textId="77777777">
            <w:pPr>
              <w:spacing w:after="0" w:line="240" w:lineRule="auto"/>
              <w:jc w:val="right"/>
              <w:rPr>
                <w:rFonts w:eastAsia="Times New Roman" w:cs="Calibri"/>
                <w:sz w:val="16"/>
                <w:szCs w:val="16"/>
              </w:rPr>
            </w:pPr>
            <w:r>
              <w:rPr>
                <w:rFonts w:eastAsia="Times New Roman" w:cs="Calibri"/>
                <w:sz w:val="16"/>
                <w:szCs w:val="16"/>
              </w:rPr>
              <w:t>77.980</w:t>
            </w:r>
          </w:p>
        </w:tc>
        <w:tc>
          <w:tcPr>
            <w:tcW w:w="859" w:type="dxa"/>
            <w:tcBorders>
              <w:top w:val="nil"/>
            </w:tcBorders>
            <w:shd w:val="clear" w:color="auto" w:fill="auto"/>
            <w:noWrap/>
            <w:vAlign w:val="bottom"/>
            <w:hideMark/>
          </w:tcPr>
          <w:p w:rsidRPr="00556607" w:rsidR="00224914" w:rsidP="00224914" w:rsidRDefault="00224914" w14:paraId="4DC30219" w14:textId="77777777">
            <w:pPr>
              <w:spacing w:after="0" w:line="240" w:lineRule="auto"/>
              <w:jc w:val="right"/>
              <w:rPr>
                <w:rFonts w:eastAsia="Times New Roman" w:cs="Calibri"/>
                <w:sz w:val="16"/>
                <w:szCs w:val="16"/>
              </w:rPr>
            </w:pPr>
            <w:r>
              <w:rPr>
                <w:rFonts w:eastAsia="Times New Roman" w:cs="Calibri"/>
                <w:sz w:val="16"/>
                <w:szCs w:val="16"/>
              </w:rPr>
              <w:t>44.445</w:t>
            </w:r>
          </w:p>
        </w:tc>
      </w:tr>
      <w:tr w:rsidRPr="00556607" w:rsidR="00224914" w:rsidTr="00557986" w14:paraId="66121DD1" w14:textId="77777777">
        <w:trPr>
          <w:trHeight w:val="256"/>
        </w:trPr>
        <w:tc>
          <w:tcPr>
            <w:tcW w:w="3366" w:type="dxa"/>
            <w:tcBorders>
              <w:top w:val="nil"/>
            </w:tcBorders>
            <w:shd w:val="clear" w:color="auto" w:fill="auto"/>
            <w:hideMark/>
          </w:tcPr>
          <w:p w:rsidRPr="00556607" w:rsidR="00224914" w:rsidP="00224914" w:rsidRDefault="00224914" w14:paraId="6EF8AFE4" w14:textId="77777777">
            <w:pPr>
              <w:spacing w:after="0" w:line="240" w:lineRule="auto"/>
              <w:rPr>
                <w:rFonts w:eastAsia="Times New Roman" w:cs="Calibri"/>
                <w:sz w:val="16"/>
                <w:szCs w:val="16"/>
              </w:rPr>
            </w:pPr>
            <w:r w:rsidRPr="00556607">
              <w:rPr>
                <w:rFonts w:eastAsia="Times New Roman" w:cs="Calibri"/>
                <w:sz w:val="16"/>
                <w:szCs w:val="16"/>
              </w:rPr>
              <w:t>H3. Landbouw en milieu</w:t>
            </w:r>
          </w:p>
        </w:tc>
        <w:tc>
          <w:tcPr>
            <w:tcW w:w="859" w:type="dxa"/>
            <w:tcBorders>
              <w:top w:val="nil"/>
            </w:tcBorders>
            <w:shd w:val="clear" w:color="auto" w:fill="auto"/>
            <w:vAlign w:val="bottom"/>
            <w:hideMark/>
          </w:tcPr>
          <w:p w:rsidRPr="00556607" w:rsidR="00224914" w:rsidP="00224914" w:rsidRDefault="00224914" w14:paraId="5580AB13" w14:textId="77777777">
            <w:pPr>
              <w:spacing w:after="0" w:line="240" w:lineRule="auto"/>
              <w:jc w:val="right"/>
              <w:rPr>
                <w:rFonts w:eastAsia="Times New Roman" w:cs="Calibri"/>
                <w:sz w:val="16"/>
                <w:szCs w:val="16"/>
              </w:rPr>
            </w:pPr>
            <w:r w:rsidRPr="00556607">
              <w:rPr>
                <w:rFonts w:eastAsia="Times New Roman" w:cs="Calibri"/>
                <w:sz w:val="16"/>
                <w:szCs w:val="16"/>
              </w:rPr>
              <w:t>56.924</w:t>
            </w:r>
          </w:p>
        </w:tc>
        <w:tc>
          <w:tcPr>
            <w:tcW w:w="859" w:type="dxa"/>
            <w:tcBorders>
              <w:top w:val="nil"/>
              <w:right w:val="dotted" w:color="auto" w:sz="4" w:space="0"/>
            </w:tcBorders>
            <w:shd w:val="clear" w:color="auto" w:fill="auto"/>
            <w:vAlign w:val="bottom"/>
            <w:hideMark/>
          </w:tcPr>
          <w:p w:rsidRPr="00556607" w:rsidR="00224914" w:rsidP="00224914" w:rsidRDefault="00224914" w14:paraId="442FCB73" w14:textId="77777777">
            <w:pPr>
              <w:spacing w:after="0" w:line="240" w:lineRule="auto"/>
              <w:jc w:val="right"/>
              <w:rPr>
                <w:rFonts w:eastAsia="Times New Roman" w:cs="Calibri"/>
                <w:sz w:val="16"/>
                <w:szCs w:val="16"/>
              </w:rPr>
            </w:pPr>
            <w:r w:rsidRPr="00556607">
              <w:rPr>
                <w:rFonts w:eastAsia="Times New Roman" w:cs="Calibri"/>
                <w:sz w:val="16"/>
                <w:szCs w:val="16"/>
              </w:rPr>
              <w:t>52.292</w:t>
            </w:r>
          </w:p>
        </w:tc>
        <w:tc>
          <w:tcPr>
            <w:tcW w:w="859" w:type="dxa"/>
            <w:tcBorders>
              <w:top w:val="nil"/>
              <w:left w:val="dotted" w:color="auto" w:sz="4" w:space="0"/>
            </w:tcBorders>
            <w:shd w:val="clear" w:color="auto" w:fill="auto"/>
            <w:vAlign w:val="bottom"/>
            <w:hideMark/>
          </w:tcPr>
          <w:p w:rsidRPr="00556607" w:rsidR="00224914" w:rsidP="00224914" w:rsidRDefault="00224914" w14:paraId="789CC28E" w14:textId="77777777">
            <w:pPr>
              <w:spacing w:after="0" w:line="240" w:lineRule="auto"/>
              <w:jc w:val="right"/>
              <w:rPr>
                <w:rFonts w:eastAsia="Times New Roman" w:cs="Calibri"/>
                <w:sz w:val="16"/>
                <w:szCs w:val="16"/>
              </w:rPr>
            </w:pPr>
            <w:r w:rsidRPr="00556607">
              <w:rPr>
                <w:rFonts w:eastAsia="Times New Roman" w:cs="Calibri"/>
                <w:sz w:val="16"/>
                <w:szCs w:val="16"/>
              </w:rPr>
              <w:t>57.271</w:t>
            </w:r>
          </w:p>
        </w:tc>
        <w:tc>
          <w:tcPr>
            <w:tcW w:w="859" w:type="dxa"/>
            <w:tcBorders>
              <w:top w:val="nil"/>
              <w:right w:val="dotted" w:color="auto" w:sz="4" w:space="0"/>
            </w:tcBorders>
            <w:shd w:val="clear" w:color="auto" w:fill="auto"/>
            <w:vAlign w:val="bottom"/>
            <w:hideMark/>
          </w:tcPr>
          <w:p w:rsidRPr="00556607" w:rsidR="00224914" w:rsidP="00224914" w:rsidRDefault="00224914" w14:paraId="30E0C23D" w14:textId="77777777">
            <w:pPr>
              <w:spacing w:after="0" w:line="240" w:lineRule="auto"/>
              <w:jc w:val="right"/>
              <w:rPr>
                <w:rFonts w:eastAsia="Times New Roman" w:cs="Calibri"/>
                <w:sz w:val="16"/>
                <w:szCs w:val="16"/>
              </w:rPr>
            </w:pPr>
            <w:r w:rsidRPr="00556607">
              <w:rPr>
                <w:rFonts w:eastAsia="Times New Roman" w:cs="Calibri"/>
                <w:sz w:val="16"/>
                <w:szCs w:val="16"/>
              </w:rPr>
              <w:t>52.680</w:t>
            </w:r>
          </w:p>
        </w:tc>
        <w:tc>
          <w:tcPr>
            <w:tcW w:w="859" w:type="dxa"/>
            <w:tcBorders>
              <w:top w:val="nil"/>
              <w:left w:val="dotted" w:color="auto" w:sz="4" w:space="0"/>
            </w:tcBorders>
            <w:shd w:val="clear" w:color="auto" w:fill="auto"/>
            <w:noWrap/>
            <w:vAlign w:val="bottom"/>
            <w:hideMark/>
          </w:tcPr>
          <w:p w:rsidRPr="00556607" w:rsidR="00224914" w:rsidP="00224914" w:rsidRDefault="00224914" w14:paraId="3988735B" w14:textId="77777777">
            <w:pPr>
              <w:spacing w:after="0" w:line="240" w:lineRule="auto"/>
              <w:jc w:val="right"/>
              <w:rPr>
                <w:rFonts w:eastAsia="Times New Roman" w:cs="Calibri"/>
                <w:sz w:val="16"/>
                <w:szCs w:val="16"/>
              </w:rPr>
            </w:pPr>
            <w:r w:rsidRPr="00556607">
              <w:rPr>
                <w:rFonts w:eastAsia="Times New Roman" w:cs="Calibri"/>
                <w:sz w:val="16"/>
                <w:szCs w:val="16"/>
              </w:rPr>
              <w:t>57.423</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42BE31B1" w14:textId="77777777">
            <w:pPr>
              <w:spacing w:after="0" w:line="240" w:lineRule="auto"/>
              <w:jc w:val="right"/>
              <w:rPr>
                <w:rFonts w:eastAsia="Times New Roman" w:cs="Calibri"/>
                <w:sz w:val="16"/>
                <w:szCs w:val="16"/>
              </w:rPr>
            </w:pPr>
            <w:r w:rsidRPr="00556607">
              <w:rPr>
                <w:rFonts w:eastAsia="Times New Roman" w:cs="Calibri"/>
                <w:sz w:val="16"/>
                <w:szCs w:val="16"/>
              </w:rPr>
              <w:t>52.805</w:t>
            </w:r>
          </w:p>
        </w:tc>
        <w:tc>
          <w:tcPr>
            <w:tcW w:w="859" w:type="dxa"/>
            <w:tcBorders>
              <w:top w:val="nil"/>
              <w:left w:val="dotted" w:color="auto" w:sz="4" w:space="0"/>
            </w:tcBorders>
            <w:shd w:val="clear" w:color="auto" w:fill="auto"/>
            <w:noWrap/>
            <w:vAlign w:val="bottom"/>
            <w:hideMark/>
          </w:tcPr>
          <w:p w:rsidRPr="00556607" w:rsidR="00224914" w:rsidP="00224914" w:rsidRDefault="00224914" w14:paraId="15851FA8" w14:textId="77777777">
            <w:pPr>
              <w:spacing w:after="0" w:line="240" w:lineRule="auto"/>
              <w:jc w:val="right"/>
              <w:rPr>
                <w:rFonts w:eastAsia="Times New Roman" w:cs="Calibri"/>
                <w:sz w:val="16"/>
                <w:szCs w:val="16"/>
              </w:rPr>
            </w:pPr>
            <w:r>
              <w:rPr>
                <w:rFonts w:eastAsia="Times New Roman" w:cs="Calibri"/>
                <w:sz w:val="16"/>
                <w:szCs w:val="16"/>
              </w:rPr>
              <w:t>56.731</w:t>
            </w:r>
          </w:p>
        </w:tc>
        <w:tc>
          <w:tcPr>
            <w:tcW w:w="859" w:type="dxa"/>
            <w:tcBorders>
              <w:top w:val="nil"/>
            </w:tcBorders>
            <w:shd w:val="clear" w:color="auto" w:fill="auto"/>
            <w:noWrap/>
            <w:vAlign w:val="bottom"/>
            <w:hideMark/>
          </w:tcPr>
          <w:p w:rsidRPr="00556607" w:rsidR="00224914" w:rsidP="00224914" w:rsidRDefault="00224914" w14:paraId="2F1C2708" w14:textId="77777777">
            <w:pPr>
              <w:spacing w:after="0" w:line="240" w:lineRule="auto"/>
              <w:jc w:val="right"/>
              <w:rPr>
                <w:rFonts w:eastAsia="Times New Roman" w:cs="Calibri"/>
                <w:sz w:val="16"/>
                <w:szCs w:val="16"/>
              </w:rPr>
            </w:pPr>
            <w:r>
              <w:rPr>
                <w:rFonts w:eastAsia="Times New Roman" w:cs="Calibri"/>
                <w:sz w:val="16"/>
                <w:szCs w:val="16"/>
              </w:rPr>
              <w:t>52.092</w:t>
            </w:r>
          </w:p>
        </w:tc>
      </w:tr>
      <w:tr w:rsidRPr="00556607" w:rsidR="00224914" w:rsidTr="00557986" w14:paraId="671F744B" w14:textId="77777777">
        <w:trPr>
          <w:trHeight w:val="256"/>
        </w:trPr>
        <w:tc>
          <w:tcPr>
            <w:tcW w:w="3366" w:type="dxa"/>
            <w:tcBorders>
              <w:top w:val="nil"/>
            </w:tcBorders>
            <w:shd w:val="clear" w:color="auto" w:fill="auto"/>
            <w:hideMark/>
          </w:tcPr>
          <w:p w:rsidRPr="00556607" w:rsidR="00224914" w:rsidP="00224914" w:rsidRDefault="00224914" w14:paraId="600ED8CE" w14:textId="77777777">
            <w:pPr>
              <w:spacing w:after="0" w:line="240" w:lineRule="auto"/>
              <w:rPr>
                <w:rFonts w:eastAsia="Times New Roman" w:cs="Calibri"/>
                <w:sz w:val="16"/>
                <w:szCs w:val="16"/>
              </w:rPr>
            </w:pPr>
            <w:r w:rsidRPr="00556607">
              <w:rPr>
                <w:rFonts w:eastAsia="Times New Roman" w:cs="Calibri"/>
                <w:sz w:val="16"/>
                <w:szCs w:val="16"/>
              </w:rPr>
              <w:t>H4. Migratie en grensmanagement</w:t>
            </w:r>
          </w:p>
        </w:tc>
        <w:tc>
          <w:tcPr>
            <w:tcW w:w="859" w:type="dxa"/>
            <w:tcBorders>
              <w:top w:val="nil"/>
            </w:tcBorders>
            <w:shd w:val="clear" w:color="auto" w:fill="auto"/>
            <w:vAlign w:val="bottom"/>
            <w:hideMark/>
          </w:tcPr>
          <w:p w:rsidRPr="00556607" w:rsidR="00224914" w:rsidP="00224914" w:rsidRDefault="00224914" w14:paraId="34A036AC" w14:textId="77777777">
            <w:pPr>
              <w:spacing w:after="0" w:line="240" w:lineRule="auto"/>
              <w:jc w:val="right"/>
              <w:rPr>
                <w:rFonts w:eastAsia="Times New Roman" w:cs="Calibri"/>
                <w:sz w:val="16"/>
                <w:szCs w:val="16"/>
              </w:rPr>
            </w:pPr>
            <w:r w:rsidRPr="00556607">
              <w:rPr>
                <w:rFonts w:eastAsia="Times New Roman" w:cs="Calibri"/>
                <w:sz w:val="16"/>
                <w:szCs w:val="16"/>
              </w:rPr>
              <w:t>4.779</w:t>
            </w:r>
          </w:p>
        </w:tc>
        <w:tc>
          <w:tcPr>
            <w:tcW w:w="859" w:type="dxa"/>
            <w:tcBorders>
              <w:top w:val="nil"/>
              <w:right w:val="dotted" w:color="auto" w:sz="4" w:space="0"/>
            </w:tcBorders>
            <w:shd w:val="clear" w:color="auto" w:fill="auto"/>
            <w:vAlign w:val="bottom"/>
            <w:hideMark/>
          </w:tcPr>
          <w:p w:rsidRPr="00556607" w:rsidR="00224914" w:rsidP="00224914" w:rsidRDefault="00224914" w14:paraId="015E242D" w14:textId="77777777">
            <w:pPr>
              <w:spacing w:after="0" w:line="240" w:lineRule="auto"/>
              <w:jc w:val="right"/>
              <w:rPr>
                <w:rFonts w:eastAsia="Times New Roman" w:cs="Calibri"/>
                <w:sz w:val="16"/>
                <w:szCs w:val="16"/>
              </w:rPr>
            </w:pPr>
            <w:r w:rsidRPr="00556607">
              <w:rPr>
                <w:rFonts w:eastAsia="Times New Roman" w:cs="Calibri"/>
                <w:sz w:val="16"/>
                <w:szCs w:val="16"/>
              </w:rPr>
              <w:t>3.201</w:t>
            </w:r>
          </w:p>
        </w:tc>
        <w:tc>
          <w:tcPr>
            <w:tcW w:w="859" w:type="dxa"/>
            <w:tcBorders>
              <w:top w:val="nil"/>
              <w:left w:val="dotted" w:color="auto" w:sz="4" w:space="0"/>
            </w:tcBorders>
            <w:shd w:val="clear" w:color="auto" w:fill="auto"/>
            <w:vAlign w:val="bottom"/>
            <w:hideMark/>
          </w:tcPr>
          <w:p w:rsidRPr="00556607" w:rsidR="00224914" w:rsidP="00224914" w:rsidRDefault="00224914" w14:paraId="139E94F6" w14:textId="77777777">
            <w:pPr>
              <w:spacing w:after="0" w:line="240" w:lineRule="auto"/>
              <w:jc w:val="right"/>
              <w:rPr>
                <w:rFonts w:eastAsia="Times New Roman" w:cs="Calibri"/>
                <w:sz w:val="16"/>
                <w:szCs w:val="16"/>
              </w:rPr>
            </w:pPr>
            <w:r w:rsidRPr="00556607">
              <w:rPr>
                <w:rFonts w:eastAsia="Times New Roman" w:cs="Calibri"/>
                <w:sz w:val="16"/>
                <w:szCs w:val="16"/>
              </w:rPr>
              <w:t>4.711</w:t>
            </w:r>
          </w:p>
        </w:tc>
        <w:tc>
          <w:tcPr>
            <w:tcW w:w="859" w:type="dxa"/>
            <w:tcBorders>
              <w:top w:val="nil"/>
              <w:right w:val="dotted" w:color="auto" w:sz="4" w:space="0"/>
            </w:tcBorders>
            <w:shd w:val="clear" w:color="auto" w:fill="auto"/>
            <w:vAlign w:val="bottom"/>
            <w:hideMark/>
          </w:tcPr>
          <w:p w:rsidRPr="00556607" w:rsidR="00224914" w:rsidP="00224914" w:rsidRDefault="00224914" w14:paraId="45C56734" w14:textId="77777777">
            <w:pPr>
              <w:spacing w:after="0" w:line="240" w:lineRule="auto"/>
              <w:jc w:val="right"/>
              <w:rPr>
                <w:rFonts w:eastAsia="Times New Roman" w:cs="Calibri"/>
                <w:sz w:val="16"/>
                <w:szCs w:val="16"/>
              </w:rPr>
            </w:pPr>
            <w:r w:rsidRPr="00556607">
              <w:rPr>
                <w:rFonts w:eastAsia="Times New Roman" w:cs="Calibri"/>
                <w:sz w:val="16"/>
                <w:szCs w:val="16"/>
              </w:rPr>
              <w:t>3.120</w:t>
            </w:r>
          </w:p>
        </w:tc>
        <w:tc>
          <w:tcPr>
            <w:tcW w:w="859" w:type="dxa"/>
            <w:tcBorders>
              <w:top w:val="nil"/>
              <w:left w:val="dotted" w:color="auto" w:sz="4" w:space="0"/>
            </w:tcBorders>
            <w:shd w:val="clear" w:color="auto" w:fill="auto"/>
            <w:noWrap/>
            <w:vAlign w:val="bottom"/>
            <w:hideMark/>
          </w:tcPr>
          <w:p w:rsidRPr="00556607" w:rsidR="00224914" w:rsidP="00224914" w:rsidRDefault="00224914" w14:paraId="4114FFF5" w14:textId="77777777">
            <w:pPr>
              <w:spacing w:after="0" w:line="240" w:lineRule="auto"/>
              <w:jc w:val="right"/>
              <w:rPr>
                <w:rFonts w:eastAsia="Times New Roman" w:cs="Calibri"/>
                <w:sz w:val="16"/>
                <w:szCs w:val="16"/>
              </w:rPr>
            </w:pPr>
            <w:r w:rsidRPr="00556607">
              <w:rPr>
                <w:rFonts w:eastAsia="Times New Roman" w:cs="Calibri"/>
                <w:sz w:val="16"/>
                <w:szCs w:val="16"/>
              </w:rPr>
              <w:t>4.839</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5DAC35DD" w14:textId="77777777">
            <w:pPr>
              <w:spacing w:after="0" w:line="240" w:lineRule="auto"/>
              <w:jc w:val="right"/>
              <w:rPr>
                <w:rFonts w:eastAsia="Times New Roman" w:cs="Calibri"/>
                <w:sz w:val="16"/>
                <w:szCs w:val="16"/>
              </w:rPr>
            </w:pPr>
            <w:r w:rsidRPr="00556607">
              <w:rPr>
                <w:rFonts w:eastAsia="Times New Roman" w:cs="Calibri"/>
                <w:sz w:val="16"/>
                <w:szCs w:val="16"/>
              </w:rPr>
              <w:t>3.233</w:t>
            </w:r>
          </w:p>
        </w:tc>
        <w:tc>
          <w:tcPr>
            <w:tcW w:w="859" w:type="dxa"/>
            <w:tcBorders>
              <w:top w:val="nil"/>
              <w:left w:val="dotted" w:color="auto" w:sz="4" w:space="0"/>
            </w:tcBorders>
            <w:shd w:val="clear" w:color="auto" w:fill="auto"/>
            <w:noWrap/>
            <w:vAlign w:val="bottom"/>
            <w:hideMark/>
          </w:tcPr>
          <w:p w:rsidRPr="00556607" w:rsidR="00224914" w:rsidP="00224914" w:rsidRDefault="00224914" w14:paraId="329B53A6" w14:textId="77777777">
            <w:pPr>
              <w:spacing w:after="0" w:line="240" w:lineRule="auto"/>
              <w:jc w:val="right"/>
              <w:rPr>
                <w:rFonts w:eastAsia="Times New Roman" w:cs="Calibri"/>
                <w:sz w:val="16"/>
                <w:szCs w:val="16"/>
              </w:rPr>
            </w:pPr>
            <w:r>
              <w:rPr>
                <w:rFonts w:eastAsia="Times New Roman" w:cs="Calibri"/>
                <w:sz w:val="16"/>
                <w:szCs w:val="16"/>
              </w:rPr>
              <w:t>4.791</w:t>
            </w:r>
          </w:p>
        </w:tc>
        <w:tc>
          <w:tcPr>
            <w:tcW w:w="859" w:type="dxa"/>
            <w:tcBorders>
              <w:top w:val="nil"/>
            </w:tcBorders>
            <w:shd w:val="clear" w:color="auto" w:fill="auto"/>
            <w:noWrap/>
            <w:vAlign w:val="bottom"/>
            <w:hideMark/>
          </w:tcPr>
          <w:p w:rsidRPr="00556607" w:rsidR="00224914" w:rsidP="00224914" w:rsidRDefault="00224914" w14:paraId="0BE4E485" w14:textId="77777777">
            <w:pPr>
              <w:spacing w:after="0" w:line="240" w:lineRule="auto"/>
              <w:jc w:val="right"/>
              <w:rPr>
                <w:rFonts w:eastAsia="Times New Roman" w:cs="Calibri"/>
                <w:sz w:val="16"/>
                <w:szCs w:val="16"/>
              </w:rPr>
            </w:pPr>
            <w:r>
              <w:rPr>
                <w:rFonts w:eastAsia="Times New Roman" w:cs="Calibri"/>
                <w:sz w:val="16"/>
                <w:szCs w:val="16"/>
              </w:rPr>
              <w:t>3.204</w:t>
            </w:r>
          </w:p>
        </w:tc>
      </w:tr>
      <w:tr w:rsidRPr="00556607" w:rsidR="00224914" w:rsidTr="00557986" w14:paraId="02DF5821" w14:textId="77777777">
        <w:trPr>
          <w:trHeight w:val="256"/>
        </w:trPr>
        <w:tc>
          <w:tcPr>
            <w:tcW w:w="3366" w:type="dxa"/>
            <w:tcBorders>
              <w:top w:val="nil"/>
            </w:tcBorders>
            <w:shd w:val="clear" w:color="auto" w:fill="auto"/>
            <w:hideMark/>
          </w:tcPr>
          <w:p w:rsidRPr="00556607" w:rsidR="00224914" w:rsidP="00224914" w:rsidRDefault="00224914" w14:paraId="3CBD4101" w14:textId="77777777">
            <w:pPr>
              <w:spacing w:after="0" w:line="240" w:lineRule="auto"/>
              <w:rPr>
                <w:rFonts w:eastAsia="Times New Roman" w:cs="Calibri"/>
                <w:sz w:val="16"/>
                <w:szCs w:val="16"/>
              </w:rPr>
            </w:pPr>
            <w:r w:rsidRPr="00556607">
              <w:rPr>
                <w:rFonts w:eastAsia="Times New Roman" w:cs="Calibri"/>
                <w:sz w:val="16"/>
                <w:szCs w:val="16"/>
              </w:rPr>
              <w:t>H5. Veiligheid en defensie</w:t>
            </w:r>
          </w:p>
        </w:tc>
        <w:tc>
          <w:tcPr>
            <w:tcW w:w="859" w:type="dxa"/>
            <w:tcBorders>
              <w:top w:val="nil"/>
            </w:tcBorders>
            <w:shd w:val="clear" w:color="auto" w:fill="auto"/>
            <w:vAlign w:val="bottom"/>
            <w:hideMark/>
          </w:tcPr>
          <w:p w:rsidRPr="00556607" w:rsidR="00224914" w:rsidP="00224914" w:rsidRDefault="00224914" w14:paraId="4373A273" w14:textId="77777777">
            <w:pPr>
              <w:spacing w:after="0" w:line="240" w:lineRule="auto"/>
              <w:jc w:val="right"/>
              <w:rPr>
                <w:rFonts w:eastAsia="Times New Roman" w:cs="Calibri"/>
                <w:sz w:val="16"/>
                <w:szCs w:val="16"/>
              </w:rPr>
            </w:pPr>
            <w:r w:rsidRPr="00556607">
              <w:rPr>
                <w:rFonts w:eastAsia="Times New Roman" w:cs="Calibri"/>
                <w:sz w:val="16"/>
                <w:szCs w:val="16"/>
              </w:rPr>
              <w:t>2.622</w:t>
            </w:r>
          </w:p>
        </w:tc>
        <w:tc>
          <w:tcPr>
            <w:tcW w:w="859" w:type="dxa"/>
            <w:tcBorders>
              <w:top w:val="nil"/>
              <w:right w:val="dotted" w:color="auto" w:sz="4" w:space="0"/>
            </w:tcBorders>
            <w:shd w:val="clear" w:color="auto" w:fill="auto"/>
            <w:vAlign w:val="bottom"/>
            <w:hideMark/>
          </w:tcPr>
          <w:p w:rsidRPr="00556607" w:rsidR="00224914" w:rsidP="00224914" w:rsidRDefault="00224914" w14:paraId="462BDC82" w14:textId="77777777">
            <w:pPr>
              <w:spacing w:after="0" w:line="240" w:lineRule="auto"/>
              <w:jc w:val="right"/>
              <w:rPr>
                <w:rFonts w:eastAsia="Times New Roman" w:cs="Calibri"/>
                <w:sz w:val="16"/>
                <w:szCs w:val="16"/>
              </w:rPr>
            </w:pPr>
            <w:r w:rsidRPr="00556607">
              <w:rPr>
                <w:rFonts w:eastAsia="Times New Roman" w:cs="Calibri"/>
                <w:sz w:val="16"/>
                <w:szCs w:val="16"/>
              </w:rPr>
              <w:t>2.133</w:t>
            </w:r>
          </w:p>
        </w:tc>
        <w:tc>
          <w:tcPr>
            <w:tcW w:w="859" w:type="dxa"/>
            <w:tcBorders>
              <w:top w:val="nil"/>
              <w:left w:val="dotted" w:color="auto" w:sz="4" w:space="0"/>
            </w:tcBorders>
            <w:shd w:val="clear" w:color="auto" w:fill="auto"/>
            <w:vAlign w:val="bottom"/>
            <w:hideMark/>
          </w:tcPr>
          <w:p w:rsidRPr="00556607" w:rsidR="00224914" w:rsidP="00224914" w:rsidRDefault="00224914" w14:paraId="1BB7530D" w14:textId="77777777">
            <w:pPr>
              <w:spacing w:after="0" w:line="240" w:lineRule="auto"/>
              <w:jc w:val="right"/>
              <w:rPr>
                <w:rFonts w:eastAsia="Times New Roman" w:cs="Calibri"/>
                <w:sz w:val="16"/>
                <w:szCs w:val="16"/>
              </w:rPr>
            </w:pPr>
            <w:r w:rsidRPr="00556607">
              <w:rPr>
                <w:rFonts w:eastAsia="Times New Roman" w:cs="Calibri"/>
                <w:sz w:val="16"/>
                <w:szCs w:val="16"/>
              </w:rPr>
              <w:t>2.612</w:t>
            </w:r>
          </w:p>
        </w:tc>
        <w:tc>
          <w:tcPr>
            <w:tcW w:w="859" w:type="dxa"/>
            <w:tcBorders>
              <w:top w:val="nil"/>
              <w:right w:val="dotted" w:color="auto" w:sz="4" w:space="0"/>
            </w:tcBorders>
            <w:shd w:val="clear" w:color="auto" w:fill="auto"/>
            <w:vAlign w:val="bottom"/>
            <w:hideMark/>
          </w:tcPr>
          <w:p w:rsidRPr="00556607" w:rsidR="00224914" w:rsidP="00224914" w:rsidRDefault="00224914" w14:paraId="62F9DBCF" w14:textId="77777777">
            <w:pPr>
              <w:spacing w:after="0" w:line="240" w:lineRule="auto"/>
              <w:jc w:val="right"/>
              <w:rPr>
                <w:rFonts w:eastAsia="Times New Roman" w:cs="Calibri"/>
                <w:sz w:val="16"/>
                <w:szCs w:val="16"/>
              </w:rPr>
            </w:pPr>
            <w:r w:rsidRPr="00556607">
              <w:rPr>
                <w:rFonts w:eastAsia="Times New Roman" w:cs="Calibri"/>
                <w:sz w:val="16"/>
                <w:szCs w:val="16"/>
              </w:rPr>
              <w:t>2.127</w:t>
            </w:r>
          </w:p>
        </w:tc>
        <w:tc>
          <w:tcPr>
            <w:tcW w:w="859" w:type="dxa"/>
            <w:tcBorders>
              <w:top w:val="nil"/>
              <w:left w:val="dotted" w:color="auto" w:sz="4" w:space="0"/>
            </w:tcBorders>
            <w:shd w:val="clear" w:color="auto" w:fill="auto"/>
            <w:noWrap/>
            <w:vAlign w:val="bottom"/>
            <w:hideMark/>
          </w:tcPr>
          <w:p w:rsidRPr="00556607" w:rsidR="00224914" w:rsidP="00224914" w:rsidRDefault="00224914" w14:paraId="267275FC" w14:textId="77777777">
            <w:pPr>
              <w:spacing w:after="0" w:line="240" w:lineRule="auto"/>
              <w:jc w:val="right"/>
              <w:rPr>
                <w:rFonts w:eastAsia="Times New Roman" w:cs="Calibri"/>
                <w:sz w:val="16"/>
                <w:szCs w:val="16"/>
              </w:rPr>
            </w:pPr>
            <w:r w:rsidRPr="00556607">
              <w:rPr>
                <w:rFonts w:eastAsia="Times New Roman" w:cs="Calibri"/>
                <w:sz w:val="16"/>
                <w:szCs w:val="16"/>
              </w:rPr>
              <w:t>2.658</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1024F999" w14:textId="77777777">
            <w:pPr>
              <w:spacing w:after="0" w:line="240" w:lineRule="auto"/>
              <w:jc w:val="right"/>
              <w:rPr>
                <w:rFonts w:eastAsia="Times New Roman" w:cs="Calibri"/>
                <w:sz w:val="16"/>
                <w:szCs w:val="16"/>
              </w:rPr>
            </w:pPr>
            <w:r w:rsidRPr="00556607">
              <w:rPr>
                <w:rFonts w:eastAsia="Times New Roman" w:cs="Calibri"/>
                <w:sz w:val="16"/>
                <w:szCs w:val="16"/>
              </w:rPr>
              <w:t>2.157</w:t>
            </w:r>
          </w:p>
        </w:tc>
        <w:tc>
          <w:tcPr>
            <w:tcW w:w="859" w:type="dxa"/>
            <w:tcBorders>
              <w:top w:val="nil"/>
              <w:left w:val="dotted" w:color="auto" w:sz="4" w:space="0"/>
            </w:tcBorders>
            <w:shd w:val="clear" w:color="auto" w:fill="auto"/>
            <w:noWrap/>
            <w:vAlign w:val="bottom"/>
            <w:hideMark/>
          </w:tcPr>
          <w:p w:rsidRPr="00556607" w:rsidR="00224914" w:rsidP="00224914" w:rsidRDefault="00224914" w14:paraId="75882D22" w14:textId="77777777">
            <w:pPr>
              <w:spacing w:after="0" w:line="240" w:lineRule="auto"/>
              <w:jc w:val="right"/>
              <w:rPr>
                <w:rFonts w:eastAsia="Times New Roman" w:cs="Calibri"/>
                <w:sz w:val="16"/>
                <w:szCs w:val="16"/>
              </w:rPr>
            </w:pPr>
            <w:r>
              <w:rPr>
                <w:rFonts w:eastAsia="Times New Roman" w:cs="Calibri"/>
                <w:sz w:val="16"/>
                <w:szCs w:val="16"/>
              </w:rPr>
              <w:t>2.633</w:t>
            </w:r>
          </w:p>
        </w:tc>
        <w:tc>
          <w:tcPr>
            <w:tcW w:w="859" w:type="dxa"/>
            <w:tcBorders>
              <w:top w:val="nil"/>
            </w:tcBorders>
            <w:shd w:val="clear" w:color="auto" w:fill="auto"/>
            <w:noWrap/>
            <w:vAlign w:val="bottom"/>
            <w:hideMark/>
          </w:tcPr>
          <w:p w:rsidRPr="00556607" w:rsidR="00224914" w:rsidP="00224914" w:rsidRDefault="00224914" w14:paraId="0438674B" w14:textId="77777777">
            <w:pPr>
              <w:spacing w:after="0" w:line="240" w:lineRule="auto"/>
              <w:jc w:val="right"/>
              <w:rPr>
                <w:rFonts w:eastAsia="Times New Roman" w:cs="Calibri"/>
                <w:sz w:val="16"/>
                <w:szCs w:val="16"/>
              </w:rPr>
            </w:pPr>
            <w:r>
              <w:rPr>
                <w:rFonts w:eastAsia="Times New Roman" w:cs="Calibri"/>
                <w:sz w:val="16"/>
                <w:szCs w:val="16"/>
              </w:rPr>
              <w:t>2.143</w:t>
            </w:r>
          </w:p>
        </w:tc>
      </w:tr>
      <w:tr w:rsidRPr="00556607" w:rsidR="00224914" w:rsidTr="00557986" w14:paraId="6D5433D0" w14:textId="77777777">
        <w:trPr>
          <w:trHeight w:val="256"/>
        </w:trPr>
        <w:tc>
          <w:tcPr>
            <w:tcW w:w="3366" w:type="dxa"/>
            <w:tcBorders>
              <w:top w:val="nil"/>
            </w:tcBorders>
            <w:shd w:val="clear" w:color="auto" w:fill="auto"/>
            <w:hideMark/>
          </w:tcPr>
          <w:p w:rsidRPr="00556607" w:rsidR="00224914" w:rsidP="00224914" w:rsidRDefault="00224914" w14:paraId="4D44A016" w14:textId="77777777">
            <w:pPr>
              <w:spacing w:after="0" w:line="240" w:lineRule="auto"/>
              <w:rPr>
                <w:rFonts w:eastAsia="Times New Roman" w:cs="Calibri"/>
                <w:sz w:val="16"/>
                <w:szCs w:val="16"/>
              </w:rPr>
            </w:pPr>
            <w:r w:rsidRPr="00556607">
              <w:rPr>
                <w:rFonts w:eastAsia="Times New Roman" w:cs="Calibri"/>
                <w:sz w:val="16"/>
                <w:szCs w:val="16"/>
              </w:rPr>
              <w:t>H6. Extern beleid</w:t>
            </w:r>
          </w:p>
        </w:tc>
        <w:tc>
          <w:tcPr>
            <w:tcW w:w="859" w:type="dxa"/>
            <w:tcBorders>
              <w:top w:val="nil"/>
            </w:tcBorders>
            <w:shd w:val="clear" w:color="auto" w:fill="auto"/>
            <w:vAlign w:val="bottom"/>
            <w:hideMark/>
          </w:tcPr>
          <w:p w:rsidRPr="00556607" w:rsidR="00224914" w:rsidP="00224914" w:rsidRDefault="00224914" w14:paraId="5CBE4B60" w14:textId="77777777">
            <w:pPr>
              <w:spacing w:after="0" w:line="240" w:lineRule="auto"/>
              <w:jc w:val="right"/>
              <w:rPr>
                <w:rFonts w:eastAsia="Times New Roman" w:cs="Calibri"/>
                <w:sz w:val="16"/>
                <w:szCs w:val="16"/>
              </w:rPr>
            </w:pPr>
            <w:r w:rsidRPr="00556607">
              <w:rPr>
                <w:rFonts w:eastAsia="Times New Roman" w:cs="Calibri"/>
                <w:sz w:val="16"/>
                <w:szCs w:val="16"/>
              </w:rPr>
              <w:t>16.258</w:t>
            </w:r>
          </w:p>
        </w:tc>
        <w:tc>
          <w:tcPr>
            <w:tcW w:w="859" w:type="dxa"/>
            <w:tcBorders>
              <w:top w:val="nil"/>
              <w:right w:val="dotted" w:color="auto" w:sz="4" w:space="0"/>
            </w:tcBorders>
            <w:shd w:val="clear" w:color="auto" w:fill="auto"/>
            <w:vAlign w:val="bottom"/>
            <w:hideMark/>
          </w:tcPr>
          <w:p w:rsidRPr="00556607" w:rsidR="00224914" w:rsidP="00224914" w:rsidRDefault="00224914" w14:paraId="0B5E9B7D" w14:textId="77777777">
            <w:pPr>
              <w:spacing w:after="0" w:line="240" w:lineRule="auto"/>
              <w:jc w:val="right"/>
              <w:rPr>
                <w:rFonts w:eastAsia="Times New Roman" w:cs="Calibri"/>
                <w:sz w:val="16"/>
                <w:szCs w:val="16"/>
              </w:rPr>
            </w:pPr>
            <w:r w:rsidRPr="00556607">
              <w:rPr>
                <w:rFonts w:eastAsia="Times New Roman" w:cs="Calibri"/>
                <w:sz w:val="16"/>
                <w:szCs w:val="16"/>
              </w:rPr>
              <w:t>14.406</w:t>
            </w:r>
          </w:p>
        </w:tc>
        <w:tc>
          <w:tcPr>
            <w:tcW w:w="859" w:type="dxa"/>
            <w:tcBorders>
              <w:top w:val="nil"/>
              <w:left w:val="dotted" w:color="auto" w:sz="4" w:space="0"/>
            </w:tcBorders>
            <w:shd w:val="clear" w:color="auto" w:fill="auto"/>
            <w:vAlign w:val="bottom"/>
            <w:hideMark/>
          </w:tcPr>
          <w:p w:rsidRPr="00556607" w:rsidR="00224914" w:rsidP="00224914" w:rsidRDefault="00224914" w14:paraId="477FB651" w14:textId="77777777">
            <w:pPr>
              <w:spacing w:after="0" w:line="240" w:lineRule="auto"/>
              <w:jc w:val="right"/>
              <w:rPr>
                <w:rFonts w:eastAsia="Times New Roman" w:cs="Calibri"/>
                <w:sz w:val="16"/>
                <w:szCs w:val="16"/>
              </w:rPr>
            </w:pPr>
            <w:r w:rsidRPr="00556607">
              <w:rPr>
                <w:rFonts w:eastAsia="Times New Roman" w:cs="Calibri"/>
                <w:sz w:val="16"/>
                <w:szCs w:val="16"/>
              </w:rPr>
              <w:t>16.280</w:t>
            </w:r>
          </w:p>
        </w:tc>
        <w:tc>
          <w:tcPr>
            <w:tcW w:w="859" w:type="dxa"/>
            <w:tcBorders>
              <w:top w:val="nil"/>
              <w:right w:val="dotted" w:color="auto" w:sz="4" w:space="0"/>
            </w:tcBorders>
            <w:shd w:val="clear" w:color="auto" w:fill="auto"/>
            <w:vAlign w:val="bottom"/>
            <w:hideMark/>
          </w:tcPr>
          <w:p w:rsidRPr="00556607" w:rsidR="00224914" w:rsidP="00224914" w:rsidRDefault="00224914" w14:paraId="09822C34" w14:textId="77777777">
            <w:pPr>
              <w:spacing w:after="0" w:line="240" w:lineRule="auto"/>
              <w:jc w:val="right"/>
              <w:rPr>
                <w:rFonts w:eastAsia="Times New Roman" w:cs="Calibri"/>
                <w:sz w:val="16"/>
                <w:szCs w:val="16"/>
              </w:rPr>
            </w:pPr>
            <w:r w:rsidRPr="00556607">
              <w:rPr>
                <w:rFonts w:eastAsia="Times New Roman" w:cs="Calibri"/>
                <w:sz w:val="16"/>
                <w:szCs w:val="16"/>
              </w:rPr>
              <w:t>14.427</w:t>
            </w:r>
          </w:p>
        </w:tc>
        <w:tc>
          <w:tcPr>
            <w:tcW w:w="859" w:type="dxa"/>
            <w:tcBorders>
              <w:top w:val="nil"/>
              <w:left w:val="dotted" w:color="auto" w:sz="4" w:space="0"/>
            </w:tcBorders>
            <w:shd w:val="clear" w:color="auto" w:fill="auto"/>
            <w:noWrap/>
            <w:vAlign w:val="bottom"/>
            <w:hideMark/>
          </w:tcPr>
          <w:p w:rsidRPr="00556607" w:rsidR="00224914" w:rsidP="00224914" w:rsidRDefault="00224914" w14:paraId="61E67425" w14:textId="77777777">
            <w:pPr>
              <w:spacing w:after="0" w:line="240" w:lineRule="auto"/>
              <w:jc w:val="right"/>
              <w:rPr>
                <w:rFonts w:eastAsia="Times New Roman" w:cs="Calibri"/>
                <w:sz w:val="16"/>
                <w:szCs w:val="16"/>
              </w:rPr>
            </w:pPr>
            <w:r w:rsidRPr="00556607">
              <w:rPr>
                <w:rFonts w:eastAsia="Times New Roman" w:cs="Calibri"/>
                <w:sz w:val="16"/>
                <w:szCs w:val="16"/>
              </w:rPr>
              <w:t>16.514</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6102A48D" w14:textId="77777777">
            <w:pPr>
              <w:spacing w:after="0" w:line="240" w:lineRule="auto"/>
              <w:jc w:val="right"/>
              <w:rPr>
                <w:rFonts w:eastAsia="Times New Roman" w:cs="Calibri"/>
                <w:sz w:val="16"/>
                <w:szCs w:val="16"/>
              </w:rPr>
            </w:pPr>
            <w:r w:rsidRPr="00556607">
              <w:rPr>
                <w:rFonts w:eastAsia="Times New Roman" w:cs="Calibri"/>
                <w:sz w:val="16"/>
                <w:szCs w:val="16"/>
              </w:rPr>
              <w:t>14.595</w:t>
            </w:r>
          </w:p>
        </w:tc>
        <w:tc>
          <w:tcPr>
            <w:tcW w:w="859" w:type="dxa"/>
            <w:tcBorders>
              <w:top w:val="nil"/>
              <w:left w:val="dotted" w:color="auto" w:sz="4" w:space="0"/>
            </w:tcBorders>
            <w:shd w:val="clear" w:color="auto" w:fill="auto"/>
            <w:noWrap/>
            <w:vAlign w:val="bottom"/>
            <w:hideMark/>
          </w:tcPr>
          <w:p w:rsidRPr="00556607" w:rsidR="00224914" w:rsidP="00224914" w:rsidRDefault="00224914" w14:paraId="3D6FB1C1" w14:textId="77777777">
            <w:pPr>
              <w:spacing w:after="0" w:line="240" w:lineRule="auto"/>
              <w:jc w:val="right"/>
              <w:rPr>
                <w:rFonts w:eastAsia="Times New Roman" w:cs="Calibri"/>
                <w:sz w:val="16"/>
                <w:szCs w:val="16"/>
              </w:rPr>
            </w:pPr>
            <w:r>
              <w:rPr>
                <w:rFonts w:eastAsia="Times New Roman" w:cs="Calibri"/>
                <w:sz w:val="16"/>
                <w:szCs w:val="16"/>
              </w:rPr>
              <w:t>16.308</w:t>
            </w:r>
          </w:p>
        </w:tc>
        <w:tc>
          <w:tcPr>
            <w:tcW w:w="859" w:type="dxa"/>
            <w:tcBorders>
              <w:top w:val="nil"/>
            </w:tcBorders>
            <w:shd w:val="clear" w:color="auto" w:fill="auto"/>
            <w:noWrap/>
            <w:vAlign w:val="bottom"/>
            <w:hideMark/>
          </w:tcPr>
          <w:p w:rsidRPr="00556607" w:rsidR="00224914" w:rsidP="00224914" w:rsidRDefault="00224914" w14:paraId="01030E9C" w14:textId="77777777">
            <w:pPr>
              <w:spacing w:after="0" w:line="240" w:lineRule="auto"/>
              <w:jc w:val="right"/>
              <w:rPr>
                <w:rFonts w:eastAsia="Times New Roman" w:cs="Calibri"/>
                <w:sz w:val="16"/>
                <w:szCs w:val="16"/>
              </w:rPr>
            </w:pPr>
            <w:r>
              <w:rPr>
                <w:rFonts w:eastAsia="Times New Roman" w:cs="Calibri"/>
                <w:sz w:val="16"/>
                <w:szCs w:val="16"/>
              </w:rPr>
              <w:t>14.426</w:t>
            </w:r>
          </w:p>
        </w:tc>
      </w:tr>
      <w:tr w:rsidRPr="00556607" w:rsidR="00224914" w:rsidTr="00557986" w14:paraId="49D9A2E1" w14:textId="77777777">
        <w:trPr>
          <w:trHeight w:val="256"/>
        </w:trPr>
        <w:tc>
          <w:tcPr>
            <w:tcW w:w="3366" w:type="dxa"/>
            <w:tcBorders>
              <w:top w:val="nil"/>
              <w:bottom w:val="single" w:color="auto" w:sz="4" w:space="0"/>
            </w:tcBorders>
            <w:shd w:val="clear" w:color="auto" w:fill="auto"/>
            <w:hideMark/>
          </w:tcPr>
          <w:p w:rsidRPr="00556607" w:rsidR="00224914" w:rsidP="00224914" w:rsidRDefault="00224914" w14:paraId="525494CB" w14:textId="77777777">
            <w:pPr>
              <w:spacing w:after="0" w:line="240" w:lineRule="auto"/>
              <w:rPr>
                <w:rFonts w:eastAsia="Times New Roman" w:cs="Calibri"/>
                <w:sz w:val="16"/>
                <w:szCs w:val="16"/>
              </w:rPr>
            </w:pPr>
            <w:r w:rsidRPr="00556607">
              <w:rPr>
                <w:rFonts w:eastAsia="Times New Roman" w:cs="Calibri"/>
                <w:sz w:val="16"/>
                <w:szCs w:val="16"/>
              </w:rPr>
              <w:t>H7. Administratieve uitgaven</w:t>
            </w:r>
          </w:p>
        </w:tc>
        <w:tc>
          <w:tcPr>
            <w:tcW w:w="859" w:type="dxa"/>
            <w:tcBorders>
              <w:top w:val="nil"/>
              <w:bottom w:val="single" w:color="auto" w:sz="4" w:space="0"/>
            </w:tcBorders>
            <w:shd w:val="clear" w:color="auto" w:fill="auto"/>
            <w:vAlign w:val="bottom"/>
            <w:hideMark/>
          </w:tcPr>
          <w:p w:rsidRPr="00556607" w:rsidR="00224914" w:rsidP="00224914" w:rsidRDefault="00224914" w14:paraId="11DD1A39" w14:textId="77777777">
            <w:pPr>
              <w:spacing w:after="0" w:line="240" w:lineRule="auto"/>
              <w:jc w:val="right"/>
              <w:rPr>
                <w:rFonts w:eastAsia="Times New Roman" w:cs="Calibri"/>
                <w:sz w:val="16"/>
                <w:szCs w:val="16"/>
              </w:rPr>
            </w:pPr>
            <w:r w:rsidRPr="00556607">
              <w:rPr>
                <w:rFonts w:eastAsia="Times New Roman" w:cs="Calibri"/>
                <w:sz w:val="16"/>
                <w:szCs w:val="16"/>
              </w:rPr>
              <w:t>12.834</w:t>
            </w:r>
          </w:p>
        </w:tc>
        <w:tc>
          <w:tcPr>
            <w:tcW w:w="859" w:type="dxa"/>
            <w:tcBorders>
              <w:top w:val="nil"/>
              <w:bottom w:val="single" w:color="auto" w:sz="4" w:space="0"/>
              <w:right w:val="dotted" w:color="auto" w:sz="4" w:space="0"/>
            </w:tcBorders>
            <w:shd w:val="clear" w:color="auto" w:fill="auto"/>
            <w:vAlign w:val="bottom"/>
            <w:hideMark/>
          </w:tcPr>
          <w:p w:rsidRPr="00556607" w:rsidR="00224914" w:rsidP="00224914" w:rsidRDefault="00224914" w14:paraId="6A43B474" w14:textId="77777777">
            <w:pPr>
              <w:spacing w:after="0" w:line="240" w:lineRule="auto"/>
              <w:jc w:val="right"/>
              <w:rPr>
                <w:rFonts w:eastAsia="Times New Roman" w:cs="Calibri"/>
                <w:sz w:val="16"/>
                <w:szCs w:val="16"/>
              </w:rPr>
            </w:pPr>
            <w:r w:rsidRPr="00556607">
              <w:rPr>
                <w:rFonts w:eastAsia="Times New Roman" w:cs="Calibri"/>
                <w:sz w:val="16"/>
                <w:szCs w:val="16"/>
              </w:rPr>
              <w:t>12.834</w:t>
            </w:r>
          </w:p>
        </w:tc>
        <w:tc>
          <w:tcPr>
            <w:tcW w:w="859" w:type="dxa"/>
            <w:tcBorders>
              <w:top w:val="nil"/>
              <w:left w:val="dotted" w:color="auto" w:sz="4" w:space="0"/>
              <w:bottom w:val="single" w:color="auto" w:sz="4" w:space="0"/>
            </w:tcBorders>
            <w:shd w:val="clear" w:color="auto" w:fill="auto"/>
            <w:vAlign w:val="bottom"/>
            <w:hideMark/>
          </w:tcPr>
          <w:p w:rsidRPr="00556607" w:rsidR="00224914" w:rsidP="00224914" w:rsidRDefault="00224914" w14:paraId="426EA560" w14:textId="77777777">
            <w:pPr>
              <w:spacing w:after="0" w:line="240" w:lineRule="auto"/>
              <w:jc w:val="right"/>
              <w:rPr>
                <w:rFonts w:eastAsia="Times New Roman" w:cs="Calibri"/>
                <w:sz w:val="16"/>
                <w:szCs w:val="16"/>
              </w:rPr>
            </w:pPr>
            <w:r w:rsidRPr="00556607">
              <w:rPr>
                <w:rFonts w:eastAsia="Times New Roman" w:cs="Calibri"/>
                <w:sz w:val="16"/>
                <w:szCs w:val="16"/>
              </w:rPr>
              <w:t>12.599</w:t>
            </w:r>
          </w:p>
        </w:tc>
        <w:tc>
          <w:tcPr>
            <w:tcW w:w="859" w:type="dxa"/>
            <w:tcBorders>
              <w:top w:val="nil"/>
              <w:bottom w:val="single" w:color="auto" w:sz="4" w:space="0"/>
              <w:right w:val="dotted" w:color="auto" w:sz="4" w:space="0"/>
            </w:tcBorders>
            <w:shd w:val="clear" w:color="auto" w:fill="auto"/>
            <w:vAlign w:val="bottom"/>
            <w:hideMark/>
          </w:tcPr>
          <w:p w:rsidRPr="00556607" w:rsidR="00224914" w:rsidP="00224914" w:rsidRDefault="00224914" w14:paraId="29CB288C" w14:textId="77777777">
            <w:pPr>
              <w:spacing w:after="0" w:line="240" w:lineRule="auto"/>
              <w:jc w:val="right"/>
              <w:rPr>
                <w:rFonts w:eastAsia="Times New Roman" w:cs="Calibri"/>
                <w:sz w:val="16"/>
                <w:szCs w:val="16"/>
              </w:rPr>
            </w:pPr>
            <w:r w:rsidRPr="00556607">
              <w:rPr>
                <w:rFonts w:eastAsia="Times New Roman" w:cs="Calibri"/>
                <w:sz w:val="16"/>
                <w:szCs w:val="16"/>
              </w:rPr>
              <w:t>12.599</w:t>
            </w:r>
          </w:p>
        </w:tc>
        <w:tc>
          <w:tcPr>
            <w:tcW w:w="859" w:type="dxa"/>
            <w:tcBorders>
              <w:top w:val="nil"/>
              <w:left w:val="dotted" w:color="auto" w:sz="4" w:space="0"/>
              <w:bottom w:val="single" w:color="auto" w:sz="4" w:space="0"/>
            </w:tcBorders>
            <w:shd w:val="clear" w:color="auto" w:fill="auto"/>
            <w:noWrap/>
            <w:vAlign w:val="bottom"/>
            <w:hideMark/>
          </w:tcPr>
          <w:p w:rsidRPr="00556607" w:rsidR="00224914" w:rsidP="00224914" w:rsidRDefault="00224914" w14:paraId="71DF4013" w14:textId="77777777">
            <w:pPr>
              <w:spacing w:after="0" w:line="240" w:lineRule="auto"/>
              <w:jc w:val="right"/>
              <w:rPr>
                <w:rFonts w:eastAsia="Times New Roman" w:cs="Calibri"/>
                <w:sz w:val="16"/>
                <w:szCs w:val="16"/>
              </w:rPr>
            </w:pPr>
            <w:r w:rsidRPr="00556607">
              <w:rPr>
                <w:rFonts w:eastAsia="Times New Roman" w:cs="Calibri"/>
                <w:sz w:val="16"/>
                <w:szCs w:val="16"/>
              </w:rPr>
              <w:t>12.657</w:t>
            </w:r>
          </w:p>
        </w:tc>
        <w:tc>
          <w:tcPr>
            <w:tcW w:w="859" w:type="dxa"/>
            <w:tcBorders>
              <w:top w:val="nil"/>
              <w:bottom w:val="single" w:color="auto" w:sz="4" w:space="0"/>
              <w:right w:val="dotted" w:color="auto" w:sz="4" w:space="0"/>
            </w:tcBorders>
            <w:shd w:val="clear" w:color="auto" w:fill="auto"/>
            <w:noWrap/>
            <w:vAlign w:val="bottom"/>
            <w:hideMark/>
          </w:tcPr>
          <w:p w:rsidRPr="00556607" w:rsidR="00224914" w:rsidP="00224914" w:rsidRDefault="00224914" w14:paraId="1CAA021B" w14:textId="77777777">
            <w:pPr>
              <w:spacing w:after="0" w:line="240" w:lineRule="auto"/>
              <w:jc w:val="right"/>
              <w:rPr>
                <w:rFonts w:eastAsia="Times New Roman" w:cs="Calibri"/>
                <w:sz w:val="16"/>
                <w:szCs w:val="16"/>
              </w:rPr>
            </w:pPr>
            <w:r w:rsidRPr="00556607">
              <w:rPr>
                <w:rFonts w:eastAsia="Times New Roman" w:cs="Calibri"/>
                <w:sz w:val="16"/>
                <w:szCs w:val="16"/>
              </w:rPr>
              <w:t>12.657</w:t>
            </w:r>
          </w:p>
        </w:tc>
        <w:tc>
          <w:tcPr>
            <w:tcW w:w="859" w:type="dxa"/>
            <w:tcBorders>
              <w:top w:val="nil"/>
              <w:left w:val="dotted" w:color="auto" w:sz="4" w:space="0"/>
              <w:bottom w:val="single" w:color="auto" w:sz="4" w:space="0"/>
            </w:tcBorders>
            <w:shd w:val="clear" w:color="auto" w:fill="auto"/>
            <w:noWrap/>
            <w:vAlign w:val="bottom"/>
            <w:hideMark/>
          </w:tcPr>
          <w:p w:rsidRPr="00556607" w:rsidR="00224914" w:rsidP="00224914" w:rsidRDefault="00224914" w14:paraId="411F7A2F" w14:textId="77777777">
            <w:pPr>
              <w:spacing w:after="0" w:line="240" w:lineRule="auto"/>
              <w:jc w:val="right"/>
              <w:rPr>
                <w:rFonts w:eastAsia="Times New Roman" w:cs="Calibri"/>
                <w:sz w:val="16"/>
                <w:szCs w:val="16"/>
              </w:rPr>
            </w:pPr>
            <w:r>
              <w:rPr>
                <w:rFonts w:eastAsia="Times New Roman" w:cs="Calibri"/>
                <w:sz w:val="16"/>
                <w:szCs w:val="16"/>
              </w:rPr>
              <w:t>12.845</w:t>
            </w:r>
          </w:p>
        </w:tc>
        <w:tc>
          <w:tcPr>
            <w:tcW w:w="859" w:type="dxa"/>
            <w:tcBorders>
              <w:top w:val="nil"/>
              <w:bottom w:val="single" w:color="auto" w:sz="4" w:space="0"/>
            </w:tcBorders>
            <w:shd w:val="clear" w:color="auto" w:fill="auto"/>
            <w:noWrap/>
            <w:vAlign w:val="bottom"/>
            <w:hideMark/>
          </w:tcPr>
          <w:p w:rsidRPr="00556607" w:rsidR="00224914" w:rsidP="00224914" w:rsidRDefault="00224914" w14:paraId="6F9F35A3" w14:textId="77777777">
            <w:pPr>
              <w:spacing w:after="0" w:line="240" w:lineRule="auto"/>
              <w:jc w:val="right"/>
              <w:rPr>
                <w:rFonts w:eastAsia="Times New Roman" w:cs="Calibri"/>
                <w:sz w:val="16"/>
                <w:szCs w:val="16"/>
              </w:rPr>
            </w:pPr>
            <w:r>
              <w:rPr>
                <w:rFonts w:eastAsia="Times New Roman" w:cs="Calibri"/>
                <w:sz w:val="16"/>
                <w:szCs w:val="16"/>
              </w:rPr>
              <w:t>12.845</w:t>
            </w:r>
          </w:p>
        </w:tc>
      </w:tr>
      <w:tr w:rsidRPr="00556607" w:rsidR="00224914" w:rsidTr="00557986" w14:paraId="62FBA740" w14:textId="77777777">
        <w:trPr>
          <w:trHeight w:val="256"/>
        </w:trPr>
        <w:tc>
          <w:tcPr>
            <w:tcW w:w="3366" w:type="dxa"/>
            <w:tcBorders>
              <w:top w:val="single" w:color="auto" w:sz="4" w:space="0"/>
            </w:tcBorders>
            <w:shd w:val="clear" w:color="auto" w:fill="auto"/>
            <w:hideMark/>
          </w:tcPr>
          <w:p w:rsidRPr="00556607" w:rsidR="00224914" w:rsidP="00224914" w:rsidRDefault="00224914" w14:paraId="3D4A6489" w14:textId="77777777">
            <w:pPr>
              <w:spacing w:after="0" w:line="240" w:lineRule="auto"/>
              <w:rPr>
                <w:rFonts w:eastAsia="Times New Roman" w:cs="Calibri"/>
                <w:b/>
                <w:bCs/>
                <w:sz w:val="16"/>
                <w:szCs w:val="16"/>
              </w:rPr>
            </w:pPr>
            <w:r w:rsidRPr="00556607">
              <w:rPr>
                <w:rFonts w:eastAsia="Times New Roman" w:cs="Calibri"/>
                <w:b/>
                <w:bCs/>
                <w:sz w:val="16"/>
                <w:szCs w:val="16"/>
              </w:rPr>
              <w:t>[A] Totale begrotingscategorieën</w:t>
            </w:r>
          </w:p>
        </w:tc>
        <w:tc>
          <w:tcPr>
            <w:tcW w:w="859" w:type="dxa"/>
            <w:tcBorders>
              <w:top w:val="single" w:color="auto" w:sz="4" w:space="0"/>
            </w:tcBorders>
            <w:shd w:val="clear" w:color="auto" w:fill="auto"/>
            <w:noWrap/>
            <w:vAlign w:val="bottom"/>
            <w:hideMark/>
          </w:tcPr>
          <w:p w:rsidRPr="00556607" w:rsidR="00224914" w:rsidP="00224914" w:rsidRDefault="00224914" w14:paraId="69FFAA98" w14:textId="77777777">
            <w:pPr>
              <w:spacing w:after="0" w:line="240" w:lineRule="auto"/>
              <w:jc w:val="right"/>
              <w:rPr>
                <w:rFonts w:eastAsia="Times New Roman" w:cs="Calibri"/>
                <w:b/>
                <w:bCs/>
                <w:sz w:val="16"/>
                <w:szCs w:val="16"/>
              </w:rPr>
            </w:pPr>
            <w:r w:rsidRPr="00556607">
              <w:rPr>
                <w:rFonts w:eastAsia="Times New Roman" w:cs="Calibri"/>
                <w:b/>
                <w:bCs/>
                <w:sz w:val="16"/>
                <w:szCs w:val="16"/>
              </w:rPr>
              <w:t>192.744</w:t>
            </w:r>
          </w:p>
        </w:tc>
        <w:tc>
          <w:tcPr>
            <w:tcW w:w="859" w:type="dxa"/>
            <w:tcBorders>
              <w:top w:val="single" w:color="auto" w:sz="4" w:space="0"/>
              <w:right w:val="dotted" w:color="auto" w:sz="4" w:space="0"/>
            </w:tcBorders>
            <w:shd w:val="clear" w:color="auto" w:fill="auto"/>
            <w:noWrap/>
            <w:vAlign w:val="bottom"/>
            <w:hideMark/>
          </w:tcPr>
          <w:p w:rsidRPr="00556607" w:rsidR="00224914" w:rsidP="00224914" w:rsidRDefault="00224914" w14:paraId="1040665C" w14:textId="77777777">
            <w:pPr>
              <w:spacing w:after="0" w:line="240" w:lineRule="auto"/>
              <w:jc w:val="right"/>
              <w:rPr>
                <w:rFonts w:eastAsia="Times New Roman" w:cs="Calibri"/>
                <w:b/>
                <w:bCs/>
                <w:sz w:val="16"/>
                <w:szCs w:val="16"/>
              </w:rPr>
            </w:pPr>
            <w:r w:rsidRPr="00556607">
              <w:rPr>
                <w:rFonts w:eastAsia="Times New Roman" w:cs="Calibri"/>
                <w:b/>
                <w:bCs/>
                <w:sz w:val="16"/>
                <w:szCs w:val="16"/>
              </w:rPr>
              <w:t>149.745</w:t>
            </w:r>
          </w:p>
        </w:tc>
        <w:tc>
          <w:tcPr>
            <w:tcW w:w="859" w:type="dxa"/>
            <w:tcBorders>
              <w:top w:val="single" w:color="auto" w:sz="4" w:space="0"/>
              <w:left w:val="dotted" w:color="auto" w:sz="4" w:space="0"/>
            </w:tcBorders>
            <w:shd w:val="clear" w:color="auto" w:fill="auto"/>
            <w:noWrap/>
            <w:vAlign w:val="bottom"/>
            <w:hideMark/>
          </w:tcPr>
          <w:p w:rsidRPr="00556607" w:rsidR="00224914" w:rsidP="00224914" w:rsidRDefault="00224914" w14:paraId="11A3826F" w14:textId="77777777">
            <w:pPr>
              <w:spacing w:after="0" w:line="240" w:lineRule="auto"/>
              <w:jc w:val="right"/>
              <w:rPr>
                <w:rFonts w:eastAsia="Times New Roman" w:cs="Calibri"/>
                <w:b/>
                <w:bCs/>
                <w:sz w:val="16"/>
                <w:szCs w:val="16"/>
              </w:rPr>
            </w:pPr>
            <w:r w:rsidRPr="00556607">
              <w:rPr>
                <w:rFonts w:eastAsia="Times New Roman" w:cs="Calibri"/>
                <w:b/>
                <w:bCs/>
                <w:sz w:val="16"/>
                <w:szCs w:val="16"/>
              </w:rPr>
              <w:t>191.527</w:t>
            </w:r>
          </w:p>
        </w:tc>
        <w:tc>
          <w:tcPr>
            <w:tcW w:w="859" w:type="dxa"/>
            <w:tcBorders>
              <w:top w:val="single" w:color="auto" w:sz="4" w:space="0"/>
              <w:right w:val="dotted" w:color="auto" w:sz="4" w:space="0"/>
            </w:tcBorders>
            <w:shd w:val="clear" w:color="auto" w:fill="auto"/>
            <w:noWrap/>
            <w:vAlign w:val="bottom"/>
            <w:hideMark/>
          </w:tcPr>
          <w:p w:rsidRPr="00556607" w:rsidR="00224914" w:rsidP="00224914" w:rsidRDefault="00224914" w14:paraId="48CF99D7" w14:textId="77777777">
            <w:pPr>
              <w:spacing w:after="0" w:line="240" w:lineRule="auto"/>
              <w:jc w:val="right"/>
              <w:rPr>
                <w:rFonts w:eastAsia="Times New Roman" w:cs="Calibri"/>
                <w:b/>
                <w:bCs/>
                <w:sz w:val="16"/>
                <w:szCs w:val="16"/>
              </w:rPr>
            </w:pPr>
            <w:r w:rsidRPr="00556607">
              <w:rPr>
                <w:rFonts w:eastAsia="Times New Roman" w:cs="Calibri"/>
                <w:b/>
                <w:bCs/>
                <w:sz w:val="16"/>
                <w:szCs w:val="16"/>
              </w:rPr>
              <w:t>146.215</w:t>
            </w:r>
          </w:p>
        </w:tc>
        <w:tc>
          <w:tcPr>
            <w:tcW w:w="859" w:type="dxa"/>
            <w:tcBorders>
              <w:top w:val="single" w:color="auto" w:sz="4" w:space="0"/>
              <w:left w:val="dotted" w:color="auto" w:sz="4" w:space="0"/>
            </w:tcBorders>
            <w:shd w:val="clear" w:color="auto" w:fill="auto"/>
            <w:noWrap/>
            <w:vAlign w:val="bottom"/>
            <w:hideMark/>
          </w:tcPr>
          <w:p w:rsidRPr="00556607" w:rsidR="00224914" w:rsidP="00224914" w:rsidRDefault="00224914" w14:paraId="5F4DABD0" w14:textId="77777777">
            <w:pPr>
              <w:spacing w:after="0" w:line="240" w:lineRule="auto"/>
              <w:jc w:val="right"/>
              <w:rPr>
                <w:rFonts w:eastAsia="Times New Roman" w:cs="Calibri"/>
                <w:b/>
                <w:bCs/>
                <w:sz w:val="16"/>
                <w:szCs w:val="16"/>
              </w:rPr>
            </w:pPr>
            <w:r w:rsidRPr="00556607">
              <w:rPr>
                <w:rFonts w:eastAsia="Times New Roman" w:cs="Calibri"/>
                <w:b/>
                <w:bCs/>
                <w:sz w:val="16"/>
                <w:szCs w:val="16"/>
              </w:rPr>
              <w:t>194.282</w:t>
            </w:r>
          </w:p>
        </w:tc>
        <w:tc>
          <w:tcPr>
            <w:tcW w:w="859" w:type="dxa"/>
            <w:tcBorders>
              <w:top w:val="single" w:color="auto" w:sz="4" w:space="0"/>
              <w:right w:val="dotted" w:color="auto" w:sz="4" w:space="0"/>
            </w:tcBorders>
            <w:shd w:val="clear" w:color="auto" w:fill="auto"/>
            <w:noWrap/>
            <w:vAlign w:val="bottom"/>
            <w:hideMark/>
          </w:tcPr>
          <w:p w:rsidRPr="00556607" w:rsidR="00224914" w:rsidP="00224914" w:rsidRDefault="00224914" w14:paraId="41C53B2E" w14:textId="77777777">
            <w:pPr>
              <w:spacing w:after="0" w:line="240" w:lineRule="auto"/>
              <w:jc w:val="right"/>
              <w:rPr>
                <w:rFonts w:eastAsia="Times New Roman" w:cs="Calibri"/>
                <w:b/>
                <w:bCs/>
                <w:sz w:val="16"/>
                <w:szCs w:val="16"/>
              </w:rPr>
            </w:pPr>
            <w:r w:rsidRPr="00556607">
              <w:rPr>
                <w:rFonts w:eastAsia="Times New Roman" w:cs="Calibri"/>
                <w:b/>
                <w:bCs/>
                <w:sz w:val="16"/>
                <w:szCs w:val="16"/>
              </w:rPr>
              <w:t>147.896</w:t>
            </w:r>
          </w:p>
        </w:tc>
        <w:tc>
          <w:tcPr>
            <w:tcW w:w="859" w:type="dxa"/>
            <w:tcBorders>
              <w:top w:val="single" w:color="auto" w:sz="4" w:space="0"/>
              <w:left w:val="dotted" w:color="auto" w:sz="4" w:space="0"/>
            </w:tcBorders>
            <w:shd w:val="clear" w:color="auto" w:fill="auto"/>
            <w:noWrap/>
            <w:vAlign w:val="bottom"/>
            <w:hideMark/>
          </w:tcPr>
          <w:p w:rsidRPr="00556607" w:rsidR="00224914" w:rsidP="00224914" w:rsidRDefault="00224914" w14:paraId="467C2DC6" w14:textId="77777777">
            <w:pPr>
              <w:spacing w:after="0" w:line="240" w:lineRule="auto"/>
              <w:jc w:val="right"/>
              <w:rPr>
                <w:rFonts w:eastAsia="Times New Roman" w:cs="Calibri"/>
                <w:b/>
                <w:bCs/>
                <w:sz w:val="16"/>
                <w:szCs w:val="16"/>
              </w:rPr>
            </w:pPr>
            <w:r>
              <w:rPr>
                <w:rFonts w:eastAsia="Times New Roman" w:cs="Calibri"/>
                <w:b/>
                <w:bCs/>
                <w:sz w:val="16"/>
                <w:szCs w:val="16"/>
              </w:rPr>
              <w:t>192.769</w:t>
            </w:r>
          </w:p>
        </w:tc>
        <w:tc>
          <w:tcPr>
            <w:tcW w:w="859" w:type="dxa"/>
            <w:tcBorders>
              <w:top w:val="single" w:color="auto" w:sz="4" w:space="0"/>
            </w:tcBorders>
            <w:shd w:val="clear" w:color="auto" w:fill="auto"/>
            <w:noWrap/>
            <w:vAlign w:val="bottom"/>
            <w:hideMark/>
          </w:tcPr>
          <w:p w:rsidRPr="00556607" w:rsidR="00224914" w:rsidP="00224914" w:rsidRDefault="00224914" w14:paraId="24F4EB82" w14:textId="77777777">
            <w:pPr>
              <w:spacing w:after="0" w:line="240" w:lineRule="auto"/>
              <w:jc w:val="right"/>
              <w:rPr>
                <w:rFonts w:eastAsia="Times New Roman" w:cs="Calibri"/>
                <w:b/>
                <w:bCs/>
                <w:sz w:val="16"/>
                <w:szCs w:val="16"/>
              </w:rPr>
            </w:pPr>
            <w:r>
              <w:rPr>
                <w:rFonts w:eastAsia="Times New Roman" w:cs="Calibri"/>
                <w:b/>
                <w:bCs/>
                <w:sz w:val="16"/>
                <w:szCs w:val="16"/>
              </w:rPr>
              <w:t>149.616</w:t>
            </w:r>
          </w:p>
        </w:tc>
      </w:tr>
      <w:tr w:rsidRPr="00556607" w:rsidR="00224914" w:rsidTr="00557986" w14:paraId="6A83B46A" w14:textId="77777777">
        <w:trPr>
          <w:trHeight w:val="256"/>
        </w:trPr>
        <w:tc>
          <w:tcPr>
            <w:tcW w:w="3366" w:type="dxa"/>
            <w:tcBorders>
              <w:top w:val="nil"/>
            </w:tcBorders>
            <w:shd w:val="clear" w:color="auto" w:fill="auto"/>
            <w:hideMark/>
          </w:tcPr>
          <w:p w:rsidRPr="00556607" w:rsidR="00224914" w:rsidP="00224914" w:rsidRDefault="00224914" w14:paraId="6B4C37F6" w14:textId="77777777">
            <w:pPr>
              <w:spacing w:after="0" w:line="240" w:lineRule="auto"/>
              <w:rPr>
                <w:rFonts w:eastAsia="Times New Roman" w:cs="Calibri"/>
                <w:sz w:val="16"/>
                <w:szCs w:val="16"/>
              </w:rPr>
            </w:pPr>
            <w:r w:rsidRPr="00556607">
              <w:rPr>
                <w:rFonts w:eastAsia="Times New Roman" w:cs="Calibri"/>
                <w:sz w:val="16"/>
                <w:szCs w:val="16"/>
              </w:rPr>
              <w:t>[B] Waarvan inzet speciale instrumenten</w:t>
            </w:r>
          </w:p>
        </w:tc>
        <w:tc>
          <w:tcPr>
            <w:tcW w:w="859" w:type="dxa"/>
            <w:tcBorders>
              <w:top w:val="nil"/>
            </w:tcBorders>
            <w:shd w:val="clear" w:color="auto" w:fill="auto"/>
            <w:hideMark/>
          </w:tcPr>
          <w:p w:rsidRPr="00556607" w:rsidR="00224914" w:rsidP="00224914" w:rsidRDefault="00224914" w14:paraId="660BBFEB" w14:textId="77777777">
            <w:pPr>
              <w:spacing w:after="0" w:line="240" w:lineRule="auto"/>
              <w:jc w:val="right"/>
              <w:rPr>
                <w:rFonts w:eastAsia="Times New Roman" w:cs="Calibri"/>
                <w:sz w:val="16"/>
                <w:szCs w:val="16"/>
              </w:rPr>
            </w:pPr>
            <w:r w:rsidRPr="00556607">
              <w:rPr>
                <w:rFonts w:eastAsia="Times New Roman" w:cs="Calibri"/>
                <w:sz w:val="16"/>
                <w:szCs w:val="16"/>
              </w:rPr>
              <w:t>2.962</w:t>
            </w:r>
          </w:p>
        </w:tc>
        <w:tc>
          <w:tcPr>
            <w:tcW w:w="859" w:type="dxa"/>
            <w:tcBorders>
              <w:top w:val="nil"/>
              <w:right w:val="dotted" w:color="auto" w:sz="4" w:space="0"/>
            </w:tcBorders>
            <w:shd w:val="clear" w:color="auto" w:fill="auto"/>
            <w:hideMark/>
          </w:tcPr>
          <w:p w:rsidRPr="00556607" w:rsidR="00224914" w:rsidP="00224914" w:rsidRDefault="00224914" w14:paraId="6BCE7568" w14:textId="77777777">
            <w:pPr>
              <w:spacing w:after="0" w:line="240" w:lineRule="auto"/>
              <w:jc w:val="right"/>
              <w:rPr>
                <w:rFonts w:eastAsia="Times New Roman" w:cs="Calibri"/>
                <w:sz w:val="16"/>
                <w:szCs w:val="16"/>
              </w:rPr>
            </w:pPr>
            <w:r w:rsidRPr="00556607">
              <w:rPr>
                <w:rFonts w:eastAsia="Times New Roman" w:cs="Calibri"/>
                <w:sz w:val="16"/>
                <w:szCs w:val="16"/>
              </w:rPr>
              <w:t>2.517</w:t>
            </w:r>
          </w:p>
        </w:tc>
        <w:tc>
          <w:tcPr>
            <w:tcW w:w="859" w:type="dxa"/>
            <w:tcBorders>
              <w:top w:val="nil"/>
              <w:left w:val="dotted" w:color="auto" w:sz="4" w:space="0"/>
            </w:tcBorders>
            <w:shd w:val="clear" w:color="auto" w:fill="auto"/>
            <w:hideMark/>
          </w:tcPr>
          <w:p w:rsidRPr="00556607" w:rsidR="00224914" w:rsidP="00224914" w:rsidRDefault="00224914" w14:paraId="6A7B0B38" w14:textId="77777777">
            <w:pPr>
              <w:spacing w:after="0" w:line="240" w:lineRule="auto"/>
              <w:jc w:val="right"/>
              <w:rPr>
                <w:rFonts w:eastAsia="Times New Roman" w:cs="Calibri"/>
                <w:sz w:val="16"/>
                <w:szCs w:val="16"/>
              </w:rPr>
            </w:pPr>
            <w:r w:rsidRPr="00556607">
              <w:rPr>
                <w:rFonts w:eastAsia="Times New Roman" w:cs="Calibri"/>
                <w:sz w:val="16"/>
                <w:szCs w:val="16"/>
              </w:rPr>
              <w:t>2.099</w:t>
            </w:r>
          </w:p>
        </w:tc>
        <w:tc>
          <w:tcPr>
            <w:tcW w:w="859" w:type="dxa"/>
            <w:tcBorders>
              <w:top w:val="nil"/>
              <w:right w:val="dotted" w:color="auto" w:sz="4" w:space="0"/>
            </w:tcBorders>
            <w:shd w:val="clear" w:color="auto" w:fill="auto"/>
            <w:hideMark/>
          </w:tcPr>
          <w:p w:rsidRPr="00556607" w:rsidR="00224914" w:rsidP="00224914" w:rsidRDefault="00224914" w14:paraId="0D6A47AD" w14:textId="77777777">
            <w:pPr>
              <w:spacing w:after="0" w:line="240" w:lineRule="auto"/>
              <w:jc w:val="right"/>
              <w:rPr>
                <w:rFonts w:eastAsia="Times New Roman" w:cs="Calibri"/>
                <w:sz w:val="16"/>
                <w:szCs w:val="16"/>
              </w:rPr>
            </w:pPr>
            <w:r w:rsidRPr="00556607">
              <w:rPr>
                <w:rFonts w:eastAsia="Times New Roman" w:cs="Calibri"/>
                <w:sz w:val="16"/>
                <w:szCs w:val="16"/>
              </w:rPr>
              <w:t>2.165</w:t>
            </w:r>
          </w:p>
        </w:tc>
        <w:tc>
          <w:tcPr>
            <w:tcW w:w="859" w:type="dxa"/>
            <w:tcBorders>
              <w:top w:val="nil"/>
              <w:left w:val="dotted" w:color="auto" w:sz="4" w:space="0"/>
            </w:tcBorders>
            <w:shd w:val="clear" w:color="auto" w:fill="auto"/>
            <w:noWrap/>
            <w:vAlign w:val="bottom"/>
            <w:hideMark/>
          </w:tcPr>
          <w:p w:rsidRPr="00556607" w:rsidR="00224914" w:rsidP="00224914" w:rsidRDefault="00224914" w14:paraId="414C73A4" w14:textId="77777777">
            <w:pPr>
              <w:spacing w:after="0" w:line="240" w:lineRule="auto"/>
              <w:jc w:val="right"/>
              <w:rPr>
                <w:rFonts w:eastAsia="Times New Roman" w:cs="Calibri"/>
                <w:sz w:val="16"/>
                <w:szCs w:val="16"/>
              </w:rPr>
            </w:pPr>
            <w:r w:rsidRPr="00556607">
              <w:rPr>
                <w:rFonts w:eastAsia="Times New Roman" w:cs="Calibri"/>
                <w:sz w:val="16"/>
                <w:szCs w:val="16"/>
              </w:rPr>
              <w:t>3.771</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2CFD3278" w14:textId="77777777">
            <w:pPr>
              <w:spacing w:after="0" w:line="240" w:lineRule="auto"/>
              <w:jc w:val="right"/>
              <w:rPr>
                <w:rFonts w:eastAsia="Times New Roman" w:cs="Calibri"/>
                <w:sz w:val="16"/>
                <w:szCs w:val="16"/>
              </w:rPr>
            </w:pPr>
            <w:r w:rsidRPr="00556607">
              <w:rPr>
                <w:rFonts w:eastAsia="Times New Roman" w:cs="Calibri"/>
                <w:sz w:val="16"/>
                <w:szCs w:val="16"/>
              </w:rPr>
              <w:t>3.503</w:t>
            </w:r>
          </w:p>
        </w:tc>
        <w:tc>
          <w:tcPr>
            <w:tcW w:w="859" w:type="dxa"/>
            <w:tcBorders>
              <w:top w:val="nil"/>
              <w:left w:val="dotted" w:color="auto" w:sz="4" w:space="0"/>
            </w:tcBorders>
            <w:shd w:val="clear" w:color="auto" w:fill="auto"/>
            <w:noWrap/>
            <w:vAlign w:val="bottom"/>
            <w:hideMark/>
          </w:tcPr>
          <w:p w:rsidRPr="00556607" w:rsidR="00224914" w:rsidP="00224914" w:rsidRDefault="00224914" w14:paraId="088601E9" w14:textId="77777777">
            <w:pPr>
              <w:spacing w:after="0" w:line="240" w:lineRule="auto"/>
              <w:jc w:val="right"/>
              <w:rPr>
                <w:rFonts w:eastAsia="Times New Roman" w:cs="Calibri"/>
                <w:sz w:val="16"/>
                <w:szCs w:val="16"/>
              </w:rPr>
            </w:pPr>
            <w:r w:rsidRPr="00556607">
              <w:rPr>
                <w:rFonts w:eastAsia="Times New Roman" w:cs="Calibri"/>
                <w:sz w:val="16"/>
                <w:szCs w:val="16"/>
              </w:rPr>
              <w:t>2.922</w:t>
            </w:r>
          </w:p>
        </w:tc>
        <w:tc>
          <w:tcPr>
            <w:tcW w:w="859" w:type="dxa"/>
            <w:tcBorders>
              <w:top w:val="nil"/>
            </w:tcBorders>
            <w:shd w:val="clear" w:color="auto" w:fill="auto"/>
            <w:noWrap/>
            <w:vAlign w:val="bottom"/>
            <w:hideMark/>
          </w:tcPr>
          <w:p w:rsidRPr="00556607" w:rsidR="00224914" w:rsidP="00224914" w:rsidRDefault="00224914" w14:paraId="1803F2BB" w14:textId="77777777">
            <w:pPr>
              <w:spacing w:after="0" w:line="240" w:lineRule="auto"/>
              <w:jc w:val="right"/>
              <w:rPr>
                <w:rFonts w:eastAsia="Times New Roman" w:cs="Calibri"/>
                <w:sz w:val="16"/>
                <w:szCs w:val="16"/>
              </w:rPr>
            </w:pPr>
            <w:r w:rsidRPr="00556607">
              <w:rPr>
                <w:rFonts w:eastAsia="Times New Roman" w:cs="Calibri"/>
                <w:sz w:val="16"/>
                <w:szCs w:val="16"/>
              </w:rPr>
              <w:t>2.697</w:t>
            </w:r>
          </w:p>
        </w:tc>
      </w:tr>
      <w:tr w:rsidRPr="00556607" w:rsidR="00224914" w:rsidTr="00557986" w14:paraId="589DE84C" w14:textId="77777777">
        <w:trPr>
          <w:trHeight w:val="256"/>
        </w:trPr>
        <w:tc>
          <w:tcPr>
            <w:tcW w:w="3366" w:type="dxa"/>
            <w:tcBorders>
              <w:top w:val="nil"/>
            </w:tcBorders>
            <w:shd w:val="clear" w:color="auto" w:fill="auto"/>
            <w:hideMark/>
          </w:tcPr>
          <w:p w:rsidRPr="00556607" w:rsidR="00224914" w:rsidP="00224914" w:rsidRDefault="00224914" w14:paraId="59AD4775" w14:textId="77777777">
            <w:pPr>
              <w:spacing w:after="0" w:line="240" w:lineRule="auto"/>
              <w:ind w:firstLine="160" w:firstLineChars="100"/>
              <w:rPr>
                <w:rFonts w:eastAsia="Times New Roman" w:cs="Calibri"/>
                <w:sz w:val="16"/>
                <w:szCs w:val="16"/>
              </w:rPr>
            </w:pPr>
            <w:r w:rsidRPr="00556607">
              <w:rPr>
                <w:rFonts w:eastAsia="Times New Roman" w:cs="Calibri"/>
                <w:sz w:val="16"/>
                <w:szCs w:val="16"/>
              </w:rPr>
              <w:t>Flexibiliteitsinstrument</w:t>
            </w:r>
          </w:p>
        </w:tc>
        <w:tc>
          <w:tcPr>
            <w:tcW w:w="859" w:type="dxa"/>
            <w:tcBorders>
              <w:top w:val="nil"/>
            </w:tcBorders>
            <w:shd w:val="clear" w:color="auto" w:fill="auto"/>
            <w:hideMark/>
          </w:tcPr>
          <w:p w:rsidRPr="00556607" w:rsidR="00224914" w:rsidP="00224914" w:rsidRDefault="00224914" w14:paraId="679B447E" w14:textId="77777777">
            <w:pPr>
              <w:spacing w:after="0" w:line="240" w:lineRule="auto"/>
              <w:jc w:val="right"/>
              <w:rPr>
                <w:rFonts w:eastAsia="Times New Roman" w:cs="Calibri"/>
                <w:sz w:val="16"/>
                <w:szCs w:val="16"/>
              </w:rPr>
            </w:pPr>
            <w:r w:rsidRPr="00556607">
              <w:rPr>
                <w:rFonts w:eastAsia="Times New Roman" w:cs="Calibri"/>
                <w:sz w:val="16"/>
                <w:szCs w:val="16"/>
              </w:rPr>
              <w:t>1.110</w:t>
            </w:r>
          </w:p>
        </w:tc>
        <w:tc>
          <w:tcPr>
            <w:tcW w:w="859" w:type="dxa"/>
            <w:tcBorders>
              <w:top w:val="nil"/>
              <w:right w:val="dotted" w:color="auto" w:sz="4" w:space="0"/>
            </w:tcBorders>
            <w:shd w:val="clear" w:color="auto" w:fill="auto"/>
            <w:hideMark/>
          </w:tcPr>
          <w:p w:rsidRPr="00556607" w:rsidR="00224914" w:rsidP="00224914" w:rsidRDefault="00224914" w14:paraId="4A9F92AE" w14:textId="77777777">
            <w:pPr>
              <w:spacing w:after="0" w:line="240" w:lineRule="auto"/>
              <w:jc w:val="right"/>
              <w:rPr>
                <w:rFonts w:eastAsia="Times New Roman" w:cs="Calibri"/>
                <w:sz w:val="16"/>
                <w:szCs w:val="16"/>
              </w:rPr>
            </w:pPr>
            <w:r w:rsidRPr="00556607">
              <w:rPr>
                <w:rFonts w:eastAsia="Times New Roman" w:cs="Calibri"/>
                <w:sz w:val="16"/>
                <w:szCs w:val="16"/>
              </w:rPr>
              <w:t>1.375</w:t>
            </w:r>
          </w:p>
        </w:tc>
        <w:tc>
          <w:tcPr>
            <w:tcW w:w="859" w:type="dxa"/>
            <w:tcBorders>
              <w:top w:val="nil"/>
              <w:left w:val="dotted" w:color="auto" w:sz="4" w:space="0"/>
            </w:tcBorders>
            <w:shd w:val="clear" w:color="auto" w:fill="auto"/>
            <w:hideMark/>
          </w:tcPr>
          <w:p w:rsidRPr="00556607" w:rsidR="00224914" w:rsidP="00224914" w:rsidRDefault="00224914" w14:paraId="66CAEF2E" w14:textId="77777777">
            <w:pPr>
              <w:spacing w:after="0" w:line="240" w:lineRule="auto"/>
              <w:jc w:val="right"/>
              <w:rPr>
                <w:rFonts w:eastAsia="Times New Roman" w:cs="Calibri"/>
                <w:sz w:val="16"/>
                <w:szCs w:val="16"/>
              </w:rPr>
            </w:pPr>
            <w:r w:rsidRPr="00556607">
              <w:rPr>
                <w:rFonts w:eastAsia="Times New Roman" w:cs="Calibri"/>
                <w:sz w:val="16"/>
                <w:szCs w:val="16"/>
              </w:rPr>
              <w:t>916</w:t>
            </w:r>
          </w:p>
        </w:tc>
        <w:tc>
          <w:tcPr>
            <w:tcW w:w="859" w:type="dxa"/>
            <w:tcBorders>
              <w:top w:val="nil"/>
              <w:right w:val="dotted" w:color="auto" w:sz="4" w:space="0"/>
            </w:tcBorders>
            <w:shd w:val="clear" w:color="auto" w:fill="auto"/>
            <w:hideMark/>
          </w:tcPr>
          <w:p w:rsidRPr="00556607" w:rsidR="00224914" w:rsidP="00224914" w:rsidRDefault="00224914" w14:paraId="1246ACFA" w14:textId="77777777">
            <w:pPr>
              <w:spacing w:after="0" w:line="240" w:lineRule="auto"/>
              <w:jc w:val="right"/>
              <w:rPr>
                <w:rFonts w:eastAsia="Times New Roman" w:cs="Calibri"/>
                <w:sz w:val="16"/>
                <w:szCs w:val="16"/>
              </w:rPr>
            </w:pPr>
            <w:r w:rsidRPr="00556607">
              <w:rPr>
                <w:rFonts w:eastAsia="Times New Roman" w:cs="Calibri"/>
                <w:sz w:val="16"/>
                <w:szCs w:val="16"/>
              </w:rPr>
              <w:t>1.458</w:t>
            </w:r>
          </w:p>
        </w:tc>
        <w:tc>
          <w:tcPr>
            <w:tcW w:w="859" w:type="dxa"/>
            <w:tcBorders>
              <w:top w:val="nil"/>
              <w:left w:val="dotted" w:color="auto" w:sz="4" w:space="0"/>
            </w:tcBorders>
            <w:shd w:val="clear" w:color="auto" w:fill="auto"/>
            <w:noWrap/>
            <w:vAlign w:val="bottom"/>
            <w:hideMark/>
          </w:tcPr>
          <w:p w:rsidRPr="00556607" w:rsidR="00224914" w:rsidP="00224914" w:rsidRDefault="00224914" w14:paraId="3C66B090" w14:textId="77777777">
            <w:pPr>
              <w:spacing w:after="0" w:line="240" w:lineRule="auto"/>
              <w:jc w:val="right"/>
              <w:rPr>
                <w:rFonts w:eastAsia="Times New Roman" w:cs="Calibri"/>
                <w:sz w:val="16"/>
                <w:szCs w:val="16"/>
              </w:rPr>
            </w:pPr>
            <w:r w:rsidRPr="00556607">
              <w:rPr>
                <w:rFonts w:eastAsia="Times New Roman" w:cs="Calibri"/>
                <w:sz w:val="16"/>
                <w:szCs w:val="16"/>
              </w:rPr>
              <w:t>1.627</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4A905190" w14:textId="77777777">
            <w:pPr>
              <w:spacing w:after="0" w:line="240" w:lineRule="auto"/>
              <w:jc w:val="right"/>
              <w:rPr>
                <w:rFonts w:eastAsia="Times New Roman" w:cs="Calibri"/>
                <w:sz w:val="16"/>
                <w:szCs w:val="16"/>
              </w:rPr>
            </w:pPr>
            <w:r w:rsidRPr="00556607">
              <w:rPr>
                <w:rFonts w:eastAsia="Times New Roman" w:cs="Calibri"/>
                <w:sz w:val="16"/>
                <w:szCs w:val="16"/>
              </w:rPr>
              <w:t>1.892</w:t>
            </w:r>
          </w:p>
        </w:tc>
        <w:tc>
          <w:tcPr>
            <w:tcW w:w="859" w:type="dxa"/>
            <w:tcBorders>
              <w:top w:val="nil"/>
              <w:left w:val="dotted" w:color="auto" w:sz="4" w:space="0"/>
            </w:tcBorders>
            <w:shd w:val="clear" w:color="auto" w:fill="auto"/>
            <w:noWrap/>
            <w:vAlign w:val="bottom"/>
            <w:hideMark/>
          </w:tcPr>
          <w:p w:rsidRPr="00556607" w:rsidR="00224914" w:rsidP="00224914" w:rsidRDefault="00224914" w14:paraId="1D95E592" w14:textId="77777777">
            <w:pPr>
              <w:spacing w:after="0" w:line="240" w:lineRule="auto"/>
              <w:jc w:val="right"/>
              <w:rPr>
                <w:rFonts w:eastAsia="Times New Roman" w:cs="Calibri"/>
                <w:sz w:val="16"/>
                <w:szCs w:val="16"/>
              </w:rPr>
            </w:pPr>
            <w:r>
              <w:rPr>
                <w:rFonts w:eastAsia="Times New Roman" w:cs="Calibri"/>
                <w:sz w:val="16"/>
                <w:szCs w:val="16"/>
              </w:rPr>
              <w:t>1.162</w:t>
            </w:r>
          </w:p>
        </w:tc>
        <w:tc>
          <w:tcPr>
            <w:tcW w:w="859" w:type="dxa"/>
            <w:tcBorders>
              <w:top w:val="nil"/>
            </w:tcBorders>
            <w:shd w:val="clear" w:color="auto" w:fill="auto"/>
            <w:noWrap/>
            <w:vAlign w:val="bottom"/>
            <w:hideMark/>
          </w:tcPr>
          <w:p w:rsidRPr="00556607" w:rsidR="00224914" w:rsidP="00224914" w:rsidRDefault="00224914" w14:paraId="1A94C6DE" w14:textId="77777777">
            <w:pPr>
              <w:spacing w:after="0" w:line="240" w:lineRule="auto"/>
              <w:jc w:val="right"/>
              <w:rPr>
                <w:rFonts w:eastAsia="Times New Roman" w:cs="Calibri"/>
                <w:sz w:val="16"/>
                <w:szCs w:val="16"/>
              </w:rPr>
            </w:pPr>
            <w:r>
              <w:rPr>
                <w:rFonts w:eastAsia="Times New Roman" w:cs="Calibri"/>
                <w:sz w:val="16"/>
                <w:szCs w:val="16"/>
              </w:rPr>
              <w:t>1.399</w:t>
            </w:r>
          </w:p>
        </w:tc>
      </w:tr>
      <w:tr w:rsidRPr="00556607" w:rsidR="00224914" w:rsidTr="00557986" w14:paraId="0AA82325" w14:textId="77777777">
        <w:trPr>
          <w:trHeight w:val="256"/>
        </w:trPr>
        <w:tc>
          <w:tcPr>
            <w:tcW w:w="3366" w:type="dxa"/>
            <w:tcBorders>
              <w:top w:val="nil"/>
            </w:tcBorders>
            <w:shd w:val="clear" w:color="auto" w:fill="auto"/>
            <w:hideMark/>
          </w:tcPr>
          <w:p w:rsidRPr="00556607" w:rsidR="00224914" w:rsidP="00224914" w:rsidRDefault="00224914" w14:paraId="3CE5878C" w14:textId="77777777">
            <w:pPr>
              <w:spacing w:after="0" w:line="240" w:lineRule="auto"/>
              <w:ind w:firstLine="160" w:firstLineChars="100"/>
              <w:rPr>
                <w:rFonts w:eastAsia="Times New Roman" w:cs="Calibri"/>
                <w:sz w:val="16"/>
                <w:szCs w:val="16"/>
              </w:rPr>
            </w:pPr>
            <w:r w:rsidRPr="00556607">
              <w:rPr>
                <w:rFonts w:eastAsia="Times New Roman" w:cs="Calibri"/>
                <w:sz w:val="16"/>
                <w:szCs w:val="16"/>
              </w:rPr>
              <w:t xml:space="preserve">Single </w:t>
            </w:r>
            <w:proofErr w:type="spellStart"/>
            <w:r w:rsidRPr="00556607">
              <w:rPr>
                <w:rFonts w:eastAsia="Times New Roman" w:cs="Calibri"/>
                <w:sz w:val="16"/>
                <w:szCs w:val="16"/>
              </w:rPr>
              <w:t>Margin</w:t>
            </w:r>
            <w:proofErr w:type="spellEnd"/>
            <w:r w:rsidRPr="00556607">
              <w:rPr>
                <w:rFonts w:eastAsia="Times New Roman" w:cs="Calibri"/>
                <w:sz w:val="16"/>
                <w:szCs w:val="16"/>
              </w:rPr>
              <w:t xml:space="preserve"> Instrument</w:t>
            </w:r>
          </w:p>
        </w:tc>
        <w:tc>
          <w:tcPr>
            <w:tcW w:w="859" w:type="dxa"/>
            <w:tcBorders>
              <w:top w:val="nil"/>
            </w:tcBorders>
            <w:shd w:val="clear" w:color="auto" w:fill="auto"/>
            <w:hideMark/>
          </w:tcPr>
          <w:p w:rsidRPr="00556607" w:rsidR="00224914" w:rsidP="00224914" w:rsidRDefault="00224914" w14:paraId="4C8DDAD4" w14:textId="77777777">
            <w:pPr>
              <w:spacing w:after="0" w:line="240" w:lineRule="auto"/>
              <w:jc w:val="right"/>
              <w:rPr>
                <w:rFonts w:eastAsia="Times New Roman" w:cs="Calibri"/>
                <w:sz w:val="16"/>
                <w:szCs w:val="16"/>
              </w:rPr>
            </w:pPr>
            <w:r w:rsidRPr="00556607">
              <w:rPr>
                <w:rFonts w:eastAsia="Times New Roman" w:cs="Calibri"/>
                <w:sz w:val="16"/>
                <w:szCs w:val="16"/>
              </w:rPr>
              <w:t>710</w:t>
            </w:r>
          </w:p>
        </w:tc>
        <w:tc>
          <w:tcPr>
            <w:tcW w:w="859" w:type="dxa"/>
            <w:tcBorders>
              <w:top w:val="nil"/>
              <w:right w:val="dotted" w:color="auto" w:sz="4" w:space="0"/>
            </w:tcBorders>
            <w:shd w:val="clear" w:color="auto" w:fill="auto"/>
            <w:hideMark/>
          </w:tcPr>
          <w:p w:rsidRPr="00556607" w:rsidR="00224914" w:rsidP="00224914" w:rsidRDefault="00224914" w14:paraId="7910D01A" w14:textId="77777777">
            <w:pPr>
              <w:spacing w:after="0" w:line="240" w:lineRule="auto"/>
              <w:jc w:val="right"/>
              <w:rPr>
                <w:rFonts w:eastAsia="Times New Roman" w:cs="Calibri"/>
                <w:sz w:val="16"/>
                <w:szCs w:val="16"/>
              </w:rPr>
            </w:pPr>
            <w:r w:rsidRPr="00556607">
              <w:rPr>
                <w:rFonts w:eastAsia="Times New Roman" w:cs="Calibri"/>
                <w:sz w:val="16"/>
                <w:szCs w:val="16"/>
              </w:rPr>
              <w:t> </w:t>
            </w:r>
          </w:p>
        </w:tc>
        <w:tc>
          <w:tcPr>
            <w:tcW w:w="859" w:type="dxa"/>
            <w:tcBorders>
              <w:top w:val="nil"/>
              <w:left w:val="dotted" w:color="auto" w:sz="4" w:space="0"/>
            </w:tcBorders>
            <w:shd w:val="clear" w:color="auto" w:fill="auto"/>
            <w:hideMark/>
          </w:tcPr>
          <w:p w:rsidRPr="00556607" w:rsidR="00224914" w:rsidP="00224914" w:rsidRDefault="00224914" w14:paraId="150C7487" w14:textId="77777777">
            <w:pPr>
              <w:spacing w:after="0" w:line="240" w:lineRule="auto"/>
              <w:jc w:val="right"/>
              <w:rPr>
                <w:rFonts w:eastAsia="Times New Roman" w:cs="Calibri"/>
                <w:sz w:val="16"/>
                <w:szCs w:val="16"/>
              </w:rPr>
            </w:pPr>
            <w:r w:rsidRPr="00556607">
              <w:rPr>
                <w:rFonts w:eastAsia="Times New Roman" w:cs="Calibri"/>
                <w:sz w:val="16"/>
                <w:szCs w:val="16"/>
              </w:rPr>
              <w:t>475</w:t>
            </w:r>
          </w:p>
        </w:tc>
        <w:tc>
          <w:tcPr>
            <w:tcW w:w="859" w:type="dxa"/>
            <w:tcBorders>
              <w:top w:val="nil"/>
              <w:right w:val="dotted" w:color="auto" w:sz="4" w:space="0"/>
            </w:tcBorders>
            <w:shd w:val="clear" w:color="auto" w:fill="auto"/>
            <w:hideMark/>
          </w:tcPr>
          <w:p w:rsidRPr="00556607" w:rsidR="00224914" w:rsidP="00224914" w:rsidRDefault="00224914" w14:paraId="19DF14EB" w14:textId="77777777">
            <w:pPr>
              <w:spacing w:after="0" w:line="240" w:lineRule="auto"/>
              <w:jc w:val="right"/>
              <w:rPr>
                <w:rFonts w:eastAsia="Times New Roman" w:cs="Calibri"/>
                <w:sz w:val="16"/>
                <w:szCs w:val="16"/>
              </w:rPr>
            </w:pPr>
            <w:r w:rsidRPr="00556607">
              <w:rPr>
                <w:rFonts w:eastAsia="Times New Roman" w:cs="Calibri"/>
                <w:sz w:val="16"/>
                <w:szCs w:val="16"/>
              </w:rPr>
              <w:t> </w:t>
            </w:r>
          </w:p>
        </w:tc>
        <w:tc>
          <w:tcPr>
            <w:tcW w:w="859" w:type="dxa"/>
            <w:tcBorders>
              <w:top w:val="nil"/>
              <w:left w:val="dotted" w:color="auto" w:sz="4" w:space="0"/>
            </w:tcBorders>
            <w:shd w:val="clear" w:color="auto" w:fill="auto"/>
            <w:noWrap/>
            <w:vAlign w:val="bottom"/>
            <w:hideMark/>
          </w:tcPr>
          <w:p w:rsidRPr="00556607" w:rsidR="00224914" w:rsidP="00224914" w:rsidRDefault="00224914" w14:paraId="1E3245DA" w14:textId="77777777">
            <w:pPr>
              <w:spacing w:after="0" w:line="240" w:lineRule="auto"/>
              <w:jc w:val="right"/>
              <w:rPr>
                <w:rFonts w:eastAsia="Times New Roman" w:cs="Calibri"/>
                <w:sz w:val="16"/>
                <w:szCs w:val="16"/>
              </w:rPr>
            </w:pPr>
            <w:r w:rsidRPr="00556607">
              <w:rPr>
                <w:rFonts w:eastAsia="Times New Roman" w:cs="Calibri"/>
                <w:sz w:val="16"/>
                <w:szCs w:val="16"/>
              </w:rPr>
              <w:t>533</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09AE84CE" w14:textId="77777777">
            <w:pPr>
              <w:spacing w:after="0" w:line="240" w:lineRule="auto"/>
              <w:rPr>
                <w:rFonts w:eastAsia="Times New Roman" w:cs="Calibri"/>
                <w:sz w:val="16"/>
                <w:szCs w:val="16"/>
              </w:rPr>
            </w:pPr>
            <w:r w:rsidRPr="00556607">
              <w:rPr>
                <w:rFonts w:eastAsia="Times New Roman" w:cs="Calibri"/>
                <w:sz w:val="16"/>
                <w:szCs w:val="16"/>
              </w:rPr>
              <w:t> </w:t>
            </w:r>
          </w:p>
        </w:tc>
        <w:tc>
          <w:tcPr>
            <w:tcW w:w="859" w:type="dxa"/>
            <w:tcBorders>
              <w:top w:val="nil"/>
              <w:left w:val="dotted" w:color="auto" w:sz="4" w:space="0"/>
            </w:tcBorders>
            <w:shd w:val="clear" w:color="auto" w:fill="auto"/>
            <w:noWrap/>
            <w:vAlign w:val="bottom"/>
            <w:hideMark/>
          </w:tcPr>
          <w:p w:rsidRPr="00556607" w:rsidR="00224914" w:rsidP="00224914" w:rsidRDefault="00224914" w14:paraId="072986B1" w14:textId="77777777">
            <w:pPr>
              <w:spacing w:after="0" w:line="240" w:lineRule="auto"/>
              <w:jc w:val="right"/>
              <w:rPr>
                <w:rFonts w:eastAsia="Times New Roman" w:cs="Calibri"/>
                <w:sz w:val="16"/>
                <w:szCs w:val="16"/>
              </w:rPr>
            </w:pPr>
            <w:r>
              <w:rPr>
                <w:rFonts w:eastAsia="Times New Roman" w:cs="Calibri"/>
                <w:sz w:val="16"/>
                <w:szCs w:val="16"/>
              </w:rPr>
              <w:t>721</w:t>
            </w:r>
          </w:p>
        </w:tc>
        <w:tc>
          <w:tcPr>
            <w:tcW w:w="859" w:type="dxa"/>
            <w:tcBorders>
              <w:top w:val="nil"/>
            </w:tcBorders>
            <w:shd w:val="clear" w:color="auto" w:fill="auto"/>
            <w:noWrap/>
            <w:vAlign w:val="bottom"/>
            <w:hideMark/>
          </w:tcPr>
          <w:p w:rsidRPr="00556607" w:rsidR="00224914" w:rsidP="00224914" w:rsidRDefault="00224914" w14:paraId="5F20DC16" w14:textId="77777777">
            <w:pPr>
              <w:spacing w:after="0" w:line="240" w:lineRule="auto"/>
              <w:jc w:val="right"/>
              <w:rPr>
                <w:rFonts w:eastAsia="Times New Roman" w:cs="Calibri"/>
                <w:sz w:val="16"/>
                <w:szCs w:val="16"/>
              </w:rPr>
            </w:pPr>
            <w:r w:rsidRPr="00556607">
              <w:rPr>
                <w:rFonts w:eastAsia="Times New Roman" w:cs="Calibri"/>
                <w:sz w:val="16"/>
                <w:szCs w:val="16"/>
              </w:rPr>
              <w:t>0</w:t>
            </w:r>
          </w:p>
        </w:tc>
      </w:tr>
      <w:tr w:rsidRPr="00556607" w:rsidR="00224914" w:rsidTr="00557986" w14:paraId="16E804F4" w14:textId="77777777">
        <w:trPr>
          <w:trHeight w:val="256"/>
        </w:trPr>
        <w:tc>
          <w:tcPr>
            <w:tcW w:w="3366" w:type="dxa"/>
            <w:tcBorders>
              <w:top w:val="nil"/>
            </w:tcBorders>
            <w:shd w:val="clear" w:color="auto" w:fill="auto"/>
            <w:hideMark/>
          </w:tcPr>
          <w:p w:rsidRPr="00556607" w:rsidR="00224914" w:rsidP="00224914" w:rsidRDefault="00224914" w14:paraId="6F58EC2D" w14:textId="77777777">
            <w:pPr>
              <w:spacing w:after="0" w:line="240" w:lineRule="auto"/>
              <w:ind w:firstLine="160" w:firstLineChars="100"/>
              <w:rPr>
                <w:rFonts w:eastAsia="Times New Roman" w:cs="Calibri"/>
                <w:sz w:val="16"/>
                <w:szCs w:val="16"/>
              </w:rPr>
            </w:pPr>
            <w:r w:rsidRPr="00556607">
              <w:rPr>
                <w:rFonts w:eastAsia="Times New Roman" w:cs="Calibri"/>
                <w:sz w:val="16"/>
                <w:szCs w:val="16"/>
              </w:rPr>
              <w:t>EURI</w:t>
            </w:r>
            <w:r>
              <w:rPr>
                <w:rFonts w:eastAsia="Times New Roman" w:cs="Calibri"/>
                <w:sz w:val="16"/>
                <w:szCs w:val="16"/>
              </w:rPr>
              <w:t>-instrument</w:t>
            </w:r>
          </w:p>
        </w:tc>
        <w:tc>
          <w:tcPr>
            <w:tcW w:w="859" w:type="dxa"/>
            <w:tcBorders>
              <w:top w:val="nil"/>
            </w:tcBorders>
            <w:shd w:val="clear" w:color="auto" w:fill="auto"/>
            <w:hideMark/>
          </w:tcPr>
          <w:p w:rsidRPr="00556607" w:rsidR="00224914" w:rsidP="00224914" w:rsidRDefault="00224914" w14:paraId="41695ADB" w14:textId="77777777">
            <w:pPr>
              <w:spacing w:after="0" w:line="240" w:lineRule="auto"/>
              <w:jc w:val="right"/>
              <w:rPr>
                <w:rFonts w:eastAsia="Times New Roman" w:cs="Calibri"/>
                <w:sz w:val="16"/>
                <w:szCs w:val="16"/>
              </w:rPr>
            </w:pPr>
            <w:r w:rsidRPr="00556607">
              <w:rPr>
                <w:rFonts w:eastAsia="Times New Roman" w:cs="Calibri"/>
                <w:sz w:val="16"/>
                <w:szCs w:val="16"/>
              </w:rPr>
              <w:t>1.142</w:t>
            </w:r>
          </w:p>
        </w:tc>
        <w:tc>
          <w:tcPr>
            <w:tcW w:w="859" w:type="dxa"/>
            <w:tcBorders>
              <w:top w:val="nil"/>
              <w:right w:val="dotted" w:color="auto" w:sz="4" w:space="0"/>
            </w:tcBorders>
            <w:shd w:val="clear" w:color="auto" w:fill="auto"/>
            <w:hideMark/>
          </w:tcPr>
          <w:p w:rsidRPr="00556607" w:rsidR="00224914" w:rsidP="00224914" w:rsidRDefault="00224914" w14:paraId="01CF5B9A" w14:textId="77777777">
            <w:pPr>
              <w:spacing w:after="0" w:line="240" w:lineRule="auto"/>
              <w:jc w:val="right"/>
              <w:rPr>
                <w:rFonts w:eastAsia="Times New Roman" w:cs="Calibri"/>
                <w:sz w:val="16"/>
                <w:szCs w:val="16"/>
              </w:rPr>
            </w:pPr>
            <w:r w:rsidRPr="00556607">
              <w:rPr>
                <w:rFonts w:eastAsia="Times New Roman" w:cs="Calibri"/>
                <w:sz w:val="16"/>
                <w:szCs w:val="16"/>
              </w:rPr>
              <w:t>1.142</w:t>
            </w:r>
          </w:p>
        </w:tc>
        <w:tc>
          <w:tcPr>
            <w:tcW w:w="859" w:type="dxa"/>
            <w:tcBorders>
              <w:top w:val="nil"/>
              <w:left w:val="dotted" w:color="auto" w:sz="4" w:space="0"/>
            </w:tcBorders>
            <w:shd w:val="clear" w:color="auto" w:fill="auto"/>
            <w:hideMark/>
          </w:tcPr>
          <w:p w:rsidRPr="00556607" w:rsidR="00224914" w:rsidP="00224914" w:rsidRDefault="00224914" w14:paraId="0AF9E6D5" w14:textId="77777777">
            <w:pPr>
              <w:spacing w:after="0" w:line="240" w:lineRule="auto"/>
              <w:jc w:val="right"/>
              <w:rPr>
                <w:rFonts w:eastAsia="Times New Roman" w:cs="Calibri"/>
                <w:sz w:val="16"/>
                <w:szCs w:val="16"/>
              </w:rPr>
            </w:pPr>
            <w:r w:rsidRPr="00556607">
              <w:rPr>
                <w:rFonts w:eastAsia="Times New Roman" w:cs="Calibri"/>
                <w:sz w:val="16"/>
                <w:szCs w:val="16"/>
              </w:rPr>
              <w:t>708</w:t>
            </w:r>
          </w:p>
        </w:tc>
        <w:tc>
          <w:tcPr>
            <w:tcW w:w="859" w:type="dxa"/>
            <w:tcBorders>
              <w:top w:val="nil"/>
              <w:right w:val="dotted" w:color="auto" w:sz="4" w:space="0"/>
            </w:tcBorders>
            <w:shd w:val="clear" w:color="auto" w:fill="auto"/>
            <w:hideMark/>
          </w:tcPr>
          <w:p w:rsidRPr="00556607" w:rsidR="00224914" w:rsidP="00224914" w:rsidRDefault="00224914" w14:paraId="30194296" w14:textId="77777777">
            <w:pPr>
              <w:spacing w:after="0" w:line="240" w:lineRule="auto"/>
              <w:jc w:val="right"/>
              <w:rPr>
                <w:rFonts w:eastAsia="Times New Roman" w:cs="Calibri"/>
                <w:sz w:val="16"/>
                <w:szCs w:val="16"/>
              </w:rPr>
            </w:pPr>
            <w:r w:rsidRPr="00556607">
              <w:rPr>
                <w:rFonts w:eastAsia="Times New Roman" w:cs="Calibri"/>
                <w:sz w:val="16"/>
                <w:szCs w:val="16"/>
              </w:rPr>
              <w:t>708</w:t>
            </w:r>
          </w:p>
        </w:tc>
        <w:tc>
          <w:tcPr>
            <w:tcW w:w="859" w:type="dxa"/>
            <w:tcBorders>
              <w:top w:val="nil"/>
              <w:left w:val="dotted" w:color="auto" w:sz="4" w:space="0"/>
            </w:tcBorders>
            <w:shd w:val="clear" w:color="auto" w:fill="auto"/>
            <w:noWrap/>
            <w:vAlign w:val="bottom"/>
            <w:hideMark/>
          </w:tcPr>
          <w:p w:rsidRPr="00556607" w:rsidR="00224914" w:rsidP="00224914" w:rsidRDefault="00224914" w14:paraId="541C50B8" w14:textId="77777777">
            <w:pPr>
              <w:spacing w:after="0" w:line="240" w:lineRule="auto"/>
              <w:jc w:val="right"/>
              <w:rPr>
                <w:rFonts w:eastAsia="Times New Roman" w:cs="Calibri"/>
                <w:sz w:val="16"/>
                <w:szCs w:val="16"/>
              </w:rPr>
            </w:pPr>
            <w:r w:rsidRPr="00556607">
              <w:rPr>
                <w:rFonts w:eastAsia="Times New Roman" w:cs="Calibri"/>
                <w:sz w:val="16"/>
                <w:szCs w:val="16"/>
              </w:rPr>
              <w:t>1.611</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5D518470" w14:textId="77777777">
            <w:pPr>
              <w:spacing w:after="0" w:line="240" w:lineRule="auto"/>
              <w:jc w:val="right"/>
              <w:rPr>
                <w:rFonts w:eastAsia="Times New Roman" w:cs="Calibri"/>
                <w:sz w:val="16"/>
                <w:szCs w:val="16"/>
              </w:rPr>
            </w:pPr>
            <w:r w:rsidRPr="00556607">
              <w:rPr>
                <w:rFonts w:eastAsia="Times New Roman" w:cs="Calibri"/>
                <w:sz w:val="16"/>
                <w:szCs w:val="16"/>
              </w:rPr>
              <w:t>1.611</w:t>
            </w:r>
          </w:p>
        </w:tc>
        <w:tc>
          <w:tcPr>
            <w:tcW w:w="859" w:type="dxa"/>
            <w:tcBorders>
              <w:top w:val="nil"/>
              <w:left w:val="dotted" w:color="auto" w:sz="4" w:space="0"/>
            </w:tcBorders>
            <w:shd w:val="clear" w:color="auto" w:fill="auto"/>
            <w:noWrap/>
            <w:vAlign w:val="bottom"/>
            <w:hideMark/>
          </w:tcPr>
          <w:p w:rsidRPr="00556607" w:rsidR="00224914" w:rsidP="00224914" w:rsidRDefault="00224914" w14:paraId="1B5299E7" w14:textId="77777777">
            <w:pPr>
              <w:spacing w:after="0" w:line="240" w:lineRule="auto"/>
              <w:jc w:val="right"/>
              <w:rPr>
                <w:rFonts w:eastAsia="Times New Roman" w:cs="Calibri"/>
                <w:sz w:val="16"/>
                <w:szCs w:val="16"/>
              </w:rPr>
            </w:pPr>
            <w:r>
              <w:rPr>
                <w:rFonts w:eastAsia="Times New Roman" w:cs="Calibri"/>
                <w:sz w:val="16"/>
                <w:szCs w:val="16"/>
              </w:rPr>
              <w:t>1.142</w:t>
            </w:r>
          </w:p>
        </w:tc>
        <w:tc>
          <w:tcPr>
            <w:tcW w:w="859" w:type="dxa"/>
            <w:tcBorders>
              <w:top w:val="nil"/>
            </w:tcBorders>
            <w:shd w:val="clear" w:color="auto" w:fill="auto"/>
            <w:noWrap/>
            <w:vAlign w:val="bottom"/>
            <w:hideMark/>
          </w:tcPr>
          <w:p w:rsidRPr="00556607" w:rsidR="00224914" w:rsidP="00224914" w:rsidRDefault="00224914" w14:paraId="4AE6E4E5" w14:textId="77777777">
            <w:pPr>
              <w:spacing w:after="0" w:line="240" w:lineRule="auto"/>
              <w:jc w:val="right"/>
              <w:rPr>
                <w:rFonts w:eastAsia="Times New Roman" w:cs="Calibri"/>
                <w:sz w:val="16"/>
                <w:szCs w:val="16"/>
              </w:rPr>
            </w:pPr>
            <w:r>
              <w:rPr>
                <w:rFonts w:eastAsia="Times New Roman" w:cs="Calibri"/>
                <w:sz w:val="16"/>
                <w:szCs w:val="16"/>
              </w:rPr>
              <w:t>1.142</w:t>
            </w:r>
          </w:p>
        </w:tc>
      </w:tr>
      <w:tr w:rsidRPr="00556607" w:rsidR="00224914" w:rsidTr="00557986" w14:paraId="3677F49B" w14:textId="77777777">
        <w:trPr>
          <w:trHeight w:val="256"/>
        </w:trPr>
        <w:tc>
          <w:tcPr>
            <w:tcW w:w="3366" w:type="dxa"/>
            <w:tcBorders>
              <w:top w:val="nil"/>
            </w:tcBorders>
            <w:shd w:val="clear" w:color="auto" w:fill="auto"/>
            <w:hideMark/>
          </w:tcPr>
          <w:p w:rsidRPr="00556607" w:rsidR="00224914" w:rsidP="00224914" w:rsidRDefault="00224914" w14:paraId="5E12BD5C" w14:textId="77777777">
            <w:pPr>
              <w:spacing w:after="0" w:line="240" w:lineRule="auto"/>
              <w:rPr>
                <w:rFonts w:eastAsia="Times New Roman" w:cs="Calibri"/>
                <w:sz w:val="16"/>
                <w:szCs w:val="16"/>
              </w:rPr>
            </w:pPr>
            <w:r w:rsidRPr="00556607">
              <w:rPr>
                <w:rFonts w:eastAsia="Times New Roman" w:cs="Calibri"/>
                <w:sz w:val="16"/>
                <w:szCs w:val="16"/>
              </w:rPr>
              <w:t>[C] Marge</w:t>
            </w:r>
          </w:p>
        </w:tc>
        <w:tc>
          <w:tcPr>
            <w:tcW w:w="859" w:type="dxa"/>
            <w:tcBorders>
              <w:top w:val="nil"/>
            </w:tcBorders>
            <w:shd w:val="clear" w:color="auto" w:fill="auto"/>
            <w:hideMark/>
          </w:tcPr>
          <w:p w:rsidRPr="00556607" w:rsidR="00224914" w:rsidP="00224914" w:rsidRDefault="00224914" w14:paraId="0FF75F85" w14:textId="77777777">
            <w:pPr>
              <w:spacing w:after="0" w:line="240" w:lineRule="auto"/>
              <w:jc w:val="right"/>
              <w:rPr>
                <w:rFonts w:eastAsia="Times New Roman" w:cs="Calibri"/>
                <w:sz w:val="16"/>
                <w:szCs w:val="16"/>
              </w:rPr>
            </w:pPr>
            <w:r w:rsidRPr="00556607">
              <w:rPr>
                <w:rFonts w:eastAsia="Times New Roman" w:cs="Calibri"/>
                <w:sz w:val="16"/>
                <w:szCs w:val="16"/>
              </w:rPr>
              <w:t>762</w:t>
            </w:r>
          </w:p>
        </w:tc>
        <w:tc>
          <w:tcPr>
            <w:tcW w:w="859" w:type="dxa"/>
            <w:tcBorders>
              <w:top w:val="nil"/>
              <w:right w:val="dotted" w:color="auto" w:sz="4" w:space="0"/>
            </w:tcBorders>
            <w:shd w:val="clear" w:color="auto" w:fill="auto"/>
            <w:hideMark/>
          </w:tcPr>
          <w:p w:rsidRPr="00556607" w:rsidR="00224914" w:rsidP="00224914" w:rsidRDefault="00224914" w14:paraId="201836C7" w14:textId="77777777">
            <w:pPr>
              <w:spacing w:after="0" w:line="240" w:lineRule="auto"/>
              <w:jc w:val="right"/>
              <w:rPr>
                <w:rFonts w:eastAsia="Times New Roman" w:cs="Calibri"/>
                <w:sz w:val="16"/>
                <w:szCs w:val="16"/>
              </w:rPr>
            </w:pPr>
            <w:r w:rsidRPr="00556607">
              <w:rPr>
                <w:rFonts w:eastAsia="Times New Roman" w:cs="Calibri"/>
                <w:sz w:val="16"/>
                <w:szCs w:val="16"/>
              </w:rPr>
              <w:t>28.148</w:t>
            </w:r>
          </w:p>
        </w:tc>
        <w:tc>
          <w:tcPr>
            <w:tcW w:w="859" w:type="dxa"/>
            <w:tcBorders>
              <w:top w:val="nil"/>
              <w:left w:val="dotted" w:color="auto" w:sz="4" w:space="0"/>
            </w:tcBorders>
            <w:shd w:val="clear" w:color="auto" w:fill="auto"/>
            <w:hideMark/>
          </w:tcPr>
          <w:p w:rsidRPr="00556607" w:rsidR="00224914" w:rsidP="00224914" w:rsidRDefault="00224914" w14:paraId="5BFA3261" w14:textId="77777777">
            <w:pPr>
              <w:spacing w:after="0" w:line="240" w:lineRule="auto"/>
              <w:jc w:val="right"/>
              <w:rPr>
                <w:rFonts w:eastAsia="Times New Roman" w:cs="Calibri"/>
                <w:sz w:val="16"/>
                <w:szCs w:val="16"/>
              </w:rPr>
            </w:pPr>
            <w:r w:rsidRPr="00556607">
              <w:rPr>
                <w:rFonts w:eastAsia="Times New Roman" w:cs="Calibri"/>
                <w:sz w:val="16"/>
                <w:szCs w:val="16"/>
              </w:rPr>
              <w:t>1.116</w:t>
            </w:r>
          </w:p>
        </w:tc>
        <w:tc>
          <w:tcPr>
            <w:tcW w:w="859" w:type="dxa"/>
            <w:tcBorders>
              <w:top w:val="nil"/>
              <w:right w:val="dotted" w:color="auto" w:sz="4" w:space="0"/>
            </w:tcBorders>
            <w:shd w:val="clear" w:color="auto" w:fill="auto"/>
            <w:hideMark/>
          </w:tcPr>
          <w:p w:rsidRPr="00556607" w:rsidR="00224914" w:rsidP="00224914" w:rsidRDefault="00224914" w14:paraId="286B9505" w14:textId="77777777">
            <w:pPr>
              <w:spacing w:after="0" w:line="240" w:lineRule="auto"/>
              <w:jc w:val="right"/>
              <w:rPr>
                <w:rFonts w:eastAsia="Times New Roman" w:cs="Calibri"/>
                <w:sz w:val="16"/>
                <w:szCs w:val="16"/>
              </w:rPr>
            </w:pPr>
            <w:r w:rsidRPr="00556607">
              <w:rPr>
                <w:rFonts w:eastAsia="Times New Roman" w:cs="Calibri"/>
                <w:sz w:val="16"/>
                <w:szCs w:val="16"/>
              </w:rPr>
              <w:t>31.329</w:t>
            </w:r>
          </w:p>
        </w:tc>
        <w:tc>
          <w:tcPr>
            <w:tcW w:w="859" w:type="dxa"/>
            <w:tcBorders>
              <w:top w:val="nil"/>
              <w:left w:val="dotted" w:color="auto" w:sz="4" w:space="0"/>
            </w:tcBorders>
            <w:shd w:val="clear" w:color="auto" w:fill="auto"/>
            <w:noWrap/>
            <w:vAlign w:val="bottom"/>
            <w:hideMark/>
          </w:tcPr>
          <w:p w:rsidRPr="00556607" w:rsidR="00224914" w:rsidP="00224914" w:rsidRDefault="00224914" w14:paraId="4240BC3B" w14:textId="77777777">
            <w:pPr>
              <w:spacing w:after="0" w:line="240" w:lineRule="auto"/>
              <w:jc w:val="right"/>
              <w:rPr>
                <w:rFonts w:eastAsia="Times New Roman" w:cs="Calibri"/>
                <w:sz w:val="16"/>
                <w:szCs w:val="16"/>
              </w:rPr>
            </w:pPr>
            <w:r w:rsidRPr="00556607">
              <w:rPr>
                <w:rFonts w:eastAsia="Times New Roman" w:cs="Calibri"/>
                <w:sz w:val="16"/>
                <w:szCs w:val="16"/>
              </w:rPr>
              <w:t>33</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4881EDFD" w14:textId="77777777">
            <w:pPr>
              <w:spacing w:after="0" w:line="240" w:lineRule="auto"/>
              <w:jc w:val="right"/>
              <w:rPr>
                <w:rFonts w:eastAsia="Times New Roman" w:cs="Calibri"/>
                <w:sz w:val="16"/>
                <w:szCs w:val="16"/>
              </w:rPr>
            </w:pPr>
            <w:r w:rsidRPr="00556607">
              <w:rPr>
                <w:rFonts w:eastAsia="Times New Roman" w:cs="Calibri"/>
                <w:sz w:val="16"/>
                <w:szCs w:val="16"/>
              </w:rPr>
              <w:t>30.986</w:t>
            </w:r>
          </w:p>
        </w:tc>
        <w:tc>
          <w:tcPr>
            <w:tcW w:w="859" w:type="dxa"/>
            <w:tcBorders>
              <w:top w:val="nil"/>
              <w:left w:val="dotted" w:color="auto" w:sz="4" w:space="0"/>
            </w:tcBorders>
            <w:shd w:val="clear" w:color="auto" w:fill="auto"/>
            <w:noWrap/>
            <w:vAlign w:val="bottom"/>
            <w:hideMark/>
          </w:tcPr>
          <w:p w:rsidRPr="00556607" w:rsidR="00224914" w:rsidP="00224914" w:rsidRDefault="00224914" w14:paraId="3B93D27C" w14:textId="77777777">
            <w:pPr>
              <w:spacing w:after="0" w:line="240" w:lineRule="auto"/>
              <w:jc w:val="right"/>
              <w:rPr>
                <w:rFonts w:eastAsia="Times New Roman" w:cs="Calibri"/>
                <w:sz w:val="16"/>
                <w:szCs w:val="16"/>
              </w:rPr>
            </w:pPr>
            <w:r>
              <w:rPr>
                <w:rFonts w:eastAsia="Times New Roman" w:cs="Calibri"/>
                <w:sz w:val="16"/>
                <w:szCs w:val="16"/>
              </w:rPr>
              <w:t>801</w:t>
            </w:r>
          </w:p>
        </w:tc>
        <w:tc>
          <w:tcPr>
            <w:tcW w:w="859" w:type="dxa"/>
            <w:tcBorders>
              <w:top w:val="nil"/>
            </w:tcBorders>
            <w:shd w:val="clear" w:color="auto" w:fill="auto"/>
            <w:noWrap/>
            <w:vAlign w:val="bottom"/>
            <w:hideMark/>
          </w:tcPr>
          <w:p w:rsidRPr="00556607" w:rsidR="00224914" w:rsidP="00224914" w:rsidRDefault="00224914" w14:paraId="30FEB524" w14:textId="77777777">
            <w:pPr>
              <w:spacing w:after="0" w:line="240" w:lineRule="auto"/>
              <w:jc w:val="right"/>
              <w:rPr>
                <w:rFonts w:eastAsia="Times New Roman" w:cs="Calibri"/>
                <w:sz w:val="16"/>
                <w:szCs w:val="16"/>
              </w:rPr>
            </w:pPr>
            <w:r>
              <w:rPr>
                <w:rFonts w:eastAsia="Times New Roman" w:cs="Calibri"/>
                <w:sz w:val="16"/>
                <w:szCs w:val="16"/>
              </w:rPr>
              <w:t>28.303</w:t>
            </w:r>
          </w:p>
        </w:tc>
      </w:tr>
      <w:tr w:rsidRPr="00556607" w:rsidR="00224914" w:rsidTr="00557986" w14:paraId="73A6AAA9" w14:textId="77777777">
        <w:trPr>
          <w:trHeight w:val="256"/>
        </w:trPr>
        <w:tc>
          <w:tcPr>
            <w:tcW w:w="3366" w:type="dxa"/>
            <w:tcBorders>
              <w:top w:val="nil"/>
            </w:tcBorders>
            <w:shd w:val="clear" w:color="auto" w:fill="auto"/>
            <w:hideMark/>
          </w:tcPr>
          <w:p w:rsidRPr="00556607" w:rsidR="00224914" w:rsidP="00224914" w:rsidRDefault="00224914" w14:paraId="32EF9F92" w14:textId="77777777">
            <w:pPr>
              <w:spacing w:after="0" w:line="240" w:lineRule="auto"/>
              <w:rPr>
                <w:rFonts w:eastAsia="Times New Roman" w:cs="Calibri"/>
                <w:sz w:val="16"/>
                <w:szCs w:val="16"/>
              </w:rPr>
            </w:pPr>
            <w:r w:rsidRPr="00556607">
              <w:rPr>
                <w:rFonts w:eastAsia="Times New Roman" w:cs="Calibri"/>
                <w:sz w:val="16"/>
                <w:szCs w:val="16"/>
              </w:rPr>
              <w:t>[D] Totaal MFK-plafond (A-B+C)</w:t>
            </w:r>
          </w:p>
        </w:tc>
        <w:tc>
          <w:tcPr>
            <w:tcW w:w="859" w:type="dxa"/>
            <w:tcBorders>
              <w:top w:val="nil"/>
            </w:tcBorders>
            <w:shd w:val="clear" w:color="auto" w:fill="auto"/>
            <w:hideMark/>
          </w:tcPr>
          <w:p w:rsidRPr="00556607" w:rsidR="00224914" w:rsidP="00224914" w:rsidRDefault="00224914" w14:paraId="2DC985E6" w14:textId="77777777">
            <w:pPr>
              <w:spacing w:after="0" w:line="240" w:lineRule="auto"/>
              <w:jc w:val="right"/>
              <w:rPr>
                <w:rFonts w:eastAsia="Times New Roman" w:cs="Calibri"/>
                <w:sz w:val="16"/>
                <w:szCs w:val="16"/>
              </w:rPr>
            </w:pPr>
            <w:r w:rsidRPr="00556607">
              <w:rPr>
                <w:rFonts w:eastAsia="Times New Roman" w:cs="Calibri"/>
                <w:sz w:val="16"/>
                <w:szCs w:val="16"/>
              </w:rPr>
              <w:t>190.544</w:t>
            </w:r>
          </w:p>
        </w:tc>
        <w:tc>
          <w:tcPr>
            <w:tcW w:w="859" w:type="dxa"/>
            <w:tcBorders>
              <w:top w:val="nil"/>
              <w:right w:val="dotted" w:color="auto" w:sz="4" w:space="0"/>
            </w:tcBorders>
            <w:shd w:val="clear" w:color="auto" w:fill="auto"/>
            <w:hideMark/>
          </w:tcPr>
          <w:p w:rsidRPr="00556607" w:rsidR="00224914" w:rsidP="00224914" w:rsidRDefault="00224914" w14:paraId="27228493" w14:textId="77777777">
            <w:pPr>
              <w:spacing w:after="0" w:line="240" w:lineRule="auto"/>
              <w:jc w:val="right"/>
              <w:rPr>
                <w:rFonts w:eastAsia="Times New Roman" w:cs="Calibri"/>
                <w:sz w:val="16"/>
                <w:szCs w:val="16"/>
              </w:rPr>
            </w:pPr>
            <w:r w:rsidRPr="00556607">
              <w:rPr>
                <w:rFonts w:eastAsia="Times New Roman" w:cs="Calibri"/>
                <w:sz w:val="16"/>
                <w:szCs w:val="16"/>
              </w:rPr>
              <w:t>175.375</w:t>
            </w:r>
          </w:p>
        </w:tc>
        <w:tc>
          <w:tcPr>
            <w:tcW w:w="859" w:type="dxa"/>
            <w:tcBorders>
              <w:top w:val="nil"/>
              <w:left w:val="dotted" w:color="auto" w:sz="4" w:space="0"/>
            </w:tcBorders>
            <w:shd w:val="clear" w:color="auto" w:fill="auto"/>
            <w:hideMark/>
          </w:tcPr>
          <w:p w:rsidRPr="00556607" w:rsidR="00224914" w:rsidP="00224914" w:rsidRDefault="00224914" w14:paraId="7244C1D5" w14:textId="77777777">
            <w:pPr>
              <w:spacing w:after="0" w:line="240" w:lineRule="auto"/>
              <w:jc w:val="right"/>
              <w:rPr>
                <w:rFonts w:eastAsia="Times New Roman" w:cs="Calibri"/>
                <w:sz w:val="16"/>
                <w:szCs w:val="16"/>
              </w:rPr>
            </w:pPr>
            <w:r w:rsidRPr="00556607">
              <w:rPr>
                <w:rFonts w:eastAsia="Times New Roman" w:cs="Calibri"/>
                <w:sz w:val="16"/>
                <w:szCs w:val="16"/>
              </w:rPr>
              <w:t>190.544</w:t>
            </w:r>
          </w:p>
        </w:tc>
        <w:tc>
          <w:tcPr>
            <w:tcW w:w="859" w:type="dxa"/>
            <w:tcBorders>
              <w:top w:val="nil"/>
              <w:right w:val="dotted" w:color="auto" w:sz="4" w:space="0"/>
            </w:tcBorders>
            <w:shd w:val="clear" w:color="auto" w:fill="auto"/>
            <w:hideMark/>
          </w:tcPr>
          <w:p w:rsidRPr="00556607" w:rsidR="00224914" w:rsidP="00224914" w:rsidRDefault="00224914" w14:paraId="52CCFEB1" w14:textId="77777777">
            <w:pPr>
              <w:spacing w:after="0" w:line="240" w:lineRule="auto"/>
              <w:jc w:val="right"/>
              <w:rPr>
                <w:rFonts w:eastAsia="Times New Roman" w:cs="Calibri"/>
                <w:sz w:val="16"/>
                <w:szCs w:val="16"/>
              </w:rPr>
            </w:pPr>
            <w:r w:rsidRPr="00556607">
              <w:rPr>
                <w:rFonts w:eastAsia="Times New Roman" w:cs="Calibri"/>
                <w:sz w:val="16"/>
                <w:szCs w:val="16"/>
              </w:rPr>
              <w:t>175.378</w:t>
            </w:r>
          </w:p>
        </w:tc>
        <w:tc>
          <w:tcPr>
            <w:tcW w:w="859" w:type="dxa"/>
            <w:tcBorders>
              <w:top w:val="nil"/>
              <w:left w:val="dotted" w:color="auto" w:sz="4" w:space="0"/>
            </w:tcBorders>
            <w:shd w:val="clear" w:color="auto" w:fill="auto"/>
            <w:noWrap/>
            <w:vAlign w:val="bottom"/>
            <w:hideMark/>
          </w:tcPr>
          <w:p w:rsidRPr="00556607" w:rsidR="00224914" w:rsidP="00224914" w:rsidRDefault="00224914" w14:paraId="1D539EF3" w14:textId="77777777">
            <w:pPr>
              <w:spacing w:after="0" w:line="240" w:lineRule="auto"/>
              <w:jc w:val="right"/>
              <w:rPr>
                <w:rFonts w:eastAsia="Times New Roman" w:cs="Calibri"/>
                <w:sz w:val="16"/>
                <w:szCs w:val="16"/>
              </w:rPr>
            </w:pPr>
            <w:r w:rsidRPr="00556607">
              <w:rPr>
                <w:rFonts w:eastAsia="Times New Roman" w:cs="Calibri"/>
                <w:sz w:val="16"/>
                <w:szCs w:val="16"/>
              </w:rPr>
              <w:t>190.544</w:t>
            </w:r>
          </w:p>
        </w:tc>
        <w:tc>
          <w:tcPr>
            <w:tcW w:w="859" w:type="dxa"/>
            <w:tcBorders>
              <w:top w:val="nil"/>
              <w:right w:val="dotted" w:color="auto" w:sz="4" w:space="0"/>
            </w:tcBorders>
            <w:shd w:val="clear" w:color="auto" w:fill="auto"/>
            <w:noWrap/>
            <w:vAlign w:val="bottom"/>
            <w:hideMark/>
          </w:tcPr>
          <w:p w:rsidRPr="00556607" w:rsidR="00224914" w:rsidP="00224914" w:rsidRDefault="00224914" w14:paraId="2C05912B" w14:textId="77777777">
            <w:pPr>
              <w:spacing w:after="0" w:line="240" w:lineRule="auto"/>
              <w:jc w:val="right"/>
              <w:rPr>
                <w:rFonts w:eastAsia="Times New Roman" w:cs="Calibri"/>
                <w:sz w:val="16"/>
                <w:szCs w:val="16"/>
              </w:rPr>
            </w:pPr>
            <w:r w:rsidRPr="00556607">
              <w:rPr>
                <w:rFonts w:eastAsia="Times New Roman" w:cs="Calibri"/>
                <w:sz w:val="16"/>
                <w:szCs w:val="16"/>
              </w:rPr>
              <w:t>175.378</w:t>
            </w:r>
          </w:p>
        </w:tc>
        <w:tc>
          <w:tcPr>
            <w:tcW w:w="859" w:type="dxa"/>
            <w:tcBorders>
              <w:top w:val="nil"/>
              <w:left w:val="dotted" w:color="auto" w:sz="4" w:space="0"/>
            </w:tcBorders>
            <w:shd w:val="clear" w:color="auto" w:fill="auto"/>
            <w:noWrap/>
            <w:vAlign w:val="bottom"/>
            <w:hideMark/>
          </w:tcPr>
          <w:p w:rsidRPr="00556607" w:rsidR="00224914" w:rsidP="00224914" w:rsidRDefault="00224914" w14:paraId="6C9EDDA2" w14:textId="77777777">
            <w:pPr>
              <w:spacing w:after="0" w:line="240" w:lineRule="auto"/>
              <w:jc w:val="right"/>
              <w:rPr>
                <w:rFonts w:eastAsia="Times New Roman" w:cs="Calibri"/>
                <w:sz w:val="16"/>
                <w:szCs w:val="16"/>
              </w:rPr>
            </w:pPr>
            <w:r w:rsidRPr="00556607">
              <w:rPr>
                <w:rFonts w:eastAsia="Times New Roman" w:cs="Calibri"/>
                <w:sz w:val="16"/>
                <w:szCs w:val="16"/>
              </w:rPr>
              <w:t>190.544</w:t>
            </w:r>
          </w:p>
        </w:tc>
        <w:tc>
          <w:tcPr>
            <w:tcW w:w="859" w:type="dxa"/>
            <w:tcBorders>
              <w:top w:val="nil"/>
            </w:tcBorders>
            <w:shd w:val="clear" w:color="auto" w:fill="auto"/>
            <w:noWrap/>
            <w:vAlign w:val="bottom"/>
            <w:hideMark/>
          </w:tcPr>
          <w:p w:rsidRPr="00556607" w:rsidR="00224914" w:rsidP="00224914" w:rsidRDefault="00224914" w14:paraId="25A986D7" w14:textId="77777777">
            <w:pPr>
              <w:spacing w:after="0" w:line="240" w:lineRule="auto"/>
              <w:jc w:val="right"/>
              <w:rPr>
                <w:rFonts w:eastAsia="Times New Roman" w:cs="Calibri"/>
                <w:sz w:val="16"/>
                <w:szCs w:val="16"/>
              </w:rPr>
            </w:pPr>
            <w:r w:rsidRPr="00556607">
              <w:rPr>
                <w:rFonts w:eastAsia="Times New Roman" w:cs="Calibri"/>
                <w:sz w:val="16"/>
                <w:szCs w:val="16"/>
              </w:rPr>
              <w:t>175.378</w:t>
            </w:r>
          </w:p>
        </w:tc>
      </w:tr>
      <w:tr w:rsidRPr="00556607" w:rsidR="00224914" w:rsidTr="00557986" w14:paraId="5602C681" w14:textId="77777777">
        <w:trPr>
          <w:trHeight w:val="256"/>
        </w:trPr>
        <w:tc>
          <w:tcPr>
            <w:tcW w:w="3366" w:type="dxa"/>
            <w:tcBorders>
              <w:top w:val="nil"/>
              <w:bottom w:val="single" w:color="auto" w:sz="4" w:space="0"/>
            </w:tcBorders>
            <w:shd w:val="clear" w:color="auto" w:fill="auto"/>
            <w:hideMark/>
          </w:tcPr>
          <w:p w:rsidRPr="00556607" w:rsidR="00224914" w:rsidP="00224914" w:rsidRDefault="00224914" w14:paraId="5BEE1D50" w14:textId="77777777">
            <w:pPr>
              <w:spacing w:after="0" w:line="240" w:lineRule="auto"/>
              <w:rPr>
                <w:rFonts w:eastAsia="Times New Roman" w:cs="Calibri"/>
                <w:sz w:val="16"/>
                <w:szCs w:val="16"/>
              </w:rPr>
            </w:pPr>
            <w:r w:rsidRPr="00556607">
              <w:rPr>
                <w:rFonts w:eastAsia="Times New Roman" w:cs="Calibri"/>
                <w:sz w:val="16"/>
                <w:szCs w:val="16"/>
              </w:rPr>
              <w:t>[E] Thematische speciale instrumenten</w:t>
            </w:r>
          </w:p>
        </w:tc>
        <w:tc>
          <w:tcPr>
            <w:tcW w:w="859" w:type="dxa"/>
            <w:tcBorders>
              <w:top w:val="nil"/>
              <w:bottom w:val="single" w:color="auto" w:sz="4" w:space="0"/>
            </w:tcBorders>
            <w:shd w:val="clear" w:color="auto" w:fill="auto"/>
            <w:hideMark/>
          </w:tcPr>
          <w:p w:rsidRPr="00556607" w:rsidR="00224914" w:rsidP="00224914" w:rsidRDefault="00224914" w14:paraId="58E77315" w14:textId="77777777">
            <w:pPr>
              <w:spacing w:after="0" w:line="240" w:lineRule="auto"/>
              <w:jc w:val="right"/>
              <w:rPr>
                <w:rFonts w:eastAsia="Times New Roman" w:cs="Calibri"/>
                <w:sz w:val="16"/>
                <w:szCs w:val="16"/>
              </w:rPr>
            </w:pPr>
            <w:r w:rsidRPr="00556607">
              <w:rPr>
                <w:rFonts w:eastAsia="Times New Roman" w:cs="Calibri"/>
                <w:sz w:val="16"/>
                <w:szCs w:val="16"/>
              </w:rPr>
              <w:t>6.670</w:t>
            </w:r>
          </w:p>
        </w:tc>
        <w:tc>
          <w:tcPr>
            <w:tcW w:w="859" w:type="dxa"/>
            <w:tcBorders>
              <w:top w:val="nil"/>
              <w:bottom w:val="single" w:color="auto" w:sz="4" w:space="0"/>
              <w:right w:val="dotted" w:color="auto" w:sz="4" w:space="0"/>
            </w:tcBorders>
            <w:shd w:val="clear" w:color="auto" w:fill="auto"/>
            <w:hideMark/>
          </w:tcPr>
          <w:p w:rsidRPr="00556607" w:rsidR="00224914" w:rsidP="00224914" w:rsidRDefault="00224914" w14:paraId="4236D17C" w14:textId="77777777">
            <w:pPr>
              <w:spacing w:after="0" w:line="240" w:lineRule="auto"/>
              <w:jc w:val="right"/>
              <w:rPr>
                <w:rFonts w:eastAsia="Times New Roman" w:cs="Calibri"/>
                <w:sz w:val="16"/>
                <w:szCs w:val="16"/>
              </w:rPr>
            </w:pPr>
            <w:r w:rsidRPr="00556607">
              <w:rPr>
                <w:rFonts w:eastAsia="Times New Roman" w:cs="Calibri"/>
                <w:sz w:val="16"/>
                <w:szCs w:val="16"/>
              </w:rPr>
              <w:t>5.594</w:t>
            </w:r>
          </w:p>
        </w:tc>
        <w:tc>
          <w:tcPr>
            <w:tcW w:w="859" w:type="dxa"/>
            <w:tcBorders>
              <w:top w:val="nil"/>
              <w:left w:val="dotted" w:color="auto" w:sz="4" w:space="0"/>
              <w:bottom w:val="single" w:color="auto" w:sz="4" w:space="0"/>
            </w:tcBorders>
            <w:shd w:val="clear" w:color="auto" w:fill="auto"/>
            <w:hideMark/>
          </w:tcPr>
          <w:p w:rsidRPr="00556607" w:rsidR="00224914" w:rsidP="00224914" w:rsidRDefault="00224914" w14:paraId="4C0F4841" w14:textId="77777777">
            <w:pPr>
              <w:spacing w:after="0" w:line="240" w:lineRule="auto"/>
              <w:jc w:val="right"/>
              <w:rPr>
                <w:rFonts w:eastAsia="Times New Roman" w:cs="Calibri"/>
                <w:sz w:val="16"/>
                <w:szCs w:val="16"/>
              </w:rPr>
            </w:pPr>
            <w:r w:rsidRPr="00556607">
              <w:rPr>
                <w:rFonts w:eastAsia="Times New Roman" w:cs="Calibri"/>
                <w:sz w:val="16"/>
                <w:szCs w:val="16"/>
              </w:rPr>
              <w:t>6.670</w:t>
            </w:r>
          </w:p>
        </w:tc>
        <w:tc>
          <w:tcPr>
            <w:tcW w:w="859" w:type="dxa"/>
            <w:tcBorders>
              <w:top w:val="nil"/>
              <w:bottom w:val="single" w:color="auto" w:sz="4" w:space="0"/>
              <w:right w:val="dotted" w:color="auto" w:sz="4" w:space="0"/>
            </w:tcBorders>
            <w:shd w:val="clear" w:color="auto" w:fill="auto"/>
            <w:hideMark/>
          </w:tcPr>
          <w:p w:rsidRPr="00556607" w:rsidR="00224914" w:rsidP="00224914" w:rsidRDefault="00224914" w14:paraId="0153C706" w14:textId="77777777">
            <w:pPr>
              <w:spacing w:after="0" w:line="240" w:lineRule="auto"/>
              <w:jc w:val="right"/>
              <w:rPr>
                <w:rFonts w:eastAsia="Times New Roman" w:cs="Calibri"/>
                <w:sz w:val="16"/>
                <w:szCs w:val="16"/>
              </w:rPr>
            </w:pPr>
            <w:r w:rsidRPr="00556607">
              <w:rPr>
                <w:rFonts w:eastAsia="Times New Roman" w:cs="Calibri"/>
                <w:sz w:val="16"/>
                <w:szCs w:val="16"/>
              </w:rPr>
              <w:t>5.594</w:t>
            </w:r>
          </w:p>
        </w:tc>
        <w:tc>
          <w:tcPr>
            <w:tcW w:w="859" w:type="dxa"/>
            <w:tcBorders>
              <w:top w:val="nil"/>
              <w:left w:val="dotted" w:color="auto" w:sz="4" w:space="0"/>
              <w:bottom w:val="single" w:color="auto" w:sz="4" w:space="0"/>
            </w:tcBorders>
            <w:shd w:val="clear" w:color="auto" w:fill="auto"/>
            <w:noWrap/>
            <w:vAlign w:val="bottom"/>
            <w:hideMark/>
          </w:tcPr>
          <w:p w:rsidRPr="00556607" w:rsidR="00224914" w:rsidP="00224914" w:rsidRDefault="00224914" w14:paraId="0606E9C1" w14:textId="77777777">
            <w:pPr>
              <w:spacing w:after="0" w:line="240" w:lineRule="auto"/>
              <w:jc w:val="right"/>
              <w:rPr>
                <w:rFonts w:eastAsia="Times New Roman" w:cs="Calibri"/>
                <w:sz w:val="16"/>
                <w:szCs w:val="16"/>
              </w:rPr>
            </w:pPr>
            <w:r w:rsidRPr="00556607">
              <w:rPr>
                <w:rFonts w:eastAsia="Times New Roman" w:cs="Calibri"/>
                <w:sz w:val="16"/>
                <w:szCs w:val="16"/>
              </w:rPr>
              <w:t>6.670</w:t>
            </w:r>
          </w:p>
        </w:tc>
        <w:tc>
          <w:tcPr>
            <w:tcW w:w="859" w:type="dxa"/>
            <w:tcBorders>
              <w:top w:val="nil"/>
              <w:bottom w:val="single" w:color="auto" w:sz="4" w:space="0"/>
              <w:right w:val="dotted" w:color="auto" w:sz="4" w:space="0"/>
            </w:tcBorders>
            <w:shd w:val="clear" w:color="auto" w:fill="auto"/>
            <w:noWrap/>
            <w:vAlign w:val="bottom"/>
            <w:hideMark/>
          </w:tcPr>
          <w:p w:rsidRPr="00556607" w:rsidR="00224914" w:rsidP="00224914" w:rsidRDefault="00224914" w14:paraId="524249E9" w14:textId="77777777">
            <w:pPr>
              <w:spacing w:after="0" w:line="240" w:lineRule="auto"/>
              <w:jc w:val="right"/>
              <w:rPr>
                <w:rFonts w:eastAsia="Times New Roman" w:cs="Calibri"/>
                <w:sz w:val="16"/>
                <w:szCs w:val="16"/>
              </w:rPr>
            </w:pPr>
            <w:r w:rsidRPr="00556607">
              <w:rPr>
                <w:rFonts w:eastAsia="Times New Roman" w:cs="Calibri"/>
                <w:sz w:val="16"/>
                <w:szCs w:val="16"/>
              </w:rPr>
              <w:t>5.594</w:t>
            </w:r>
          </w:p>
        </w:tc>
        <w:tc>
          <w:tcPr>
            <w:tcW w:w="859" w:type="dxa"/>
            <w:tcBorders>
              <w:top w:val="nil"/>
              <w:left w:val="dotted" w:color="auto" w:sz="4" w:space="0"/>
              <w:bottom w:val="single" w:color="auto" w:sz="4" w:space="0"/>
            </w:tcBorders>
            <w:shd w:val="clear" w:color="auto" w:fill="auto"/>
            <w:noWrap/>
            <w:vAlign w:val="bottom"/>
            <w:hideMark/>
          </w:tcPr>
          <w:p w:rsidRPr="00556607" w:rsidR="00224914" w:rsidP="00224914" w:rsidRDefault="00224914" w14:paraId="541A48D7" w14:textId="77777777">
            <w:pPr>
              <w:spacing w:after="0" w:line="240" w:lineRule="auto"/>
              <w:jc w:val="right"/>
              <w:rPr>
                <w:rFonts w:eastAsia="Times New Roman" w:cs="Calibri"/>
                <w:sz w:val="16"/>
                <w:szCs w:val="16"/>
              </w:rPr>
            </w:pPr>
            <w:r w:rsidRPr="00556607">
              <w:rPr>
                <w:rFonts w:eastAsia="Times New Roman" w:cs="Calibri"/>
                <w:sz w:val="16"/>
                <w:szCs w:val="16"/>
              </w:rPr>
              <w:t>6.670</w:t>
            </w:r>
          </w:p>
        </w:tc>
        <w:tc>
          <w:tcPr>
            <w:tcW w:w="859" w:type="dxa"/>
            <w:tcBorders>
              <w:top w:val="nil"/>
              <w:bottom w:val="single" w:color="auto" w:sz="4" w:space="0"/>
            </w:tcBorders>
            <w:shd w:val="clear" w:color="auto" w:fill="auto"/>
            <w:noWrap/>
            <w:vAlign w:val="bottom"/>
            <w:hideMark/>
          </w:tcPr>
          <w:p w:rsidRPr="00556607" w:rsidR="00224914" w:rsidP="00224914" w:rsidRDefault="00224914" w14:paraId="0F694EDA" w14:textId="77777777">
            <w:pPr>
              <w:spacing w:after="0" w:line="240" w:lineRule="auto"/>
              <w:jc w:val="right"/>
              <w:rPr>
                <w:rFonts w:eastAsia="Times New Roman" w:cs="Calibri"/>
                <w:sz w:val="16"/>
                <w:szCs w:val="16"/>
              </w:rPr>
            </w:pPr>
            <w:r w:rsidRPr="00556607">
              <w:rPr>
                <w:rFonts w:eastAsia="Times New Roman" w:cs="Calibri"/>
                <w:sz w:val="16"/>
                <w:szCs w:val="16"/>
              </w:rPr>
              <w:t>5.594</w:t>
            </w:r>
          </w:p>
        </w:tc>
      </w:tr>
      <w:tr w:rsidRPr="00556607" w:rsidR="00224914" w:rsidTr="00557986" w14:paraId="611B68D8" w14:textId="77777777">
        <w:trPr>
          <w:trHeight w:val="378"/>
        </w:trPr>
        <w:tc>
          <w:tcPr>
            <w:tcW w:w="3366" w:type="dxa"/>
            <w:tcBorders>
              <w:top w:val="single" w:color="auto" w:sz="4" w:space="0"/>
            </w:tcBorders>
            <w:shd w:val="clear" w:color="auto" w:fill="auto"/>
            <w:hideMark/>
          </w:tcPr>
          <w:p w:rsidRPr="00556607" w:rsidR="00224914" w:rsidP="00224914" w:rsidRDefault="00224914" w14:paraId="43861D60" w14:textId="77777777">
            <w:pPr>
              <w:spacing w:after="0" w:line="240" w:lineRule="auto"/>
              <w:rPr>
                <w:rFonts w:eastAsia="Times New Roman" w:cs="Calibri"/>
                <w:b/>
                <w:bCs/>
                <w:sz w:val="16"/>
                <w:szCs w:val="16"/>
              </w:rPr>
            </w:pPr>
            <w:r w:rsidRPr="00556607">
              <w:rPr>
                <w:rFonts w:eastAsia="Times New Roman" w:cs="Calibri"/>
                <w:b/>
                <w:bCs/>
                <w:sz w:val="16"/>
                <w:szCs w:val="16"/>
              </w:rPr>
              <w:t xml:space="preserve">Totaal uitgaven inclusief </w:t>
            </w:r>
            <w:r>
              <w:rPr>
                <w:rFonts w:eastAsia="Times New Roman" w:cs="Calibri"/>
                <w:b/>
                <w:bCs/>
                <w:sz w:val="16"/>
                <w:szCs w:val="16"/>
              </w:rPr>
              <w:t>speciale</w:t>
            </w:r>
            <w:r w:rsidRPr="00556607">
              <w:rPr>
                <w:rFonts w:eastAsia="Times New Roman" w:cs="Calibri"/>
                <w:b/>
                <w:bCs/>
                <w:sz w:val="16"/>
                <w:szCs w:val="16"/>
              </w:rPr>
              <w:t xml:space="preserve"> instrumenten (A+E)</w:t>
            </w:r>
          </w:p>
        </w:tc>
        <w:tc>
          <w:tcPr>
            <w:tcW w:w="859" w:type="dxa"/>
            <w:tcBorders>
              <w:top w:val="single" w:color="auto" w:sz="4" w:space="0"/>
            </w:tcBorders>
            <w:shd w:val="clear" w:color="auto" w:fill="auto"/>
            <w:hideMark/>
          </w:tcPr>
          <w:p w:rsidRPr="00556607" w:rsidR="00224914" w:rsidP="00224914" w:rsidRDefault="00224914" w14:paraId="0B21D5E7" w14:textId="77777777">
            <w:pPr>
              <w:spacing w:after="0" w:line="240" w:lineRule="auto"/>
              <w:jc w:val="right"/>
              <w:rPr>
                <w:rFonts w:eastAsia="Times New Roman" w:cs="Calibri"/>
                <w:b/>
                <w:bCs/>
                <w:sz w:val="16"/>
                <w:szCs w:val="16"/>
              </w:rPr>
            </w:pPr>
            <w:r w:rsidRPr="00556607">
              <w:rPr>
                <w:rFonts w:eastAsia="Times New Roman" w:cs="Calibri"/>
                <w:b/>
                <w:bCs/>
                <w:sz w:val="16"/>
                <w:szCs w:val="16"/>
              </w:rPr>
              <w:t>199.414</w:t>
            </w:r>
          </w:p>
        </w:tc>
        <w:tc>
          <w:tcPr>
            <w:tcW w:w="859" w:type="dxa"/>
            <w:tcBorders>
              <w:top w:val="single" w:color="auto" w:sz="4" w:space="0"/>
              <w:right w:val="dotted" w:color="auto" w:sz="4" w:space="0"/>
            </w:tcBorders>
            <w:shd w:val="clear" w:color="auto" w:fill="auto"/>
            <w:hideMark/>
          </w:tcPr>
          <w:p w:rsidRPr="00556607" w:rsidR="00224914" w:rsidP="00224914" w:rsidRDefault="00224914" w14:paraId="2C17B338" w14:textId="77777777">
            <w:pPr>
              <w:spacing w:after="0" w:line="240" w:lineRule="auto"/>
              <w:jc w:val="right"/>
              <w:rPr>
                <w:rFonts w:eastAsia="Times New Roman" w:cs="Calibri"/>
                <w:b/>
                <w:bCs/>
                <w:sz w:val="16"/>
                <w:szCs w:val="16"/>
              </w:rPr>
            </w:pPr>
            <w:r w:rsidRPr="00556607">
              <w:rPr>
                <w:rFonts w:eastAsia="Times New Roman" w:cs="Calibri"/>
                <w:b/>
                <w:bCs/>
                <w:sz w:val="16"/>
                <w:szCs w:val="16"/>
              </w:rPr>
              <w:t>155.339</w:t>
            </w:r>
          </w:p>
        </w:tc>
        <w:tc>
          <w:tcPr>
            <w:tcW w:w="859" w:type="dxa"/>
            <w:tcBorders>
              <w:top w:val="single" w:color="auto" w:sz="4" w:space="0"/>
              <w:left w:val="dotted" w:color="auto" w:sz="4" w:space="0"/>
            </w:tcBorders>
            <w:shd w:val="clear" w:color="auto" w:fill="auto"/>
            <w:hideMark/>
          </w:tcPr>
          <w:p w:rsidRPr="00556607" w:rsidR="00224914" w:rsidP="00224914" w:rsidRDefault="00224914" w14:paraId="24433CF1" w14:textId="77777777">
            <w:pPr>
              <w:spacing w:after="0" w:line="240" w:lineRule="auto"/>
              <w:jc w:val="right"/>
              <w:rPr>
                <w:rFonts w:eastAsia="Times New Roman" w:cs="Calibri"/>
                <w:b/>
                <w:bCs/>
                <w:sz w:val="16"/>
                <w:szCs w:val="16"/>
              </w:rPr>
            </w:pPr>
            <w:r w:rsidRPr="00556607">
              <w:rPr>
                <w:rFonts w:eastAsia="Times New Roman" w:cs="Calibri"/>
                <w:b/>
                <w:bCs/>
                <w:sz w:val="16"/>
                <w:szCs w:val="16"/>
              </w:rPr>
              <w:t>198.197</w:t>
            </w:r>
          </w:p>
        </w:tc>
        <w:tc>
          <w:tcPr>
            <w:tcW w:w="859" w:type="dxa"/>
            <w:tcBorders>
              <w:top w:val="single" w:color="auto" w:sz="4" w:space="0"/>
              <w:right w:val="dotted" w:color="auto" w:sz="4" w:space="0"/>
            </w:tcBorders>
            <w:shd w:val="clear" w:color="auto" w:fill="auto"/>
            <w:hideMark/>
          </w:tcPr>
          <w:p w:rsidRPr="00556607" w:rsidR="00224914" w:rsidP="00224914" w:rsidRDefault="00224914" w14:paraId="4285BBF9" w14:textId="77777777">
            <w:pPr>
              <w:spacing w:after="0" w:line="240" w:lineRule="auto"/>
              <w:jc w:val="right"/>
              <w:rPr>
                <w:rFonts w:eastAsia="Times New Roman" w:cs="Calibri"/>
                <w:b/>
                <w:bCs/>
                <w:sz w:val="16"/>
                <w:szCs w:val="16"/>
              </w:rPr>
            </w:pPr>
            <w:r w:rsidRPr="00556607">
              <w:rPr>
                <w:rFonts w:eastAsia="Times New Roman" w:cs="Calibri"/>
                <w:b/>
                <w:bCs/>
                <w:sz w:val="16"/>
                <w:szCs w:val="16"/>
              </w:rPr>
              <w:t>151.808</w:t>
            </w:r>
          </w:p>
        </w:tc>
        <w:tc>
          <w:tcPr>
            <w:tcW w:w="859" w:type="dxa"/>
            <w:tcBorders>
              <w:top w:val="single" w:color="auto" w:sz="4" w:space="0"/>
              <w:left w:val="dotted" w:color="auto" w:sz="4" w:space="0"/>
            </w:tcBorders>
            <w:shd w:val="clear" w:color="auto" w:fill="auto"/>
            <w:hideMark/>
          </w:tcPr>
          <w:p w:rsidRPr="00556607" w:rsidR="00224914" w:rsidP="00224914" w:rsidRDefault="00224914" w14:paraId="1F8911CE" w14:textId="77777777">
            <w:pPr>
              <w:spacing w:after="0" w:line="240" w:lineRule="auto"/>
              <w:jc w:val="right"/>
              <w:rPr>
                <w:rFonts w:eastAsia="Times New Roman" w:cs="Calibri"/>
                <w:b/>
                <w:bCs/>
                <w:sz w:val="16"/>
                <w:szCs w:val="16"/>
              </w:rPr>
            </w:pPr>
            <w:r w:rsidRPr="00556607">
              <w:rPr>
                <w:rFonts w:eastAsia="Times New Roman" w:cs="Calibri"/>
                <w:b/>
                <w:bCs/>
                <w:sz w:val="16"/>
                <w:szCs w:val="16"/>
              </w:rPr>
              <w:t>200.952</w:t>
            </w:r>
          </w:p>
        </w:tc>
        <w:tc>
          <w:tcPr>
            <w:tcW w:w="859" w:type="dxa"/>
            <w:tcBorders>
              <w:top w:val="single" w:color="auto" w:sz="4" w:space="0"/>
              <w:right w:val="dotted" w:color="auto" w:sz="4" w:space="0"/>
            </w:tcBorders>
            <w:shd w:val="clear" w:color="auto" w:fill="auto"/>
            <w:hideMark/>
          </w:tcPr>
          <w:p w:rsidRPr="00556607" w:rsidR="00224914" w:rsidP="00224914" w:rsidRDefault="00224914" w14:paraId="687CD736" w14:textId="77777777">
            <w:pPr>
              <w:spacing w:after="0" w:line="240" w:lineRule="auto"/>
              <w:jc w:val="right"/>
              <w:rPr>
                <w:rFonts w:eastAsia="Times New Roman" w:cs="Calibri"/>
                <w:b/>
                <w:bCs/>
                <w:sz w:val="16"/>
                <w:szCs w:val="16"/>
              </w:rPr>
            </w:pPr>
            <w:r w:rsidRPr="00556607">
              <w:rPr>
                <w:rFonts w:eastAsia="Times New Roman" w:cs="Calibri"/>
                <w:b/>
                <w:bCs/>
                <w:sz w:val="16"/>
                <w:szCs w:val="16"/>
              </w:rPr>
              <w:t>153.489</w:t>
            </w:r>
          </w:p>
        </w:tc>
        <w:tc>
          <w:tcPr>
            <w:tcW w:w="859" w:type="dxa"/>
            <w:tcBorders>
              <w:top w:val="single" w:color="auto" w:sz="4" w:space="0"/>
              <w:left w:val="dotted" w:color="auto" w:sz="4" w:space="0"/>
            </w:tcBorders>
            <w:shd w:val="clear" w:color="auto" w:fill="auto"/>
            <w:hideMark/>
          </w:tcPr>
          <w:p w:rsidRPr="00556607" w:rsidR="00224914" w:rsidP="00224914" w:rsidRDefault="00224914" w14:paraId="1859287B" w14:textId="77777777">
            <w:pPr>
              <w:spacing w:after="0" w:line="240" w:lineRule="auto"/>
              <w:jc w:val="right"/>
              <w:rPr>
                <w:rFonts w:eastAsia="Times New Roman" w:cs="Calibri"/>
                <w:b/>
                <w:bCs/>
                <w:sz w:val="16"/>
                <w:szCs w:val="16"/>
              </w:rPr>
            </w:pPr>
            <w:r>
              <w:rPr>
                <w:rFonts w:eastAsia="Times New Roman" w:cs="Calibri"/>
                <w:b/>
                <w:bCs/>
                <w:sz w:val="16"/>
                <w:szCs w:val="16"/>
              </w:rPr>
              <w:t>199.438</w:t>
            </w:r>
          </w:p>
        </w:tc>
        <w:tc>
          <w:tcPr>
            <w:tcW w:w="859" w:type="dxa"/>
            <w:tcBorders>
              <w:top w:val="single" w:color="auto" w:sz="4" w:space="0"/>
            </w:tcBorders>
            <w:shd w:val="clear" w:color="auto" w:fill="auto"/>
            <w:hideMark/>
          </w:tcPr>
          <w:p w:rsidRPr="00556607" w:rsidR="00224914" w:rsidP="00224914" w:rsidRDefault="00224914" w14:paraId="2F72C5CF" w14:textId="77777777">
            <w:pPr>
              <w:spacing w:after="0" w:line="240" w:lineRule="auto"/>
              <w:jc w:val="right"/>
              <w:rPr>
                <w:rFonts w:eastAsia="Times New Roman" w:cs="Calibri"/>
                <w:b/>
                <w:bCs/>
                <w:sz w:val="16"/>
                <w:szCs w:val="16"/>
              </w:rPr>
            </w:pPr>
            <w:r>
              <w:rPr>
                <w:rFonts w:eastAsia="Times New Roman" w:cs="Calibri"/>
                <w:b/>
                <w:bCs/>
                <w:sz w:val="16"/>
                <w:szCs w:val="16"/>
              </w:rPr>
              <w:t>155.209</w:t>
            </w:r>
          </w:p>
        </w:tc>
      </w:tr>
    </w:tbl>
    <w:p w:rsidR="00224914" w:rsidP="00224914" w:rsidRDefault="00224914" w14:paraId="73920DB8" w14:textId="77777777">
      <w:pPr>
        <w:spacing w:after="0" w:line="252" w:lineRule="auto"/>
        <w:rPr>
          <w:sz w:val="16"/>
          <w:szCs w:val="16"/>
        </w:rPr>
      </w:pPr>
    </w:p>
    <w:p w:rsidR="00224914" w:rsidP="00224914" w:rsidRDefault="00224914" w14:paraId="45253139" w14:textId="77777777">
      <w:pPr>
        <w:spacing w:after="0" w:line="252" w:lineRule="auto"/>
        <w:rPr>
          <w:sz w:val="16"/>
          <w:szCs w:val="16"/>
        </w:rPr>
      </w:pPr>
    </w:p>
    <w:p w:rsidR="00224914" w:rsidP="00224914" w:rsidRDefault="00224914" w14:paraId="3EDE2868" w14:textId="77777777">
      <w:pPr>
        <w:spacing w:after="0" w:line="252" w:lineRule="auto"/>
        <w:rPr>
          <w:sz w:val="16"/>
          <w:szCs w:val="16"/>
        </w:rPr>
      </w:pPr>
      <w:r>
        <w:rPr>
          <w:sz w:val="16"/>
          <w:szCs w:val="16"/>
        </w:rPr>
        <w:t>* Vastleggingen</w:t>
      </w:r>
      <w:r>
        <w:rPr>
          <w:sz w:val="16"/>
          <w:szCs w:val="16"/>
        </w:rPr>
        <w:br/>
        <w:t>** Betalingen</w:t>
      </w:r>
    </w:p>
    <w:p w:rsidR="00224914" w:rsidP="00224914" w:rsidRDefault="00224914" w14:paraId="6BC0E94E" w14:textId="77777777">
      <w:pPr>
        <w:spacing w:after="0"/>
        <w:rPr>
          <w:sz w:val="16"/>
          <w:szCs w:val="16"/>
        </w:rPr>
      </w:pPr>
      <w:r>
        <w:rPr>
          <w:sz w:val="16"/>
          <w:szCs w:val="16"/>
        </w:rPr>
        <w:br w:type="page"/>
      </w:r>
    </w:p>
    <w:tbl>
      <w:tblPr>
        <w:tblW w:w="51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772"/>
        <w:gridCol w:w="1358"/>
      </w:tblGrid>
      <w:tr w:rsidRPr="00C16C65" w:rsidR="00224914" w:rsidTr="00557986" w14:paraId="488652D9" w14:textId="77777777">
        <w:trPr>
          <w:trHeight w:val="500"/>
        </w:trPr>
        <w:tc>
          <w:tcPr>
            <w:tcW w:w="3772" w:type="dxa"/>
            <w:shd w:val="clear" w:color="auto" w:fill="0A2F41" w:themeFill="accent1" w:themeFillShade="80"/>
            <w:vAlign w:val="center"/>
            <w:hideMark/>
          </w:tcPr>
          <w:p w:rsidRPr="00C16C65" w:rsidR="00224914" w:rsidP="00224914" w:rsidRDefault="00224914" w14:paraId="62C35922" w14:textId="77777777">
            <w:pPr>
              <w:spacing w:after="0" w:line="240" w:lineRule="auto"/>
              <w:rPr>
                <w:rFonts w:eastAsia="Times New Roman" w:cs="Calibri"/>
                <w:b/>
                <w:bCs/>
                <w:color w:val="FFFFFF"/>
                <w:sz w:val="16"/>
                <w:szCs w:val="16"/>
              </w:rPr>
            </w:pPr>
            <w:bookmarkStart w:name="_Hlk183437871" w:id="15"/>
            <w:r w:rsidRPr="00C16C65">
              <w:rPr>
                <w:rFonts w:eastAsia="Times New Roman" w:cs="Calibri"/>
                <w:b/>
                <w:bCs/>
                <w:color w:val="FFFFFF"/>
                <w:sz w:val="16"/>
                <w:szCs w:val="16"/>
              </w:rPr>
              <w:lastRenderedPageBreak/>
              <w:t xml:space="preserve">Tabel 2: </w:t>
            </w:r>
            <w:r>
              <w:rPr>
                <w:rFonts w:eastAsia="Times New Roman" w:cs="Calibri"/>
                <w:b/>
                <w:bCs/>
                <w:color w:val="FFFFFF"/>
                <w:sz w:val="16"/>
                <w:szCs w:val="16"/>
              </w:rPr>
              <w:t>W</w:t>
            </w:r>
            <w:r w:rsidRPr="00C16C65">
              <w:rPr>
                <w:rFonts w:eastAsia="Times New Roman" w:cs="Calibri"/>
                <w:b/>
                <w:bCs/>
                <w:color w:val="FFFFFF"/>
                <w:sz w:val="16"/>
                <w:szCs w:val="16"/>
              </w:rPr>
              <w:t>ijzigingen t.o.v. de Amending Letter</w:t>
            </w:r>
            <w:r>
              <w:rPr>
                <w:rFonts w:eastAsia="Times New Roman" w:cs="Calibri"/>
                <w:b/>
                <w:bCs/>
                <w:color w:val="FFFFFF"/>
                <w:sz w:val="16"/>
                <w:szCs w:val="16"/>
              </w:rPr>
              <w:t xml:space="preserve"> 1</w:t>
            </w:r>
            <w:r w:rsidRPr="00C16C65">
              <w:rPr>
                <w:rFonts w:eastAsia="Times New Roman" w:cs="Calibri"/>
                <w:b/>
                <w:bCs/>
                <w:color w:val="FFFFFF"/>
                <w:sz w:val="16"/>
                <w:szCs w:val="16"/>
              </w:rPr>
              <w:t xml:space="preserve"> </w:t>
            </w:r>
            <w:r w:rsidRPr="00F22992">
              <w:rPr>
                <w:rFonts w:eastAsia="Times New Roman" w:cs="Calibri"/>
                <w:color w:val="FFFFFF"/>
                <w:sz w:val="16"/>
                <w:szCs w:val="16"/>
              </w:rPr>
              <w:t>(in miljoenen euro; vastleggingen)</w:t>
            </w:r>
          </w:p>
        </w:tc>
        <w:tc>
          <w:tcPr>
            <w:tcW w:w="1358" w:type="dxa"/>
            <w:shd w:val="clear" w:color="auto" w:fill="0A2F41" w:themeFill="accent1" w:themeFillShade="80"/>
            <w:vAlign w:val="center"/>
            <w:hideMark/>
          </w:tcPr>
          <w:p w:rsidRPr="00C16C65" w:rsidR="00224914" w:rsidP="00224914" w:rsidRDefault="00224914" w14:paraId="7B3F5AAB" w14:textId="77777777">
            <w:pPr>
              <w:spacing w:after="0" w:line="240" w:lineRule="auto"/>
              <w:rPr>
                <w:rFonts w:eastAsia="Times New Roman" w:cs="Calibri"/>
                <w:b/>
                <w:bCs/>
                <w:color w:val="FFFFFF"/>
                <w:sz w:val="16"/>
                <w:szCs w:val="16"/>
              </w:rPr>
            </w:pPr>
            <w:r w:rsidRPr="00C16C65">
              <w:rPr>
                <w:rFonts w:eastAsia="Times New Roman" w:cs="Calibri"/>
                <w:b/>
                <w:bCs/>
                <w:color w:val="FFFFFF"/>
                <w:sz w:val="16"/>
                <w:szCs w:val="16"/>
              </w:rPr>
              <w:t>Bedrag</w:t>
            </w:r>
          </w:p>
        </w:tc>
      </w:tr>
      <w:tr w:rsidRPr="00C16C65" w:rsidR="00224914" w:rsidTr="00557986" w14:paraId="6329B46C" w14:textId="77777777">
        <w:trPr>
          <w:trHeight w:val="243"/>
        </w:trPr>
        <w:tc>
          <w:tcPr>
            <w:tcW w:w="3772" w:type="dxa"/>
            <w:shd w:val="clear" w:color="auto" w:fill="auto"/>
            <w:noWrap/>
            <w:vAlign w:val="center"/>
            <w:hideMark/>
          </w:tcPr>
          <w:p w:rsidRPr="00C16C65" w:rsidR="00224914" w:rsidP="00224914" w:rsidRDefault="00224914" w14:paraId="64252B11" w14:textId="77777777">
            <w:pPr>
              <w:spacing w:after="0" w:line="240" w:lineRule="auto"/>
              <w:rPr>
                <w:rFonts w:eastAsia="Times New Roman" w:cs="Calibri"/>
                <w:b/>
                <w:bCs/>
                <w:sz w:val="16"/>
                <w:szCs w:val="16"/>
              </w:rPr>
            </w:pPr>
            <w:r w:rsidRPr="00C16C65">
              <w:rPr>
                <w:rFonts w:eastAsia="Times New Roman" w:cs="Calibri"/>
                <w:b/>
                <w:bCs/>
                <w:sz w:val="16"/>
                <w:szCs w:val="16"/>
              </w:rPr>
              <w:t>1 Interne markt, innovatie en digitaal</w:t>
            </w:r>
          </w:p>
        </w:tc>
        <w:tc>
          <w:tcPr>
            <w:tcW w:w="1358" w:type="dxa"/>
            <w:shd w:val="clear" w:color="auto" w:fill="auto"/>
            <w:noWrap/>
            <w:vAlign w:val="center"/>
            <w:hideMark/>
          </w:tcPr>
          <w:p w:rsidRPr="00C16C65" w:rsidR="00224914" w:rsidP="00224914" w:rsidRDefault="00224914" w14:paraId="00F21C06" w14:textId="77777777">
            <w:pPr>
              <w:spacing w:after="0" w:line="240" w:lineRule="auto"/>
              <w:jc w:val="right"/>
              <w:rPr>
                <w:rFonts w:eastAsia="Times New Roman" w:cs="Calibri"/>
                <w:b/>
                <w:bCs/>
                <w:sz w:val="16"/>
                <w:szCs w:val="16"/>
              </w:rPr>
            </w:pPr>
            <w:r w:rsidRPr="00C16C65">
              <w:rPr>
                <w:rFonts w:eastAsia="Times New Roman" w:cs="Calibri"/>
                <w:b/>
                <w:bCs/>
                <w:sz w:val="16"/>
                <w:szCs w:val="16"/>
              </w:rPr>
              <w:t xml:space="preserve">          97,5 </w:t>
            </w:r>
          </w:p>
        </w:tc>
      </w:tr>
      <w:tr w:rsidRPr="00C16C65" w:rsidR="00224914" w:rsidTr="00557986" w14:paraId="3D091575" w14:textId="77777777">
        <w:trPr>
          <w:trHeight w:val="243"/>
        </w:trPr>
        <w:tc>
          <w:tcPr>
            <w:tcW w:w="3772" w:type="dxa"/>
            <w:shd w:val="clear" w:color="auto" w:fill="auto"/>
            <w:noWrap/>
            <w:vAlign w:val="center"/>
            <w:hideMark/>
          </w:tcPr>
          <w:p w:rsidRPr="00C16C65" w:rsidR="00224914" w:rsidP="00224914" w:rsidRDefault="00224914" w14:paraId="51FB6D73" w14:textId="77777777">
            <w:pPr>
              <w:spacing w:after="0" w:line="240" w:lineRule="auto"/>
              <w:jc w:val="right"/>
              <w:rPr>
                <w:rFonts w:eastAsia="Times New Roman" w:cs="Calibri"/>
                <w:i/>
                <w:iCs/>
                <w:sz w:val="16"/>
                <w:szCs w:val="16"/>
              </w:rPr>
            </w:pPr>
            <w:r w:rsidRPr="00C16C65">
              <w:rPr>
                <w:rFonts w:eastAsia="Times New Roman" w:cs="Calibri"/>
                <w:i/>
                <w:iCs/>
                <w:sz w:val="16"/>
                <w:szCs w:val="16"/>
              </w:rPr>
              <w:t>Horizon</w:t>
            </w:r>
          </w:p>
        </w:tc>
        <w:tc>
          <w:tcPr>
            <w:tcW w:w="1358" w:type="dxa"/>
            <w:shd w:val="clear" w:color="auto" w:fill="auto"/>
            <w:noWrap/>
            <w:vAlign w:val="center"/>
            <w:hideMark/>
          </w:tcPr>
          <w:p w:rsidRPr="00C16C65" w:rsidR="00224914" w:rsidP="00224914" w:rsidRDefault="00224914" w14:paraId="35A2AE64" w14:textId="77777777">
            <w:pPr>
              <w:spacing w:after="0" w:line="240" w:lineRule="auto"/>
              <w:jc w:val="right"/>
              <w:rPr>
                <w:rFonts w:eastAsia="Times New Roman" w:cs="Calibri"/>
                <w:sz w:val="16"/>
                <w:szCs w:val="16"/>
              </w:rPr>
            </w:pPr>
            <w:r w:rsidRPr="00C16C65">
              <w:rPr>
                <w:rFonts w:eastAsia="Times New Roman" w:cs="Calibri"/>
                <w:sz w:val="16"/>
                <w:szCs w:val="16"/>
              </w:rPr>
              <w:t xml:space="preserve">           25,0 </w:t>
            </w:r>
          </w:p>
        </w:tc>
      </w:tr>
      <w:tr w:rsidRPr="00C16C65" w:rsidR="00224914" w:rsidTr="00557986" w14:paraId="3D43E995" w14:textId="77777777">
        <w:trPr>
          <w:trHeight w:val="243"/>
        </w:trPr>
        <w:tc>
          <w:tcPr>
            <w:tcW w:w="3772" w:type="dxa"/>
            <w:shd w:val="clear" w:color="auto" w:fill="auto"/>
            <w:noWrap/>
            <w:vAlign w:val="center"/>
            <w:hideMark/>
          </w:tcPr>
          <w:p w:rsidRPr="00C16C65" w:rsidR="00224914" w:rsidP="00224914" w:rsidRDefault="00224914" w14:paraId="20890F42" w14:textId="77777777">
            <w:pPr>
              <w:spacing w:after="0" w:line="240" w:lineRule="auto"/>
              <w:jc w:val="right"/>
              <w:rPr>
                <w:rFonts w:eastAsia="Times New Roman" w:cs="Calibri"/>
                <w:i/>
                <w:iCs/>
                <w:sz w:val="16"/>
                <w:szCs w:val="16"/>
              </w:rPr>
            </w:pPr>
            <w:r w:rsidRPr="00C16C65">
              <w:rPr>
                <w:rFonts w:eastAsia="Times New Roman" w:cs="Calibri"/>
                <w:i/>
                <w:iCs/>
                <w:sz w:val="16"/>
                <w:szCs w:val="16"/>
              </w:rPr>
              <w:t>Digital Europe</w:t>
            </w:r>
          </w:p>
        </w:tc>
        <w:tc>
          <w:tcPr>
            <w:tcW w:w="1358" w:type="dxa"/>
            <w:shd w:val="clear" w:color="auto" w:fill="auto"/>
            <w:noWrap/>
            <w:vAlign w:val="center"/>
            <w:hideMark/>
          </w:tcPr>
          <w:p w:rsidRPr="00C16C65" w:rsidR="00224914" w:rsidP="00224914" w:rsidRDefault="00224914" w14:paraId="451B2414" w14:textId="77777777">
            <w:pPr>
              <w:spacing w:after="0" w:line="240" w:lineRule="auto"/>
              <w:jc w:val="right"/>
              <w:rPr>
                <w:rFonts w:eastAsia="Times New Roman" w:cs="Calibri"/>
                <w:sz w:val="16"/>
                <w:szCs w:val="16"/>
              </w:rPr>
            </w:pPr>
            <w:r w:rsidRPr="00C16C65">
              <w:rPr>
                <w:rFonts w:eastAsia="Times New Roman" w:cs="Calibri"/>
                <w:sz w:val="16"/>
                <w:szCs w:val="16"/>
              </w:rPr>
              <w:t xml:space="preserve">           -5,0 </w:t>
            </w:r>
          </w:p>
        </w:tc>
      </w:tr>
      <w:tr w:rsidRPr="00C16C65" w:rsidR="00224914" w:rsidTr="00557986" w14:paraId="2FFC3BC0" w14:textId="77777777">
        <w:trPr>
          <w:trHeight w:val="243"/>
        </w:trPr>
        <w:tc>
          <w:tcPr>
            <w:tcW w:w="3772" w:type="dxa"/>
            <w:shd w:val="clear" w:color="auto" w:fill="auto"/>
            <w:noWrap/>
            <w:vAlign w:val="center"/>
            <w:hideMark/>
          </w:tcPr>
          <w:p w:rsidRPr="00C16C65" w:rsidR="00224914" w:rsidP="00224914" w:rsidRDefault="00224914" w14:paraId="7164DC8E" w14:textId="77777777">
            <w:pPr>
              <w:spacing w:after="0" w:line="240" w:lineRule="auto"/>
              <w:jc w:val="right"/>
              <w:rPr>
                <w:rFonts w:eastAsia="Times New Roman" w:cs="Calibri"/>
                <w:i/>
                <w:iCs/>
                <w:sz w:val="16"/>
                <w:szCs w:val="16"/>
              </w:rPr>
            </w:pPr>
            <w:r w:rsidRPr="00C16C65">
              <w:rPr>
                <w:rFonts w:eastAsia="Times New Roman" w:cs="Calibri"/>
                <w:i/>
                <w:iCs/>
                <w:sz w:val="16"/>
                <w:szCs w:val="16"/>
              </w:rPr>
              <w:t>Pilot projecten</w:t>
            </w:r>
          </w:p>
        </w:tc>
        <w:tc>
          <w:tcPr>
            <w:tcW w:w="1358" w:type="dxa"/>
            <w:shd w:val="clear" w:color="auto" w:fill="auto"/>
            <w:noWrap/>
            <w:vAlign w:val="center"/>
            <w:hideMark/>
          </w:tcPr>
          <w:p w:rsidRPr="00C16C65" w:rsidR="00224914" w:rsidP="00224914" w:rsidRDefault="00224914" w14:paraId="456E3536" w14:textId="77777777">
            <w:pPr>
              <w:spacing w:after="0" w:line="240" w:lineRule="auto"/>
              <w:jc w:val="right"/>
              <w:rPr>
                <w:rFonts w:eastAsia="Times New Roman" w:cs="Calibri"/>
                <w:sz w:val="16"/>
                <w:szCs w:val="16"/>
              </w:rPr>
            </w:pPr>
            <w:r w:rsidRPr="00C16C65">
              <w:rPr>
                <w:rFonts w:eastAsia="Times New Roman" w:cs="Calibri"/>
                <w:sz w:val="16"/>
                <w:szCs w:val="16"/>
              </w:rPr>
              <w:t xml:space="preserve">           77,5 </w:t>
            </w:r>
          </w:p>
        </w:tc>
      </w:tr>
      <w:tr w:rsidRPr="00C16C65" w:rsidR="00224914" w:rsidTr="00557986" w14:paraId="78EB791A" w14:textId="77777777">
        <w:trPr>
          <w:trHeight w:val="243"/>
        </w:trPr>
        <w:tc>
          <w:tcPr>
            <w:tcW w:w="3772" w:type="dxa"/>
            <w:shd w:val="clear" w:color="auto" w:fill="auto"/>
            <w:noWrap/>
            <w:vAlign w:val="center"/>
            <w:hideMark/>
          </w:tcPr>
          <w:p w:rsidRPr="00C16C65" w:rsidR="00224914" w:rsidP="00224914" w:rsidRDefault="00224914" w14:paraId="7A8CF423" w14:textId="77777777">
            <w:pPr>
              <w:spacing w:after="0" w:line="240" w:lineRule="auto"/>
              <w:rPr>
                <w:rFonts w:eastAsia="Times New Roman" w:cs="Calibri"/>
                <w:b/>
                <w:bCs/>
                <w:sz w:val="16"/>
                <w:szCs w:val="16"/>
              </w:rPr>
            </w:pPr>
            <w:r w:rsidRPr="00C16C65">
              <w:rPr>
                <w:rFonts w:eastAsia="Times New Roman" w:cs="Calibri"/>
                <w:b/>
                <w:bCs/>
                <w:sz w:val="16"/>
                <w:szCs w:val="16"/>
              </w:rPr>
              <w:t>2 Cohesie, veerkracht en waarden</w:t>
            </w:r>
          </w:p>
        </w:tc>
        <w:tc>
          <w:tcPr>
            <w:tcW w:w="1358" w:type="dxa"/>
            <w:shd w:val="clear" w:color="auto" w:fill="auto"/>
            <w:noWrap/>
            <w:vAlign w:val="center"/>
            <w:hideMark/>
          </w:tcPr>
          <w:p w:rsidRPr="00C16C65" w:rsidR="00224914" w:rsidP="00224914" w:rsidRDefault="00224914" w14:paraId="0C7ED62F" w14:textId="77777777">
            <w:pPr>
              <w:spacing w:after="0" w:line="240" w:lineRule="auto"/>
              <w:jc w:val="right"/>
              <w:rPr>
                <w:rFonts w:eastAsia="Times New Roman" w:cs="Calibri"/>
                <w:b/>
                <w:bCs/>
                <w:sz w:val="16"/>
                <w:szCs w:val="16"/>
              </w:rPr>
            </w:pPr>
            <w:r w:rsidRPr="00C16C65">
              <w:rPr>
                <w:rFonts w:eastAsia="Times New Roman" w:cs="Calibri"/>
                <w:b/>
                <w:bCs/>
                <w:sz w:val="16"/>
                <w:szCs w:val="16"/>
              </w:rPr>
              <w:t xml:space="preserve">          36,5 </w:t>
            </w:r>
          </w:p>
        </w:tc>
      </w:tr>
      <w:tr w:rsidRPr="00C16C65" w:rsidR="00224914" w:rsidTr="00557986" w14:paraId="5895691A" w14:textId="77777777">
        <w:trPr>
          <w:trHeight w:val="243"/>
        </w:trPr>
        <w:tc>
          <w:tcPr>
            <w:tcW w:w="3772" w:type="dxa"/>
            <w:shd w:val="clear" w:color="auto" w:fill="auto"/>
            <w:noWrap/>
            <w:vAlign w:val="center"/>
            <w:hideMark/>
          </w:tcPr>
          <w:p w:rsidRPr="005154BA" w:rsidR="00224914" w:rsidP="00224914" w:rsidRDefault="00224914" w14:paraId="7C91C4D7" w14:textId="77777777">
            <w:pPr>
              <w:spacing w:after="0" w:line="240" w:lineRule="auto"/>
              <w:jc w:val="right"/>
              <w:rPr>
                <w:rFonts w:eastAsia="Times New Roman" w:cs="Calibri"/>
                <w:i/>
                <w:iCs/>
                <w:sz w:val="16"/>
                <w:szCs w:val="16"/>
              </w:rPr>
            </w:pPr>
            <w:r w:rsidRPr="005154BA">
              <w:rPr>
                <w:rFonts w:eastAsia="Times New Roman" w:cs="Calibri"/>
                <w:i/>
                <w:iCs/>
                <w:sz w:val="16"/>
                <w:szCs w:val="16"/>
              </w:rPr>
              <w:t>Steun Turks-Cypriotische gemeenschap</w:t>
            </w:r>
          </w:p>
        </w:tc>
        <w:tc>
          <w:tcPr>
            <w:tcW w:w="1358" w:type="dxa"/>
            <w:shd w:val="clear" w:color="auto" w:fill="auto"/>
            <w:noWrap/>
            <w:vAlign w:val="center"/>
            <w:hideMark/>
          </w:tcPr>
          <w:p w:rsidRPr="00C16C65" w:rsidR="00224914" w:rsidP="00224914" w:rsidRDefault="00224914" w14:paraId="7F39699B" w14:textId="77777777">
            <w:pPr>
              <w:spacing w:after="0" w:line="240" w:lineRule="auto"/>
              <w:jc w:val="right"/>
              <w:rPr>
                <w:rFonts w:eastAsia="Times New Roman" w:cs="Calibri"/>
                <w:sz w:val="16"/>
                <w:szCs w:val="16"/>
              </w:rPr>
            </w:pPr>
            <w:r w:rsidRPr="00C16C65">
              <w:rPr>
                <w:rFonts w:eastAsia="Times New Roman" w:cs="Calibri"/>
                <w:sz w:val="16"/>
                <w:szCs w:val="16"/>
              </w:rPr>
              <w:t xml:space="preserve">            0,5 </w:t>
            </w:r>
          </w:p>
        </w:tc>
      </w:tr>
      <w:tr w:rsidRPr="00C16C65" w:rsidR="00224914" w:rsidTr="00557986" w14:paraId="351DF528" w14:textId="77777777">
        <w:trPr>
          <w:trHeight w:val="243"/>
        </w:trPr>
        <w:tc>
          <w:tcPr>
            <w:tcW w:w="3772" w:type="dxa"/>
            <w:shd w:val="clear" w:color="auto" w:fill="auto"/>
            <w:noWrap/>
            <w:vAlign w:val="center"/>
            <w:hideMark/>
          </w:tcPr>
          <w:p w:rsidRPr="005154BA" w:rsidR="00224914" w:rsidP="00224914" w:rsidRDefault="00224914" w14:paraId="76EDE5C8" w14:textId="77777777">
            <w:pPr>
              <w:spacing w:after="0" w:line="240" w:lineRule="auto"/>
              <w:jc w:val="right"/>
              <w:rPr>
                <w:rFonts w:eastAsia="Times New Roman" w:cs="Calibri"/>
                <w:i/>
                <w:iCs/>
                <w:sz w:val="16"/>
                <w:szCs w:val="16"/>
              </w:rPr>
            </w:pPr>
            <w:r>
              <w:rPr>
                <w:rFonts w:eastAsia="Times New Roman" w:cs="Calibri"/>
                <w:i/>
                <w:iCs/>
                <w:sz w:val="16"/>
                <w:szCs w:val="16"/>
              </w:rPr>
              <w:t>EPPO</w:t>
            </w:r>
          </w:p>
        </w:tc>
        <w:tc>
          <w:tcPr>
            <w:tcW w:w="1358" w:type="dxa"/>
            <w:shd w:val="clear" w:color="auto" w:fill="auto"/>
            <w:noWrap/>
            <w:vAlign w:val="center"/>
            <w:hideMark/>
          </w:tcPr>
          <w:p w:rsidRPr="00C16C65" w:rsidR="00224914" w:rsidP="00224914" w:rsidRDefault="00224914" w14:paraId="1F95139B" w14:textId="77777777">
            <w:pPr>
              <w:spacing w:after="0" w:line="240" w:lineRule="auto"/>
              <w:jc w:val="right"/>
              <w:rPr>
                <w:rFonts w:eastAsia="Times New Roman" w:cs="Calibri"/>
                <w:sz w:val="16"/>
                <w:szCs w:val="16"/>
              </w:rPr>
            </w:pPr>
            <w:r>
              <w:rPr>
                <w:rFonts w:eastAsia="Times New Roman" w:cs="Calibri"/>
                <w:sz w:val="16"/>
                <w:szCs w:val="16"/>
              </w:rPr>
              <w:t>2,0</w:t>
            </w:r>
            <w:r w:rsidRPr="00C16C65">
              <w:rPr>
                <w:rFonts w:eastAsia="Times New Roman" w:cs="Calibri"/>
                <w:sz w:val="16"/>
                <w:szCs w:val="16"/>
              </w:rPr>
              <w:t xml:space="preserve"> </w:t>
            </w:r>
          </w:p>
        </w:tc>
      </w:tr>
      <w:tr w:rsidRPr="00C16C65" w:rsidR="00224914" w:rsidTr="00557986" w14:paraId="0C71C320" w14:textId="77777777">
        <w:trPr>
          <w:trHeight w:val="243"/>
        </w:trPr>
        <w:tc>
          <w:tcPr>
            <w:tcW w:w="3772" w:type="dxa"/>
            <w:shd w:val="clear" w:color="auto" w:fill="auto"/>
            <w:noWrap/>
            <w:vAlign w:val="center"/>
            <w:hideMark/>
          </w:tcPr>
          <w:p w:rsidRPr="005154BA" w:rsidR="00224914" w:rsidP="00224914" w:rsidRDefault="00224914" w14:paraId="5952BCD2" w14:textId="77777777">
            <w:pPr>
              <w:spacing w:after="0" w:line="240" w:lineRule="auto"/>
              <w:jc w:val="right"/>
              <w:rPr>
                <w:rFonts w:eastAsia="Times New Roman" w:cs="Calibri"/>
                <w:i/>
                <w:iCs/>
                <w:sz w:val="16"/>
                <w:szCs w:val="16"/>
              </w:rPr>
            </w:pPr>
            <w:r w:rsidRPr="005154BA">
              <w:rPr>
                <w:rFonts w:eastAsia="Times New Roman" w:cs="Calibri"/>
                <w:i/>
                <w:iCs/>
                <w:sz w:val="16"/>
                <w:szCs w:val="16"/>
              </w:rPr>
              <w:t xml:space="preserve">Union </w:t>
            </w:r>
            <w:proofErr w:type="spellStart"/>
            <w:r w:rsidRPr="005154BA">
              <w:rPr>
                <w:rFonts w:eastAsia="Times New Roman" w:cs="Calibri"/>
                <w:i/>
                <w:iCs/>
                <w:sz w:val="16"/>
                <w:szCs w:val="16"/>
              </w:rPr>
              <w:t>Civil</w:t>
            </w:r>
            <w:proofErr w:type="spellEnd"/>
            <w:r w:rsidRPr="005154BA">
              <w:rPr>
                <w:rFonts w:eastAsia="Times New Roman" w:cs="Calibri"/>
                <w:i/>
                <w:iCs/>
                <w:sz w:val="16"/>
                <w:szCs w:val="16"/>
              </w:rPr>
              <w:t xml:space="preserve"> </w:t>
            </w:r>
            <w:proofErr w:type="spellStart"/>
            <w:r w:rsidRPr="005154BA">
              <w:rPr>
                <w:rFonts w:eastAsia="Times New Roman" w:cs="Calibri"/>
                <w:i/>
                <w:iCs/>
                <w:sz w:val="16"/>
                <w:szCs w:val="16"/>
              </w:rPr>
              <w:t>Potection</w:t>
            </w:r>
            <w:proofErr w:type="spellEnd"/>
            <w:r w:rsidRPr="005154BA">
              <w:rPr>
                <w:rFonts w:eastAsia="Times New Roman" w:cs="Calibri"/>
                <w:i/>
                <w:iCs/>
                <w:sz w:val="16"/>
                <w:szCs w:val="16"/>
              </w:rPr>
              <w:t xml:space="preserve"> </w:t>
            </w:r>
            <w:proofErr w:type="spellStart"/>
            <w:r w:rsidRPr="005154BA">
              <w:rPr>
                <w:rFonts w:eastAsia="Times New Roman" w:cs="Calibri"/>
                <w:i/>
                <w:iCs/>
                <w:sz w:val="16"/>
                <w:szCs w:val="16"/>
              </w:rPr>
              <w:t>Mechanism</w:t>
            </w:r>
            <w:proofErr w:type="spellEnd"/>
          </w:p>
        </w:tc>
        <w:tc>
          <w:tcPr>
            <w:tcW w:w="1358" w:type="dxa"/>
            <w:shd w:val="clear" w:color="auto" w:fill="auto"/>
            <w:noWrap/>
            <w:vAlign w:val="center"/>
            <w:hideMark/>
          </w:tcPr>
          <w:p w:rsidRPr="00C16C65" w:rsidR="00224914" w:rsidP="00224914" w:rsidRDefault="00224914" w14:paraId="5622B475" w14:textId="77777777">
            <w:pPr>
              <w:spacing w:after="0" w:line="240" w:lineRule="auto"/>
              <w:jc w:val="right"/>
              <w:rPr>
                <w:rFonts w:eastAsia="Times New Roman" w:cs="Calibri"/>
                <w:sz w:val="16"/>
                <w:szCs w:val="16"/>
              </w:rPr>
            </w:pPr>
            <w:r w:rsidRPr="00C16C65">
              <w:rPr>
                <w:rFonts w:eastAsia="Times New Roman" w:cs="Calibri"/>
                <w:sz w:val="16"/>
                <w:szCs w:val="16"/>
              </w:rPr>
              <w:t xml:space="preserve">            8,0 </w:t>
            </w:r>
          </w:p>
        </w:tc>
      </w:tr>
      <w:tr w:rsidRPr="00C16C65" w:rsidR="00224914" w:rsidTr="00557986" w14:paraId="0411629B" w14:textId="77777777">
        <w:trPr>
          <w:trHeight w:val="243"/>
        </w:trPr>
        <w:tc>
          <w:tcPr>
            <w:tcW w:w="3772" w:type="dxa"/>
            <w:shd w:val="clear" w:color="auto" w:fill="auto"/>
            <w:noWrap/>
            <w:vAlign w:val="center"/>
            <w:hideMark/>
          </w:tcPr>
          <w:p w:rsidRPr="005154BA" w:rsidR="00224914" w:rsidP="00224914" w:rsidRDefault="00224914" w14:paraId="03575535" w14:textId="77777777">
            <w:pPr>
              <w:spacing w:after="0" w:line="240" w:lineRule="auto"/>
              <w:jc w:val="right"/>
              <w:rPr>
                <w:rFonts w:eastAsia="Times New Roman" w:cs="Calibri"/>
                <w:i/>
                <w:iCs/>
                <w:sz w:val="16"/>
                <w:szCs w:val="16"/>
              </w:rPr>
            </w:pPr>
            <w:r w:rsidRPr="005154BA">
              <w:rPr>
                <w:rFonts w:eastAsia="Times New Roman" w:cs="Calibri"/>
                <w:i/>
                <w:iCs/>
                <w:sz w:val="16"/>
                <w:szCs w:val="16"/>
              </w:rPr>
              <w:t>Gelijkheid, waarden en rechten</w:t>
            </w:r>
          </w:p>
        </w:tc>
        <w:tc>
          <w:tcPr>
            <w:tcW w:w="1358" w:type="dxa"/>
            <w:shd w:val="clear" w:color="auto" w:fill="auto"/>
            <w:noWrap/>
            <w:vAlign w:val="center"/>
            <w:hideMark/>
          </w:tcPr>
          <w:p w:rsidRPr="00C16C65" w:rsidR="00224914" w:rsidP="00224914" w:rsidRDefault="00224914" w14:paraId="486C76AB" w14:textId="77777777">
            <w:pPr>
              <w:spacing w:after="0" w:line="240" w:lineRule="auto"/>
              <w:jc w:val="right"/>
              <w:rPr>
                <w:rFonts w:eastAsia="Times New Roman" w:cs="Calibri"/>
                <w:sz w:val="16"/>
                <w:szCs w:val="16"/>
              </w:rPr>
            </w:pPr>
            <w:r w:rsidRPr="00C16C65">
              <w:rPr>
                <w:rFonts w:eastAsia="Times New Roman" w:cs="Calibri"/>
                <w:sz w:val="16"/>
                <w:szCs w:val="16"/>
              </w:rPr>
              <w:t xml:space="preserve">            1,0 </w:t>
            </w:r>
          </w:p>
        </w:tc>
      </w:tr>
      <w:tr w:rsidRPr="00C16C65" w:rsidR="00224914" w:rsidTr="00557986" w14:paraId="5352A032" w14:textId="77777777">
        <w:trPr>
          <w:trHeight w:val="243"/>
        </w:trPr>
        <w:tc>
          <w:tcPr>
            <w:tcW w:w="3772" w:type="dxa"/>
            <w:shd w:val="clear" w:color="auto" w:fill="auto"/>
            <w:noWrap/>
            <w:vAlign w:val="center"/>
            <w:hideMark/>
          </w:tcPr>
          <w:p w:rsidRPr="005154BA" w:rsidR="00224914" w:rsidP="00224914" w:rsidRDefault="00224914" w14:paraId="2A0077AD" w14:textId="77777777">
            <w:pPr>
              <w:spacing w:after="0" w:line="240" w:lineRule="auto"/>
              <w:jc w:val="right"/>
              <w:rPr>
                <w:rFonts w:eastAsia="Times New Roman" w:cs="Calibri"/>
                <w:i/>
                <w:iCs/>
                <w:sz w:val="16"/>
                <w:szCs w:val="16"/>
              </w:rPr>
            </w:pPr>
            <w:r w:rsidRPr="005154BA">
              <w:rPr>
                <w:rFonts w:eastAsia="Times New Roman" w:cs="Calibri"/>
                <w:i/>
                <w:iCs/>
                <w:sz w:val="16"/>
                <w:szCs w:val="16"/>
              </w:rPr>
              <w:t>Pilot projecten</w:t>
            </w:r>
          </w:p>
        </w:tc>
        <w:tc>
          <w:tcPr>
            <w:tcW w:w="1358" w:type="dxa"/>
            <w:shd w:val="clear" w:color="auto" w:fill="auto"/>
            <w:noWrap/>
            <w:vAlign w:val="center"/>
            <w:hideMark/>
          </w:tcPr>
          <w:p w:rsidRPr="00C16C65" w:rsidR="00224914" w:rsidP="00224914" w:rsidRDefault="00224914" w14:paraId="6EFBF77E" w14:textId="77777777">
            <w:pPr>
              <w:spacing w:after="0" w:line="240" w:lineRule="auto"/>
              <w:jc w:val="right"/>
              <w:rPr>
                <w:rFonts w:eastAsia="Times New Roman" w:cs="Calibri"/>
                <w:sz w:val="16"/>
                <w:szCs w:val="16"/>
              </w:rPr>
            </w:pPr>
            <w:r w:rsidRPr="00C16C65">
              <w:rPr>
                <w:rFonts w:eastAsia="Times New Roman" w:cs="Calibri"/>
                <w:sz w:val="16"/>
                <w:szCs w:val="16"/>
              </w:rPr>
              <w:t xml:space="preserve">           24,0 </w:t>
            </w:r>
          </w:p>
        </w:tc>
      </w:tr>
      <w:tr w:rsidRPr="00C16C65" w:rsidR="00224914" w:rsidTr="00557986" w14:paraId="05D9E8FD" w14:textId="77777777">
        <w:trPr>
          <w:trHeight w:val="243"/>
        </w:trPr>
        <w:tc>
          <w:tcPr>
            <w:tcW w:w="3772" w:type="dxa"/>
            <w:shd w:val="clear" w:color="auto" w:fill="auto"/>
            <w:noWrap/>
            <w:vAlign w:val="center"/>
          </w:tcPr>
          <w:p w:rsidRPr="005154BA" w:rsidR="00224914" w:rsidP="00224914" w:rsidRDefault="00224914" w14:paraId="23D88F15" w14:textId="77777777">
            <w:pPr>
              <w:spacing w:after="0" w:line="240" w:lineRule="auto"/>
              <w:jc w:val="center"/>
              <w:rPr>
                <w:rFonts w:eastAsia="Times New Roman" w:cs="Calibri"/>
                <w:i/>
                <w:iCs/>
                <w:sz w:val="16"/>
                <w:szCs w:val="16"/>
              </w:rPr>
            </w:pPr>
            <w:r>
              <w:rPr>
                <w:rFonts w:eastAsia="Times New Roman" w:cs="Calibri"/>
                <w:i/>
                <w:iCs/>
                <w:sz w:val="16"/>
                <w:szCs w:val="16"/>
              </w:rPr>
              <w:t xml:space="preserve">                    </w:t>
            </w:r>
            <w:proofErr w:type="spellStart"/>
            <w:r>
              <w:rPr>
                <w:rFonts w:eastAsia="Times New Roman" w:cs="Calibri"/>
                <w:i/>
                <w:iCs/>
                <w:sz w:val="16"/>
                <w:szCs w:val="16"/>
              </w:rPr>
              <w:t>Other</w:t>
            </w:r>
            <w:proofErr w:type="spellEnd"/>
            <w:r>
              <w:rPr>
                <w:rFonts w:eastAsia="Times New Roman" w:cs="Calibri"/>
                <w:i/>
                <w:iCs/>
                <w:sz w:val="16"/>
                <w:szCs w:val="16"/>
              </w:rPr>
              <w:t xml:space="preserve"> actions </w:t>
            </w:r>
            <w:proofErr w:type="spellStart"/>
            <w:r>
              <w:rPr>
                <w:rFonts w:eastAsia="Times New Roman" w:cs="Calibri"/>
                <w:i/>
                <w:iCs/>
                <w:sz w:val="16"/>
                <w:szCs w:val="16"/>
              </w:rPr>
              <w:t>and</w:t>
            </w:r>
            <w:proofErr w:type="spellEnd"/>
            <w:r>
              <w:rPr>
                <w:rFonts w:eastAsia="Times New Roman" w:cs="Calibri"/>
                <w:i/>
                <w:iCs/>
                <w:sz w:val="16"/>
                <w:szCs w:val="16"/>
              </w:rPr>
              <w:t xml:space="preserve"> </w:t>
            </w:r>
            <w:proofErr w:type="spellStart"/>
            <w:r>
              <w:rPr>
                <w:rFonts w:eastAsia="Times New Roman" w:cs="Calibri"/>
                <w:i/>
                <w:iCs/>
                <w:sz w:val="16"/>
                <w:szCs w:val="16"/>
              </w:rPr>
              <w:t>prerogatives</w:t>
            </w:r>
            <w:proofErr w:type="spellEnd"/>
          </w:p>
        </w:tc>
        <w:tc>
          <w:tcPr>
            <w:tcW w:w="1358" w:type="dxa"/>
            <w:shd w:val="clear" w:color="auto" w:fill="auto"/>
            <w:noWrap/>
            <w:vAlign w:val="center"/>
          </w:tcPr>
          <w:p w:rsidRPr="005154BA" w:rsidR="00224914" w:rsidP="00224914" w:rsidRDefault="00224914" w14:paraId="45F5E834" w14:textId="77777777">
            <w:pPr>
              <w:spacing w:after="0" w:line="240" w:lineRule="auto"/>
              <w:jc w:val="right"/>
              <w:rPr>
                <w:rFonts w:eastAsia="Times New Roman" w:cs="Calibri"/>
                <w:sz w:val="16"/>
                <w:szCs w:val="16"/>
              </w:rPr>
            </w:pPr>
            <w:r>
              <w:rPr>
                <w:rFonts w:eastAsia="Times New Roman" w:cs="Calibri"/>
                <w:sz w:val="16"/>
                <w:szCs w:val="16"/>
              </w:rPr>
              <w:t>1,0</w:t>
            </w:r>
          </w:p>
        </w:tc>
      </w:tr>
      <w:tr w:rsidRPr="00C16C65" w:rsidR="00224914" w:rsidTr="00557986" w14:paraId="719A491D" w14:textId="77777777">
        <w:trPr>
          <w:trHeight w:val="243"/>
        </w:trPr>
        <w:tc>
          <w:tcPr>
            <w:tcW w:w="3772" w:type="dxa"/>
            <w:shd w:val="clear" w:color="auto" w:fill="auto"/>
            <w:noWrap/>
            <w:vAlign w:val="center"/>
            <w:hideMark/>
          </w:tcPr>
          <w:p w:rsidRPr="00C16C65" w:rsidR="00224914" w:rsidP="00224914" w:rsidRDefault="00224914" w14:paraId="13CBDA13" w14:textId="77777777">
            <w:pPr>
              <w:spacing w:after="0" w:line="240" w:lineRule="auto"/>
              <w:rPr>
                <w:rFonts w:eastAsia="Times New Roman" w:cs="Calibri"/>
                <w:b/>
                <w:bCs/>
                <w:sz w:val="16"/>
                <w:szCs w:val="16"/>
              </w:rPr>
            </w:pPr>
            <w:r w:rsidRPr="00C16C65">
              <w:rPr>
                <w:rFonts w:eastAsia="Times New Roman" w:cs="Calibri"/>
                <w:b/>
                <w:bCs/>
                <w:sz w:val="16"/>
                <w:szCs w:val="16"/>
              </w:rPr>
              <w:t>3 Landbouw en milieu</w:t>
            </w:r>
          </w:p>
        </w:tc>
        <w:tc>
          <w:tcPr>
            <w:tcW w:w="1358" w:type="dxa"/>
            <w:shd w:val="clear" w:color="auto" w:fill="auto"/>
            <w:noWrap/>
            <w:vAlign w:val="center"/>
            <w:hideMark/>
          </w:tcPr>
          <w:p w:rsidRPr="00C16C65" w:rsidR="00224914" w:rsidP="00224914" w:rsidRDefault="00224914" w14:paraId="0E79CC2B" w14:textId="77777777">
            <w:pPr>
              <w:spacing w:after="0" w:line="240" w:lineRule="auto"/>
              <w:jc w:val="right"/>
              <w:rPr>
                <w:rFonts w:eastAsia="Times New Roman" w:cs="Calibri"/>
                <w:b/>
                <w:bCs/>
                <w:sz w:val="16"/>
                <w:szCs w:val="16"/>
              </w:rPr>
            </w:pPr>
            <w:r w:rsidRPr="00C16C65">
              <w:rPr>
                <w:rFonts w:eastAsia="Times New Roman" w:cs="Calibri"/>
                <w:b/>
                <w:bCs/>
                <w:sz w:val="16"/>
                <w:szCs w:val="16"/>
              </w:rPr>
              <w:t xml:space="preserve">      -193,1 </w:t>
            </w:r>
          </w:p>
        </w:tc>
      </w:tr>
      <w:tr w:rsidRPr="00C16C65" w:rsidR="00224914" w:rsidTr="00557986" w14:paraId="458F6EA8" w14:textId="77777777">
        <w:trPr>
          <w:trHeight w:val="243"/>
        </w:trPr>
        <w:tc>
          <w:tcPr>
            <w:tcW w:w="3772" w:type="dxa"/>
            <w:shd w:val="clear" w:color="auto" w:fill="auto"/>
            <w:noWrap/>
            <w:vAlign w:val="center"/>
            <w:hideMark/>
          </w:tcPr>
          <w:p w:rsidRPr="00C16C65" w:rsidR="00224914" w:rsidP="00224914" w:rsidRDefault="00224914" w14:paraId="46F3BFEA" w14:textId="77777777">
            <w:pPr>
              <w:spacing w:after="0" w:line="240" w:lineRule="auto"/>
              <w:jc w:val="right"/>
              <w:rPr>
                <w:rFonts w:eastAsia="Times New Roman" w:cs="Calibri"/>
                <w:i/>
                <w:iCs/>
                <w:sz w:val="16"/>
                <w:szCs w:val="16"/>
              </w:rPr>
            </w:pPr>
            <w:r w:rsidRPr="00C16C65">
              <w:rPr>
                <w:rFonts w:eastAsia="Times New Roman" w:cs="Calibri"/>
                <w:i/>
                <w:iCs/>
                <w:sz w:val="16"/>
                <w:szCs w:val="16"/>
              </w:rPr>
              <w:t xml:space="preserve">EAGF </w:t>
            </w:r>
          </w:p>
        </w:tc>
        <w:tc>
          <w:tcPr>
            <w:tcW w:w="1358" w:type="dxa"/>
            <w:shd w:val="clear" w:color="auto" w:fill="auto"/>
            <w:noWrap/>
            <w:vAlign w:val="center"/>
            <w:hideMark/>
          </w:tcPr>
          <w:p w:rsidRPr="00C16C65" w:rsidR="00224914" w:rsidP="00224914" w:rsidRDefault="00224914" w14:paraId="101660E2" w14:textId="77777777">
            <w:pPr>
              <w:spacing w:after="0" w:line="240" w:lineRule="auto"/>
              <w:jc w:val="right"/>
              <w:rPr>
                <w:rFonts w:eastAsia="Times New Roman" w:cs="Calibri"/>
                <w:sz w:val="16"/>
                <w:szCs w:val="16"/>
              </w:rPr>
            </w:pPr>
            <w:r w:rsidRPr="00C16C65">
              <w:rPr>
                <w:rFonts w:eastAsia="Times New Roman" w:cs="Calibri"/>
                <w:sz w:val="16"/>
                <w:szCs w:val="16"/>
              </w:rPr>
              <w:t xml:space="preserve">        -201,1 </w:t>
            </w:r>
          </w:p>
        </w:tc>
      </w:tr>
      <w:tr w:rsidRPr="00C16C65" w:rsidR="00224914" w:rsidTr="00557986" w14:paraId="4F11DB95" w14:textId="77777777">
        <w:trPr>
          <w:trHeight w:val="243"/>
        </w:trPr>
        <w:tc>
          <w:tcPr>
            <w:tcW w:w="3772" w:type="dxa"/>
            <w:shd w:val="clear" w:color="auto" w:fill="auto"/>
            <w:noWrap/>
            <w:vAlign w:val="center"/>
            <w:hideMark/>
          </w:tcPr>
          <w:p w:rsidRPr="00C16C65" w:rsidR="00224914" w:rsidP="00224914" w:rsidRDefault="00224914" w14:paraId="2A94F17C" w14:textId="77777777">
            <w:pPr>
              <w:spacing w:after="0" w:line="240" w:lineRule="auto"/>
              <w:jc w:val="right"/>
              <w:rPr>
                <w:rFonts w:eastAsia="Times New Roman" w:cs="Calibri"/>
                <w:i/>
                <w:iCs/>
                <w:sz w:val="16"/>
                <w:szCs w:val="16"/>
              </w:rPr>
            </w:pPr>
            <w:r w:rsidRPr="00C16C65">
              <w:rPr>
                <w:rFonts w:eastAsia="Times New Roman" w:cs="Calibri"/>
                <w:i/>
                <w:iCs/>
                <w:sz w:val="16"/>
                <w:szCs w:val="16"/>
              </w:rPr>
              <w:t xml:space="preserve">LIFE </w:t>
            </w:r>
          </w:p>
        </w:tc>
        <w:tc>
          <w:tcPr>
            <w:tcW w:w="1358" w:type="dxa"/>
            <w:shd w:val="clear" w:color="auto" w:fill="auto"/>
            <w:noWrap/>
            <w:vAlign w:val="center"/>
            <w:hideMark/>
          </w:tcPr>
          <w:p w:rsidRPr="00C16C65" w:rsidR="00224914" w:rsidP="00224914" w:rsidRDefault="00224914" w14:paraId="2F00DC58" w14:textId="77777777">
            <w:pPr>
              <w:spacing w:after="0" w:line="240" w:lineRule="auto"/>
              <w:jc w:val="right"/>
              <w:rPr>
                <w:rFonts w:eastAsia="Times New Roman" w:cs="Calibri"/>
                <w:sz w:val="16"/>
                <w:szCs w:val="16"/>
              </w:rPr>
            </w:pPr>
            <w:r w:rsidRPr="00C16C65">
              <w:rPr>
                <w:rFonts w:eastAsia="Times New Roman" w:cs="Calibri"/>
                <w:sz w:val="16"/>
                <w:szCs w:val="16"/>
              </w:rPr>
              <w:t xml:space="preserve">            5,0 </w:t>
            </w:r>
          </w:p>
        </w:tc>
      </w:tr>
      <w:tr w:rsidRPr="00C16C65" w:rsidR="00224914" w:rsidTr="00557986" w14:paraId="34D819C0" w14:textId="77777777">
        <w:trPr>
          <w:trHeight w:val="243"/>
        </w:trPr>
        <w:tc>
          <w:tcPr>
            <w:tcW w:w="3772" w:type="dxa"/>
            <w:shd w:val="clear" w:color="auto" w:fill="auto"/>
            <w:noWrap/>
            <w:vAlign w:val="center"/>
            <w:hideMark/>
          </w:tcPr>
          <w:p w:rsidRPr="00C16C65" w:rsidR="00224914" w:rsidP="00224914" w:rsidRDefault="00224914" w14:paraId="7B21C522" w14:textId="77777777">
            <w:pPr>
              <w:spacing w:after="0" w:line="240" w:lineRule="auto"/>
              <w:jc w:val="right"/>
              <w:rPr>
                <w:rFonts w:eastAsia="Times New Roman" w:cs="Calibri"/>
                <w:i/>
                <w:iCs/>
                <w:sz w:val="16"/>
                <w:szCs w:val="16"/>
              </w:rPr>
            </w:pPr>
            <w:r w:rsidRPr="00C16C65">
              <w:rPr>
                <w:rFonts w:eastAsia="Times New Roman" w:cs="Calibri"/>
                <w:i/>
                <w:iCs/>
                <w:sz w:val="16"/>
                <w:szCs w:val="16"/>
              </w:rPr>
              <w:t xml:space="preserve">Pilot project </w:t>
            </w:r>
          </w:p>
        </w:tc>
        <w:tc>
          <w:tcPr>
            <w:tcW w:w="1358" w:type="dxa"/>
            <w:shd w:val="clear" w:color="auto" w:fill="auto"/>
            <w:noWrap/>
            <w:vAlign w:val="center"/>
            <w:hideMark/>
          </w:tcPr>
          <w:p w:rsidRPr="00C16C65" w:rsidR="00224914" w:rsidP="00224914" w:rsidRDefault="00224914" w14:paraId="599499AB" w14:textId="77777777">
            <w:pPr>
              <w:spacing w:after="0" w:line="240" w:lineRule="auto"/>
              <w:jc w:val="right"/>
              <w:rPr>
                <w:rFonts w:eastAsia="Times New Roman" w:cs="Calibri"/>
                <w:sz w:val="16"/>
                <w:szCs w:val="16"/>
              </w:rPr>
            </w:pPr>
            <w:r w:rsidRPr="00C16C65">
              <w:rPr>
                <w:rFonts w:eastAsia="Times New Roman" w:cs="Calibri"/>
                <w:sz w:val="16"/>
                <w:szCs w:val="16"/>
              </w:rPr>
              <w:t xml:space="preserve">            3,0 </w:t>
            </w:r>
          </w:p>
        </w:tc>
      </w:tr>
      <w:tr w:rsidRPr="00C16C65" w:rsidR="00224914" w:rsidTr="00557986" w14:paraId="61C4D39A" w14:textId="77777777">
        <w:trPr>
          <w:trHeight w:val="243"/>
        </w:trPr>
        <w:tc>
          <w:tcPr>
            <w:tcW w:w="3772" w:type="dxa"/>
            <w:shd w:val="clear" w:color="auto" w:fill="auto"/>
            <w:noWrap/>
            <w:vAlign w:val="center"/>
            <w:hideMark/>
          </w:tcPr>
          <w:p w:rsidRPr="00C16C65" w:rsidR="00224914" w:rsidP="00224914" w:rsidRDefault="00224914" w14:paraId="6160B26A" w14:textId="77777777">
            <w:pPr>
              <w:spacing w:after="0" w:line="240" w:lineRule="auto"/>
              <w:rPr>
                <w:rFonts w:eastAsia="Times New Roman" w:cs="Calibri"/>
                <w:b/>
                <w:bCs/>
                <w:sz w:val="16"/>
                <w:szCs w:val="16"/>
              </w:rPr>
            </w:pPr>
            <w:r w:rsidRPr="00C16C65">
              <w:rPr>
                <w:rFonts w:eastAsia="Times New Roman" w:cs="Calibri"/>
                <w:b/>
                <w:bCs/>
                <w:sz w:val="16"/>
                <w:szCs w:val="16"/>
              </w:rPr>
              <w:t>4 Migratie en grensmanagement</w:t>
            </w:r>
          </w:p>
        </w:tc>
        <w:tc>
          <w:tcPr>
            <w:tcW w:w="1358" w:type="dxa"/>
            <w:shd w:val="clear" w:color="auto" w:fill="auto"/>
            <w:noWrap/>
            <w:vAlign w:val="center"/>
            <w:hideMark/>
          </w:tcPr>
          <w:p w:rsidRPr="00C16C65" w:rsidR="00224914" w:rsidP="00224914" w:rsidRDefault="00224914" w14:paraId="55A97A47" w14:textId="77777777">
            <w:pPr>
              <w:spacing w:after="0" w:line="240" w:lineRule="auto"/>
              <w:jc w:val="right"/>
              <w:rPr>
                <w:rFonts w:eastAsia="Times New Roman" w:cs="Calibri"/>
                <w:b/>
                <w:bCs/>
                <w:sz w:val="16"/>
                <w:szCs w:val="16"/>
              </w:rPr>
            </w:pPr>
            <w:r w:rsidRPr="00C16C65">
              <w:rPr>
                <w:rFonts w:eastAsia="Times New Roman" w:cs="Calibri"/>
                <w:b/>
                <w:bCs/>
                <w:sz w:val="16"/>
                <w:szCs w:val="16"/>
              </w:rPr>
              <w:t xml:space="preserve">          12,0 </w:t>
            </w:r>
          </w:p>
        </w:tc>
      </w:tr>
      <w:tr w:rsidRPr="00C16C65" w:rsidR="00224914" w:rsidTr="00557986" w14:paraId="6A8E7482" w14:textId="77777777">
        <w:trPr>
          <w:trHeight w:val="243"/>
        </w:trPr>
        <w:tc>
          <w:tcPr>
            <w:tcW w:w="3772" w:type="dxa"/>
            <w:shd w:val="clear" w:color="auto" w:fill="auto"/>
            <w:noWrap/>
            <w:vAlign w:val="center"/>
            <w:hideMark/>
          </w:tcPr>
          <w:p w:rsidRPr="00C16C65" w:rsidR="00224914" w:rsidP="00224914" w:rsidRDefault="00224914" w14:paraId="56F6A4AB" w14:textId="77777777">
            <w:pPr>
              <w:spacing w:after="0" w:line="240" w:lineRule="auto"/>
              <w:jc w:val="right"/>
              <w:rPr>
                <w:rFonts w:eastAsia="Times New Roman" w:cs="Calibri"/>
                <w:i/>
                <w:iCs/>
                <w:sz w:val="16"/>
                <w:szCs w:val="16"/>
              </w:rPr>
            </w:pPr>
            <w:r w:rsidRPr="00C16C65">
              <w:rPr>
                <w:rFonts w:eastAsia="Times New Roman" w:cs="Calibri"/>
                <w:i/>
                <w:iCs/>
                <w:sz w:val="16"/>
                <w:szCs w:val="16"/>
              </w:rPr>
              <w:t>Asiel, migratie en integratiefonds</w:t>
            </w:r>
          </w:p>
        </w:tc>
        <w:tc>
          <w:tcPr>
            <w:tcW w:w="1358" w:type="dxa"/>
            <w:shd w:val="clear" w:color="auto" w:fill="auto"/>
            <w:noWrap/>
            <w:vAlign w:val="center"/>
            <w:hideMark/>
          </w:tcPr>
          <w:p w:rsidRPr="00C16C65" w:rsidR="00224914" w:rsidP="00224914" w:rsidRDefault="00224914" w14:paraId="4F181946" w14:textId="77777777">
            <w:pPr>
              <w:spacing w:after="0" w:line="240" w:lineRule="auto"/>
              <w:jc w:val="right"/>
              <w:rPr>
                <w:rFonts w:eastAsia="Times New Roman" w:cs="Calibri"/>
                <w:sz w:val="16"/>
                <w:szCs w:val="16"/>
              </w:rPr>
            </w:pPr>
            <w:r w:rsidRPr="00C16C65">
              <w:rPr>
                <w:rFonts w:eastAsia="Times New Roman" w:cs="Calibri"/>
                <w:sz w:val="16"/>
                <w:szCs w:val="16"/>
              </w:rPr>
              <w:t xml:space="preserve">            2,0 </w:t>
            </w:r>
          </w:p>
        </w:tc>
      </w:tr>
      <w:tr w:rsidRPr="00C16C65" w:rsidR="00224914" w:rsidTr="00557986" w14:paraId="1334B755" w14:textId="77777777">
        <w:trPr>
          <w:trHeight w:val="243"/>
        </w:trPr>
        <w:tc>
          <w:tcPr>
            <w:tcW w:w="3772" w:type="dxa"/>
            <w:shd w:val="clear" w:color="auto" w:fill="auto"/>
            <w:noWrap/>
            <w:vAlign w:val="center"/>
            <w:hideMark/>
          </w:tcPr>
          <w:p w:rsidRPr="00C16C65" w:rsidR="00224914" w:rsidP="00224914" w:rsidRDefault="00224914" w14:paraId="76189682" w14:textId="77777777">
            <w:pPr>
              <w:spacing w:after="0" w:line="240" w:lineRule="auto"/>
              <w:jc w:val="right"/>
              <w:rPr>
                <w:rFonts w:eastAsia="Times New Roman" w:cs="Calibri"/>
                <w:i/>
                <w:iCs/>
                <w:sz w:val="16"/>
                <w:szCs w:val="16"/>
              </w:rPr>
            </w:pPr>
            <w:r w:rsidRPr="00C16C65">
              <w:rPr>
                <w:rFonts w:eastAsia="Times New Roman" w:cs="Calibri"/>
                <w:i/>
                <w:iCs/>
                <w:sz w:val="16"/>
                <w:szCs w:val="16"/>
              </w:rPr>
              <w:t>IBMF/BMVI</w:t>
            </w:r>
          </w:p>
        </w:tc>
        <w:tc>
          <w:tcPr>
            <w:tcW w:w="1358" w:type="dxa"/>
            <w:shd w:val="clear" w:color="auto" w:fill="auto"/>
            <w:noWrap/>
            <w:vAlign w:val="center"/>
            <w:hideMark/>
          </w:tcPr>
          <w:p w:rsidRPr="00C16C65" w:rsidR="00224914" w:rsidP="00224914" w:rsidRDefault="00224914" w14:paraId="28530006" w14:textId="77777777">
            <w:pPr>
              <w:spacing w:after="0" w:line="240" w:lineRule="auto"/>
              <w:jc w:val="right"/>
              <w:rPr>
                <w:rFonts w:eastAsia="Times New Roman" w:cs="Calibri"/>
                <w:sz w:val="16"/>
                <w:szCs w:val="16"/>
              </w:rPr>
            </w:pPr>
            <w:r w:rsidRPr="00C16C65">
              <w:rPr>
                <w:rFonts w:eastAsia="Times New Roman" w:cs="Calibri"/>
                <w:sz w:val="16"/>
                <w:szCs w:val="16"/>
              </w:rPr>
              <w:t xml:space="preserve">           10,0 </w:t>
            </w:r>
          </w:p>
        </w:tc>
      </w:tr>
      <w:tr w:rsidRPr="00C16C65" w:rsidR="00224914" w:rsidTr="00557986" w14:paraId="6DC38C2D" w14:textId="77777777">
        <w:trPr>
          <w:trHeight w:val="243"/>
        </w:trPr>
        <w:tc>
          <w:tcPr>
            <w:tcW w:w="3772" w:type="dxa"/>
            <w:shd w:val="clear" w:color="auto" w:fill="auto"/>
            <w:noWrap/>
            <w:vAlign w:val="center"/>
            <w:hideMark/>
          </w:tcPr>
          <w:p w:rsidRPr="00C16C65" w:rsidR="00224914" w:rsidP="00224914" w:rsidRDefault="00224914" w14:paraId="6869E07D" w14:textId="77777777">
            <w:pPr>
              <w:spacing w:after="0" w:line="240" w:lineRule="auto"/>
              <w:rPr>
                <w:rFonts w:eastAsia="Times New Roman" w:cs="Calibri"/>
                <w:b/>
                <w:bCs/>
                <w:sz w:val="16"/>
                <w:szCs w:val="16"/>
              </w:rPr>
            </w:pPr>
            <w:r w:rsidRPr="00C16C65">
              <w:rPr>
                <w:rFonts w:eastAsia="Times New Roman" w:cs="Calibri"/>
                <w:b/>
                <w:bCs/>
                <w:sz w:val="16"/>
                <w:szCs w:val="16"/>
              </w:rPr>
              <w:t>5 Veiligheid en defensie</w:t>
            </w:r>
          </w:p>
        </w:tc>
        <w:tc>
          <w:tcPr>
            <w:tcW w:w="1358" w:type="dxa"/>
            <w:shd w:val="clear" w:color="auto" w:fill="auto"/>
            <w:noWrap/>
            <w:vAlign w:val="center"/>
            <w:hideMark/>
          </w:tcPr>
          <w:p w:rsidRPr="00C16C65" w:rsidR="00224914" w:rsidP="00224914" w:rsidRDefault="00224914" w14:paraId="40D6067C" w14:textId="77777777">
            <w:pPr>
              <w:spacing w:after="0" w:line="240" w:lineRule="auto"/>
              <w:jc w:val="right"/>
              <w:rPr>
                <w:rFonts w:eastAsia="Times New Roman" w:cs="Calibri"/>
                <w:b/>
                <w:bCs/>
                <w:sz w:val="16"/>
                <w:szCs w:val="16"/>
              </w:rPr>
            </w:pPr>
            <w:r w:rsidRPr="00C16C65">
              <w:rPr>
                <w:rFonts w:eastAsia="Times New Roman" w:cs="Calibri"/>
                <w:b/>
                <w:bCs/>
                <w:sz w:val="16"/>
                <w:szCs w:val="16"/>
              </w:rPr>
              <w:t xml:space="preserve">          11,0 </w:t>
            </w:r>
          </w:p>
        </w:tc>
      </w:tr>
      <w:tr w:rsidRPr="00C16C65" w:rsidR="00224914" w:rsidTr="00557986" w14:paraId="6132A6B0" w14:textId="77777777">
        <w:trPr>
          <w:trHeight w:val="243"/>
        </w:trPr>
        <w:tc>
          <w:tcPr>
            <w:tcW w:w="3772" w:type="dxa"/>
            <w:shd w:val="clear" w:color="auto" w:fill="auto"/>
            <w:noWrap/>
            <w:vAlign w:val="center"/>
            <w:hideMark/>
          </w:tcPr>
          <w:p w:rsidRPr="00C16C65" w:rsidR="00224914" w:rsidP="00224914" w:rsidRDefault="00224914" w14:paraId="01E57EFB" w14:textId="77777777">
            <w:pPr>
              <w:spacing w:after="0" w:line="240" w:lineRule="auto"/>
              <w:jc w:val="right"/>
              <w:rPr>
                <w:rFonts w:eastAsia="Times New Roman" w:cs="Calibri"/>
                <w:i/>
                <w:iCs/>
                <w:sz w:val="16"/>
                <w:szCs w:val="16"/>
              </w:rPr>
            </w:pPr>
            <w:r w:rsidRPr="00C16C65">
              <w:rPr>
                <w:rFonts w:eastAsia="Times New Roman" w:cs="Calibri"/>
                <w:i/>
                <w:iCs/>
                <w:sz w:val="16"/>
                <w:szCs w:val="16"/>
              </w:rPr>
              <w:t>Europol</w:t>
            </w:r>
          </w:p>
        </w:tc>
        <w:tc>
          <w:tcPr>
            <w:tcW w:w="1358" w:type="dxa"/>
            <w:shd w:val="clear" w:color="auto" w:fill="auto"/>
            <w:noWrap/>
            <w:vAlign w:val="center"/>
            <w:hideMark/>
          </w:tcPr>
          <w:p w:rsidRPr="00C16C65" w:rsidR="00224914" w:rsidP="00224914" w:rsidRDefault="00224914" w14:paraId="5C45148F" w14:textId="77777777">
            <w:pPr>
              <w:spacing w:after="0" w:line="240" w:lineRule="auto"/>
              <w:jc w:val="right"/>
              <w:rPr>
                <w:rFonts w:eastAsia="Times New Roman" w:cs="Calibri"/>
                <w:sz w:val="16"/>
                <w:szCs w:val="16"/>
              </w:rPr>
            </w:pPr>
            <w:r w:rsidRPr="00C16C65">
              <w:rPr>
                <w:rFonts w:eastAsia="Times New Roman" w:cs="Calibri"/>
                <w:sz w:val="16"/>
                <w:szCs w:val="16"/>
              </w:rPr>
              <w:t xml:space="preserve">            5,0 </w:t>
            </w:r>
          </w:p>
        </w:tc>
      </w:tr>
      <w:tr w:rsidRPr="00C16C65" w:rsidR="00224914" w:rsidTr="00557986" w14:paraId="47533BD9" w14:textId="77777777">
        <w:trPr>
          <w:trHeight w:val="243"/>
        </w:trPr>
        <w:tc>
          <w:tcPr>
            <w:tcW w:w="3772" w:type="dxa"/>
            <w:shd w:val="clear" w:color="auto" w:fill="auto"/>
            <w:noWrap/>
            <w:vAlign w:val="center"/>
            <w:hideMark/>
          </w:tcPr>
          <w:p w:rsidRPr="00C16C65" w:rsidR="00224914" w:rsidP="00224914" w:rsidRDefault="00224914" w14:paraId="6F319EA1" w14:textId="77777777">
            <w:pPr>
              <w:spacing w:after="0" w:line="240" w:lineRule="auto"/>
              <w:jc w:val="right"/>
              <w:rPr>
                <w:rFonts w:eastAsia="Times New Roman" w:cs="Calibri"/>
                <w:i/>
                <w:iCs/>
                <w:sz w:val="16"/>
                <w:szCs w:val="16"/>
              </w:rPr>
            </w:pPr>
            <w:r w:rsidRPr="00C16C65">
              <w:rPr>
                <w:rFonts w:eastAsia="Times New Roman" w:cs="Calibri"/>
                <w:i/>
                <w:iCs/>
                <w:sz w:val="16"/>
                <w:szCs w:val="16"/>
              </w:rPr>
              <w:t>Militaire mobiliteit</w:t>
            </w:r>
          </w:p>
        </w:tc>
        <w:tc>
          <w:tcPr>
            <w:tcW w:w="1358" w:type="dxa"/>
            <w:shd w:val="clear" w:color="auto" w:fill="auto"/>
            <w:noWrap/>
            <w:vAlign w:val="center"/>
            <w:hideMark/>
          </w:tcPr>
          <w:p w:rsidRPr="00C16C65" w:rsidR="00224914" w:rsidP="00224914" w:rsidRDefault="00224914" w14:paraId="5D9F6785" w14:textId="77777777">
            <w:pPr>
              <w:spacing w:after="0" w:line="240" w:lineRule="auto"/>
              <w:jc w:val="right"/>
              <w:rPr>
                <w:rFonts w:eastAsia="Times New Roman" w:cs="Calibri"/>
                <w:sz w:val="16"/>
                <w:szCs w:val="16"/>
              </w:rPr>
            </w:pPr>
            <w:r w:rsidRPr="00C16C65">
              <w:rPr>
                <w:rFonts w:eastAsia="Times New Roman" w:cs="Calibri"/>
                <w:sz w:val="16"/>
                <w:szCs w:val="16"/>
              </w:rPr>
              <w:t xml:space="preserve">            6,0 </w:t>
            </w:r>
          </w:p>
        </w:tc>
      </w:tr>
      <w:tr w:rsidRPr="00C16C65" w:rsidR="00224914" w:rsidTr="00557986" w14:paraId="4350D2E7" w14:textId="77777777">
        <w:trPr>
          <w:trHeight w:val="243"/>
        </w:trPr>
        <w:tc>
          <w:tcPr>
            <w:tcW w:w="3772" w:type="dxa"/>
            <w:shd w:val="clear" w:color="auto" w:fill="auto"/>
            <w:noWrap/>
            <w:vAlign w:val="center"/>
            <w:hideMark/>
          </w:tcPr>
          <w:p w:rsidRPr="00C16C65" w:rsidR="00224914" w:rsidP="00224914" w:rsidRDefault="00224914" w14:paraId="5F2BC833" w14:textId="77777777">
            <w:pPr>
              <w:spacing w:after="0" w:line="240" w:lineRule="auto"/>
              <w:rPr>
                <w:rFonts w:eastAsia="Times New Roman" w:cs="Calibri"/>
                <w:b/>
                <w:bCs/>
                <w:sz w:val="16"/>
                <w:szCs w:val="16"/>
              </w:rPr>
            </w:pPr>
            <w:r w:rsidRPr="00C16C65">
              <w:rPr>
                <w:rFonts w:eastAsia="Times New Roman" w:cs="Calibri"/>
                <w:b/>
                <w:bCs/>
                <w:sz w:val="16"/>
                <w:szCs w:val="16"/>
              </w:rPr>
              <w:t>6 Extern beleid</w:t>
            </w:r>
          </w:p>
        </w:tc>
        <w:tc>
          <w:tcPr>
            <w:tcW w:w="1358" w:type="dxa"/>
            <w:shd w:val="clear" w:color="auto" w:fill="auto"/>
            <w:noWrap/>
            <w:vAlign w:val="center"/>
            <w:hideMark/>
          </w:tcPr>
          <w:p w:rsidRPr="00C16C65" w:rsidR="00224914" w:rsidP="00224914" w:rsidRDefault="00224914" w14:paraId="2DAC3A99" w14:textId="77777777">
            <w:pPr>
              <w:spacing w:after="0" w:line="240" w:lineRule="auto"/>
              <w:jc w:val="right"/>
              <w:rPr>
                <w:rFonts w:eastAsia="Times New Roman" w:cs="Calibri"/>
                <w:b/>
                <w:bCs/>
                <w:sz w:val="16"/>
                <w:szCs w:val="16"/>
              </w:rPr>
            </w:pPr>
            <w:r w:rsidRPr="00C16C65">
              <w:rPr>
                <w:rFonts w:eastAsia="Times New Roman" w:cs="Calibri"/>
                <w:b/>
                <w:bCs/>
                <w:sz w:val="16"/>
                <w:szCs w:val="16"/>
              </w:rPr>
              <w:t xml:space="preserve">          50,0 </w:t>
            </w:r>
          </w:p>
        </w:tc>
      </w:tr>
      <w:tr w:rsidRPr="00C16C65" w:rsidR="00224914" w:rsidTr="00557986" w14:paraId="75B29911" w14:textId="77777777">
        <w:trPr>
          <w:trHeight w:val="243"/>
        </w:trPr>
        <w:tc>
          <w:tcPr>
            <w:tcW w:w="3772" w:type="dxa"/>
            <w:shd w:val="clear" w:color="auto" w:fill="auto"/>
            <w:noWrap/>
            <w:vAlign w:val="center"/>
            <w:hideMark/>
          </w:tcPr>
          <w:p w:rsidRPr="00C16C65" w:rsidR="00224914" w:rsidP="00224914" w:rsidRDefault="00224914" w14:paraId="0EB7C129" w14:textId="77777777">
            <w:pPr>
              <w:spacing w:after="0" w:line="240" w:lineRule="auto"/>
              <w:jc w:val="right"/>
              <w:rPr>
                <w:rFonts w:eastAsia="Times New Roman" w:cs="Calibri"/>
                <w:i/>
                <w:iCs/>
                <w:sz w:val="16"/>
                <w:szCs w:val="16"/>
              </w:rPr>
            </w:pPr>
            <w:r w:rsidRPr="00C16C65">
              <w:rPr>
                <w:rFonts w:eastAsia="Times New Roman" w:cs="Calibri"/>
                <w:i/>
                <w:iCs/>
                <w:sz w:val="16"/>
                <w:szCs w:val="16"/>
              </w:rPr>
              <w:t>Humanitaire hulp</w:t>
            </w:r>
          </w:p>
        </w:tc>
        <w:tc>
          <w:tcPr>
            <w:tcW w:w="1358" w:type="dxa"/>
            <w:shd w:val="clear" w:color="auto" w:fill="auto"/>
            <w:noWrap/>
            <w:vAlign w:val="center"/>
            <w:hideMark/>
          </w:tcPr>
          <w:p w:rsidRPr="00C16C65" w:rsidR="00224914" w:rsidP="00224914" w:rsidRDefault="00224914" w14:paraId="3A7A022F" w14:textId="77777777">
            <w:pPr>
              <w:spacing w:after="0" w:line="240" w:lineRule="auto"/>
              <w:jc w:val="right"/>
              <w:rPr>
                <w:rFonts w:eastAsia="Times New Roman" w:cs="Calibri"/>
                <w:sz w:val="16"/>
                <w:szCs w:val="16"/>
              </w:rPr>
            </w:pPr>
            <w:r w:rsidRPr="00C16C65">
              <w:rPr>
                <w:rFonts w:eastAsia="Times New Roman" w:cs="Calibri"/>
                <w:sz w:val="16"/>
                <w:szCs w:val="16"/>
              </w:rPr>
              <w:t xml:space="preserve">           50,0 </w:t>
            </w:r>
          </w:p>
        </w:tc>
      </w:tr>
      <w:tr w:rsidRPr="00C16C65" w:rsidR="00224914" w:rsidTr="00557986" w14:paraId="206EB65B" w14:textId="77777777">
        <w:trPr>
          <w:trHeight w:val="243"/>
        </w:trPr>
        <w:tc>
          <w:tcPr>
            <w:tcW w:w="3772" w:type="dxa"/>
            <w:tcBorders>
              <w:bottom w:val="single" w:color="auto" w:sz="12" w:space="0"/>
            </w:tcBorders>
            <w:shd w:val="clear" w:color="auto" w:fill="auto"/>
            <w:noWrap/>
            <w:vAlign w:val="center"/>
            <w:hideMark/>
          </w:tcPr>
          <w:p w:rsidRPr="00C16C65" w:rsidR="00224914" w:rsidP="00224914" w:rsidRDefault="00224914" w14:paraId="5FA712C4" w14:textId="77777777">
            <w:pPr>
              <w:spacing w:after="0" w:line="240" w:lineRule="auto"/>
              <w:rPr>
                <w:rFonts w:eastAsia="Times New Roman" w:cs="Calibri"/>
                <w:b/>
                <w:bCs/>
                <w:sz w:val="16"/>
                <w:szCs w:val="16"/>
              </w:rPr>
            </w:pPr>
            <w:r w:rsidRPr="00C16C65">
              <w:rPr>
                <w:rFonts w:eastAsia="Times New Roman" w:cs="Calibri"/>
                <w:b/>
                <w:bCs/>
                <w:sz w:val="16"/>
                <w:szCs w:val="16"/>
              </w:rPr>
              <w:t>7 Administratieve Uitgaven</w:t>
            </w:r>
          </w:p>
        </w:tc>
        <w:tc>
          <w:tcPr>
            <w:tcW w:w="1358" w:type="dxa"/>
            <w:tcBorders>
              <w:bottom w:val="single" w:color="auto" w:sz="12" w:space="0"/>
            </w:tcBorders>
            <w:shd w:val="clear" w:color="auto" w:fill="auto"/>
            <w:noWrap/>
            <w:vAlign w:val="center"/>
            <w:hideMark/>
          </w:tcPr>
          <w:p w:rsidRPr="00C16C65" w:rsidR="00224914" w:rsidP="00224914" w:rsidRDefault="00224914" w14:paraId="2787D121" w14:textId="77777777">
            <w:pPr>
              <w:spacing w:after="0" w:line="240" w:lineRule="auto"/>
              <w:jc w:val="right"/>
              <w:rPr>
                <w:rFonts w:eastAsia="Times New Roman" w:cs="Calibri"/>
                <w:b/>
                <w:bCs/>
                <w:sz w:val="16"/>
                <w:szCs w:val="16"/>
              </w:rPr>
            </w:pPr>
            <w:r w:rsidRPr="00C16C65">
              <w:rPr>
                <w:rFonts w:eastAsia="Times New Roman" w:cs="Calibri"/>
                <w:b/>
                <w:bCs/>
                <w:sz w:val="16"/>
                <w:szCs w:val="16"/>
              </w:rPr>
              <w:t xml:space="preserve">          10,8 </w:t>
            </w:r>
          </w:p>
        </w:tc>
      </w:tr>
      <w:tr w:rsidRPr="00C16C65" w:rsidR="00224914" w:rsidTr="00557986" w14:paraId="52A2210C" w14:textId="77777777">
        <w:trPr>
          <w:trHeight w:val="451"/>
        </w:trPr>
        <w:tc>
          <w:tcPr>
            <w:tcW w:w="3772" w:type="dxa"/>
            <w:tcBorders>
              <w:top w:val="single" w:color="auto" w:sz="12" w:space="0"/>
            </w:tcBorders>
            <w:shd w:val="clear" w:color="auto" w:fill="auto"/>
            <w:noWrap/>
            <w:vAlign w:val="center"/>
            <w:hideMark/>
          </w:tcPr>
          <w:p w:rsidRPr="00C16C65" w:rsidR="00224914" w:rsidP="00224914" w:rsidRDefault="00224914" w14:paraId="525692F4" w14:textId="77777777">
            <w:pPr>
              <w:spacing w:after="0" w:line="240" w:lineRule="auto"/>
              <w:rPr>
                <w:rFonts w:eastAsia="Times New Roman" w:cs="Calibri"/>
                <w:b/>
                <w:bCs/>
                <w:sz w:val="16"/>
                <w:szCs w:val="16"/>
              </w:rPr>
            </w:pPr>
            <w:r w:rsidRPr="00C16C65">
              <w:rPr>
                <w:rFonts w:eastAsia="Times New Roman" w:cs="Calibri"/>
                <w:b/>
                <w:bCs/>
                <w:sz w:val="16"/>
                <w:szCs w:val="16"/>
              </w:rPr>
              <w:t>Totaal verschil met Amending Letter 1</w:t>
            </w:r>
          </w:p>
        </w:tc>
        <w:tc>
          <w:tcPr>
            <w:tcW w:w="1358" w:type="dxa"/>
            <w:tcBorders>
              <w:top w:val="single" w:color="auto" w:sz="12" w:space="0"/>
            </w:tcBorders>
            <w:shd w:val="clear" w:color="auto" w:fill="auto"/>
            <w:noWrap/>
            <w:vAlign w:val="center"/>
            <w:hideMark/>
          </w:tcPr>
          <w:p w:rsidRPr="00C16C65" w:rsidR="00224914" w:rsidP="00224914" w:rsidRDefault="00224914" w14:paraId="5E5088EF" w14:textId="77777777">
            <w:pPr>
              <w:spacing w:after="0" w:line="240" w:lineRule="auto"/>
              <w:jc w:val="right"/>
              <w:rPr>
                <w:rFonts w:eastAsia="Times New Roman" w:cs="Calibri"/>
                <w:b/>
                <w:bCs/>
                <w:sz w:val="16"/>
                <w:szCs w:val="16"/>
              </w:rPr>
            </w:pPr>
            <w:r w:rsidRPr="00C16C65">
              <w:rPr>
                <w:rFonts w:eastAsia="Times New Roman" w:cs="Calibri"/>
                <w:b/>
                <w:bCs/>
                <w:sz w:val="16"/>
                <w:szCs w:val="16"/>
              </w:rPr>
              <w:t xml:space="preserve">          24,7 </w:t>
            </w:r>
          </w:p>
        </w:tc>
      </w:tr>
      <w:bookmarkEnd w:id="15"/>
    </w:tbl>
    <w:p w:rsidRPr="00556607" w:rsidR="00224914" w:rsidP="00224914" w:rsidRDefault="00224914" w14:paraId="30DABC9A" w14:textId="77777777">
      <w:pPr>
        <w:spacing w:after="0" w:line="252" w:lineRule="auto"/>
        <w:rPr>
          <w:sz w:val="16"/>
          <w:szCs w:val="16"/>
        </w:rPr>
      </w:pPr>
    </w:p>
    <w:bookmarkEnd w:id="14"/>
    <w:p w:rsidR="00224914" w:rsidP="00224914" w:rsidRDefault="00224914" w14:paraId="5282215B" w14:textId="77777777">
      <w:pPr>
        <w:spacing w:after="0"/>
        <w:rPr>
          <w:rFonts w:eastAsia="Times New Roman" w:cs="Arial"/>
        </w:rPr>
      </w:pPr>
    </w:p>
    <w:p w:rsidR="00224914" w:rsidP="00224914" w:rsidRDefault="00224914" w14:paraId="65468FDA" w14:textId="77777777">
      <w:pPr>
        <w:spacing w:after="0"/>
        <w:rPr>
          <w:rFonts w:eastAsia="Times New Roman" w:cs="Arial"/>
        </w:rPr>
      </w:pPr>
    </w:p>
    <w:p w:rsidR="00224914" w:rsidP="00224914" w:rsidRDefault="00224914" w14:paraId="5F097855" w14:textId="77777777">
      <w:pPr>
        <w:spacing w:after="0"/>
        <w:rPr>
          <w:rFonts w:eastAsia="Times New Roman" w:cs="Arial"/>
        </w:rPr>
      </w:pPr>
    </w:p>
    <w:p w:rsidR="00224914" w:rsidP="00224914" w:rsidRDefault="00224914" w14:paraId="095A426D" w14:textId="77777777">
      <w:pPr>
        <w:spacing w:after="0"/>
        <w:rPr>
          <w:rFonts w:eastAsia="Times New Roman" w:cs="Arial"/>
        </w:rPr>
      </w:pPr>
    </w:p>
    <w:p w:rsidR="00224914" w:rsidP="00224914" w:rsidRDefault="00224914" w14:paraId="66B31880" w14:textId="77777777">
      <w:pPr>
        <w:spacing w:after="0"/>
        <w:rPr>
          <w:rFonts w:eastAsia="Times New Roman" w:cs="Arial"/>
        </w:rPr>
      </w:pPr>
    </w:p>
    <w:p w:rsidRPr="00D9258D" w:rsidR="00224914" w:rsidP="00224914" w:rsidRDefault="00224914" w14:paraId="7FBFDC95" w14:textId="77777777">
      <w:pPr>
        <w:spacing w:after="0" w:line="240" w:lineRule="auto"/>
        <w:rPr>
          <w:rFonts w:eastAsia="Times New Roman" w:cs="Arial"/>
        </w:rPr>
      </w:pPr>
    </w:p>
    <w:p w:rsidR="00224914" w:rsidP="00224914" w:rsidRDefault="00224914" w14:paraId="7E7E4A85" w14:textId="77777777">
      <w:pPr>
        <w:spacing w:after="0"/>
      </w:pPr>
    </w:p>
    <w:p w:rsidR="00F301E9" w:rsidP="00224914" w:rsidRDefault="00F301E9" w14:paraId="4DFDBD09" w14:textId="77777777">
      <w:pPr>
        <w:spacing w:after="0"/>
      </w:pPr>
    </w:p>
    <w:sectPr w:rsidR="00F301E9" w:rsidSect="0022491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F489" w14:textId="77777777" w:rsidR="00224914" w:rsidRDefault="00224914" w:rsidP="00224914">
      <w:pPr>
        <w:spacing w:after="0" w:line="240" w:lineRule="auto"/>
      </w:pPr>
      <w:r>
        <w:separator/>
      </w:r>
    </w:p>
  </w:endnote>
  <w:endnote w:type="continuationSeparator" w:id="0">
    <w:p w14:paraId="622E8B28" w14:textId="77777777" w:rsidR="00224914" w:rsidRDefault="00224914" w:rsidP="0022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17D2" w14:textId="77777777" w:rsidR="00224914" w:rsidRPr="00224914" w:rsidRDefault="00224914" w:rsidP="002249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EEB2" w14:textId="77777777" w:rsidR="00224914" w:rsidRPr="00224914" w:rsidRDefault="00224914" w:rsidP="002249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25A9E" w14:textId="77777777" w:rsidR="00224914" w:rsidRPr="00224914" w:rsidRDefault="00224914" w:rsidP="002249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3BC12" w14:textId="77777777" w:rsidR="00224914" w:rsidRDefault="00224914" w:rsidP="00224914">
      <w:pPr>
        <w:spacing w:after="0" w:line="240" w:lineRule="auto"/>
      </w:pPr>
      <w:r>
        <w:separator/>
      </w:r>
    </w:p>
  </w:footnote>
  <w:footnote w:type="continuationSeparator" w:id="0">
    <w:p w14:paraId="7B62D5E6" w14:textId="77777777" w:rsidR="00224914" w:rsidRDefault="00224914" w:rsidP="00224914">
      <w:pPr>
        <w:spacing w:after="0" w:line="240" w:lineRule="auto"/>
      </w:pPr>
      <w:r>
        <w:continuationSeparator/>
      </w:r>
    </w:p>
  </w:footnote>
  <w:footnote w:id="1">
    <w:p w14:paraId="48E9BB21" w14:textId="77777777" w:rsidR="00224914" w:rsidRPr="00E47F8C" w:rsidRDefault="00224914" w:rsidP="00224914">
      <w:pPr>
        <w:pStyle w:val="Voetnoottekst"/>
        <w:rPr>
          <w:sz w:val="14"/>
          <w:szCs w:val="14"/>
          <w:lang w:val="nl-NL"/>
        </w:rPr>
      </w:pPr>
      <w:r w:rsidRPr="00E47F8C">
        <w:rPr>
          <w:rStyle w:val="Voetnootmarkering"/>
          <w:sz w:val="14"/>
          <w:szCs w:val="14"/>
        </w:rPr>
        <w:footnoteRef/>
      </w:r>
      <w:r w:rsidRPr="00E47F8C">
        <w:rPr>
          <w:sz w:val="14"/>
          <w:szCs w:val="14"/>
          <w:lang w:val="nl-NL"/>
        </w:rPr>
        <w:t xml:space="preserve"> Vastleggingen zijn de wettelijke (of contractuele) verplichtingen die worden aangegaan. Betalingen zijn de kasuitgaven, volgend uit vastleggingen.</w:t>
      </w:r>
    </w:p>
  </w:footnote>
  <w:footnote w:id="2">
    <w:p w14:paraId="49BCB4D5" w14:textId="77777777" w:rsidR="00224914" w:rsidRPr="00E47F8C" w:rsidRDefault="00224914" w:rsidP="00224914">
      <w:pPr>
        <w:pStyle w:val="Voetnoottekst"/>
        <w:rPr>
          <w:sz w:val="14"/>
          <w:szCs w:val="14"/>
          <w:lang w:val="nl-NL"/>
        </w:rPr>
      </w:pPr>
      <w:r w:rsidRPr="00E47F8C">
        <w:rPr>
          <w:rStyle w:val="Voetnootmarkering"/>
          <w:sz w:val="14"/>
          <w:szCs w:val="14"/>
        </w:rPr>
        <w:footnoteRef/>
      </w:r>
      <w:r w:rsidRPr="00E47F8C">
        <w:rPr>
          <w:sz w:val="14"/>
          <w:szCs w:val="14"/>
          <w:lang w:val="nl-NL"/>
        </w:rPr>
        <w:t xml:space="preserve"> </w:t>
      </w:r>
      <w:r>
        <w:fldChar w:fldCharType="begin"/>
      </w:r>
      <w:r w:rsidRPr="00E32CD5">
        <w:rPr>
          <w:lang w:val="nl-NL"/>
        </w:rPr>
        <w:instrText>HYPERLINK "https://www.europarl.europa.eu/factsheets/nl/sheet/28/uitgaven-van-de-eu"</w:instrText>
      </w:r>
      <w:r>
        <w:fldChar w:fldCharType="separate"/>
      </w:r>
      <w:r w:rsidRPr="00E47F8C">
        <w:rPr>
          <w:rStyle w:val="Hyperlink"/>
          <w:sz w:val="14"/>
          <w:szCs w:val="14"/>
          <w:lang w:val="nl-NL"/>
        </w:rPr>
        <w:t>https://www.europarl.europa.eu/factsheets/nl/sheet/28/uitgaven-van-de-eu</w:t>
      </w:r>
      <w:r>
        <w:rPr>
          <w:rStyle w:val="Hyperlink"/>
          <w:sz w:val="14"/>
          <w:szCs w:val="14"/>
          <w:lang w:val="nl-NL"/>
        </w:rPr>
        <w:fldChar w:fldCharType="end"/>
      </w:r>
      <w:r w:rsidRPr="00E47F8C">
        <w:rPr>
          <w:sz w:val="14"/>
          <w:szCs w:val="14"/>
          <w:lang w:val="nl-NL"/>
        </w:rPr>
        <w:t xml:space="preserve"> </w:t>
      </w:r>
    </w:p>
  </w:footnote>
  <w:footnote w:id="3">
    <w:p w14:paraId="67723308" w14:textId="77777777" w:rsidR="00224914" w:rsidRPr="00E47F8C" w:rsidRDefault="00224914" w:rsidP="00224914">
      <w:pPr>
        <w:pStyle w:val="Voetnoottekst"/>
        <w:rPr>
          <w:sz w:val="14"/>
          <w:szCs w:val="14"/>
          <w:lang w:val="nl-NL"/>
        </w:rPr>
      </w:pPr>
      <w:r w:rsidRPr="00E47F8C">
        <w:rPr>
          <w:rStyle w:val="Voetnootmarkering"/>
          <w:sz w:val="14"/>
          <w:szCs w:val="14"/>
        </w:rPr>
        <w:footnoteRef/>
      </w:r>
      <w:r w:rsidRPr="00E47F8C">
        <w:rPr>
          <w:sz w:val="14"/>
          <w:szCs w:val="14"/>
          <w:lang w:val="nl-NL"/>
        </w:rPr>
        <w:t xml:space="preserve"> De ruimte tussen het MFK-vastleggingenplafond en het in de jaarbegroting vastgestelde </w:t>
      </w:r>
    </w:p>
    <w:p w14:paraId="231CAA13" w14:textId="77777777" w:rsidR="00224914" w:rsidRPr="00E47F8C" w:rsidRDefault="00224914" w:rsidP="00224914">
      <w:pPr>
        <w:pStyle w:val="Voetnoottekst"/>
        <w:rPr>
          <w:sz w:val="14"/>
          <w:szCs w:val="14"/>
          <w:lang w:val="nl-NL"/>
        </w:rPr>
      </w:pPr>
      <w:r w:rsidRPr="00E47F8C">
        <w:rPr>
          <w:sz w:val="14"/>
          <w:szCs w:val="14"/>
          <w:lang w:val="nl-NL"/>
        </w:rPr>
        <w:t>vastleggingenniveau.</w:t>
      </w:r>
    </w:p>
  </w:footnote>
  <w:footnote w:id="4">
    <w:p w14:paraId="1DB57186" w14:textId="77777777" w:rsidR="00224914" w:rsidRPr="00E233CA" w:rsidRDefault="00224914" w:rsidP="00224914">
      <w:pPr>
        <w:pStyle w:val="Voetnoottekst"/>
        <w:rPr>
          <w:lang w:val="nl-NL"/>
        </w:rPr>
      </w:pPr>
      <w:r w:rsidRPr="00E47F8C">
        <w:rPr>
          <w:rStyle w:val="Voetnootmarkering"/>
          <w:sz w:val="14"/>
          <w:szCs w:val="14"/>
        </w:rPr>
        <w:footnoteRef/>
      </w:r>
      <w:r w:rsidRPr="00E47F8C">
        <w:rPr>
          <w:sz w:val="14"/>
          <w:szCs w:val="14"/>
          <w:lang w:val="nl-NL"/>
        </w:rPr>
        <w:t xml:space="preserve"> De ruimte tussen het MFK-betalingenplafond</w:t>
      </w:r>
      <w:r w:rsidRPr="00E233CA">
        <w:rPr>
          <w:sz w:val="14"/>
          <w:szCs w:val="14"/>
          <w:lang w:val="nl-NL"/>
        </w:rPr>
        <w:t xml:space="preserve"> en het in de jaarbegroting vastgestelde betalingenniveau.</w:t>
      </w:r>
    </w:p>
  </w:footnote>
  <w:footnote w:id="5">
    <w:p w14:paraId="54D0D441" w14:textId="77777777" w:rsidR="00224914" w:rsidRPr="00224914" w:rsidRDefault="00224914" w:rsidP="00224914">
      <w:pPr>
        <w:pStyle w:val="Voetnoottekst"/>
        <w:rPr>
          <w:sz w:val="14"/>
          <w:szCs w:val="14"/>
        </w:rPr>
      </w:pPr>
      <w:r w:rsidRPr="00655159">
        <w:rPr>
          <w:rStyle w:val="Voetnootmarkering"/>
          <w:sz w:val="14"/>
          <w:szCs w:val="14"/>
        </w:rPr>
        <w:footnoteRef/>
      </w:r>
      <w:r w:rsidRPr="00224914">
        <w:rPr>
          <w:sz w:val="14"/>
          <w:szCs w:val="14"/>
        </w:rPr>
        <w:t xml:space="preserve"> </w:t>
      </w:r>
      <w:hyperlink r:id="rId1" w:history="1">
        <w:r w:rsidRPr="00224914">
          <w:rPr>
            <w:rStyle w:val="Hyperlink"/>
            <w:sz w:val="14"/>
            <w:szCs w:val="14"/>
          </w:rPr>
          <w:t>20240201-special-euco-conclusions-mff-ukraine-en.pdf (europa.eu)</w:t>
        </w:r>
      </w:hyperlink>
    </w:p>
  </w:footnote>
  <w:footnote w:id="6">
    <w:p w14:paraId="6A6BB2C1" w14:textId="77777777" w:rsidR="00224914" w:rsidRPr="00BA3539" w:rsidRDefault="00224914" w:rsidP="00224914">
      <w:pPr>
        <w:pStyle w:val="Voetnoottekst"/>
        <w:rPr>
          <w:sz w:val="14"/>
          <w:szCs w:val="14"/>
          <w:lang w:val="nl-NL"/>
        </w:rPr>
      </w:pPr>
      <w:r w:rsidRPr="00EB2EF7">
        <w:rPr>
          <w:rStyle w:val="Voetnootmarkering"/>
          <w:sz w:val="14"/>
          <w:szCs w:val="14"/>
        </w:rPr>
        <w:footnoteRef/>
      </w:r>
      <w:r w:rsidRPr="00EB2EF7">
        <w:rPr>
          <w:sz w:val="14"/>
          <w:szCs w:val="14"/>
          <w:lang w:val="nl-NL"/>
        </w:rPr>
        <w:t xml:space="preserve"> </w:t>
      </w:r>
      <w:r w:rsidRPr="00BA3539">
        <w:rPr>
          <w:sz w:val="14"/>
          <w:szCs w:val="14"/>
          <w:lang w:val="nl-NL"/>
        </w:rPr>
        <w:t xml:space="preserve">COM(2024) 496 </w:t>
      </w:r>
      <w:proofErr w:type="spellStart"/>
      <w:r w:rsidRPr="00BA3539">
        <w:rPr>
          <w:sz w:val="14"/>
          <w:szCs w:val="14"/>
          <w:lang w:val="nl-NL"/>
        </w:rPr>
        <w:t>final</w:t>
      </w:r>
      <w:proofErr w:type="spellEnd"/>
    </w:p>
  </w:footnote>
  <w:footnote w:id="7">
    <w:p w14:paraId="40B57A98" w14:textId="77777777" w:rsidR="00224914" w:rsidRPr="00BA3539" w:rsidRDefault="00224914" w:rsidP="00224914">
      <w:pPr>
        <w:pStyle w:val="Voetnoottekst"/>
        <w:rPr>
          <w:b/>
          <w:bCs/>
          <w:sz w:val="14"/>
          <w:szCs w:val="14"/>
          <w:lang w:val="nl-NL"/>
        </w:rPr>
      </w:pPr>
      <w:r w:rsidRPr="00BA3539">
        <w:rPr>
          <w:rStyle w:val="Voetnootmarkering"/>
          <w:sz w:val="14"/>
          <w:szCs w:val="14"/>
        </w:rPr>
        <w:footnoteRef/>
      </w:r>
      <w:r w:rsidRPr="00BA3539">
        <w:rPr>
          <w:sz w:val="14"/>
          <w:szCs w:val="14"/>
          <w:lang w:val="nl-NL"/>
        </w:rPr>
        <w:t xml:space="preserve"> Kamerstuk II 2024-2025, 21 501-03, nr. 188</w:t>
      </w:r>
    </w:p>
  </w:footnote>
  <w:footnote w:id="8">
    <w:p w14:paraId="0D2CE2F4" w14:textId="77777777" w:rsidR="00224914" w:rsidRPr="00C04D52" w:rsidRDefault="00224914" w:rsidP="00224914">
      <w:pPr>
        <w:pStyle w:val="Voetnoottekst"/>
        <w:rPr>
          <w:lang w:val="nl-NL"/>
        </w:rPr>
      </w:pPr>
      <w:r w:rsidRPr="00BA3539">
        <w:rPr>
          <w:rStyle w:val="Voetnootmarkering"/>
          <w:sz w:val="14"/>
          <w:szCs w:val="14"/>
        </w:rPr>
        <w:footnoteRef/>
      </w:r>
      <w:r w:rsidRPr="00BA3539">
        <w:rPr>
          <w:sz w:val="14"/>
          <w:szCs w:val="14"/>
          <w:lang w:val="nl-NL"/>
        </w:rPr>
        <w:t xml:space="preserve"> Kamerstuk II 2024-2024, 21 501-03, nr. 185</w:t>
      </w:r>
    </w:p>
  </w:footnote>
  <w:footnote w:id="9">
    <w:p w14:paraId="0E0B53EE" w14:textId="62DB5B67" w:rsidR="00224914" w:rsidRPr="00264A24" w:rsidRDefault="00224914" w:rsidP="00224914">
      <w:pPr>
        <w:pStyle w:val="Voetnoottekst"/>
        <w:rPr>
          <w:sz w:val="14"/>
          <w:szCs w:val="14"/>
          <w:lang w:val="nl-NL"/>
        </w:rPr>
      </w:pPr>
      <w:r w:rsidRPr="00264A24">
        <w:rPr>
          <w:rStyle w:val="Voetnootmarkering"/>
          <w:sz w:val="14"/>
          <w:szCs w:val="14"/>
        </w:rPr>
        <w:footnoteRef/>
      </w:r>
      <w:r w:rsidRPr="00264A24">
        <w:rPr>
          <w:sz w:val="14"/>
          <w:szCs w:val="14"/>
          <w:lang w:val="nl-NL"/>
        </w:rPr>
        <w:t xml:space="preserve"> </w:t>
      </w:r>
      <w:r>
        <w:fldChar w:fldCharType="begin"/>
      </w:r>
      <w:r w:rsidRPr="00E32CD5">
        <w:rPr>
          <w:lang w:val="nl-NL"/>
        </w:rPr>
        <w:instrText>HYPERLINK "https://data.consilium.europa.eu/doc/document/ST-15788-2024-ADD-6/en/pdf"</w:instrText>
      </w:r>
      <w:r>
        <w:fldChar w:fldCharType="separate"/>
      </w:r>
      <w:r w:rsidRPr="00F52483">
        <w:rPr>
          <w:rStyle w:val="Hyperlink"/>
          <w:sz w:val="14"/>
          <w:szCs w:val="14"/>
          <w:lang w:val="nl-NL"/>
        </w:rPr>
        <w:t>https://data.consilium.europa.eu/doc/document/ST-15788-2024-ADD-6/en/pdf</w:t>
      </w:r>
      <w:r>
        <w:rPr>
          <w:rStyle w:val="Hyperlink"/>
          <w:sz w:val="14"/>
          <w:szCs w:val="14"/>
          <w:lang w:val="nl-NL"/>
        </w:rPr>
        <w:fldChar w:fldCharType="end"/>
      </w:r>
      <w:r>
        <w:rPr>
          <w:sz w:val="14"/>
          <w:szCs w:val="14"/>
          <w:lang w:val="nl-NL"/>
        </w:rPr>
        <w:t xml:space="preserve"> </w:t>
      </w:r>
    </w:p>
  </w:footnote>
  <w:footnote w:id="10">
    <w:p w14:paraId="639F8828" w14:textId="054FE550" w:rsidR="00224914" w:rsidRPr="00264A24" w:rsidRDefault="00224914" w:rsidP="00224914">
      <w:pPr>
        <w:pStyle w:val="Voetnoottekst"/>
        <w:rPr>
          <w:lang w:val="nl-NL"/>
        </w:rPr>
      </w:pPr>
      <w:r w:rsidRPr="00264A24">
        <w:rPr>
          <w:rStyle w:val="Voetnootmarkering"/>
          <w:sz w:val="14"/>
          <w:szCs w:val="14"/>
        </w:rPr>
        <w:footnoteRef/>
      </w:r>
      <w:r w:rsidRPr="00264A24">
        <w:rPr>
          <w:sz w:val="14"/>
          <w:szCs w:val="14"/>
          <w:lang w:val="nl-NL"/>
        </w:rPr>
        <w:t xml:space="preserve"> </w:t>
      </w:r>
      <w:r>
        <w:fldChar w:fldCharType="begin"/>
      </w:r>
      <w:r w:rsidRPr="00E32CD5">
        <w:rPr>
          <w:lang w:val="nl-NL"/>
        </w:rPr>
        <w:instrText>HYPERLINK "https://www.cbs.nl/nl-nl/longread/diversen/2024/nationale-rekeningen-revisie-tijdreeksen-1995-2021?onepage=true"</w:instrText>
      </w:r>
      <w:r>
        <w:fldChar w:fldCharType="separate"/>
      </w:r>
      <w:r w:rsidRPr="00F52483">
        <w:rPr>
          <w:rStyle w:val="Hyperlink"/>
          <w:sz w:val="14"/>
          <w:szCs w:val="14"/>
          <w:lang w:val="nl-NL"/>
        </w:rPr>
        <w:t>https://www.cbs.nl/nl-nl/longread/diversen/2024/nationale-rekeningen-revisie-tijdreeksen-1995-2021?onepage=true</w:t>
      </w:r>
      <w:r>
        <w:rPr>
          <w:rStyle w:val="Hyperlink"/>
          <w:sz w:val="14"/>
          <w:szCs w:val="14"/>
          <w:lang w:val="nl-NL"/>
        </w:rPr>
        <w:fldChar w:fldCharType="end"/>
      </w:r>
      <w:r>
        <w:rPr>
          <w:sz w:val="14"/>
          <w:szCs w:val="14"/>
          <w:lang w:val="nl-NL"/>
        </w:rPr>
        <w:t xml:space="preserve"> </w:t>
      </w:r>
      <w:r w:rsidRPr="001578D2" w:rsidDel="001578D2">
        <w:rPr>
          <w:sz w:val="14"/>
          <w:szCs w:val="14"/>
          <w:lang w:val="nl-NL"/>
        </w:rPr>
        <w:t xml:space="preserve"> </w:t>
      </w:r>
      <w:r>
        <w:rPr>
          <w:sz w:val="14"/>
          <w:szCs w:val="14"/>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CD90" w14:textId="77777777" w:rsidR="00224914" w:rsidRPr="00224914" w:rsidRDefault="00224914" w:rsidP="002249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B95EF" w14:textId="77777777" w:rsidR="00224914" w:rsidRPr="00224914" w:rsidRDefault="00224914" w:rsidP="002249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5752" w14:textId="77777777" w:rsidR="00224914" w:rsidRPr="00224914" w:rsidRDefault="00224914" w:rsidP="002249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14"/>
    <w:rsid w:val="00224914"/>
    <w:rsid w:val="008D267E"/>
    <w:rsid w:val="00CF3F15"/>
    <w:rsid w:val="00E32CD5"/>
    <w:rsid w:val="00F301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B62A"/>
  <w15:chartTrackingRefBased/>
  <w15:docId w15:val="{DE2F743D-04B5-4104-8EC0-F956A7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49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49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49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49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49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49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49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49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49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49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49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49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49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49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49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4914"/>
    <w:rPr>
      <w:rFonts w:eastAsiaTheme="majorEastAsia" w:cstheme="majorBidi"/>
      <w:color w:val="272727" w:themeColor="text1" w:themeTint="D8"/>
    </w:rPr>
  </w:style>
  <w:style w:type="paragraph" w:styleId="Titel">
    <w:name w:val="Title"/>
    <w:basedOn w:val="Standaard"/>
    <w:next w:val="Standaard"/>
    <w:link w:val="TitelChar"/>
    <w:uiPriority w:val="10"/>
    <w:qFormat/>
    <w:rsid w:val="0022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49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49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49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49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4914"/>
    <w:rPr>
      <w:i/>
      <w:iCs/>
      <w:color w:val="404040" w:themeColor="text1" w:themeTint="BF"/>
    </w:rPr>
  </w:style>
  <w:style w:type="paragraph" w:styleId="Lijstalinea">
    <w:name w:val="List Paragraph"/>
    <w:basedOn w:val="Standaard"/>
    <w:uiPriority w:val="34"/>
    <w:qFormat/>
    <w:rsid w:val="00224914"/>
    <w:pPr>
      <w:ind w:left="720"/>
      <w:contextualSpacing/>
    </w:pPr>
  </w:style>
  <w:style w:type="character" w:styleId="Intensievebenadrukking">
    <w:name w:val="Intense Emphasis"/>
    <w:basedOn w:val="Standaardalinea-lettertype"/>
    <w:uiPriority w:val="21"/>
    <w:qFormat/>
    <w:rsid w:val="00224914"/>
    <w:rPr>
      <w:i/>
      <w:iCs/>
      <w:color w:val="0F4761" w:themeColor="accent1" w:themeShade="BF"/>
    </w:rPr>
  </w:style>
  <w:style w:type="paragraph" w:styleId="Duidelijkcitaat">
    <w:name w:val="Intense Quote"/>
    <w:basedOn w:val="Standaard"/>
    <w:next w:val="Standaard"/>
    <w:link w:val="DuidelijkcitaatChar"/>
    <w:uiPriority w:val="30"/>
    <w:qFormat/>
    <w:rsid w:val="0022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4914"/>
    <w:rPr>
      <w:i/>
      <w:iCs/>
      <w:color w:val="0F4761" w:themeColor="accent1" w:themeShade="BF"/>
    </w:rPr>
  </w:style>
  <w:style w:type="character" w:styleId="Intensieveverwijzing">
    <w:name w:val="Intense Reference"/>
    <w:basedOn w:val="Standaardalinea-lettertype"/>
    <w:uiPriority w:val="32"/>
    <w:qFormat/>
    <w:rsid w:val="00224914"/>
    <w:rPr>
      <w:b/>
      <w:bCs/>
      <w:smallCaps/>
      <w:color w:val="0F4761" w:themeColor="accent1" w:themeShade="BF"/>
      <w:spacing w:val="5"/>
    </w:rPr>
  </w:style>
  <w:style w:type="character" w:styleId="Hyperlink">
    <w:name w:val="Hyperlink"/>
    <w:basedOn w:val="Standaardalinea-lettertype"/>
    <w:uiPriority w:val="99"/>
    <w:unhideWhenUsed/>
    <w:rsid w:val="00224914"/>
    <w:rPr>
      <w:color w:val="467886" w:themeColor="hyperlink"/>
      <w:u w:val="single"/>
    </w:rPr>
  </w:style>
  <w:style w:type="paragraph" w:customStyle="1" w:styleId="Rubricering">
    <w:name w:val="Rubricering"/>
    <w:basedOn w:val="Standaard"/>
    <w:next w:val="Standaard"/>
    <w:rsid w:val="0022491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2249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22491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2249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22491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22491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2491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249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2491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249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2491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qFormat/>
    <w:rsid w:val="00224914"/>
    <w:pPr>
      <w:spacing w:after="0" w:line="240" w:lineRule="auto"/>
    </w:pPr>
    <w:rPr>
      <w:rFonts w:ascii="Verdana" w:eastAsia="Calibri" w:hAnsi="Verdana" w:cs="Times New Roman"/>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224914"/>
    <w:rPr>
      <w:rFonts w:ascii="Verdana" w:eastAsia="Calibri" w:hAnsi="Verdana" w:cs="Times New Roman"/>
      <w:kern w:val="0"/>
      <w:sz w:val="20"/>
      <w:szCs w:val="20"/>
      <w:lang w:val="en-US"/>
      <w14:ligatures w14:val="none"/>
    </w:rPr>
  </w:style>
  <w:style w:type="paragraph" w:styleId="Geenafstand">
    <w:name w:val="No Spacing"/>
    <w:uiPriority w:val="1"/>
    <w:qFormat/>
    <w:rsid w:val="00224914"/>
    <w:pPr>
      <w:autoSpaceDN w:val="0"/>
      <w:spacing w:after="0" w:line="240" w:lineRule="auto"/>
    </w:pPr>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qFormat/>
    <w:rsid w:val="00224914"/>
    <w:rPr>
      <w:vertAlign w:val="superscript"/>
    </w:rPr>
  </w:style>
  <w:style w:type="character" w:styleId="Onopgelostemelding">
    <w:name w:val="Unresolved Mention"/>
    <w:basedOn w:val="Standaardalinea-lettertype"/>
    <w:uiPriority w:val="99"/>
    <w:semiHidden/>
    <w:unhideWhenUsed/>
    <w:rsid w:val="00224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69866/20240201-special-euco-conclusions-mff-ukraine-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2334</ap:Words>
  <ap:Characters>12837</ap:Characters>
  <ap:DocSecurity>0</ap:DocSecurity>
  <ap:Lines>106</ap:Lines>
  <ap:Paragraphs>30</ap:Paragraphs>
  <ap:ScaleCrop>false</ap:ScaleCrop>
  <ap:LinksUpToDate>false</ap:LinksUpToDate>
  <ap:CharactersWithSpaces>15141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2024-12-10T12:36:00.0000000Z</dcterms:created>
  <dcterms:modified xsi:type="dcterms:W3CDTF">2024-12-10T12:36:00.0000000Z</dcterms:modified>
  <version/>
  <category/>
</coreProperties>
</file>