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52AE0" w:rsidR="00810ACF" w:rsidP="00810ACF" w:rsidRDefault="00810ACF" w14:paraId="7E506504" w14:textId="77777777">
      <w:pPr>
        <w:ind w:left="1410" w:hanging="1410"/>
        <w:rPr>
          <w:b/>
          <w:bCs/>
        </w:rPr>
      </w:pPr>
      <w:r w:rsidRPr="00A52AE0">
        <w:rPr>
          <w:b/>
        </w:rPr>
        <w:t>36625 V</w:t>
      </w:r>
      <w:r w:rsidRPr="00A52AE0" w:rsidR="00DD3CCC">
        <w:rPr>
          <w:b/>
        </w:rPr>
        <w:tab/>
      </w:r>
      <w:r w:rsidRPr="00A52AE0" w:rsidR="002D3580">
        <w:rPr>
          <w:rFonts w:eastAsia="Calibri"/>
          <w:b/>
          <w:lang w:eastAsia="en-US"/>
        </w:rPr>
        <w:tab/>
      </w:r>
      <w:r w:rsidRPr="00A52AE0">
        <w:rPr>
          <w:b/>
          <w:bCs/>
        </w:rPr>
        <w:t>Wijziging van de begrotingsstaat van het Ministerie van Buitenlandse Zaken (V) voor het jaar 2024 (wijziging samenhangende met Najaarsnota)</w:t>
      </w:r>
    </w:p>
    <w:p w:rsidRPr="00A52AE0" w:rsidR="00DD3CCC" w:rsidP="00DD3CCC" w:rsidRDefault="00DD3CCC" w14:paraId="5295D950" w14:textId="6D40531F">
      <w:pPr>
        <w:rPr>
          <w:b/>
        </w:rPr>
      </w:pPr>
    </w:p>
    <w:p w:rsidRPr="00A52AE0" w:rsidR="002D3580" w:rsidP="002D3580" w:rsidRDefault="002D3580" w14:paraId="59BEAE00" w14:textId="77777777">
      <w:pPr>
        <w:ind w:left="1410" w:hanging="1410"/>
        <w:rPr>
          <w:rFonts w:eastAsia="Calibri"/>
          <w:lang w:eastAsia="en-US"/>
        </w:rPr>
      </w:pPr>
    </w:p>
    <w:p w:rsidRPr="00A52AE0" w:rsidR="002D3580" w:rsidP="002D3580" w:rsidRDefault="002D3580" w14:paraId="03261670" w14:textId="6D237759">
      <w:pPr>
        <w:autoSpaceDE w:val="0"/>
        <w:autoSpaceDN w:val="0"/>
        <w:adjustRightInd w:val="0"/>
        <w:ind w:left="1410" w:hanging="1410"/>
        <w:rPr>
          <w:rFonts w:eastAsia="Calibri"/>
          <w:color w:val="000000"/>
          <w:lang w:eastAsia="en-US"/>
        </w:rPr>
      </w:pPr>
      <w:r w:rsidRPr="00A52AE0">
        <w:rPr>
          <w:rFonts w:eastAsia="Calibri"/>
          <w:b/>
          <w:color w:val="000000"/>
          <w:lang w:eastAsia="en-US"/>
        </w:rPr>
        <w:t>Nr.</w:t>
      </w:r>
      <w:r w:rsidRPr="00A52AE0" w:rsidR="00810ACF">
        <w:rPr>
          <w:rFonts w:eastAsia="Calibri"/>
          <w:b/>
          <w:color w:val="000000"/>
          <w:lang w:eastAsia="en-US"/>
        </w:rPr>
        <w:t xml:space="preserve"> 3</w:t>
      </w:r>
      <w:r w:rsidRPr="00A52AE0">
        <w:rPr>
          <w:rFonts w:eastAsia="Calibri"/>
          <w:b/>
          <w:color w:val="000000"/>
          <w:lang w:eastAsia="en-US"/>
        </w:rPr>
        <w:tab/>
        <w:t>VERSLAG HOUDENDE EEN LIJST VAN VRAGEN EN ANTWOORDEN</w:t>
      </w:r>
      <w:r w:rsidRPr="00A52AE0">
        <w:rPr>
          <w:rFonts w:eastAsia="Calibri"/>
          <w:color w:val="000000"/>
          <w:lang w:eastAsia="en-US"/>
        </w:rPr>
        <w:t xml:space="preserve"> </w:t>
      </w:r>
    </w:p>
    <w:p w:rsidRPr="00A52AE0" w:rsidR="002D3580" w:rsidP="002D3580" w:rsidRDefault="002D3580" w14:paraId="67377165" w14:textId="00223A29">
      <w:pPr>
        <w:autoSpaceDE w:val="0"/>
        <w:autoSpaceDN w:val="0"/>
        <w:adjustRightInd w:val="0"/>
        <w:ind w:firstLine="708"/>
        <w:rPr>
          <w:rFonts w:eastAsia="Calibri"/>
          <w:color w:val="000000"/>
          <w:lang w:eastAsia="en-US"/>
        </w:rPr>
      </w:pPr>
      <w:r w:rsidRPr="00A52AE0">
        <w:rPr>
          <w:rFonts w:eastAsia="Calibri"/>
          <w:color w:val="000000"/>
          <w:lang w:eastAsia="en-US"/>
        </w:rPr>
        <w:tab/>
        <w:t xml:space="preserve">Vastgesteld </w:t>
      </w:r>
      <w:r w:rsidRPr="00A52AE0" w:rsidR="00F7607D">
        <w:t>12 december 2024</w:t>
      </w:r>
    </w:p>
    <w:p w:rsidRPr="00A52AE0" w:rsidR="002D3580" w:rsidP="002D3580" w:rsidRDefault="002D3580" w14:paraId="55061E10" w14:textId="77777777">
      <w:pPr>
        <w:autoSpaceDE w:val="0"/>
        <w:autoSpaceDN w:val="0"/>
        <w:adjustRightInd w:val="0"/>
        <w:rPr>
          <w:rFonts w:eastAsia="Calibri"/>
          <w:color w:val="000000"/>
          <w:lang w:eastAsia="en-US"/>
        </w:rPr>
      </w:pPr>
    </w:p>
    <w:p w:rsidRPr="00A52AE0" w:rsidR="002D3580" w:rsidP="002D3580" w:rsidRDefault="002D3580" w14:paraId="66BC2BA5" w14:textId="4E0DA854">
      <w:pPr>
        <w:autoSpaceDE w:val="0"/>
        <w:autoSpaceDN w:val="0"/>
        <w:adjustRightInd w:val="0"/>
        <w:rPr>
          <w:rFonts w:eastAsia="Calibri"/>
          <w:color w:val="000000"/>
          <w:lang w:eastAsia="en-US"/>
        </w:rPr>
      </w:pPr>
      <w:r w:rsidRPr="00A52AE0">
        <w:rPr>
          <w:rFonts w:eastAsia="Calibri"/>
          <w:color w:val="000000"/>
          <w:lang w:eastAsia="en-US"/>
        </w:rPr>
        <w:t>De</w:t>
      </w:r>
      <w:r w:rsidRPr="00A52AE0" w:rsidR="00810ACF">
        <w:rPr>
          <w:rFonts w:eastAsia="Calibri"/>
          <w:color w:val="000000"/>
          <w:lang w:eastAsia="en-US"/>
        </w:rPr>
        <w:t xml:space="preserve"> vaste commissie voor Buitenlandse Zaken</w:t>
      </w:r>
      <w:r w:rsidRPr="00A52AE0" w:rsidR="00DD3CCC">
        <w:t>,</w:t>
      </w:r>
      <w:r w:rsidRPr="00A52AE0">
        <w:rPr>
          <w:rFonts w:eastAsia="Calibri"/>
          <w:color w:val="000000"/>
          <w:lang w:eastAsia="en-US"/>
        </w:rPr>
        <w:t xml:space="preserve"> belast met het voorbereidend onderzoek van dit voorstel van wet, heeft de eer verslag uit te brengen in de vorm van een lijst van</w:t>
      </w:r>
      <w:r w:rsidRPr="00A52AE0" w:rsidR="00DD3CCC">
        <w:t xml:space="preserve"> </w:t>
      </w:r>
      <w:r w:rsidRPr="00A52AE0" w:rsidR="00810ACF">
        <w:t>vragen</w:t>
      </w:r>
      <w:r w:rsidRPr="00A52AE0">
        <w:rPr>
          <w:rFonts w:eastAsia="Calibri"/>
          <w:color w:val="000000"/>
          <w:lang w:eastAsia="en-US"/>
        </w:rPr>
        <w:t xml:space="preserve"> met de daarop gegeven</w:t>
      </w:r>
      <w:r w:rsidRPr="00A52AE0" w:rsidR="00DD3CCC">
        <w:t xml:space="preserve"> </w:t>
      </w:r>
      <w:r w:rsidRPr="00A52AE0" w:rsidR="00810ACF">
        <w:t>antwoorden</w:t>
      </w:r>
      <w:r w:rsidRPr="00A52AE0">
        <w:rPr>
          <w:rFonts w:eastAsia="Calibri"/>
          <w:color w:val="000000"/>
          <w:lang w:eastAsia="en-US"/>
        </w:rPr>
        <w:t xml:space="preserve">. </w:t>
      </w:r>
    </w:p>
    <w:p w:rsidRPr="00A52AE0" w:rsidR="002D3580" w:rsidP="002D3580" w:rsidRDefault="002D3580" w14:paraId="5BE33EFE" w14:textId="77777777">
      <w:pPr>
        <w:autoSpaceDE w:val="0"/>
        <w:autoSpaceDN w:val="0"/>
        <w:adjustRightInd w:val="0"/>
        <w:rPr>
          <w:rFonts w:eastAsia="Calibri"/>
          <w:color w:val="000000"/>
          <w:lang w:eastAsia="en-US"/>
        </w:rPr>
      </w:pPr>
    </w:p>
    <w:p w:rsidRPr="00A52AE0" w:rsidR="00810ACF" w:rsidP="00D80872" w:rsidRDefault="002D3580" w14:paraId="1F56C06B" w14:textId="77777777">
      <w:r w:rsidRPr="00A52AE0">
        <w:rPr>
          <w:rFonts w:eastAsia="Calibri"/>
          <w:color w:val="000000"/>
          <w:lang w:eastAsia="en-US"/>
        </w:rPr>
        <w:t xml:space="preserve">De </w:t>
      </w:r>
      <w:r w:rsidRPr="00A52AE0" w:rsidR="00810ACF">
        <w:t>vragen</w:t>
      </w:r>
      <w:r w:rsidRPr="00A52AE0">
        <w:rPr>
          <w:rFonts w:eastAsia="Calibri"/>
          <w:color w:val="000000"/>
          <w:lang w:eastAsia="en-US"/>
        </w:rPr>
        <w:t xml:space="preserve"> </w:t>
      </w:r>
      <w:r w:rsidRPr="00A52AE0" w:rsidR="00810ACF">
        <w:t>zijn</w:t>
      </w:r>
      <w:r w:rsidRPr="00A52AE0" w:rsidR="00FE484A">
        <w:rPr>
          <w:rFonts w:eastAsia="Calibri"/>
          <w:color w:val="000000"/>
          <w:lang w:eastAsia="en-US"/>
        </w:rPr>
        <w:t xml:space="preserve"> </w:t>
      </w:r>
      <w:r w:rsidRPr="00A52AE0">
        <w:rPr>
          <w:rFonts w:eastAsia="Calibri"/>
          <w:color w:val="000000"/>
          <w:lang w:eastAsia="en-US"/>
        </w:rPr>
        <w:t xml:space="preserve">op </w:t>
      </w:r>
      <w:r w:rsidRPr="00A52AE0" w:rsidR="00810ACF">
        <w:t>5 december 2024</w:t>
      </w:r>
      <w:r w:rsidRPr="00A52AE0" w:rsidR="00716217">
        <w:t xml:space="preserve"> </w:t>
      </w:r>
      <w:r w:rsidRPr="00A52AE0">
        <w:rPr>
          <w:rFonts w:eastAsia="Calibri"/>
          <w:color w:val="000000"/>
          <w:lang w:eastAsia="en-US"/>
        </w:rPr>
        <w:t>voorgelegd</w:t>
      </w:r>
      <w:r w:rsidRPr="00A52AE0" w:rsidR="003B5BD2">
        <w:rPr>
          <w:rFonts w:eastAsia="Calibri"/>
          <w:color w:val="000000"/>
          <w:lang w:eastAsia="en-US"/>
        </w:rPr>
        <w:t xml:space="preserve"> aan de </w:t>
      </w:r>
      <w:r w:rsidRPr="00A52AE0" w:rsidR="00810ACF">
        <w:t>minister van Buitenlandse Zaken</w:t>
      </w:r>
      <w:r w:rsidRPr="00A52AE0">
        <w:rPr>
          <w:rFonts w:eastAsia="Calibri"/>
          <w:color w:val="000000"/>
          <w:lang w:eastAsia="en-US"/>
        </w:rPr>
        <w:t>. Bij brief van</w:t>
      </w:r>
      <w:r w:rsidRPr="00A52AE0" w:rsidR="00DD3CCC">
        <w:t xml:space="preserve"> </w:t>
      </w:r>
      <w:r w:rsidRPr="00A52AE0" w:rsidR="00810ACF">
        <w:t>10 december 2024</w:t>
      </w:r>
      <w:r w:rsidRPr="00A52AE0" w:rsidR="00DD3CCC">
        <w:t xml:space="preserve"> </w:t>
      </w:r>
      <w:r w:rsidRPr="00A52AE0" w:rsidR="00810ACF">
        <w:t>zijn</w:t>
      </w:r>
      <w:r w:rsidRPr="00A52AE0" w:rsidR="00DD3CCC">
        <w:t xml:space="preserve"> </w:t>
      </w:r>
      <w:r w:rsidRPr="00A52AE0">
        <w:rPr>
          <w:rFonts w:eastAsia="Calibri"/>
          <w:color w:val="000000"/>
          <w:lang w:eastAsia="en-US"/>
        </w:rPr>
        <w:t xml:space="preserve">ze door de </w:t>
      </w:r>
      <w:r w:rsidRPr="00A52AE0" w:rsidR="00810ACF">
        <w:t>minister van Buitenlandse Zaken</w:t>
      </w:r>
    </w:p>
    <w:p w:rsidRPr="00A52AE0" w:rsidR="002D3580" w:rsidP="00810ACF" w:rsidRDefault="002D3580" w14:paraId="37F47F40" w14:textId="239662BC">
      <w:r w:rsidRPr="00A52AE0">
        <w:rPr>
          <w:rFonts w:eastAsia="Calibri"/>
          <w:color w:val="000000"/>
          <w:lang w:eastAsia="en-US"/>
        </w:rPr>
        <w:t xml:space="preserve">beantwoord. </w:t>
      </w:r>
    </w:p>
    <w:p w:rsidRPr="00A52AE0" w:rsidR="002D3580" w:rsidP="002D3580" w:rsidRDefault="002D3580" w14:paraId="39C28015" w14:textId="77777777">
      <w:pPr>
        <w:autoSpaceDE w:val="0"/>
        <w:autoSpaceDN w:val="0"/>
        <w:adjustRightInd w:val="0"/>
        <w:rPr>
          <w:rFonts w:eastAsia="Calibri"/>
          <w:color w:val="000000"/>
          <w:lang w:eastAsia="en-US"/>
        </w:rPr>
      </w:pPr>
    </w:p>
    <w:p w:rsidRPr="00A52AE0" w:rsidR="002D3580" w:rsidP="002D3580" w:rsidRDefault="002D3580" w14:paraId="75B88A8E" w14:textId="77777777">
      <w:pPr>
        <w:autoSpaceDE w:val="0"/>
        <w:autoSpaceDN w:val="0"/>
        <w:adjustRightInd w:val="0"/>
        <w:rPr>
          <w:rFonts w:eastAsia="Calibri"/>
          <w:color w:val="000000"/>
          <w:lang w:eastAsia="en-US"/>
        </w:rPr>
      </w:pPr>
      <w:r w:rsidRPr="00A52AE0">
        <w:rPr>
          <w:rFonts w:eastAsia="Calibri"/>
          <w:color w:val="000000"/>
          <w:lang w:eastAsia="en-US"/>
        </w:rPr>
        <w:t xml:space="preserve">Met de vaststelling van het verslag acht de commissie de openbare behandeling van het wetsvoorstel voldoende voorbereid. </w:t>
      </w:r>
    </w:p>
    <w:p w:rsidRPr="00A52AE0" w:rsidR="002D3580" w:rsidP="002D3580" w:rsidRDefault="002D3580" w14:paraId="43A85D20" w14:textId="77777777">
      <w:pPr>
        <w:autoSpaceDE w:val="0"/>
        <w:autoSpaceDN w:val="0"/>
        <w:adjustRightInd w:val="0"/>
        <w:rPr>
          <w:rFonts w:eastAsia="Calibri"/>
          <w:color w:val="000000"/>
          <w:lang w:eastAsia="en-US"/>
        </w:rPr>
      </w:pPr>
    </w:p>
    <w:p w:rsidRPr="00A52AE0" w:rsidR="00810ACF" w:rsidP="00810ACF" w:rsidRDefault="00810ACF" w14:paraId="76449AD1" w14:textId="58FFB98D">
      <w:pPr>
        <w:autoSpaceDE w:val="0"/>
        <w:autoSpaceDN w:val="0"/>
        <w:adjustRightInd w:val="0"/>
        <w:rPr>
          <w:rFonts w:eastAsia="Calibri"/>
          <w:color w:val="000000"/>
          <w:lang w:eastAsia="en-US"/>
        </w:rPr>
      </w:pPr>
      <w:r w:rsidRPr="00A52AE0">
        <w:rPr>
          <w:rFonts w:eastAsia="Calibri"/>
          <w:color w:val="000000"/>
          <w:lang w:eastAsia="en-US"/>
        </w:rPr>
        <w:t xml:space="preserve">De voorzitter van de commissie, </w:t>
      </w:r>
    </w:p>
    <w:p w:rsidRPr="00A52AE0" w:rsidR="00810ACF" w:rsidP="00810ACF" w:rsidRDefault="00810ACF" w14:paraId="40F43811" w14:textId="395C3591">
      <w:pPr>
        <w:autoSpaceDE w:val="0"/>
        <w:autoSpaceDN w:val="0"/>
        <w:adjustRightInd w:val="0"/>
        <w:rPr>
          <w:rFonts w:eastAsia="Calibri"/>
          <w:color w:val="000000"/>
          <w:lang w:eastAsia="en-US"/>
        </w:rPr>
      </w:pPr>
      <w:r w:rsidRPr="00A52AE0">
        <w:rPr>
          <w:rFonts w:eastAsia="Calibri"/>
          <w:color w:val="000000"/>
          <w:lang w:eastAsia="en-US"/>
        </w:rPr>
        <w:t>Klaver</w:t>
      </w:r>
    </w:p>
    <w:p w:rsidRPr="00A52AE0" w:rsidR="00810ACF" w:rsidP="00810ACF" w:rsidRDefault="00810ACF" w14:paraId="7417ACA1" w14:textId="77777777">
      <w:pPr>
        <w:autoSpaceDE w:val="0"/>
        <w:autoSpaceDN w:val="0"/>
        <w:adjustRightInd w:val="0"/>
        <w:rPr>
          <w:rFonts w:eastAsia="Calibri"/>
          <w:color w:val="000000"/>
          <w:lang w:eastAsia="en-US"/>
        </w:rPr>
      </w:pPr>
      <w:r w:rsidRPr="00A52AE0">
        <w:rPr>
          <w:rFonts w:eastAsia="Calibri"/>
          <w:color w:val="000000"/>
          <w:lang w:eastAsia="en-US"/>
        </w:rPr>
        <w:tab/>
      </w:r>
      <w:r w:rsidRPr="00A52AE0">
        <w:rPr>
          <w:rFonts w:eastAsia="Calibri"/>
          <w:color w:val="000000"/>
          <w:lang w:eastAsia="en-US"/>
        </w:rPr>
        <w:tab/>
      </w:r>
    </w:p>
    <w:p w:rsidRPr="00A52AE0" w:rsidR="00810ACF" w:rsidP="00810ACF" w:rsidRDefault="00810ACF" w14:paraId="4B468F21" w14:textId="1C96FC73">
      <w:pPr>
        <w:autoSpaceDE w:val="0"/>
        <w:autoSpaceDN w:val="0"/>
        <w:adjustRightInd w:val="0"/>
        <w:rPr>
          <w:rFonts w:eastAsia="Calibri"/>
          <w:color w:val="000000"/>
          <w:lang w:eastAsia="en-US"/>
        </w:rPr>
      </w:pPr>
      <w:r w:rsidRPr="00A52AE0">
        <w:rPr>
          <w:rFonts w:eastAsia="Calibri"/>
          <w:color w:val="000000"/>
          <w:lang w:eastAsia="en-US"/>
        </w:rPr>
        <w:t>De griffier van de commissie,</w:t>
      </w:r>
    </w:p>
    <w:p w:rsidRPr="00A52AE0" w:rsidR="002D3580" w:rsidP="00810ACF" w:rsidRDefault="00810ACF" w14:paraId="2101C090" w14:textId="59F065C5">
      <w:pPr>
        <w:autoSpaceDE w:val="0"/>
        <w:autoSpaceDN w:val="0"/>
        <w:adjustRightInd w:val="0"/>
        <w:rPr>
          <w:rFonts w:eastAsia="Calibri"/>
          <w:color w:val="000000"/>
          <w:lang w:eastAsia="en-US"/>
        </w:rPr>
      </w:pPr>
      <w:r w:rsidRPr="00A52AE0">
        <w:rPr>
          <w:rFonts w:eastAsia="Calibri"/>
          <w:color w:val="000000"/>
          <w:lang w:eastAsia="en-US"/>
        </w:rPr>
        <w:t>Westerhoff</w:t>
      </w:r>
    </w:p>
    <w:p w:rsidRPr="00A52AE0" w:rsidR="002D3580" w:rsidP="002D3580" w:rsidRDefault="002D3580" w14:paraId="5B4528AE" w14:textId="77777777">
      <w:pPr>
        <w:rPr>
          <w:rFonts w:eastAsia="Calibri"/>
          <w:lang w:eastAsia="en-US"/>
        </w:rPr>
      </w:pPr>
    </w:p>
    <w:p w:rsidRPr="00A52AE0" w:rsidR="00A52AE0" w:rsidRDefault="00A52AE0" w14:paraId="07368949" w14:textId="45DDB023">
      <w:r w:rsidRPr="00A52AE0">
        <w:br w:type="page"/>
      </w:r>
    </w:p>
    <w:tbl>
      <w:tblPr>
        <w:tblW w:w="7088" w:type="dxa"/>
        <w:tblLayout w:type="fixed"/>
        <w:tblCellMar>
          <w:left w:w="0" w:type="dxa"/>
          <w:right w:w="0" w:type="dxa"/>
        </w:tblCellMar>
        <w:tblLook w:val="0000" w:firstRow="0" w:lastRow="0" w:firstColumn="0" w:lastColumn="0" w:noHBand="0" w:noVBand="0"/>
      </w:tblPr>
      <w:tblGrid>
        <w:gridCol w:w="567"/>
        <w:gridCol w:w="6521"/>
      </w:tblGrid>
      <w:tr w:rsidRPr="00A52AE0" w:rsidR="00A52AE0" w:rsidTr="00212613" w14:paraId="61FB4415" w14:textId="77777777">
        <w:tc>
          <w:tcPr>
            <w:tcW w:w="567" w:type="dxa"/>
          </w:tcPr>
          <w:p w:rsidRPr="00A52AE0" w:rsidR="00A52AE0" w:rsidP="00212613" w:rsidRDefault="00A52AE0" w14:paraId="05686A82" w14:textId="77777777">
            <w:r w:rsidRPr="00A52AE0">
              <w:lastRenderedPageBreak/>
              <w:t>1</w:t>
            </w:r>
          </w:p>
        </w:tc>
        <w:tc>
          <w:tcPr>
            <w:tcW w:w="6521" w:type="dxa"/>
          </w:tcPr>
          <w:p w:rsidRPr="00A52AE0" w:rsidR="00A52AE0" w:rsidP="00212613" w:rsidRDefault="00A52AE0" w14:paraId="11CAA0F8" w14:textId="77777777">
            <w:r w:rsidRPr="00A52AE0">
              <w:t xml:space="preserve">Kunt u met specifieke bedragen per </w:t>
            </w:r>
            <w:proofErr w:type="spellStart"/>
            <w:r w:rsidRPr="00A52AE0">
              <w:t>subartikel</w:t>
            </w:r>
            <w:proofErr w:type="spellEnd"/>
            <w:r w:rsidRPr="00A52AE0">
              <w:t xml:space="preserve"> toelichten waarom er voor circa € 37 miljoen </w:t>
            </w:r>
            <w:proofErr w:type="spellStart"/>
            <w:r w:rsidRPr="00A52AE0">
              <w:t>onderuitputting</w:t>
            </w:r>
            <w:proofErr w:type="spellEnd"/>
            <w:r w:rsidRPr="00A52AE0">
              <w:t xml:space="preserve"> is?</w:t>
            </w:r>
          </w:p>
          <w:p w:rsidRPr="00A52AE0" w:rsidR="00A52AE0" w:rsidP="00212613" w:rsidRDefault="00A52AE0" w14:paraId="258E1639" w14:textId="77777777"/>
          <w:p w:rsidRPr="00A52AE0" w:rsidR="00A52AE0" w:rsidP="00212613" w:rsidRDefault="00A52AE0" w14:paraId="56F75129" w14:textId="77777777">
            <w:r w:rsidRPr="00A52AE0">
              <w:t xml:space="preserve">Antwoord: </w:t>
            </w:r>
          </w:p>
          <w:p w:rsidRPr="00A52AE0" w:rsidR="00A52AE0" w:rsidP="00212613" w:rsidRDefault="00A52AE0" w14:paraId="68F18488" w14:textId="77777777">
            <w:r w:rsidRPr="00A52AE0">
              <w:t xml:space="preserve">De totale </w:t>
            </w:r>
            <w:proofErr w:type="spellStart"/>
            <w:r w:rsidRPr="00A52AE0">
              <w:t>onderuitputting</w:t>
            </w:r>
            <w:proofErr w:type="spellEnd"/>
            <w:r w:rsidRPr="00A52AE0">
              <w:t xml:space="preserve"> van circa EUR 37 miljoen betreft meerdere mutaties binnen de BZ-begroting. Het bestaat uit (i) een grote mutatie van EUR 34,8 miljoen betreffende de Hoog Risico posten op </w:t>
            </w:r>
            <w:proofErr w:type="spellStart"/>
            <w:r w:rsidRPr="00A52AE0">
              <w:t>subartikel</w:t>
            </w:r>
            <w:proofErr w:type="spellEnd"/>
            <w:r w:rsidRPr="00A52AE0">
              <w:t xml:space="preserve"> 7.1.14 Materiële Uitgaven (zie ook antwoord op vraag 18) en (ii) restant van EUR 2,2 miljoen betreft meerdere kleine mutaties waaronder: </w:t>
            </w:r>
          </w:p>
          <w:p w:rsidRPr="00A52AE0" w:rsidR="00A52AE0" w:rsidP="00212613" w:rsidRDefault="00A52AE0" w14:paraId="1476522A" w14:textId="77777777">
            <w:pPr>
              <w:pStyle w:val="Lijstalinea"/>
              <w:numPr>
                <w:ilvl w:val="0"/>
                <w:numId w:val="1"/>
              </w:numPr>
              <w:autoSpaceDE w:val="0"/>
              <w:autoSpaceDN w:val="0"/>
              <w:adjustRightInd w:val="0"/>
              <w:spacing w:after="0" w:line="240" w:lineRule="auto"/>
              <w:rPr>
                <w:rFonts w:ascii="Times New Roman" w:hAnsi="Times New Roman" w:cs="Times New Roman"/>
                <w:sz w:val="24"/>
                <w:szCs w:val="24"/>
              </w:rPr>
            </w:pPr>
            <w:r w:rsidRPr="00A52AE0">
              <w:rPr>
                <w:rFonts w:ascii="Times New Roman" w:hAnsi="Times New Roman" w:cs="Times New Roman"/>
                <w:sz w:val="24"/>
                <w:szCs w:val="24"/>
              </w:rPr>
              <w:t xml:space="preserve">EUR 350.000 op </w:t>
            </w:r>
            <w:proofErr w:type="spellStart"/>
            <w:r w:rsidRPr="00A52AE0">
              <w:rPr>
                <w:rFonts w:ascii="Times New Roman" w:hAnsi="Times New Roman" w:cs="Times New Roman"/>
                <w:sz w:val="24"/>
                <w:szCs w:val="24"/>
              </w:rPr>
              <w:t>subartikel</w:t>
            </w:r>
            <w:proofErr w:type="spellEnd"/>
            <w:r w:rsidRPr="00A52AE0">
              <w:rPr>
                <w:rFonts w:ascii="Times New Roman" w:hAnsi="Times New Roman" w:cs="Times New Roman"/>
                <w:sz w:val="24"/>
                <w:szCs w:val="24"/>
              </w:rPr>
              <w:t xml:space="preserve"> 2.4 op het budget voor de OVSE voor uitgaven aan de verkiezingswaarnemingen die pas in 2025 landen i.p.v. 2024.</w:t>
            </w:r>
          </w:p>
          <w:p w:rsidRPr="00A52AE0" w:rsidR="00A52AE0" w:rsidP="00212613" w:rsidRDefault="00A52AE0" w14:paraId="1A3AD94C" w14:textId="77777777">
            <w:pPr>
              <w:pStyle w:val="Lijstalinea"/>
              <w:numPr>
                <w:ilvl w:val="0"/>
                <w:numId w:val="1"/>
              </w:numPr>
              <w:autoSpaceDE w:val="0"/>
              <w:autoSpaceDN w:val="0"/>
              <w:adjustRightInd w:val="0"/>
              <w:spacing w:after="0" w:line="240" w:lineRule="auto"/>
              <w:rPr>
                <w:rFonts w:ascii="Times New Roman" w:hAnsi="Times New Roman" w:cs="Times New Roman"/>
                <w:sz w:val="24"/>
                <w:szCs w:val="24"/>
              </w:rPr>
            </w:pPr>
            <w:r w:rsidRPr="00A52AE0">
              <w:rPr>
                <w:rFonts w:ascii="Times New Roman" w:hAnsi="Times New Roman" w:cs="Times New Roman"/>
                <w:sz w:val="24"/>
                <w:szCs w:val="24"/>
              </w:rPr>
              <w:t xml:space="preserve">EUR 250.000 op </w:t>
            </w:r>
            <w:proofErr w:type="spellStart"/>
            <w:r w:rsidRPr="00A52AE0">
              <w:rPr>
                <w:rFonts w:ascii="Times New Roman" w:hAnsi="Times New Roman" w:cs="Times New Roman"/>
                <w:sz w:val="24"/>
                <w:szCs w:val="24"/>
              </w:rPr>
              <w:t>subartikel</w:t>
            </w:r>
            <w:proofErr w:type="spellEnd"/>
            <w:r w:rsidRPr="00A52AE0">
              <w:rPr>
                <w:rFonts w:ascii="Times New Roman" w:hAnsi="Times New Roman" w:cs="Times New Roman"/>
                <w:sz w:val="24"/>
                <w:szCs w:val="24"/>
              </w:rPr>
              <w:t xml:space="preserve"> 4.4 omdat de Conference of </w:t>
            </w:r>
            <w:proofErr w:type="spellStart"/>
            <w:r w:rsidRPr="00A52AE0">
              <w:rPr>
                <w:rFonts w:ascii="Times New Roman" w:hAnsi="Times New Roman" w:cs="Times New Roman"/>
                <w:sz w:val="24"/>
                <w:szCs w:val="24"/>
              </w:rPr>
              <w:t>States</w:t>
            </w:r>
            <w:proofErr w:type="spellEnd"/>
            <w:r w:rsidRPr="00A52AE0">
              <w:rPr>
                <w:rFonts w:ascii="Times New Roman" w:hAnsi="Times New Roman" w:cs="Times New Roman"/>
                <w:sz w:val="24"/>
                <w:szCs w:val="24"/>
              </w:rPr>
              <w:t xml:space="preserve"> </w:t>
            </w:r>
            <w:proofErr w:type="spellStart"/>
            <w:r w:rsidRPr="00A52AE0">
              <w:rPr>
                <w:rFonts w:ascii="Times New Roman" w:hAnsi="Times New Roman" w:cs="Times New Roman"/>
                <w:sz w:val="24"/>
                <w:szCs w:val="24"/>
              </w:rPr>
              <w:t>Parties</w:t>
            </w:r>
            <w:proofErr w:type="spellEnd"/>
            <w:r w:rsidRPr="00A52AE0">
              <w:rPr>
                <w:rFonts w:ascii="Times New Roman" w:hAnsi="Times New Roman" w:cs="Times New Roman"/>
                <w:sz w:val="24"/>
                <w:szCs w:val="24"/>
              </w:rPr>
              <w:t xml:space="preserve"> van het Verdrag van San Jose niet heeft kunnen plaatsvinden in 2024 en nu gepland staat in 2025.</w:t>
            </w:r>
          </w:p>
          <w:p w:rsidRPr="00A52AE0" w:rsidR="00A52AE0" w:rsidP="00212613" w:rsidRDefault="00A52AE0" w14:paraId="5EAEE963" w14:textId="77777777">
            <w:pPr>
              <w:pStyle w:val="Lijstalinea"/>
              <w:numPr>
                <w:ilvl w:val="0"/>
                <w:numId w:val="1"/>
              </w:numPr>
              <w:autoSpaceDE w:val="0"/>
              <w:autoSpaceDN w:val="0"/>
              <w:adjustRightInd w:val="0"/>
              <w:spacing w:after="0" w:line="240" w:lineRule="auto"/>
              <w:rPr>
                <w:rFonts w:ascii="Times New Roman" w:hAnsi="Times New Roman" w:cs="Times New Roman"/>
                <w:sz w:val="24"/>
                <w:szCs w:val="24"/>
              </w:rPr>
            </w:pPr>
            <w:r w:rsidRPr="00A52AE0">
              <w:rPr>
                <w:rFonts w:ascii="Times New Roman" w:hAnsi="Times New Roman" w:cs="Times New Roman"/>
                <w:sz w:val="24"/>
                <w:szCs w:val="24"/>
              </w:rPr>
              <w:t xml:space="preserve">EUR 200.000 op </w:t>
            </w:r>
            <w:proofErr w:type="spellStart"/>
            <w:r w:rsidRPr="00A52AE0">
              <w:rPr>
                <w:rFonts w:ascii="Times New Roman" w:hAnsi="Times New Roman" w:cs="Times New Roman"/>
                <w:sz w:val="24"/>
                <w:szCs w:val="24"/>
              </w:rPr>
              <w:t>subartikel</w:t>
            </w:r>
            <w:proofErr w:type="spellEnd"/>
            <w:r w:rsidRPr="00A52AE0">
              <w:rPr>
                <w:rFonts w:ascii="Times New Roman" w:hAnsi="Times New Roman" w:cs="Times New Roman"/>
                <w:sz w:val="24"/>
                <w:szCs w:val="24"/>
              </w:rPr>
              <w:t xml:space="preserve"> 2.3 waar onder andere de reiskosten van de Global </w:t>
            </w:r>
            <w:proofErr w:type="spellStart"/>
            <w:r w:rsidRPr="00A52AE0">
              <w:rPr>
                <w:rFonts w:ascii="Times New Roman" w:hAnsi="Times New Roman" w:cs="Times New Roman"/>
                <w:sz w:val="24"/>
                <w:szCs w:val="24"/>
              </w:rPr>
              <w:t>Commission</w:t>
            </w:r>
            <w:proofErr w:type="spellEnd"/>
            <w:r w:rsidRPr="00A52AE0">
              <w:rPr>
                <w:rFonts w:ascii="Times New Roman" w:hAnsi="Times New Roman" w:cs="Times New Roman"/>
                <w:sz w:val="24"/>
                <w:szCs w:val="24"/>
              </w:rPr>
              <w:t xml:space="preserve"> pas in 2025 landen in plaats van 2024.</w:t>
            </w:r>
          </w:p>
          <w:p w:rsidRPr="00A52AE0" w:rsidR="00A52AE0" w:rsidP="00212613" w:rsidRDefault="00A52AE0" w14:paraId="773C5E51" w14:textId="77777777"/>
        </w:tc>
      </w:tr>
      <w:tr w:rsidRPr="00A52AE0" w:rsidR="00A52AE0" w:rsidTr="00212613" w14:paraId="18822A7D" w14:textId="77777777">
        <w:tc>
          <w:tcPr>
            <w:tcW w:w="567" w:type="dxa"/>
          </w:tcPr>
          <w:p w:rsidRPr="00A52AE0" w:rsidR="00A52AE0" w:rsidP="00212613" w:rsidRDefault="00A52AE0" w14:paraId="7F6FC0CD" w14:textId="77777777">
            <w:r w:rsidRPr="00A52AE0">
              <w:t>2</w:t>
            </w:r>
          </w:p>
        </w:tc>
        <w:tc>
          <w:tcPr>
            <w:tcW w:w="6521" w:type="dxa"/>
          </w:tcPr>
          <w:p w:rsidRPr="00A52AE0" w:rsidR="00A52AE0" w:rsidP="00212613" w:rsidRDefault="00A52AE0" w14:paraId="7D447D3E" w14:textId="77777777">
            <w:r w:rsidRPr="00A52AE0">
              <w:t>Kunt u toelichten uit welke posten de kasschuif van € 53,7 miljoen aan Oekraïnesteun bestaat?</w:t>
            </w:r>
          </w:p>
          <w:p w:rsidRPr="00A52AE0" w:rsidR="00A52AE0" w:rsidP="00212613" w:rsidRDefault="00A52AE0" w14:paraId="4785AEA1" w14:textId="77777777"/>
          <w:p w:rsidRPr="00A52AE0" w:rsidR="00A52AE0" w:rsidP="00212613" w:rsidRDefault="00A52AE0" w14:paraId="6E89411C" w14:textId="77777777">
            <w:r w:rsidRPr="00A52AE0">
              <w:t>Antwoord:</w:t>
            </w:r>
          </w:p>
          <w:p w:rsidRPr="00A52AE0" w:rsidR="00A52AE0" w:rsidP="00212613" w:rsidRDefault="00A52AE0" w14:paraId="2293BB38" w14:textId="77777777">
            <w:r w:rsidRPr="00A52AE0">
              <w:t xml:space="preserve">De mutatie van EUR 803,7 miljoen zoals genoemd op pagina 5 bestaat grotendeels uit een kasschuif van Oekraïne-budget van EUR 750 miljoen op de begroting van het ministerie van Defensie. Het overige deel van EUR 53,7 miljoen betreft een HGIS-mutatie die is verspreid over meerdere begrotingen. Zo is voor BZ in 2024 een kasschuif van EUR 33 miljoen voor de verbouwing van het toekomstige agressietribunaal voor Oekraïne verwerkt, zoals toegelicht in de </w:t>
            </w:r>
            <w:hyperlink r:id="rId5">
              <w:r w:rsidRPr="00A52AE0">
                <w:rPr>
                  <w:rStyle w:val="Hyperlink"/>
                </w:rPr>
                <w:t>suppletoire begroting september 2024</w:t>
              </w:r>
            </w:hyperlink>
            <w:r w:rsidRPr="00A52AE0">
              <w:t>. Verder heeft een herschikking plaatsgevonden van EUR 15 miljoen tussen de begroting van Defensie en Defensie Materieel Fonds (DMF). Het restant bestaat uit meerdere kleine mutaties op verschillende begrotingen.</w:t>
            </w:r>
          </w:p>
        </w:tc>
      </w:tr>
      <w:tr w:rsidRPr="00A52AE0" w:rsidR="00A52AE0" w:rsidTr="00212613" w14:paraId="07217BED" w14:textId="77777777">
        <w:tc>
          <w:tcPr>
            <w:tcW w:w="567" w:type="dxa"/>
          </w:tcPr>
          <w:p w:rsidRPr="00A52AE0" w:rsidR="00A52AE0" w:rsidP="00212613" w:rsidRDefault="00A52AE0" w14:paraId="54A4BA67" w14:textId="77777777">
            <w:r w:rsidRPr="00A52AE0">
              <w:t>3</w:t>
            </w:r>
          </w:p>
        </w:tc>
        <w:tc>
          <w:tcPr>
            <w:tcW w:w="6521" w:type="dxa"/>
          </w:tcPr>
          <w:p w:rsidRPr="00A52AE0" w:rsidR="00A52AE0" w:rsidP="00212613" w:rsidRDefault="00A52AE0" w14:paraId="4E8FD5B6" w14:textId="77777777">
            <w:r w:rsidRPr="00A52AE0">
              <w:t>Hoeveel procent van de doorgeschoven € 53,7 miljoen aan Oekraïnesteun die niet nader wordt toegelicht is juridisch verplicht?</w:t>
            </w:r>
          </w:p>
          <w:p w:rsidRPr="00A52AE0" w:rsidR="00A52AE0" w:rsidP="00212613" w:rsidRDefault="00A52AE0" w14:paraId="7F068E37" w14:textId="77777777"/>
          <w:p w:rsidRPr="00A52AE0" w:rsidR="00A52AE0" w:rsidP="00212613" w:rsidRDefault="00A52AE0" w14:paraId="398AD1C9" w14:textId="77777777">
            <w:r w:rsidRPr="00A52AE0">
              <w:t>Antwoord:</w:t>
            </w:r>
          </w:p>
          <w:p w:rsidRPr="00A52AE0" w:rsidR="00A52AE0" w:rsidP="00212613" w:rsidRDefault="00A52AE0" w14:paraId="1D9EE4F6" w14:textId="77777777">
            <w:r w:rsidRPr="00A52AE0">
              <w:t xml:space="preserve">Van de EUR 53,7 miljoen is circa 40% juridisch verplicht. De doorgeschoven middelen op de BZ-begroting voor de verbouwing van het toekomstige agressietribunaal zijn bestuurlijk gebonden. </w:t>
            </w:r>
          </w:p>
          <w:p w:rsidRPr="00A52AE0" w:rsidR="00A52AE0" w:rsidP="00212613" w:rsidRDefault="00A52AE0" w14:paraId="73C27C25" w14:textId="77777777"/>
        </w:tc>
      </w:tr>
      <w:tr w:rsidRPr="00A52AE0" w:rsidR="00A52AE0" w:rsidTr="00212613" w14:paraId="0B6A5B8D" w14:textId="77777777">
        <w:tc>
          <w:tcPr>
            <w:tcW w:w="567" w:type="dxa"/>
          </w:tcPr>
          <w:p w:rsidRPr="00A52AE0" w:rsidR="00A52AE0" w:rsidP="00212613" w:rsidRDefault="00A52AE0" w14:paraId="2A9BD68A" w14:textId="77777777">
            <w:r w:rsidRPr="00A52AE0">
              <w:t>4</w:t>
            </w:r>
          </w:p>
        </w:tc>
        <w:tc>
          <w:tcPr>
            <w:tcW w:w="6521" w:type="dxa"/>
          </w:tcPr>
          <w:p w:rsidRPr="00A52AE0" w:rsidR="00A52AE0" w:rsidP="00212613" w:rsidRDefault="00A52AE0" w14:paraId="378242C0" w14:textId="77777777">
            <w:r w:rsidRPr="00A52AE0">
              <w:t>Waarom is de bijdrage aan "accountability Oekraïne" met 3,3 miljoen euro verlaagd?</w:t>
            </w:r>
          </w:p>
          <w:p w:rsidRPr="00A52AE0" w:rsidR="00A52AE0" w:rsidP="00212613" w:rsidRDefault="00A52AE0" w14:paraId="1B4798B1" w14:textId="77777777"/>
          <w:p w:rsidRPr="00A52AE0" w:rsidR="00A52AE0" w:rsidP="00212613" w:rsidRDefault="00A52AE0" w14:paraId="24B98915" w14:textId="77777777">
            <w:r w:rsidRPr="00A52AE0">
              <w:t>Antwoord:</w:t>
            </w:r>
          </w:p>
          <w:p w:rsidRPr="00A52AE0" w:rsidR="00A52AE0" w:rsidP="00212613" w:rsidRDefault="00A52AE0" w14:paraId="7CCCA8BE" w14:textId="77777777">
            <w:r w:rsidRPr="00A52AE0">
              <w:t xml:space="preserve">De </w:t>
            </w:r>
            <w:proofErr w:type="spellStart"/>
            <w:r w:rsidRPr="00A52AE0">
              <w:t>onderuitputting</w:t>
            </w:r>
            <w:proofErr w:type="spellEnd"/>
            <w:r w:rsidRPr="00A52AE0">
              <w:t xml:space="preserve"> wordt vooral veroorzaakt door tegenvallers die van invloed zijn op het tempo van het realiseren van lopende </w:t>
            </w:r>
            <w:r w:rsidRPr="00A52AE0">
              <w:lastRenderedPageBreak/>
              <w:t xml:space="preserve">projecten. Voor organisaties die opereren in Oekraïne is het in de praktijk moeilijk en tijdrovend gebleken om onder andere staf te werven voor functies in </w:t>
            </w:r>
            <w:proofErr w:type="spellStart"/>
            <w:r w:rsidRPr="00A52AE0">
              <w:t>Kyiv</w:t>
            </w:r>
            <w:proofErr w:type="spellEnd"/>
            <w:r w:rsidRPr="00A52AE0">
              <w:t xml:space="preserve">. </w:t>
            </w:r>
          </w:p>
          <w:p w:rsidRPr="00A52AE0" w:rsidR="00A52AE0" w:rsidP="00212613" w:rsidRDefault="00A52AE0" w14:paraId="5272711E" w14:textId="77777777"/>
        </w:tc>
      </w:tr>
      <w:tr w:rsidRPr="00A52AE0" w:rsidR="00A52AE0" w:rsidTr="00212613" w14:paraId="623BFB5E" w14:textId="77777777">
        <w:tc>
          <w:tcPr>
            <w:tcW w:w="567" w:type="dxa"/>
          </w:tcPr>
          <w:p w:rsidRPr="00A52AE0" w:rsidR="00A52AE0" w:rsidP="00212613" w:rsidRDefault="00A52AE0" w14:paraId="0A46E6ED" w14:textId="77777777">
            <w:r w:rsidRPr="00A52AE0">
              <w:lastRenderedPageBreak/>
              <w:t>5</w:t>
            </w:r>
          </w:p>
        </w:tc>
        <w:tc>
          <w:tcPr>
            <w:tcW w:w="6521" w:type="dxa"/>
          </w:tcPr>
          <w:p w:rsidRPr="00A52AE0" w:rsidR="00A52AE0" w:rsidP="00212613" w:rsidRDefault="00A52AE0" w14:paraId="5D15B623" w14:textId="77777777">
            <w:r w:rsidRPr="00A52AE0">
              <w:t>Kunt u toelichten waar de mutatie van € 500.000 bij de post internationaal recht concreet aan besteed zal worden (tabel 7)?</w:t>
            </w:r>
          </w:p>
          <w:p w:rsidRPr="00A52AE0" w:rsidR="00A52AE0" w:rsidP="00212613" w:rsidRDefault="00A52AE0" w14:paraId="24F944B8" w14:textId="77777777"/>
          <w:p w:rsidRPr="00A52AE0" w:rsidR="00A52AE0" w:rsidP="00212613" w:rsidRDefault="00A52AE0" w14:paraId="09CDFED2" w14:textId="77777777">
            <w:r w:rsidRPr="00A52AE0">
              <w:t>Antwoord:</w:t>
            </w:r>
          </w:p>
          <w:p w:rsidRPr="00A52AE0" w:rsidR="00A52AE0" w:rsidP="00212613" w:rsidRDefault="00A52AE0" w14:paraId="3EB565B4" w14:textId="77777777">
            <w:bookmarkStart w:name="_Hlk184385165" w:id="0"/>
            <w:r w:rsidRPr="00A52AE0">
              <w:t xml:space="preserve">De EUR 500.000 zal worden besteed aan het ondersteunen van het gastlandschap van het schaderegister voor Oekraïne en het ondersteunen van oprichting van een toekomstige </w:t>
            </w:r>
            <w:proofErr w:type="spellStart"/>
            <w:r w:rsidRPr="00A52AE0">
              <w:t>claimscommissie</w:t>
            </w:r>
            <w:proofErr w:type="spellEnd"/>
            <w:r w:rsidRPr="00A52AE0">
              <w:t xml:space="preserve"> voor Oekraïne.  </w:t>
            </w:r>
            <w:bookmarkEnd w:id="0"/>
          </w:p>
          <w:p w:rsidRPr="00A52AE0" w:rsidR="00A52AE0" w:rsidP="00212613" w:rsidRDefault="00A52AE0" w14:paraId="500B72B2" w14:textId="77777777"/>
        </w:tc>
      </w:tr>
      <w:tr w:rsidRPr="00A52AE0" w:rsidR="00A52AE0" w:rsidTr="00212613" w14:paraId="5573A8D6" w14:textId="77777777">
        <w:tc>
          <w:tcPr>
            <w:tcW w:w="567" w:type="dxa"/>
          </w:tcPr>
          <w:p w:rsidRPr="00A52AE0" w:rsidR="00A52AE0" w:rsidP="00212613" w:rsidRDefault="00A52AE0" w14:paraId="322723C9" w14:textId="77777777">
            <w:r w:rsidRPr="00A52AE0">
              <w:t>6</w:t>
            </w:r>
          </w:p>
        </w:tc>
        <w:tc>
          <w:tcPr>
            <w:tcW w:w="6521" w:type="dxa"/>
          </w:tcPr>
          <w:p w:rsidRPr="00A52AE0" w:rsidR="00A52AE0" w:rsidP="00212613" w:rsidRDefault="00A52AE0" w14:paraId="2294994F" w14:textId="77777777">
            <w:r w:rsidRPr="00A52AE0">
              <w:t>Kunt u toelichten waarom de subsidie voor het mensenrechtenfonds met € 896.000 toe is genomen (tabel 7)?</w:t>
            </w:r>
          </w:p>
          <w:p w:rsidRPr="00A52AE0" w:rsidR="00A52AE0" w:rsidP="00212613" w:rsidRDefault="00A52AE0" w14:paraId="39CA2386" w14:textId="77777777"/>
          <w:p w:rsidRPr="00A52AE0" w:rsidR="00A52AE0" w:rsidP="00212613" w:rsidRDefault="00A52AE0" w14:paraId="1AC18B85" w14:textId="77777777">
            <w:r w:rsidRPr="00A52AE0">
              <w:t>Antwoord:</w:t>
            </w:r>
          </w:p>
          <w:p w:rsidRPr="00A52AE0" w:rsidR="00A52AE0" w:rsidP="00212613" w:rsidRDefault="00A52AE0" w14:paraId="0E123DDE" w14:textId="77777777">
            <w:r w:rsidRPr="00A52AE0">
              <w:t>Bij de Najaarsnota is er een herverdeling geweest van de budgetten van de ambassades voor het mensenrechtenfonds. Doordat er meer budget is toegekend aan ambassades in landen die onder de subsidiewetgeving vallen is het totale subsidiebudget toegenomen.</w:t>
            </w:r>
          </w:p>
          <w:p w:rsidRPr="00A52AE0" w:rsidR="00A52AE0" w:rsidP="00212613" w:rsidRDefault="00A52AE0" w14:paraId="6CDC2B3D" w14:textId="77777777"/>
        </w:tc>
      </w:tr>
      <w:tr w:rsidRPr="00A52AE0" w:rsidR="00A52AE0" w:rsidTr="00212613" w14:paraId="5BECD89D" w14:textId="77777777">
        <w:tc>
          <w:tcPr>
            <w:tcW w:w="567" w:type="dxa"/>
          </w:tcPr>
          <w:p w:rsidRPr="00A52AE0" w:rsidR="00A52AE0" w:rsidP="00212613" w:rsidRDefault="00A52AE0" w14:paraId="51210650" w14:textId="77777777">
            <w:r w:rsidRPr="00A52AE0">
              <w:t>7</w:t>
            </w:r>
          </w:p>
        </w:tc>
        <w:tc>
          <w:tcPr>
            <w:tcW w:w="6521" w:type="dxa"/>
          </w:tcPr>
          <w:p w:rsidRPr="00A52AE0" w:rsidR="00A52AE0" w:rsidP="00212613" w:rsidRDefault="00A52AE0" w14:paraId="7AFC0C77" w14:textId="77777777">
            <w:r w:rsidRPr="00A52AE0">
              <w:t>Kunt u toelichten waarom de bijdrage aan (</w:t>
            </w:r>
            <w:proofErr w:type="spellStart"/>
            <w:r w:rsidRPr="00A52AE0">
              <w:t>inter</w:t>
            </w:r>
            <w:proofErr w:type="spellEnd"/>
            <w:r w:rsidRPr="00A52AE0">
              <w:t>-)nationale organisaties voor het mensenrechtenfonds is afgenomen met € 846.000 (tabel 7)?</w:t>
            </w:r>
          </w:p>
          <w:p w:rsidRPr="00A52AE0" w:rsidR="00A52AE0" w:rsidP="00212613" w:rsidRDefault="00A52AE0" w14:paraId="32773687" w14:textId="77777777"/>
          <w:p w:rsidRPr="00A52AE0" w:rsidR="00A52AE0" w:rsidP="00212613" w:rsidRDefault="00A52AE0" w14:paraId="2273B847" w14:textId="77777777">
            <w:r w:rsidRPr="00A52AE0">
              <w:t>Antwoord:</w:t>
            </w:r>
          </w:p>
          <w:p w:rsidRPr="00A52AE0" w:rsidR="00A52AE0" w:rsidP="00212613" w:rsidRDefault="00A52AE0" w14:paraId="4C715076" w14:textId="77777777">
            <w:r w:rsidRPr="00A52AE0">
              <w:t>Bij de Najaarsnota is er een herverdeling geweest van de budgetten van de ambassades voor het mensenrechtenfonds. Doordat er meer budget is toegekend aan ambassades in landen die niet onder de subsidiewetgeving vallen is de totale bijdrage aan (</w:t>
            </w:r>
            <w:proofErr w:type="spellStart"/>
            <w:r w:rsidRPr="00A52AE0">
              <w:t>inter</w:t>
            </w:r>
            <w:proofErr w:type="spellEnd"/>
            <w:r w:rsidRPr="00A52AE0">
              <w:t>-)nationale organisaties afgenomen.</w:t>
            </w:r>
          </w:p>
          <w:p w:rsidRPr="00A52AE0" w:rsidR="00A52AE0" w:rsidP="00212613" w:rsidRDefault="00A52AE0" w14:paraId="3228A273" w14:textId="77777777"/>
        </w:tc>
      </w:tr>
      <w:tr w:rsidRPr="00A52AE0" w:rsidR="00A52AE0" w:rsidTr="00212613" w14:paraId="73DA5F41" w14:textId="77777777">
        <w:tc>
          <w:tcPr>
            <w:tcW w:w="567" w:type="dxa"/>
          </w:tcPr>
          <w:p w:rsidRPr="00A52AE0" w:rsidR="00A52AE0" w:rsidP="00212613" w:rsidRDefault="00A52AE0" w14:paraId="283ED9C6" w14:textId="77777777">
            <w:r w:rsidRPr="00A52AE0">
              <w:t>8</w:t>
            </w:r>
          </w:p>
        </w:tc>
        <w:tc>
          <w:tcPr>
            <w:tcW w:w="6521" w:type="dxa"/>
          </w:tcPr>
          <w:p w:rsidRPr="00A52AE0" w:rsidR="00A52AE0" w:rsidP="00212613" w:rsidRDefault="00A52AE0" w14:paraId="0E355980" w14:textId="77777777">
            <w:r w:rsidRPr="00A52AE0">
              <w:t>Waardoor valt de jaarlijkse bijdrage aan de Organisatie voor Economische Samenwerking en Ontwikkeling (OESO) in 2024 hoger uit dan verwacht (tabel 7)?</w:t>
            </w:r>
          </w:p>
          <w:p w:rsidRPr="00A52AE0" w:rsidR="00A52AE0" w:rsidP="00212613" w:rsidRDefault="00A52AE0" w14:paraId="2FB72B70" w14:textId="77777777"/>
          <w:p w:rsidRPr="00A52AE0" w:rsidR="00A52AE0" w:rsidP="00212613" w:rsidRDefault="00A52AE0" w14:paraId="210A3A69" w14:textId="77777777">
            <w:r w:rsidRPr="00A52AE0">
              <w:t xml:space="preserve">Antwoord: De jaarlijkse bijdrage aan de OESO zal hoger uitvallen omdat de bijdrage deels is gebaseerd op de ontwikkeling van het BNI van de lidstaat. Ten opzichte van eerdere jaren is de bijdrage ook hoger om te compenseren voor inflatie. Daarnaast is het budget voor de OESO opgehoogd met het oog op een mogelijke vooruitbetaling van de jaarlijkse bijdrage. </w:t>
            </w:r>
          </w:p>
          <w:p w:rsidRPr="00A52AE0" w:rsidR="00A52AE0" w:rsidP="00212613" w:rsidRDefault="00A52AE0" w14:paraId="206F9601" w14:textId="77777777"/>
        </w:tc>
      </w:tr>
      <w:tr w:rsidRPr="00A52AE0" w:rsidR="00A52AE0" w:rsidTr="00212613" w14:paraId="5431473A" w14:textId="77777777">
        <w:tc>
          <w:tcPr>
            <w:tcW w:w="567" w:type="dxa"/>
          </w:tcPr>
          <w:p w:rsidRPr="00A52AE0" w:rsidR="00A52AE0" w:rsidP="00212613" w:rsidRDefault="00A52AE0" w14:paraId="1B8537FA" w14:textId="77777777">
            <w:r w:rsidRPr="00A52AE0">
              <w:t>9</w:t>
            </w:r>
          </w:p>
        </w:tc>
        <w:tc>
          <w:tcPr>
            <w:tcW w:w="6521" w:type="dxa"/>
          </w:tcPr>
          <w:p w:rsidRPr="00A52AE0" w:rsidR="00A52AE0" w:rsidP="00212613" w:rsidRDefault="00A52AE0" w14:paraId="60C132EE" w14:textId="77777777">
            <w:r w:rsidRPr="00A52AE0">
              <w:t>Kunt u toelichten waardoor de post Programma Ondersteuning Buitenlands Beleid is gestegen met € 500.000 euro (tabel 8)?</w:t>
            </w:r>
          </w:p>
          <w:p w:rsidRPr="00A52AE0" w:rsidR="00A52AE0" w:rsidP="00212613" w:rsidRDefault="00A52AE0" w14:paraId="6ECBCEBE" w14:textId="77777777"/>
          <w:p w:rsidRPr="00A52AE0" w:rsidR="00A52AE0" w:rsidP="00212613" w:rsidRDefault="00A52AE0" w14:paraId="1BC739A6" w14:textId="77777777">
            <w:r w:rsidRPr="00A52AE0">
              <w:t>Antwoord:</w:t>
            </w:r>
          </w:p>
          <w:p w:rsidRPr="00A52AE0" w:rsidR="00A52AE0" w:rsidP="00212613" w:rsidRDefault="00A52AE0" w14:paraId="44FB5B10" w14:textId="77777777">
            <w:r w:rsidRPr="00A52AE0">
              <w:t xml:space="preserve">Uit POBB is een bijdrage gefinancierd van EUR 1 miljoen ten behoeve van de </w:t>
            </w:r>
            <w:r w:rsidRPr="00A52AE0">
              <w:rPr>
                <w:i/>
              </w:rPr>
              <w:t>UN (</w:t>
            </w:r>
            <w:r w:rsidRPr="00A52AE0">
              <w:rPr>
                <w:i/>
                <w:iCs/>
              </w:rPr>
              <w:t xml:space="preserve">The Office of </w:t>
            </w:r>
            <w:proofErr w:type="spellStart"/>
            <w:r w:rsidRPr="00A52AE0">
              <w:rPr>
                <w:i/>
                <w:iCs/>
              </w:rPr>
              <w:t>the</w:t>
            </w:r>
            <w:proofErr w:type="spellEnd"/>
            <w:r w:rsidRPr="00A52AE0">
              <w:rPr>
                <w:i/>
                <w:iCs/>
              </w:rPr>
              <w:t xml:space="preserve"> UN </w:t>
            </w:r>
            <w:proofErr w:type="spellStart"/>
            <w:r w:rsidRPr="00A52AE0">
              <w:rPr>
                <w:i/>
                <w:iCs/>
              </w:rPr>
              <w:t>Secretary-General's</w:t>
            </w:r>
            <w:proofErr w:type="spellEnd"/>
            <w:r w:rsidRPr="00A52AE0">
              <w:rPr>
                <w:i/>
                <w:iCs/>
              </w:rPr>
              <w:t xml:space="preserve"> </w:t>
            </w:r>
            <w:proofErr w:type="spellStart"/>
            <w:r w:rsidRPr="00A52AE0">
              <w:rPr>
                <w:i/>
                <w:iCs/>
              </w:rPr>
              <w:lastRenderedPageBreak/>
              <w:t>Envoy</w:t>
            </w:r>
            <w:proofErr w:type="spellEnd"/>
            <w:r w:rsidRPr="00A52AE0">
              <w:rPr>
                <w:i/>
                <w:iCs/>
              </w:rPr>
              <w:t xml:space="preserve"> on Technology</w:t>
            </w:r>
            <w:r w:rsidRPr="00A52AE0">
              <w:rPr>
                <w:i/>
              </w:rPr>
              <w:t xml:space="preserve">) support </w:t>
            </w:r>
            <w:r w:rsidRPr="00A52AE0">
              <w:rPr>
                <w:i/>
                <w:iCs/>
              </w:rPr>
              <w:t xml:space="preserve">High Level </w:t>
            </w:r>
            <w:proofErr w:type="spellStart"/>
            <w:r w:rsidRPr="00A52AE0">
              <w:rPr>
                <w:i/>
                <w:iCs/>
              </w:rPr>
              <w:t>Advisory</w:t>
            </w:r>
            <w:proofErr w:type="spellEnd"/>
            <w:r w:rsidRPr="00A52AE0">
              <w:rPr>
                <w:i/>
              </w:rPr>
              <w:t xml:space="preserve"> </w:t>
            </w:r>
            <w:r w:rsidRPr="00A52AE0">
              <w:rPr>
                <w:i/>
                <w:iCs/>
              </w:rPr>
              <w:t>body on AI</w:t>
            </w:r>
            <w:r w:rsidRPr="00A52AE0">
              <w:t xml:space="preserve"> ten behoeve van het ontwikkelen van kaders voor internationale afspraken over kunstmatige intelligentie. De helft van dit bedrag, EUR 500.000, is gefinancierd door het Ministerie van BZK die hiervoor bij de Najaarsnota een Interdepartementale overheveling van EUR 500.000 heeft gedaan.</w:t>
            </w:r>
          </w:p>
          <w:p w:rsidRPr="00A52AE0" w:rsidR="00A52AE0" w:rsidP="00212613" w:rsidRDefault="00A52AE0" w14:paraId="79E152C5" w14:textId="77777777"/>
        </w:tc>
      </w:tr>
      <w:tr w:rsidRPr="00A52AE0" w:rsidR="00A52AE0" w:rsidTr="00212613" w14:paraId="68988E8E" w14:textId="77777777">
        <w:tc>
          <w:tcPr>
            <w:tcW w:w="567" w:type="dxa"/>
          </w:tcPr>
          <w:p w:rsidRPr="00A52AE0" w:rsidR="00A52AE0" w:rsidP="00212613" w:rsidRDefault="00A52AE0" w14:paraId="0186590F" w14:textId="77777777">
            <w:r w:rsidRPr="00A52AE0">
              <w:lastRenderedPageBreak/>
              <w:t>10</w:t>
            </w:r>
          </w:p>
        </w:tc>
        <w:tc>
          <w:tcPr>
            <w:tcW w:w="6521" w:type="dxa"/>
          </w:tcPr>
          <w:p w:rsidRPr="00A52AE0" w:rsidR="00A52AE0" w:rsidP="00212613" w:rsidRDefault="00A52AE0" w14:paraId="1A1357E3" w14:textId="77777777">
            <w:r w:rsidRPr="00A52AE0">
              <w:t>Kunt u toelichten waardoor de subsidie voor contra-terrorisme met € 1 miljoen gedaald is (tabel 8)?</w:t>
            </w:r>
          </w:p>
          <w:p w:rsidRPr="00A52AE0" w:rsidR="00A52AE0" w:rsidP="00212613" w:rsidRDefault="00A52AE0" w14:paraId="731F6539" w14:textId="77777777"/>
          <w:p w:rsidRPr="00A52AE0" w:rsidR="00A52AE0" w:rsidP="00212613" w:rsidRDefault="00A52AE0" w14:paraId="167B252C" w14:textId="77777777">
            <w:r w:rsidRPr="00A52AE0">
              <w:t>Antwoord:</w:t>
            </w:r>
          </w:p>
          <w:p w:rsidRPr="00A52AE0" w:rsidR="00A52AE0" w:rsidP="00212613" w:rsidRDefault="00A52AE0" w14:paraId="0D4DC29C" w14:textId="77777777">
            <w:r w:rsidRPr="00A52AE0">
              <w:t>Het totale budget voor contra-terrorisme is niet gewijzigd. Het betreft enkel een verschuiving tussen twee typen instrumenten: een verschuiving van middelen van het instrument ‘subsidie’ naar het instrument ‘</w:t>
            </w:r>
            <w:proofErr w:type="spellStart"/>
            <w:r w:rsidRPr="00A52AE0">
              <w:t>bĳdrage</w:t>
            </w:r>
            <w:proofErr w:type="spellEnd"/>
            <w:r w:rsidRPr="00A52AE0">
              <w:t xml:space="preserve"> aan (</w:t>
            </w:r>
            <w:proofErr w:type="spellStart"/>
            <w:r w:rsidRPr="00A52AE0">
              <w:t>inter</w:t>
            </w:r>
            <w:proofErr w:type="spellEnd"/>
            <w:r w:rsidRPr="00A52AE0">
              <w:t>-)nationale organisaties’. Beide typen instrumenten dienen dezelfde beleidsdoelen.</w:t>
            </w:r>
          </w:p>
          <w:p w:rsidRPr="00A52AE0" w:rsidR="00A52AE0" w:rsidP="00212613" w:rsidRDefault="00A52AE0" w14:paraId="7B2F81EE" w14:textId="77777777"/>
        </w:tc>
      </w:tr>
      <w:tr w:rsidRPr="00A52AE0" w:rsidR="00A52AE0" w:rsidTr="00212613" w14:paraId="0407C070" w14:textId="77777777">
        <w:tc>
          <w:tcPr>
            <w:tcW w:w="567" w:type="dxa"/>
          </w:tcPr>
          <w:p w:rsidRPr="00A52AE0" w:rsidR="00A52AE0" w:rsidP="00212613" w:rsidRDefault="00A52AE0" w14:paraId="3FA1CA9B" w14:textId="77777777">
            <w:r w:rsidRPr="00A52AE0">
              <w:t>11</w:t>
            </w:r>
          </w:p>
        </w:tc>
        <w:tc>
          <w:tcPr>
            <w:tcW w:w="6521" w:type="dxa"/>
          </w:tcPr>
          <w:p w:rsidRPr="00A52AE0" w:rsidR="00A52AE0" w:rsidP="00212613" w:rsidRDefault="00A52AE0" w14:paraId="3CE6812A" w14:textId="77777777">
            <w:r w:rsidRPr="00A52AE0">
              <w:t>Kunt u toelichten waardoor de bijdrage aan (</w:t>
            </w:r>
            <w:proofErr w:type="spellStart"/>
            <w:r w:rsidRPr="00A52AE0">
              <w:t>inter</w:t>
            </w:r>
            <w:proofErr w:type="spellEnd"/>
            <w:r w:rsidRPr="00A52AE0">
              <w:t>-)nationale organisaties voor contra-terrorisme met € 1 miljoen gestegen is (tabel 8)?</w:t>
            </w:r>
          </w:p>
          <w:p w:rsidRPr="00A52AE0" w:rsidR="00A52AE0" w:rsidP="00212613" w:rsidRDefault="00A52AE0" w14:paraId="71F5EE77" w14:textId="77777777"/>
          <w:p w:rsidRPr="00A52AE0" w:rsidR="00A52AE0" w:rsidP="00212613" w:rsidRDefault="00A52AE0" w14:paraId="02CA2CA4" w14:textId="77777777">
            <w:r w:rsidRPr="00A52AE0">
              <w:t>Antwoord:</w:t>
            </w:r>
          </w:p>
          <w:p w:rsidRPr="00A52AE0" w:rsidR="00A52AE0" w:rsidP="00212613" w:rsidRDefault="00A52AE0" w14:paraId="211F4827" w14:textId="77777777">
            <w:r w:rsidRPr="00A52AE0">
              <w:t>Zie antwoord vraag 10.</w:t>
            </w:r>
          </w:p>
          <w:p w:rsidRPr="00A52AE0" w:rsidR="00A52AE0" w:rsidP="00212613" w:rsidRDefault="00A52AE0" w14:paraId="481FB8F7" w14:textId="77777777"/>
        </w:tc>
      </w:tr>
      <w:tr w:rsidRPr="00A52AE0" w:rsidR="00A52AE0" w:rsidTr="00212613" w14:paraId="41C7626F" w14:textId="77777777">
        <w:tc>
          <w:tcPr>
            <w:tcW w:w="567" w:type="dxa"/>
          </w:tcPr>
          <w:p w:rsidRPr="00A52AE0" w:rsidR="00A52AE0" w:rsidP="00212613" w:rsidRDefault="00A52AE0" w14:paraId="386E40F6" w14:textId="77777777">
            <w:r w:rsidRPr="00A52AE0">
              <w:t>12</w:t>
            </w:r>
          </w:p>
        </w:tc>
        <w:tc>
          <w:tcPr>
            <w:tcW w:w="6521" w:type="dxa"/>
          </w:tcPr>
          <w:p w:rsidRPr="00A52AE0" w:rsidR="00A52AE0" w:rsidP="00212613" w:rsidRDefault="00A52AE0" w14:paraId="78BEE0A6" w14:textId="77777777">
            <w:r w:rsidRPr="00A52AE0">
              <w:t>Kunt u toelichten waardoor de subsidie cyber security met € 405.000 gedaald is (tabel 8)?</w:t>
            </w:r>
          </w:p>
          <w:p w:rsidRPr="00A52AE0" w:rsidR="00A52AE0" w:rsidP="00212613" w:rsidRDefault="00A52AE0" w14:paraId="4DBD44DA" w14:textId="77777777"/>
          <w:p w:rsidRPr="00A52AE0" w:rsidR="00A52AE0" w:rsidP="00212613" w:rsidRDefault="00A52AE0" w14:paraId="71074578" w14:textId="77777777">
            <w:r w:rsidRPr="00A52AE0">
              <w:t>Antwoord:</w:t>
            </w:r>
          </w:p>
          <w:p w:rsidRPr="00A52AE0" w:rsidR="00A52AE0" w:rsidP="00212613" w:rsidRDefault="00A52AE0" w14:paraId="3F010A79" w14:textId="77777777">
            <w:r w:rsidRPr="00A52AE0">
              <w:t>Het totaalbudget voor Cyber security is niet gewijzigd. De verschuiving betreft enkel een administratieve wijziging van het gebruikte type instrument. Van het instrument subsidie voor Cyber Security is het bedrag van EUR 310.000 overgeheveld naar Cyber Security Subsidie Global Forum on Cyber Expertise. Een bedrag van EUR 95.000 is overgeheveld naar het instrument bijdrage voor Cyber Security.</w:t>
            </w:r>
          </w:p>
          <w:p w:rsidRPr="00A52AE0" w:rsidR="00A52AE0" w:rsidP="00212613" w:rsidRDefault="00A52AE0" w14:paraId="25FBA3CB" w14:textId="77777777"/>
        </w:tc>
      </w:tr>
      <w:tr w:rsidRPr="00A52AE0" w:rsidR="00A52AE0" w:rsidTr="00212613" w14:paraId="4F65D135" w14:textId="77777777">
        <w:tc>
          <w:tcPr>
            <w:tcW w:w="567" w:type="dxa"/>
          </w:tcPr>
          <w:p w:rsidRPr="00A52AE0" w:rsidR="00A52AE0" w:rsidP="00212613" w:rsidRDefault="00A52AE0" w14:paraId="1918254D" w14:textId="77777777">
            <w:r w:rsidRPr="00A52AE0">
              <w:t>13</w:t>
            </w:r>
          </w:p>
        </w:tc>
        <w:tc>
          <w:tcPr>
            <w:tcW w:w="6521" w:type="dxa"/>
          </w:tcPr>
          <w:p w:rsidRPr="00A52AE0" w:rsidR="00A52AE0" w:rsidP="00212613" w:rsidRDefault="00A52AE0" w14:paraId="4E5BC0CE" w14:textId="77777777">
            <w:r w:rsidRPr="00A52AE0">
              <w:t>Kunt u toelichten waardoor de bijdrage aan (</w:t>
            </w:r>
            <w:proofErr w:type="spellStart"/>
            <w:r w:rsidRPr="00A52AE0">
              <w:t>inter</w:t>
            </w:r>
            <w:proofErr w:type="spellEnd"/>
            <w:r w:rsidRPr="00A52AE0">
              <w:t>-)nationale organisaties voor cyber security met € 95.000 gestegen is (tabel 8)?</w:t>
            </w:r>
          </w:p>
          <w:p w:rsidRPr="00A52AE0" w:rsidR="00A52AE0" w:rsidP="00212613" w:rsidRDefault="00A52AE0" w14:paraId="310083C4" w14:textId="77777777"/>
          <w:p w:rsidRPr="00A52AE0" w:rsidR="00A52AE0" w:rsidP="00212613" w:rsidRDefault="00A52AE0" w14:paraId="7BCBC360" w14:textId="77777777">
            <w:r w:rsidRPr="00A52AE0">
              <w:t>Antwoord:</w:t>
            </w:r>
          </w:p>
          <w:p w:rsidRPr="00A52AE0" w:rsidR="00A52AE0" w:rsidP="00212613" w:rsidRDefault="00A52AE0" w14:paraId="53133D86" w14:textId="77777777">
            <w:r w:rsidRPr="00A52AE0">
              <w:t>Het totaalbudget voor Cyber security is niet gewijzigd. Van het instrument subsidie voor Cyber Security is het bedrag van EUR 95.000 overgeheveld naar het instrument bijdrage voor Cyber Security.</w:t>
            </w:r>
          </w:p>
          <w:p w:rsidRPr="00A52AE0" w:rsidR="00A52AE0" w:rsidP="00212613" w:rsidRDefault="00A52AE0" w14:paraId="242C1D11" w14:textId="77777777"/>
          <w:p w:rsidRPr="00A52AE0" w:rsidR="00A52AE0" w:rsidP="00212613" w:rsidRDefault="00A52AE0" w14:paraId="4B63D16B" w14:textId="77777777"/>
        </w:tc>
      </w:tr>
    </w:tbl>
    <w:p w:rsidR="00A52AE0" w:rsidRDefault="00A52AE0" w14:paraId="126A0C79" w14:textId="77777777">
      <w:r>
        <w:br w:type="page"/>
      </w:r>
    </w:p>
    <w:tbl>
      <w:tblPr>
        <w:tblW w:w="7088" w:type="dxa"/>
        <w:tblLayout w:type="fixed"/>
        <w:tblCellMar>
          <w:left w:w="0" w:type="dxa"/>
          <w:right w:w="0" w:type="dxa"/>
        </w:tblCellMar>
        <w:tblLook w:val="0000" w:firstRow="0" w:lastRow="0" w:firstColumn="0" w:lastColumn="0" w:noHBand="0" w:noVBand="0"/>
      </w:tblPr>
      <w:tblGrid>
        <w:gridCol w:w="567"/>
        <w:gridCol w:w="6521"/>
      </w:tblGrid>
      <w:tr w:rsidRPr="00A52AE0" w:rsidR="00A52AE0" w:rsidTr="00212613" w14:paraId="6EA6CA0C" w14:textId="77777777">
        <w:tc>
          <w:tcPr>
            <w:tcW w:w="567" w:type="dxa"/>
          </w:tcPr>
          <w:p w:rsidRPr="00A52AE0" w:rsidR="00A52AE0" w:rsidP="00212613" w:rsidRDefault="00A52AE0" w14:paraId="1017C835" w14:textId="3CFB5EA1">
            <w:r w:rsidRPr="00A52AE0">
              <w:lastRenderedPageBreak/>
              <w:t>14</w:t>
            </w:r>
          </w:p>
        </w:tc>
        <w:tc>
          <w:tcPr>
            <w:tcW w:w="6521" w:type="dxa"/>
          </w:tcPr>
          <w:p w:rsidRPr="00A52AE0" w:rsidR="00A52AE0" w:rsidP="00212613" w:rsidRDefault="00A52AE0" w14:paraId="7B684695" w14:textId="77777777">
            <w:r w:rsidRPr="00A52AE0">
              <w:t>Kunt u toelichten waardoor de bijdrage aan het stabiliteitsfonds € 7,085 miljoen hoger uitvalt (tabel 8)?</w:t>
            </w:r>
          </w:p>
          <w:p w:rsidRPr="00A52AE0" w:rsidR="00A52AE0" w:rsidP="00212613" w:rsidRDefault="00A52AE0" w14:paraId="6A68BE35" w14:textId="77777777"/>
          <w:p w:rsidRPr="00A52AE0" w:rsidR="00A52AE0" w:rsidP="00212613" w:rsidRDefault="00A52AE0" w14:paraId="4F55EFAA" w14:textId="77777777">
            <w:r w:rsidRPr="00A52AE0">
              <w:t xml:space="preserve">Antwoord: </w:t>
            </w:r>
          </w:p>
          <w:p w:rsidRPr="00A52AE0" w:rsidR="00A52AE0" w:rsidP="00212613" w:rsidRDefault="00A52AE0" w14:paraId="2ED822A1" w14:textId="77777777">
            <w:r w:rsidRPr="00A52AE0">
              <w:t>De verhoging van het budget van het stabiliteitsfonds wordt veroorzaakt door:</w:t>
            </w:r>
          </w:p>
          <w:p w:rsidRPr="00A52AE0" w:rsidR="00A52AE0" w:rsidP="00212613" w:rsidRDefault="00A52AE0" w14:paraId="34B5341C" w14:textId="77777777">
            <w:pPr>
              <w:pStyle w:val="Lijstalinea"/>
              <w:numPr>
                <w:ilvl w:val="0"/>
                <w:numId w:val="2"/>
              </w:numPr>
              <w:spacing w:before="60" w:after="60" w:line="240" w:lineRule="auto"/>
              <w:rPr>
                <w:rFonts w:ascii="Times New Roman" w:hAnsi="Times New Roman" w:cs="Times New Roman"/>
                <w:sz w:val="24"/>
                <w:szCs w:val="24"/>
              </w:rPr>
            </w:pPr>
            <w:r w:rsidRPr="00A52AE0">
              <w:rPr>
                <w:rFonts w:ascii="Times New Roman" w:hAnsi="Times New Roman" w:cs="Times New Roman"/>
                <w:sz w:val="24"/>
                <w:szCs w:val="24"/>
              </w:rPr>
              <w:t xml:space="preserve">EUR 5,085 miljoen </w:t>
            </w:r>
            <w:proofErr w:type="spellStart"/>
            <w:r w:rsidRPr="00A52AE0">
              <w:rPr>
                <w:rFonts w:ascii="Times New Roman" w:hAnsi="Times New Roman" w:cs="Times New Roman"/>
                <w:sz w:val="24"/>
                <w:szCs w:val="24"/>
              </w:rPr>
              <w:t>meerontvangst</w:t>
            </w:r>
            <w:proofErr w:type="spellEnd"/>
            <w:r w:rsidRPr="00A52AE0">
              <w:rPr>
                <w:rFonts w:ascii="Times New Roman" w:hAnsi="Times New Roman" w:cs="Times New Roman"/>
                <w:sz w:val="24"/>
                <w:szCs w:val="24"/>
              </w:rPr>
              <w:t xml:space="preserve"> op het ontvangstenartikel 2 door een restitutie vanuit het NAVO Afghanistan National </w:t>
            </w:r>
            <w:proofErr w:type="spellStart"/>
            <w:r w:rsidRPr="00A52AE0">
              <w:rPr>
                <w:rFonts w:ascii="Times New Roman" w:hAnsi="Times New Roman" w:cs="Times New Roman"/>
                <w:sz w:val="24"/>
                <w:szCs w:val="24"/>
              </w:rPr>
              <w:t>Army</w:t>
            </w:r>
            <w:proofErr w:type="spellEnd"/>
            <w:r w:rsidRPr="00A52AE0">
              <w:rPr>
                <w:rFonts w:ascii="Times New Roman" w:hAnsi="Times New Roman" w:cs="Times New Roman"/>
                <w:sz w:val="24"/>
                <w:szCs w:val="24"/>
              </w:rPr>
              <w:t xml:space="preserve"> Trust Fund. Dit betreft middelen die in eerdere jaren ten laste van het stabiliteitsfonds zijn uitgegeven. Gezien de behoefte en aanvragen bij het stabiliteitsfonds kon deze restitutie weer binnen het stabiliteitsfonds worden ingezet. </w:t>
            </w:r>
          </w:p>
          <w:p w:rsidRPr="00A52AE0" w:rsidR="00A52AE0" w:rsidP="00212613" w:rsidRDefault="00A52AE0" w14:paraId="6BDBE9D7" w14:textId="0764BFAE">
            <w:pPr>
              <w:pStyle w:val="Lijstalinea"/>
              <w:numPr>
                <w:ilvl w:val="0"/>
                <w:numId w:val="2"/>
              </w:numPr>
              <w:spacing w:before="60" w:after="60" w:line="240" w:lineRule="auto"/>
              <w:rPr>
                <w:rFonts w:ascii="Times New Roman" w:hAnsi="Times New Roman" w:cs="Times New Roman"/>
                <w:sz w:val="24"/>
                <w:szCs w:val="24"/>
              </w:rPr>
            </w:pPr>
            <w:r w:rsidRPr="00A52AE0">
              <w:rPr>
                <w:rFonts w:ascii="Times New Roman" w:hAnsi="Times New Roman" w:cs="Times New Roman"/>
                <w:sz w:val="24"/>
                <w:szCs w:val="24"/>
              </w:rPr>
              <w:t xml:space="preserve">EUR 2 miljoen begrotingsoverheveling vanuit de BHO begroting voor inzet via het stabiliteitsfonds voor hulp aan Gaza. </w:t>
            </w:r>
          </w:p>
        </w:tc>
      </w:tr>
      <w:tr w:rsidRPr="00A52AE0" w:rsidR="00A52AE0" w:rsidTr="00212613" w14:paraId="1E3EDFDE" w14:textId="77777777">
        <w:tc>
          <w:tcPr>
            <w:tcW w:w="567" w:type="dxa"/>
          </w:tcPr>
          <w:p w:rsidRPr="00A52AE0" w:rsidR="00A52AE0" w:rsidP="00212613" w:rsidRDefault="00A52AE0" w14:paraId="0FA232C3" w14:textId="77777777">
            <w:r w:rsidRPr="00A52AE0">
              <w:t>15</w:t>
            </w:r>
          </w:p>
        </w:tc>
        <w:tc>
          <w:tcPr>
            <w:tcW w:w="6521" w:type="dxa"/>
          </w:tcPr>
          <w:p w:rsidRPr="00A52AE0" w:rsidR="00A52AE0" w:rsidP="00212613" w:rsidRDefault="00A52AE0" w14:paraId="5C8214D1" w14:textId="77777777">
            <w:r w:rsidRPr="00A52AE0">
              <w:t>Kunt u concreet toelichten waardoor de kosten voor het MATRA-fonds hoger uitvallen (tabel 8)?</w:t>
            </w:r>
          </w:p>
          <w:p w:rsidRPr="00A52AE0" w:rsidR="00A52AE0" w:rsidP="00212613" w:rsidRDefault="00A52AE0" w14:paraId="056575B0" w14:textId="77777777"/>
          <w:p w:rsidRPr="00A52AE0" w:rsidR="00A52AE0" w:rsidP="00212613" w:rsidRDefault="00A52AE0" w14:paraId="206099A9" w14:textId="77777777">
            <w:r w:rsidRPr="00A52AE0">
              <w:t>Antwoord:</w:t>
            </w:r>
          </w:p>
          <w:p w:rsidRPr="00A52AE0" w:rsidR="00A52AE0" w:rsidP="00212613" w:rsidRDefault="00A52AE0" w14:paraId="34F3AF21" w14:textId="77777777">
            <w:r w:rsidRPr="00A52AE0">
              <w:t xml:space="preserve">Tijdens de coronapandemie zijn veel </w:t>
            </w:r>
            <w:proofErr w:type="spellStart"/>
            <w:r w:rsidRPr="00A52AE0">
              <w:t>Matra</w:t>
            </w:r>
            <w:proofErr w:type="spellEnd"/>
            <w:r w:rsidRPr="00A52AE0">
              <w:t xml:space="preserve">-projecten met één of twee jaar verlengd. Dit betekent dat veel betalingen een paar jaar zijn doorgeschoven. Deze (slot)betalingen worden in 2024 en 2025 verwerkt en hiervoor is in 2024 extra geld voor </w:t>
            </w:r>
            <w:proofErr w:type="spellStart"/>
            <w:r w:rsidRPr="00A52AE0">
              <w:t>Matra</w:t>
            </w:r>
            <w:proofErr w:type="spellEnd"/>
            <w:r w:rsidRPr="00A52AE0">
              <w:t xml:space="preserve"> beschikbaar gesteld.</w:t>
            </w:r>
          </w:p>
          <w:p w:rsidRPr="00A52AE0" w:rsidR="00A52AE0" w:rsidP="00212613" w:rsidRDefault="00A52AE0" w14:paraId="03924A73" w14:textId="77777777"/>
        </w:tc>
      </w:tr>
      <w:tr w:rsidRPr="00A52AE0" w:rsidR="00A52AE0" w:rsidTr="00212613" w14:paraId="6E1B1EBE" w14:textId="77777777">
        <w:tc>
          <w:tcPr>
            <w:tcW w:w="567" w:type="dxa"/>
          </w:tcPr>
          <w:p w:rsidRPr="00A52AE0" w:rsidR="00A52AE0" w:rsidP="00212613" w:rsidRDefault="00A52AE0" w14:paraId="6D1F0310" w14:textId="77777777">
            <w:r w:rsidRPr="00A52AE0">
              <w:t>16</w:t>
            </w:r>
          </w:p>
        </w:tc>
        <w:tc>
          <w:tcPr>
            <w:tcW w:w="6521" w:type="dxa"/>
          </w:tcPr>
          <w:p w:rsidRPr="00A52AE0" w:rsidR="00A52AE0" w:rsidP="00212613" w:rsidRDefault="00A52AE0" w14:paraId="59C57E96" w14:textId="77777777">
            <w:r w:rsidRPr="00A52AE0">
              <w:t>Kunt u concreet toelichten waardoor de subsidie (-€ 1,389 miljoen) en de bijdrage aan (</w:t>
            </w:r>
            <w:proofErr w:type="spellStart"/>
            <w:r w:rsidRPr="00A52AE0">
              <w:t>inter</w:t>
            </w:r>
            <w:proofErr w:type="spellEnd"/>
            <w:r w:rsidRPr="00A52AE0">
              <w:t xml:space="preserve">-)nationale organisaties voor </w:t>
            </w:r>
            <w:proofErr w:type="spellStart"/>
            <w:r w:rsidRPr="00A52AE0">
              <w:t>Shiraka</w:t>
            </w:r>
            <w:proofErr w:type="spellEnd"/>
            <w:r w:rsidRPr="00A52AE0">
              <w:t xml:space="preserve"> (-€ 341.000) veel lager uitvallen, maar de opdracht aan </w:t>
            </w:r>
            <w:proofErr w:type="spellStart"/>
            <w:r w:rsidRPr="00A52AE0">
              <w:t>Shiraka</w:t>
            </w:r>
            <w:proofErr w:type="spellEnd"/>
            <w:r w:rsidRPr="00A52AE0">
              <w:t xml:space="preserve"> veel hoger uitvalt met € 1,6 miljoen (tabel 8)?</w:t>
            </w:r>
          </w:p>
          <w:p w:rsidRPr="00A52AE0" w:rsidR="00A52AE0" w:rsidP="00212613" w:rsidRDefault="00A52AE0" w14:paraId="0896316A" w14:textId="77777777"/>
          <w:p w:rsidRPr="00A52AE0" w:rsidR="00A52AE0" w:rsidP="00212613" w:rsidRDefault="00A52AE0" w14:paraId="04F258B9" w14:textId="77777777">
            <w:r w:rsidRPr="00A52AE0">
              <w:t xml:space="preserve">Antwoord: </w:t>
            </w:r>
          </w:p>
          <w:p w:rsidRPr="00A52AE0" w:rsidR="00A52AE0" w:rsidP="00212613" w:rsidRDefault="00A52AE0" w14:paraId="604260EF" w14:textId="77777777">
            <w:r w:rsidRPr="00A52AE0">
              <w:t xml:space="preserve">Vooruitlopend op de taakstelling is de driejarige subsidieverplichting aan METAC/IMF niet verlengd, zodat op subsidies de uitgaven lager uitvallen. Dit is opgevangen door meer </w:t>
            </w:r>
            <w:proofErr w:type="spellStart"/>
            <w:r w:rsidRPr="00A52AE0">
              <w:t>Shiraka</w:t>
            </w:r>
            <w:proofErr w:type="spellEnd"/>
            <w:r w:rsidRPr="00A52AE0">
              <w:t xml:space="preserve">-projecten onder te brengen bij het instrument ‘opdrachten’, waardoor beschikbare middelen in het lopende jaar zo goed mogelijk benut kunnen worden. </w:t>
            </w:r>
          </w:p>
          <w:p w:rsidRPr="00A52AE0" w:rsidR="00A52AE0" w:rsidP="00212613" w:rsidRDefault="00A52AE0" w14:paraId="6D8DA5B6" w14:textId="77777777"/>
        </w:tc>
      </w:tr>
      <w:tr w:rsidRPr="00A52AE0" w:rsidR="00A52AE0" w:rsidTr="00212613" w14:paraId="313C19E6" w14:textId="77777777">
        <w:tc>
          <w:tcPr>
            <w:tcW w:w="567" w:type="dxa"/>
          </w:tcPr>
          <w:p w:rsidRPr="00A52AE0" w:rsidR="00A52AE0" w:rsidP="00212613" w:rsidRDefault="00A52AE0" w14:paraId="217740F5" w14:textId="77777777">
            <w:r w:rsidRPr="00A52AE0">
              <w:t>17</w:t>
            </w:r>
          </w:p>
        </w:tc>
        <w:tc>
          <w:tcPr>
            <w:tcW w:w="6521" w:type="dxa"/>
          </w:tcPr>
          <w:p w:rsidRPr="00A52AE0" w:rsidR="00A52AE0" w:rsidP="00212613" w:rsidRDefault="00A52AE0" w14:paraId="7703BA10" w14:textId="77777777">
            <w:r w:rsidRPr="00A52AE0">
              <w:t>Kunt u toelichten waar de extra uitgaven aan het internationale cultuurbeleid uit bestaan (tabel 11)?</w:t>
            </w:r>
          </w:p>
          <w:p w:rsidRPr="00A52AE0" w:rsidR="00A52AE0" w:rsidP="00212613" w:rsidRDefault="00A52AE0" w14:paraId="6505E774" w14:textId="77777777"/>
          <w:p w:rsidRPr="00A52AE0" w:rsidR="00A52AE0" w:rsidP="00212613" w:rsidRDefault="00A52AE0" w14:paraId="2E8D3FDB" w14:textId="77777777">
            <w:r w:rsidRPr="00A52AE0">
              <w:t>Antwoord:</w:t>
            </w:r>
          </w:p>
          <w:p w:rsidRPr="00A52AE0" w:rsidR="00A52AE0" w:rsidP="00212613" w:rsidRDefault="00A52AE0" w14:paraId="1805CAA7" w14:textId="3F1A18D4">
            <w:r w:rsidRPr="00A52AE0">
              <w:t>Deels bestaan de extra uitgaven uit middelen vanuit OCW die bij Najaarsnota interdepartementaal zijn overgeheveld. Het gaat hierbij o.a. om middelen voor een aantal ambassades ten behoeve van het herdenkingsjaar slavernijverleden. Daarnaast zijn extra uitgaven gedaan vanwege intensivering van enkele activiteiten van ambassades in het kader van de uitvoering van het ICB.</w:t>
            </w:r>
          </w:p>
        </w:tc>
      </w:tr>
    </w:tbl>
    <w:p w:rsidR="00A52AE0" w:rsidRDefault="00A52AE0" w14:paraId="27E2A5B2" w14:textId="77777777">
      <w:r>
        <w:br w:type="page"/>
      </w:r>
    </w:p>
    <w:tbl>
      <w:tblPr>
        <w:tblW w:w="7088" w:type="dxa"/>
        <w:tblLayout w:type="fixed"/>
        <w:tblCellMar>
          <w:left w:w="0" w:type="dxa"/>
          <w:right w:w="0" w:type="dxa"/>
        </w:tblCellMar>
        <w:tblLook w:val="0000" w:firstRow="0" w:lastRow="0" w:firstColumn="0" w:lastColumn="0" w:noHBand="0" w:noVBand="0"/>
      </w:tblPr>
      <w:tblGrid>
        <w:gridCol w:w="567"/>
        <w:gridCol w:w="6521"/>
      </w:tblGrid>
      <w:tr w:rsidRPr="00A52AE0" w:rsidR="00A52AE0" w:rsidTr="00212613" w14:paraId="2437A3C0" w14:textId="77777777">
        <w:tc>
          <w:tcPr>
            <w:tcW w:w="567" w:type="dxa"/>
          </w:tcPr>
          <w:p w:rsidRPr="00A52AE0" w:rsidR="00A52AE0" w:rsidP="00212613" w:rsidRDefault="00A52AE0" w14:paraId="69BA4CFE" w14:textId="648A476A">
            <w:r w:rsidRPr="00A52AE0">
              <w:lastRenderedPageBreak/>
              <w:t>18</w:t>
            </w:r>
          </w:p>
        </w:tc>
        <w:tc>
          <w:tcPr>
            <w:tcW w:w="6521" w:type="dxa"/>
          </w:tcPr>
          <w:p w:rsidRPr="00A52AE0" w:rsidR="00A52AE0" w:rsidP="00212613" w:rsidRDefault="00A52AE0" w14:paraId="2B288E35" w14:textId="77777777">
            <w:r w:rsidRPr="00A52AE0">
              <w:t>Kunt u toelichten waarom het budget voor Hoog Risico posten in 2024 niet is besteed?</w:t>
            </w:r>
          </w:p>
          <w:p w:rsidRPr="00A52AE0" w:rsidR="00A52AE0" w:rsidP="00212613" w:rsidRDefault="00A52AE0" w14:paraId="4DE44A3D" w14:textId="77777777"/>
          <w:p w:rsidRPr="00A52AE0" w:rsidR="00A52AE0" w:rsidP="00212613" w:rsidRDefault="00A52AE0" w14:paraId="4A00EED6" w14:textId="77777777">
            <w:r w:rsidRPr="00A52AE0">
              <w:t>Antwoord:</w:t>
            </w:r>
          </w:p>
          <w:p w:rsidRPr="00A52AE0" w:rsidR="00A52AE0" w:rsidP="00212613" w:rsidRDefault="00A52AE0" w14:paraId="20D75811" w14:textId="77777777">
            <w:r w:rsidRPr="00A52AE0">
              <w:rPr>
                <w:color w:val="000000"/>
              </w:rPr>
              <w:t>Het betreft hier het budget voor bouwkundige en veiligheidsinvesteringen op een beperkt aantal posten in landen met een hoog veiligheidsrisico. Het resterende deel van het specifiek hiervoor geoormerkte budget is in de laatste raming volledig in het jaar 2024 opgenomen, terwijl in de bouwkundige planning de uitgaven nog doorlopen tot en met 2027. Tijdens de Voorjaarsbesluitvorming 2025 zal worden bezien hoe het bedrag in het juiste ritme kan worden gezet, onder voorbehoud van de HGIS-besluitvorming.</w:t>
            </w:r>
          </w:p>
          <w:p w:rsidRPr="00A52AE0" w:rsidR="00A52AE0" w:rsidP="00212613" w:rsidRDefault="00A52AE0" w14:paraId="005A533B" w14:textId="77777777"/>
        </w:tc>
      </w:tr>
    </w:tbl>
    <w:p w:rsidRPr="00A52AE0" w:rsidR="009E7070" w:rsidRDefault="009E7070" w14:paraId="64BB1810" w14:textId="77777777"/>
    <w:sectPr w:rsidRPr="00A52AE0" w:rsidR="009E707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6969E0"/>
    <w:multiLevelType w:val="hybridMultilevel"/>
    <w:tmpl w:val="B6CC4AAE"/>
    <w:lvl w:ilvl="0" w:tplc="F2820B0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B404E9F"/>
    <w:multiLevelType w:val="hybridMultilevel"/>
    <w:tmpl w:val="41D04F8A"/>
    <w:lvl w:ilvl="0" w:tplc="AFF037E8">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87007063">
    <w:abstractNumId w:val="1"/>
  </w:num>
  <w:num w:numId="2" w16cid:durableId="512375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ACF"/>
    <w:rsid w:val="002D3580"/>
    <w:rsid w:val="003B5BD2"/>
    <w:rsid w:val="0046608A"/>
    <w:rsid w:val="00545132"/>
    <w:rsid w:val="00716217"/>
    <w:rsid w:val="007B72BC"/>
    <w:rsid w:val="00810ACF"/>
    <w:rsid w:val="009E4D64"/>
    <w:rsid w:val="009E7070"/>
    <w:rsid w:val="00A52AE0"/>
    <w:rsid w:val="00A54391"/>
    <w:rsid w:val="00AC31AE"/>
    <w:rsid w:val="00DD3CCC"/>
    <w:rsid w:val="00F7607D"/>
    <w:rsid w:val="00FE48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3439B"/>
  <w15:docId w15:val="{1C84414A-B18C-4DDE-B8A2-BB5CDA3A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D3580"/>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2D3580"/>
    <w:rPr>
      <w:rFonts w:ascii="Tahoma" w:hAnsi="Tahoma" w:cs="Tahoma"/>
      <w:sz w:val="16"/>
      <w:szCs w:val="16"/>
    </w:rPr>
  </w:style>
  <w:style w:type="character" w:customStyle="1" w:styleId="BallontekstChar">
    <w:name w:val="Ballontekst Char"/>
    <w:link w:val="Ballontekst"/>
    <w:rsid w:val="002D3580"/>
    <w:rPr>
      <w:rFonts w:ascii="Tahoma" w:hAnsi="Tahoma" w:cs="Tahoma"/>
      <w:sz w:val="16"/>
      <w:szCs w:val="16"/>
    </w:rPr>
  </w:style>
  <w:style w:type="paragraph" w:styleId="Lijstalinea">
    <w:name w:val="List Paragraph"/>
    <w:basedOn w:val="Standaard"/>
    <w:uiPriority w:val="34"/>
    <w:qFormat/>
    <w:rsid w:val="00A52AE0"/>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Hyperlink">
    <w:name w:val="Hyperlink"/>
    <w:basedOn w:val="Standaardalinea-lettertype"/>
    <w:uiPriority w:val="99"/>
    <w:unhideWhenUsed/>
    <w:rsid w:val="00A52A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ijksfinancien.nl/memorie-van-toelichting/2024/SBS/V"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Verslag%20houdende%20een%20lijst%20van%20vragen%20en%20antwoord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1452</ap:Words>
  <ap:Characters>8371</ap:Characters>
  <ap:DocSecurity>0</ap:DocSecurity>
  <ap:Lines>69</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9804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2013-11-04T08:34:00.0000000Z</lastPrinted>
  <dcterms:created xsi:type="dcterms:W3CDTF">2024-12-12T11:03:00.0000000Z</dcterms:created>
  <dcterms:modified xsi:type="dcterms:W3CDTF">2024-12-12T11:03:00.0000000Z</dcterms:modified>
  <dc:description>------------------------</dc:description>
  <dc:subject/>
  <keywords/>
  <version/>
  <category/>
</coreProperties>
</file>