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D6A5C" w:rsidR="00CB6829" w:rsidP="00CB6829" w:rsidRDefault="00CB6829" w14:paraId="25524E81" w14:textId="77777777">
      <w:pPr>
        <w:ind w:left="1410" w:hanging="1410"/>
        <w:rPr>
          <w:b/>
          <w:bCs/>
          <w:sz w:val="24"/>
          <w:szCs w:val="24"/>
        </w:rPr>
      </w:pPr>
      <w:r w:rsidRPr="00DD6A5C">
        <w:rPr>
          <w:b/>
          <w:sz w:val="24"/>
          <w:szCs w:val="24"/>
        </w:rPr>
        <w:t>36 625 VII</w:t>
      </w:r>
      <w:r w:rsidRPr="00DD6A5C">
        <w:rPr>
          <w:b/>
          <w:sz w:val="24"/>
          <w:szCs w:val="24"/>
        </w:rPr>
        <w:tab/>
      </w:r>
      <w:r w:rsidRPr="00DD6A5C">
        <w:rPr>
          <w:rFonts w:eastAsia="Calibri"/>
          <w:b/>
          <w:sz w:val="24"/>
          <w:szCs w:val="24"/>
          <w:lang w:eastAsia="en-US"/>
        </w:rPr>
        <w:tab/>
      </w:r>
      <w:r w:rsidRPr="00DD6A5C">
        <w:rPr>
          <w:b/>
          <w:bCs/>
          <w:sz w:val="24"/>
          <w:szCs w:val="24"/>
        </w:rPr>
        <w:t>Wijziging van de begrotingsstaten van het Ministerie van Binnenlandse Zaken en Koninkrijksrelaties (VII) voor het jaar 2024 (wijziging samenhangende met Najaarsnota)</w:t>
      </w:r>
    </w:p>
    <w:p w:rsidRPr="00DD6A5C" w:rsidR="00CB6829" w:rsidP="00CB6829" w:rsidRDefault="00CB6829" w14:paraId="619A6994" w14:textId="77777777">
      <w:pPr>
        <w:rPr>
          <w:b/>
          <w:sz w:val="24"/>
          <w:szCs w:val="24"/>
        </w:rPr>
      </w:pPr>
    </w:p>
    <w:p w:rsidRPr="00DD6A5C" w:rsidR="00CB6829" w:rsidP="00CB6829" w:rsidRDefault="00CB6829" w14:paraId="7BD12DE0" w14:textId="77777777">
      <w:pPr>
        <w:ind w:left="1410" w:hanging="1410"/>
        <w:rPr>
          <w:rFonts w:eastAsia="Calibri"/>
          <w:sz w:val="24"/>
          <w:szCs w:val="24"/>
          <w:lang w:eastAsia="en-US"/>
        </w:rPr>
      </w:pPr>
    </w:p>
    <w:p w:rsidRPr="00DD6A5C" w:rsidR="00CB6829" w:rsidP="00CB6829" w:rsidRDefault="00CB6829" w14:paraId="22D9E5C9" w14:textId="77777777">
      <w:pPr>
        <w:autoSpaceDE w:val="0"/>
        <w:autoSpaceDN w:val="0"/>
        <w:adjustRightInd w:val="0"/>
        <w:ind w:left="1410" w:hanging="1410"/>
        <w:rPr>
          <w:rFonts w:eastAsia="Calibri"/>
          <w:color w:val="000000"/>
          <w:sz w:val="24"/>
          <w:szCs w:val="24"/>
          <w:lang w:eastAsia="en-US"/>
        </w:rPr>
      </w:pPr>
      <w:r w:rsidRPr="00DD6A5C">
        <w:rPr>
          <w:rFonts w:eastAsia="Calibri"/>
          <w:b/>
          <w:color w:val="000000"/>
          <w:sz w:val="24"/>
          <w:szCs w:val="24"/>
          <w:lang w:eastAsia="en-US"/>
        </w:rPr>
        <w:t xml:space="preserve">Nr. </w:t>
      </w:r>
      <w:r w:rsidRPr="00DD6A5C">
        <w:rPr>
          <w:b/>
          <w:sz w:val="24"/>
          <w:szCs w:val="24"/>
        </w:rPr>
        <w:t>5</w:t>
      </w:r>
      <w:r w:rsidRPr="00DD6A5C">
        <w:rPr>
          <w:rFonts w:eastAsia="Calibri"/>
          <w:b/>
          <w:color w:val="000000"/>
          <w:sz w:val="24"/>
          <w:szCs w:val="24"/>
          <w:lang w:eastAsia="en-US"/>
        </w:rPr>
        <w:tab/>
        <w:t>VERSLAG HOUDENDE EEN LIJST VAN VRAGEN EN ANTWOORDEN</w:t>
      </w:r>
      <w:r w:rsidRPr="00DD6A5C">
        <w:rPr>
          <w:rFonts w:eastAsia="Calibri"/>
          <w:color w:val="000000"/>
          <w:sz w:val="24"/>
          <w:szCs w:val="24"/>
          <w:lang w:eastAsia="en-US"/>
        </w:rPr>
        <w:t xml:space="preserve"> </w:t>
      </w:r>
    </w:p>
    <w:p w:rsidRPr="00DD6A5C" w:rsidR="00CB6829" w:rsidP="00CB6829" w:rsidRDefault="003D1DF0" w14:paraId="1C5109CB" w14:textId="7439ACA2">
      <w:pPr>
        <w:autoSpaceDE w:val="0"/>
        <w:autoSpaceDN w:val="0"/>
        <w:adjustRightInd w:val="0"/>
        <w:ind w:firstLine="708"/>
        <w:rPr>
          <w:rFonts w:eastAsia="Calibri"/>
          <w:color w:val="000000"/>
          <w:sz w:val="24"/>
          <w:szCs w:val="24"/>
          <w:lang w:eastAsia="en-US"/>
        </w:rPr>
      </w:pPr>
      <w:r w:rsidRPr="00DD6A5C">
        <w:rPr>
          <w:rFonts w:eastAsia="Calibri"/>
          <w:color w:val="000000"/>
          <w:sz w:val="24"/>
          <w:szCs w:val="24"/>
          <w:lang w:eastAsia="en-US"/>
        </w:rPr>
        <w:tab/>
      </w:r>
      <w:r w:rsidRPr="00DD6A5C" w:rsidR="00CB6829">
        <w:rPr>
          <w:rFonts w:eastAsia="Calibri"/>
          <w:color w:val="000000"/>
          <w:sz w:val="24"/>
          <w:szCs w:val="24"/>
          <w:lang w:eastAsia="en-US"/>
        </w:rPr>
        <w:tab/>
        <w:t xml:space="preserve">Vastgesteld </w:t>
      </w:r>
      <w:r w:rsidRPr="00DD6A5C" w:rsidR="00CB6829">
        <w:rPr>
          <w:sz w:val="24"/>
          <w:szCs w:val="24"/>
        </w:rPr>
        <w:t>1</w:t>
      </w:r>
      <w:r w:rsidRPr="00DD6A5C">
        <w:rPr>
          <w:sz w:val="24"/>
          <w:szCs w:val="24"/>
        </w:rPr>
        <w:t>1</w:t>
      </w:r>
      <w:r w:rsidRPr="00DD6A5C" w:rsidR="00CB6829">
        <w:rPr>
          <w:sz w:val="24"/>
          <w:szCs w:val="24"/>
        </w:rPr>
        <w:t xml:space="preserve"> december 2024</w:t>
      </w:r>
    </w:p>
    <w:p w:rsidRPr="00DD6A5C" w:rsidR="00CB6829" w:rsidP="00CB6829" w:rsidRDefault="00CB6829" w14:paraId="6BF165F1" w14:textId="77777777">
      <w:pPr>
        <w:autoSpaceDE w:val="0"/>
        <w:autoSpaceDN w:val="0"/>
        <w:adjustRightInd w:val="0"/>
        <w:rPr>
          <w:rFonts w:eastAsia="Calibri"/>
          <w:color w:val="000000"/>
          <w:sz w:val="24"/>
          <w:szCs w:val="24"/>
          <w:lang w:eastAsia="en-US"/>
        </w:rPr>
      </w:pPr>
    </w:p>
    <w:p w:rsidRPr="00DD6A5C" w:rsidR="00CB6829" w:rsidP="00CB6829" w:rsidRDefault="00CB6829" w14:paraId="26E0CD68" w14:textId="77777777">
      <w:pPr>
        <w:rPr>
          <w:spacing w:val="-3"/>
          <w:sz w:val="24"/>
          <w:szCs w:val="24"/>
        </w:rPr>
      </w:pPr>
      <w:r w:rsidRPr="00DD6A5C">
        <w:rPr>
          <w:rFonts w:eastAsia="Calibri"/>
          <w:color w:val="000000"/>
          <w:sz w:val="24"/>
          <w:szCs w:val="24"/>
          <w:lang w:eastAsia="en-US"/>
        </w:rPr>
        <w:t>De</w:t>
      </w:r>
      <w:r w:rsidRPr="00DD6A5C">
        <w:rPr>
          <w:sz w:val="24"/>
          <w:szCs w:val="24"/>
        </w:rPr>
        <w:t xml:space="preserve"> vaste </w:t>
      </w:r>
      <w:r w:rsidRPr="00DD6A5C">
        <w:rPr>
          <w:rFonts w:eastAsia="Calibri"/>
          <w:color w:val="000000"/>
          <w:sz w:val="24"/>
          <w:szCs w:val="24"/>
          <w:lang w:eastAsia="en-US"/>
        </w:rPr>
        <w:t>commissie voor</w:t>
      </w:r>
      <w:r w:rsidRPr="00DD6A5C">
        <w:rPr>
          <w:sz w:val="24"/>
          <w:szCs w:val="24"/>
        </w:rPr>
        <w:t xml:space="preserve"> </w:t>
      </w:r>
      <w:r w:rsidRPr="00DD6A5C">
        <w:rPr>
          <w:spacing w:val="-3"/>
          <w:sz w:val="24"/>
          <w:szCs w:val="24"/>
        </w:rPr>
        <w:t>Volkshuisvesting en Ruimtelijke Ordening</w:t>
      </w:r>
      <w:r w:rsidRPr="00DD6A5C">
        <w:rPr>
          <w:sz w:val="24"/>
          <w:szCs w:val="24"/>
        </w:rPr>
        <w:t>,</w:t>
      </w:r>
      <w:r w:rsidRPr="00DD6A5C">
        <w:rPr>
          <w:rFonts w:eastAsia="Calibri"/>
          <w:color w:val="000000"/>
          <w:sz w:val="24"/>
          <w:szCs w:val="24"/>
          <w:lang w:eastAsia="en-US"/>
        </w:rPr>
        <w:t xml:space="preserve"> belast met het voorbereidend onderzoek van dit voorstel van wet, heeft de eer verslag uit te brengen in de vorm van een lijst van</w:t>
      </w:r>
      <w:r w:rsidRPr="00DD6A5C">
        <w:rPr>
          <w:sz w:val="24"/>
          <w:szCs w:val="24"/>
        </w:rPr>
        <w:t xml:space="preserve"> vragen</w:t>
      </w:r>
      <w:r w:rsidRPr="00DD6A5C">
        <w:rPr>
          <w:rFonts w:eastAsia="Calibri"/>
          <w:color w:val="000000"/>
          <w:sz w:val="24"/>
          <w:szCs w:val="24"/>
          <w:lang w:eastAsia="en-US"/>
        </w:rPr>
        <w:t xml:space="preserve"> met de daarop gegeven</w:t>
      </w:r>
      <w:r w:rsidRPr="00DD6A5C">
        <w:rPr>
          <w:sz w:val="24"/>
          <w:szCs w:val="24"/>
        </w:rPr>
        <w:t xml:space="preserve"> antwoorden voor zover het onderwerpen betreft die zien op Volkshuisvesting en Ruimtelijke Ordening</w:t>
      </w:r>
      <w:r w:rsidRPr="00DD6A5C">
        <w:rPr>
          <w:rFonts w:eastAsia="Calibri"/>
          <w:color w:val="000000"/>
          <w:sz w:val="24"/>
          <w:szCs w:val="24"/>
          <w:lang w:eastAsia="en-US"/>
        </w:rPr>
        <w:t xml:space="preserve">. </w:t>
      </w:r>
    </w:p>
    <w:p w:rsidRPr="00DD6A5C" w:rsidR="00CB6829" w:rsidP="00CB6829" w:rsidRDefault="00CB6829" w14:paraId="1934D631" w14:textId="77777777">
      <w:pPr>
        <w:autoSpaceDE w:val="0"/>
        <w:autoSpaceDN w:val="0"/>
        <w:adjustRightInd w:val="0"/>
        <w:rPr>
          <w:rFonts w:eastAsia="Calibri"/>
          <w:color w:val="000000"/>
          <w:sz w:val="24"/>
          <w:szCs w:val="24"/>
          <w:lang w:eastAsia="en-US"/>
        </w:rPr>
      </w:pPr>
    </w:p>
    <w:p w:rsidRPr="00DD6A5C" w:rsidR="00CB6829" w:rsidP="00CB6829" w:rsidRDefault="00CB6829" w14:paraId="1B09CD40" w14:textId="77777777">
      <w:pPr>
        <w:rPr>
          <w:spacing w:val="-3"/>
          <w:sz w:val="24"/>
          <w:szCs w:val="24"/>
        </w:rPr>
      </w:pPr>
      <w:r w:rsidRPr="00DD6A5C">
        <w:rPr>
          <w:rFonts w:eastAsia="Calibri"/>
          <w:color w:val="000000"/>
          <w:sz w:val="24"/>
          <w:szCs w:val="24"/>
          <w:lang w:eastAsia="en-US"/>
        </w:rPr>
        <w:t xml:space="preserve">De </w:t>
      </w:r>
      <w:r w:rsidRPr="00DD6A5C">
        <w:rPr>
          <w:sz w:val="24"/>
          <w:szCs w:val="24"/>
        </w:rPr>
        <w:t>vragen</w:t>
      </w:r>
      <w:r w:rsidRPr="00DD6A5C">
        <w:rPr>
          <w:rFonts w:eastAsia="Calibri"/>
          <w:color w:val="000000"/>
          <w:sz w:val="24"/>
          <w:szCs w:val="24"/>
          <w:lang w:eastAsia="en-US"/>
        </w:rPr>
        <w:t xml:space="preserve"> </w:t>
      </w:r>
      <w:r w:rsidRPr="00DD6A5C">
        <w:rPr>
          <w:sz w:val="24"/>
          <w:szCs w:val="24"/>
        </w:rPr>
        <w:t>zijn</w:t>
      </w:r>
      <w:r w:rsidRPr="00DD6A5C">
        <w:rPr>
          <w:rFonts w:eastAsia="Calibri"/>
          <w:color w:val="000000"/>
          <w:sz w:val="24"/>
          <w:szCs w:val="24"/>
          <w:lang w:eastAsia="en-US"/>
        </w:rPr>
        <w:t xml:space="preserve"> op </w:t>
      </w:r>
      <w:r w:rsidRPr="00DD6A5C">
        <w:rPr>
          <w:sz w:val="24"/>
          <w:szCs w:val="24"/>
        </w:rPr>
        <w:t xml:space="preserve">5 december 2024 </w:t>
      </w:r>
      <w:r w:rsidRPr="00DD6A5C">
        <w:rPr>
          <w:rFonts w:eastAsia="Calibri"/>
          <w:color w:val="000000"/>
          <w:sz w:val="24"/>
          <w:szCs w:val="24"/>
          <w:lang w:eastAsia="en-US"/>
        </w:rPr>
        <w:t>voorgelegd aan de minister van</w:t>
      </w:r>
      <w:r w:rsidRPr="00DD6A5C">
        <w:rPr>
          <w:sz w:val="24"/>
          <w:szCs w:val="24"/>
        </w:rPr>
        <w:t xml:space="preserve"> </w:t>
      </w:r>
      <w:r w:rsidRPr="00DD6A5C">
        <w:rPr>
          <w:spacing w:val="-3"/>
          <w:sz w:val="24"/>
          <w:szCs w:val="24"/>
        </w:rPr>
        <w:t>Volkshuisvesting en Ruimtelijke Ordening</w:t>
      </w:r>
      <w:r w:rsidRPr="00DD6A5C">
        <w:rPr>
          <w:rFonts w:eastAsia="Calibri"/>
          <w:color w:val="000000"/>
          <w:sz w:val="24"/>
          <w:szCs w:val="24"/>
          <w:lang w:eastAsia="en-US"/>
        </w:rPr>
        <w:t>. Bij brief van</w:t>
      </w:r>
      <w:r w:rsidRPr="00DD6A5C">
        <w:rPr>
          <w:sz w:val="24"/>
          <w:szCs w:val="24"/>
        </w:rPr>
        <w:t xml:space="preserve"> 10 december 2024 zijn </w:t>
      </w:r>
      <w:r w:rsidRPr="00DD6A5C">
        <w:rPr>
          <w:rFonts w:eastAsia="Calibri"/>
          <w:color w:val="000000"/>
          <w:sz w:val="24"/>
          <w:szCs w:val="24"/>
          <w:lang w:eastAsia="en-US"/>
        </w:rPr>
        <w:t>ze door de minister van</w:t>
      </w:r>
      <w:r w:rsidRPr="00DD6A5C">
        <w:rPr>
          <w:sz w:val="24"/>
          <w:szCs w:val="24"/>
        </w:rPr>
        <w:t xml:space="preserve"> </w:t>
      </w:r>
      <w:r w:rsidRPr="00DD6A5C">
        <w:rPr>
          <w:spacing w:val="-3"/>
          <w:sz w:val="24"/>
          <w:szCs w:val="24"/>
        </w:rPr>
        <w:t>Volkshuisvesting en Ruimtelijke Ordening</w:t>
      </w:r>
      <w:r w:rsidRPr="00DD6A5C">
        <w:rPr>
          <w:rFonts w:eastAsia="Calibri"/>
          <w:color w:val="000000"/>
          <w:sz w:val="24"/>
          <w:szCs w:val="24"/>
          <w:lang w:eastAsia="en-US"/>
        </w:rPr>
        <w:t xml:space="preserve"> beantwoord. </w:t>
      </w:r>
    </w:p>
    <w:p w:rsidRPr="00DD6A5C" w:rsidR="00CB6829" w:rsidP="00CB6829" w:rsidRDefault="00CB6829" w14:paraId="6213D39C" w14:textId="77777777">
      <w:pPr>
        <w:autoSpaceDE w:val="0"/>
        <w:autoSpaceDN w:val="0"/>
        <w:adjustRightInd w:val="0"/>
        <w:rPr>
          <w:rFonts w:eastAsia="Calibri"/>
          <w:color w:val="000000"/>
          <w:sz w:val="24"/>
          <w:szCs w:val="24"/>
          <w:lang w:eastAsia="en-US"/>
        </w:rPr>
      </w:pPr>
    </w:p>
    <w:p w:rsidRPr="00DD6A5C" w:rsidR="00CB6829" w:rsidP="00CB6829" w:rsidRDefault="00CB6829" w14:paraId="2DA9ECD4" w14:textId="77777777">
      <w:pPr>
        <w:autoSpaceDE w:val="0"/>
        <w:autoSpaceDN w:val="0"/>
        <w:adjustRightInd w:val="0"/>
        <w:rPr>
          <w:rFonts w:eastAsia="Calibri"/>
          <w:color w:val="000000"/>
          <w:sz w:val="24"/>
          <w:szCs w:val="24"/>
          <w:lang w:eastAsia="en-US"/>
        </w:rPr>
      </w:pPr>
      <w:r w:rsidRPr="00DD6A5C">
        <w:rPr>
          <w:rFonts w:eastAsia="Calibri"/>
          <w:color w:val="000000"/>
          <w:sz w:val="24"/>
          <w:szCs w:val="24"/>
          <w:lang w:eastAsia="en-US"/>
        </w:rPr>
        <w:t xml:space="preserve">Met de vaststelling van het verslag acht de commissie de openbare behandeling van het wetsvoorstel voldoende voorbereid. </w:t>
      </w:r>
    </w:p>
    <w:p w:rsidRPr="00DD6A5C" w:rsidR="00CB6829" w:rsidP="00CB6829" w:rsidRDefault="00CB6829" w14:paraId="6A0C4BD6" w14:textId="77777777">
      <w:pPr>
        <w:spacing w:after="0"/>
        <w:rPr>
          <w:sz w:val="24"/>
          <w:szCs w:val="24"/>
        </w:rPr>
      </w:pPr>
    </w:p>
    <w:p w:rsidRPr="00DD6A5C" w:rsidR="00CB6829" w:rsidP="00CB6829" w:rsidRDefault="00CB6829" w14:paraId="6AEF3CBB" w14:textId="74F4AFE1">
      <w:pPr>
        <w:spacing w:after="0"/>
        <w:rPr>
          <w:sz w:val="24"/>
          <w:szCs w:val="24"/>
        </w:rPr>
      </w:pPr>
      <w:r w:rsidRPr="00DD6A5C">
        <w:rPr>
          <w:sz w:val="24"/>
          <w:szCs w:val="24"/>
        </w:rPr>
        <w:t xml:space="preserve">De voorzitter van de commissie, </w:t>
      </w:r>
    </w:p>
    <w:p w:rsidRPr="00DD6A5C" w:rsidR="00CB6829" w:rsidP="00DD6A5C" w:rsidRDefault="00CB6829" w14:paraId="76F9C937" w14:textId="77777777">
      <w:pPr>
        <w:spacing w:before="0" w:after="0"/>
        <w:rPr>
          <w:sz w:val="24"/>
          <w:szCs w:val="24"/>
        </w:rPr>
      </w:pPr>
      <w:r w:rsidRPr="00DD6A5C">
        <w:rPr>
          <w:sz w:val="24"/>
          <w:szCs w:val="24"/>
        </w:rPr>
        <w:t>Postma</w:t>
      </w:r>
    </w:p>
    <w:p w:rsidRPr="00DD6A5C" w:rsidR="00CB6829" w:rsidP="00CB6829" w:rsidRDefault="00CB6829" w14:paraId="67A949C6" w14:textId="04A561C3">
      <w:pPr>
        <w:spacing w:after="0"/>
        <w:rPr>
          <w:sz w:val="24"/>
          <w:szCs w:val="24"/>
        </w:rPr>
      </w:pPr>
    </w:p>
    <w:p w:rsidRPr="00DD6A5C" w:rsidR="00CB6829" w:rsidP="00CB6829" w:rsidRDefault="00CB6829" w14:paraId="64802870" w14:textId="77777777">
      <w:pPr>
        <w:spacing w:after="0"/>
        <w:rPr>
          <w:sz w:val="24"/>
          <w:szCs w:val="24"/>
        </w:rPr>
      </w:pPr>
      <w:r w:rsidRPr="00DD6A5C">
        <w:rPr>
          <w:sz w:val="24"/>
          <w:szCs w:val="24"/>
        </w:rPr>
        <w:t>Adjunct-griffier van de commissie,</w:t>
      </w:r>
    </w:p>
    <w:p w:rsidRPr="00DD6A5C" w:rsidR="00CB6829" w:rsidP="00DD6A5C" w:rsidRDefault="00CB6829" w14:paraId="239C4607" w14:textId="77777777">
      <w:pPr>
        <w:spacing w:before="0" w:after="0"/>
        <w:rPr>
          <w:sz w:val="24"/>
          <w:szCs w:val="24"/>
        </w:rPr>
      </w:pPr>
      <w:r w:rsidRPr="00DD6A5C">
        <w:rPr>
          <w:sz w:val="24"/>
          <w:szCs w:val="24"/>
        </w:rPr>
        <w:t>Morrin</w:t>
      </w:r>
    </w:p>
    <w:p w:rsidRPr="00DD6A5C" w:rsidR="008358D3" w:rsidP="008358D3" w:rsidRDefault="008358D3" w14:paraId="129A1CC6" w14:textId="77777777">
      <w:pPr>
        <w:rPr>
          <w:sz w:val="24"/>
          <w:szCs w:val="24"/>
        </w:rPr>
      </w:pPr>
    </w:p>
    <w:p w:rsidRPr="00DD6A5C" w:rsidR="00DD6A5C" w:rsidRDefault="00DD6A5C" w14:paraId="3FC79E75" w14:textId="6816B7A2">
      <w:pPr>
        <w:spacing w:before="0" w:after="0"/>
        <w:rPr>
          <w:sz w:val="24"/>
          <w:szCs w:val="24"/>
        </w:rPr>
      </w:pPr>
      <w:r w:rsidRPr="00DD6A5C">
        <w:rPr>
          <w:sz w:val="24"/>
          <w:szCs w:val="24"/>
        </w:rPr>
        <w:br w:type="page"/>
      </w:r>
    </w:p>
    <w:tbl>
      <w:tblPr>
        <w:tblW w:w="7655" w:type="dxa"/>
        <w:tblLayout w:type="fixed"/>
        <w:tblCellMar>
          <w:left w:w="0" w:type="dxa"/>
          <w:right w:w="0" w:type="dxa"/>
        </w:tblCellMar>
        <w:tblLook w:val="0000" w:firstRow="0" w:lastRow="0" w:firstColumn="0" w:lastColumn="0" w:noHBand="0" w:noVBand="0"/>
      </w:tblPr>
      <w:tblGrid>
        <w:gridCol w:w="567"/>
        <w:gridCol w:w="7088"/>
      </w:tblGrid>
      <w:tr w:rsidRPr="00DD6A5C" w:rsidR="00CB6829" w:rsidTr="00DD6A5C" w14:paraId="4E10A445" w14:textId="77777777">
        <w:trPr>
          <w:cantSplit/>
        </w:trPr>
        <w:tc>
          <w:tcPr>
            <w:tcW w:w="567" w:type="dxa"/>
          </w:tcPr>
          <w:p w:rsidRPr="00DD6A5C" w:rsidR="00CB6829" w:rsidP="00470186" w:rsidRDefault="00CB6829" w14:paraId="47393577" w14:textId="2F5C94E9">
            <w:pPr>
              <w:rPr>
                <w:sz w:val="24"/>
                <w:szCs w:val="24"/>
              </w:rPr>
            </w:pPr>
            <w:r w:rsidRPr="00DD6A5C">
              <w:rPr>
                <w:sz w:val="24"/>
                <w:szCs w:val="24"/>
              </w:rPr>
              <w:t>1</w:t>
            </w:r>
          </w:p>
        </w:tc>
        <w:tc>
          <w:tcPr>
            <w:tcW w:w="7088" w:type="dxa"/>
          </w:tcPr>
          <w:p w:rsidRPr="00DD6A5C" w:rsidR="00CB6829" w:rsidP="00470186" w:rsidRDefault="00CB6829" w14:paraId="375C2A2E" w14:textId="77777777">
            <w:pPr>
              <w:rPr>
                <w:sz w:val="24"/>
                <w:szCs w:val="24"/>
              </w:rPr>
            </w:pPr>
            <w:r w:rsidRPr="00DD6A5C">
              <w:rPr>
                <w:sz w:val="24"/>
                <w:szCs w:val="24"/>
              </w:rPr>
              <w:t>Kunt u aangeven waarom de plaatsing van door het RVB ingekochte flexwoningen langer duurt dan verwacht?</w:t>
            </w:r>
          </w:p>
          <w:p w:rsidRPr="00DD6A5C" w:rsidR="00CB6829" w:rsidP="00470186" w:rsidRDefault="00CB6829" w14:paraId="38458E5E" w14:textId="77777777">
            <w:pPr>
              <w:rPr>
                <w:sz w:val="24"/>
                <w:szCs w:val="24"/>
              </w:rPr>
            </w:pPr>
          </w:p>
          <w:p w:rsidRPr="00DD6A5C" w:rsidR="00CB6829" w:rsidP="00470186" w:rsidRDefault="00CB6829" w14:paraId="15036E2C" w14:textId="77777777">
            <w:pPr>
              <w:rPr>
                <w:sz w:val="24"/>
                <w:szCs w:val="24"/>
              </w:rPr>
            </w:pPr>
            <w:r w:rsidRPr="00DD6A5C">
              <w:rPr>
                <w:sz w:val="24"/>
                <w:szCs w:val="24"/>
              </w:rPr>
              <w:t>Antwoord:</w:t>
            </w:r>
          </w:p>
          <w:p w:rsidRPr="00DD6A5C" w:rsidR="00CB6829" w:rsidRDefault="00CB6829" w14:paraId="1C8ED9EA" w14:textId="04742BC8">
            <w:pPr>
              <w:rPr>
                <w:sz w:val="24"/>
                <w:szCs w:val="24"/>
              </w:rPr>
            </w:pPr>
            <w:r w:rsidRPr="00DD6A5C">
              <w:rPr>
                <w:sz w:val="24"/>
                <w:szCs w:val="24"/>
              </w:rPr>
              <w:t xml:space="preserve">De redenen van vertraging van het plaatsen van flexwoningen zijn divers en gebruikelijk bij ontwikkeling van bouwprojecten. Meest voorkomende redenen voor vertraging bij de projecten met de RVB-flexwoningen zijn het niet tijdig beschikbaar komen van de omgevingsvergunning, vertraging in het bouwrijp maken en nutsvoorzieningen die niet tijdig beschikbaar zijn. Bij enkele projecten leiden juridische procedures of extra werk bij de leverancier tot vertraging. </w:t>
            </w:r>
          </w:p>
          <w:p w:rsidRPr="00DD6A5C" w:rsidR="00CB6829" w:rsidRDefault="00CB6829" w14:paraId="78C4F4F0" w14:textId="2EFE11EF">
            <w:pPr>
              <w:rPr>
                <w:sz w:val="24"/>
                <w:szCs w:val="24"/>
              </w:rPr>
            </w:pPr>
          </w:p>
        </w:tc>
      </w:tr>
      <w:tr w:rsidRPr="00DD6A5C" w:rsidR="00CB6829" w:rsidTr="00DD6A5C" w14:paraId="4DADA79E" w14:textId="77777777">
        <w:trPr>
          <w:cantSplit/>
        </w:trPr>
        <w:tc>
          <w:tcPr>
            <w:tcW w:w="567" w:type="dxa"/>
          </w:tcPr>
          <w:p w:rsidRPr="00DD6A5C" w:rsidR="00CB6829" w:rsidP="00470186" w:rsidRDefault="00CB6829" w14:paraId="5A6806ED" w14:textId="708717CF">
            <w:pPr>
              <w:rPr>
                <w:sz w:val="24"/>
                <w:szCs w:val="24"/>
              </w:rPr>
            </w:pPr>
            <w:r w:rsidRPr="00DD6A5C">
              <w:rPr>
                <w:sz w:val="24"/>
                <w:szCs w:val="24"/>
              </w:rPr>
              <w:lastRenderedPageBreak/>
              <w:t>2</w:t>
            </w:r>
          </w:p>
          <w:p w:rsidRPr="00DD6A5C" w:rsidR="00CB6829" w:rsidP="00470186" w:rsidRDefault="00CB6829" w14:paraId="6F7ABACA" w14:textId="77777777">
            <w:pPr>
              <w:rPr>
                <w:sz w:val="24"/>
                <w:szCs w:val="24"/>
              </w:rPr>
            </w:pPr>
          </w:p>
        </w:tc>
        <w:tc>
          <w:tcPr>
            <w:tcW w:w="7088" w:type="dxa"/>
          </w:tcPr>
          <w:p w:rsidRPr="00DD6A5C" w:rsidR="00CB6829" w:rsidP="00470186" w:rsidRDefault="00CB6829" w14:paraId="4BE87F38" w14:textId="77777777">
            <w:pPr>
              <w:rPr>
                <w:sz w:val="24"/>
                <w:szCs w:val="24"/>
              </w:rPr>
            </w:pPr>
            <w:r w:rsidRPr="00DD6A5C">
              <w:rPr>
                <w:sz w:val="24"/>
                <w:szCs w:val="24"/>
              </w:rPr>
              <w:t>Kunt u aangeven voor de overboekingen op artikel 3 en 4 in hoeverre deze de betaalde omzetbelasting compenseren?</w:t>
            </w:r>
          </w:p>
          <w:p w:rsidRPr="00DD6A5C" w:rsidR="00CB6829" w:rsidP="00470186" w:rsidRDefault="00CB6829" w14:paraId="1B05E5F6" w14:textId="77777777">
            <w:pPr>
              <w:rPr>
                <w:sz w:val="24"/>
                <w:szCs w:val="24"/>
              </w:rPr>
            </w:pPr>
          </w:p>
          <w:p w:rsidRPr="00DD6A5C" w:rsidR="00CB6829" w:rsidP="00470186" w:rsidRDefault="00CB6829" w14:paraId="567B9A39" w14:textId="77777777">
            <w:pPr>
              <w:rPr>
                <w:sz w:val="24"/>
                <w:szCs w:val="24"/>
              </w:rPr>
            </w:pPr>
            <w:r w:rsidRPr="00DD6A5C">
              <w:rPr>
                <w:sz w:val="24"/>
                <w:szCs w:val="24"/>
              </w:rPr>
              <w:t>Antwoord:</w:t>
            </w:r>
          </w:p>
          <w:p w:rsidRPr="00DD6A5C" w:rsidR="00CB6829" w:rsidP="00470186" w:rsidRDefault="00CB6829" w14:paraId="3B0FACF9" w14:textId="5545F55D">
            <w:pPr>
              <w:rPr>
                <w:sz w:val="24"/>
                <w:szCs w:val="24"/>
              </w:rPr>
            </w:pPr>
            <w:r w:rsidRPr="00DD6A5C">
              <w:rPr>
                <w:sz w:val="24"/>
                <w:szCs w:val="24"/>
              </w:rPr>
              <w:t>Voor alle overboekingen naar het Gemeente- en Provinciefonds is ook een storting gedaan in het btw-compensatiefonds. Deze compenseren de verwachte btw-uitgaven. Medeoverheden kunnen – indien zij voldoen aan bepaalde voorwaarden – de door hen betaalde btw terugvragen via het btw-compensatiefonds</w:t>
            </w:r>
          </w:p>
          <w:p w:rsidRPr="00DD6A5C" w:rsidR="00CB6829" w:rsidP="00470186" w:rsidRDefault="00CB6829" w14:paraId="525CBB69" w14:textId="0206F8EA">
            <w:pPr>
              <w:rPr>
                <w:sz w:val="24"/>
                <w:szCs w:val="24"/>
              </w:rPr>
            </w:pPr>
          </w:p>
        </w:tc>
      </w:tr>
      <w:tr w:rsidRPr="00DD6A5C" w:rsidR="00CB6829" w:rsidTr="00DD6A5C" w14:paraId="10DC2B88" w14:textId="77777777">
        <w:trPr>
          <w:cantSplit/>
        </w:trPr>
        <w:tc>
          <w:tcPr>
            <w:tcW w:w="567" w:type="dxa"/>
          </w:tcPr>
          <w:p w:rsidRPr="00DD6A5C" w:rsidR="00CB6829" w:rsidP="00470186" w:rsidRDefault="00CB6829" w14:paraId="1A04456C" w14:textId="7303D1D0">
            <w:pPr>
              <w:rPr>
                <w:sz w:val="24"/>
                <w:szCs w:val="24"/>
              </w:rPr>
            </w:pPr>
            <w:r w:rsidRPr="00DD6A5C">
              <w:rPr>
                <w:sz w:val="24"/>
                <w:szCs w:val="24"/>
              </w:rPr>
              <w:t>3</w:t>
            </w:r>
          </w:p>
        </w:tc>
        <w:tc>
          <w:tcPr>
            <w:tcW w:w="7088" w:type="dxa"/>
          </w:tcPr>
          <w:p w:rsidRPr="00DD6A5C" w:rsidR="00CB6829" w:rsidP="00470186" w:rsidRDefault="00CB6829" w14:paraId="66AF297A" w14:textId="77777777">
            <w:pPr>
              <w:rPr>
                <w:sz w:val="24"/>
                <w:szCs w:val="24"/>
              </w:rPr>
            </w:pPr>
            <w:r w:rsidRPr="00DD6A5C">
              <w:rPr>
                <w:sz w:val="24"/>
                <w:szCs w:val="24"/>
              </w:rPr>
              <w:t>Hoeveel jaar gaan de door de RVB ingekochte flexwoningen mee en wat gebeurt er daarna mee?</w:t>
            </w:r>
          </w:p>
          <w:p w:rsidRPr="00DD6A5C" w:rsidR="00CB6829" w:rsidP="00470186" w:rsidRDefault="00CB6829" w14:paraId="1D349651" w14:textId="77777777">
            <w:pPr>
              <w:rPr>
                <w:sz w:val="24"/>
                <w:szCs w:val="24"/>
              </w:rPr>
            </w:pPr>
          </w:p>
          <w:p w:rsidRPr="00DD6A5C" w:rsidR="00CB6829" w:rsidP="00470186" w:rsidRDefault="00CB6829" w14:paraId="51EA6602" w14:textId="77777777">
            <w:pPr>
              <w:rPr>
                <w:sz w:val="24"/>
                <w:szCs w:val="24"/>
              </w:rPr>
            </w:pPr>
            <w:r w:rsidRPr="00DD6A5C">
              <w:rPr>
                <w:sz w:val="24"/>
                <w:szCs w:val="24"/>
              </w:rPr>
              <w:t>Antwoord:</w:t>
            </w:r>
          </w:p>
          <w:p w:rsidRPr="00DD6A5C" w:rsidR="00CB6829" w:rsidRDefault="00CB6829" w14:paraId="7F5B59A5" w14:textId="77E2DFE7">
            <w:pPr>
              <w:rPr>
                <w:sz w:val="24"/>
                <w:szCs w:val="24"/>
              </w:rPr>
            </w:pPr>
            <w:r w:rsidRPr="00DD6A5C">
              <w:rPr>
                <w:sz w:val="24"/>
                <w:szCs w:val="24"/>
              </w:rPr>
              <w:t>De ingekochte woningen voldoen aan de Woonstandaard 2.0 op basis van de kwaliteit voor tijdelijke plaatsing. Dit betekent dat de leverancier moet aantonen dat de woningen minimaal 25 jaar meegaan en dat de materialen daarna opnieuw ingezet kunnen worden.</w:t>
            </w:r>
          </w:p>
          <w:p w:rsidRPr="00DD6A5C" w:rsidR="00CB6829" w:rsidP="00470186" w:rsidRDefault="00CB6829" w14:paraId="30E7FEBA" w14:textId="5A7224ED">
            <w:pPr>
              <w:rPr>
                <w:sz w:val="24"/>
                <w:szCs w:val="24"/>
              </w:rPr>
            </w:pPr>
          </w:p>
        </w:tc>
      </w:tr>
      <w:tr w:rsidRPr="00DD6A5C" w:rsidR="00CB6829" w:rsidTr="00DD6A5C" w14:paraId="68A81E63" w14:textId="77777777">
        <w:trPr>
          <w:cantSplit/>
        </w:trPr>
        <w:tc>
          <w:tcPr>
            <w:tcW w:w="567" w:type="dxa"/>
          </w:tcPr>
          <w:p w:rsidRPr="00DD6A5C" w:rsidR="00CB6829" w:rsidP="00470186" w:rsidRDefault="00CB6829" w14:paraId="697EA7BE" w14:textId="11A3CD2F">
            <w:pPr>
              <w:rPr>
                <w:sz w:val="24"/>
                <w:szCs w:val="24"/>
              </w:rPr>
            </w:pPr>
            <w:r w:rsidRPr="00DD6A5C">
              <w:rPr>
                <w:sz w:val="24"/>
                <w:szCs w:val="24"/>
              </w:rPr>
              <w:t>4</w:t>
            </w:r>
          </w:p>
        </w:tc>
        <w:tc>
          <w:tcPr>
            <w:tcW w:w="7088" w:type="dxa"/>
          </w:tcPr>
          <w:p w:rsidRPr="00DD6A5C" w:rsidR="00CB6829" w:rsidP="00470186" w:rsidRDefault="00CB6829" w14:paraId="41716393" w14:textId="77777777">
            <w:pPr>
              <w:rPr>
                <w:sz w:val="24"/>
                <w:szCs w:val="24"/>
              </w:rPr>
            </w:pPr>
            <w:r w:rsidRPr="00DD6A5C">
              <w:rPr>
                <w:sz w:val="24"/>
                <w:szCs w:val="24"/>
              </w:rPr>
              <w:t>Kunt u aangeven (indien mogelijk) voor welke doeleinden nieuwe gronden worden aangekocht en hoeveel procent van deze nieuwe gronden landbouwgrond is?</w:t>
            </w:r>
          </w:p>
          <w:p w:rsidRPr="00DD6A5C" w:rsidR="00CB6829" w:rsidP="00470186" w:rsidRDefault="00CB6829" w14:paraId="1AB583A5" w14:textId="77777777">
            <w:pPr>
              <w:rPr>
                <w:sz w:val="24"/>
                <w:szCs w:val="24"/>
              </w:rPr>
            </w:pPr>
          </w:p>
          <w:p w:rsidRPr="00DD6A5C" w:rsidR="00CB6829" w:rsidP="00470186" w:rsidRDefault="00CB6829" w14:paraId="3B9F1679" w14:textId="77777777">
            <w:pPr>
              <w:rPr>
                <w:sz w:val="24"/>
                <w:szCs w:val="24"/>
              </w:rPr>
            </w:pPr>
            <w:r w:rsidRPr="00DD6A5C">
              <w:rPr>
                <w:sz w:val="24"/>
                <w:szCs w:val="24"/>
              </w:rPr>
              <w:t>Antwoord:</w:t>
            </w:r>
          </w:p>
          <w:p w:rsidRPr="00DD6A5C" w:rsidR="00CB6829" w:rsidP="4012C274" w:rsidRDefault="00CB6829" w14:paraId="7A23CDEB" w14:textId="55B48911">
            <w:pPr>
              <w:rPr>
                <w:rFonts w:eastAsia="Verdana"/>
                <w:sz w:val="24"/>
                <w:szCs w:val="24"/>
              </w:rPr>
            </w:pPr>
            <w:r w:rsidRPr="00DD6A5C">
              <w:rPr>
                <w:sz w:val="24"/>
                <w:szCs w:val="24"/>
              </w:rPr>
              <w:t>De nieuwe gronden die worden aangekocht zijn agrarische gronden die in de toekomst ingezet kunnen worden als compensatiegronden (om het mogelijk te maken dat agrariërs hun bedrijfsvoering op een andere locatie kunnen continueren als zij op hun huidige locatie moeten wijken voor het realiseren van een nationaal doel), of het betreft het terugkopen van agrarische (erf)pachtrechten op gronden die reeds in bezit zijn van de Staat. Dus deze verwervingen betreffen voor 100% landbouwgrond.</w:t>
            </w:r>
          </w:p>
          <w:p w:rsidRPr="00DD6A5C" w:rsidR="00CB6829" w:rsidP="00470186" w:rsidRDefault="00CB6829" w14:paraId="3AF60BBA" w14:textId="61C8570D">
            <w:pPr>
              <w:rPr>
                <w:sz w:val="24"/>
                <w:szCs w:val="24"/>
              </w:rPr>
            </w:pPr>
          </w:p>
        </w:tc>
      </w:tr>
      <w:tr w:rsidRPr="00DD6A5C" w:rsidR="00CB6829" w:rsidTr="00DD6A5C" w14:paraId="15D4839F" w14:textId="77777777">
        <w:trPr>
          <w:cantSplit/>
        </w:trPr>
        <w:tc>
          <w:tcPr>
            <w:tcW w:w="567" w:type="dxa"/>
          </w:tcPr>
          <w:p w:rsidRPr="00DD6A5C" w:rsidR="00CB6829" w:rsidP="00470186" w:rsidRDefault="00CB6829" w14:paraId="12000493" w14:textId="7BFC8B28">
            <w:pPr>
              <w:rPr>
                <w:sz w:val="24"/>
                <w:szCs w:val="24"/>
              </w:rPr>
            </w:pPr>
            <w:r w:rsidRPr="00DD6A5C">
              <w:rPr>
                <w:sz w:val="24"/>
                <w:szCs w:val="24"/>
              </w:rPr>
              <w:lastRenderedPageBreak/>
              <w:t>5</w:t>
            </w:r>
          </w:p>
          <w:p w:rsidRPr="00DD6A5C" w:rsidR="00CB6829" w:rsidP="00470186" w:rsidRDefault="00CB6829" w14:paraId="14A2A04C" w14:textId="5519A862">
            <w:pPr>
              <w:rPr>
                <w:sz w:val="24"/>
                <w:szCs w:val="24"/>
              </w:rPr>
            </w:pPr>
          </w:p>
        </w:tc>
        <w:tc>
          <w:tcPr>
            <w:tcW w:w="7088" w:type="dxa"/>
          </w:tcPr>
          <w:p w:rsidRPr="00DD6A5C" w:rsidR="00CB6829" w:rsidP="00470186" w:rsidRDefault="00CB6829" w14:paraId="624D2923" w14:textId="77777777">
            <w:pPr>
              <w:rPr>
                <w:sz w:val="24"/>
                <w:szCs w:val="24"/>
              </w:rPr>
            </w:pPr>
            <w:r w:rsidRPr="00DD6A5C">
              <w:rPr>
                <w:sz w:val="24"/>
                <w:szCs w:val="24"/>
              </w:rPr>
              <w:t>Kunt u aangeven waar het verschil van circa 0,3 miljoen euro vandaan komt?</w:t>
            </w:r>
          </w:p>
          <w:p w:rsidRPr="00DD6A5C" w:rsidR="00CB6829" w:rsidP="00470186" w:rsidRDefault="00CB6829" w14:paraId="5E3B9574" w14:textId="77777777">
            <w:pPr>
              <w:rPr>
                <w:sz w:val="24"/>
                <w:szCs w:val="24"/>
              </w:rPr>
            </w:pPr>
          </w:p>
          <w:p w:rsidRPr="00DD6A5C" w:rsidR="00CB6829" w:rsidP="00470186" w:rsidRDefault="00CB6829" w14:paraId="5BAAA865" w14:textId="77777777">
            <w:pPr>
              <w:rPr>
                <w:sz w:val="24"/>
                <w:szCs w:val="24"/>
              </w:rPr>
            </w:pPr>
            <w:r w:rsidRPr="00DD6A5C">
              <w:rPr>
                <w:sz w:val="24"/>
                <w:szCs w:val="24"/>
              </w:rPr>
              <w:t>Antwoord:</w:t>
            </w:r>
          </w:p>
          <w:p w:rsidRPr="00DD6A5C" w:rsidR="00CB6829" w:rsidP="00470186" w:rsidRDefault="00CB6829" w14:paraId="590C2125" w14:textId="25C0B8B8">
            <w:pPr>
              <w:rPr>
                <w:sz w:val="24"/>
                <w:szCs w:val="24"/>
              </w:rPr>
            </w:pPr>
            <w:r w:rsidRPr="00DD6A5C">
              <w:rPr>
                <w:sz w:val="24"/>
                <w:szCs w:val="24"/>
                <w:lang w:eastAsia="en-US"/>
              </w:rPr>
              <w:t>Via de flexpoolregeling ontvangen gemeenten een bijdrage voor capaciteit voor het versneld realiseren van woningen en de inzet van vakantieparken daarbij. De overboeking naar het btw-compensatiefonds voor de flexpools betreft € 5,782 mln. Daarnaast zijn er gelden via overboekingen binnengekomen op, en is er een reallocatie gedaan naar, dit budget van € 272k voor de eerder genoemde vakantieparken als onderdeel van de regeling flexpools. Dit betreft één keer € 100k vanuit JenV en één keer € 150k vanuit VWS. De overige € 22k betreft een bijdrage die vanuit artikel 3.1 wordt gedaan, waarvoor binnen het instrument bijdrage medeoverheden middelen zijn gerealloceerd om deze op de juiste regeling te verantwoorden.</w:t>
            </w:r>
          </w:p>
          <w:p w:rsidRPr="00DD6A5C" w:rsidR="00CB6829" w:rsidP="00470186" w:rsidRDefault="00CB6829" w14:paraId="3DEC3F67" w14:textId="69431663">
            <w:pPr>
              <w:rPr>
                <w:sz w:val="24"/>
                <w:szCs w:val="24"/>
              </w:rPr>
            </w:pPr>
          </w:p>
        </w:tc>
      </w:tr>
      <w:tr w:rsidRPr="00DD6A5C" w:rsidR="00CB6829" w:rsidTr="00DD6A5C" w14:paraId="79EFE25A" w14:textId="77777777">
        <w:tc>
          <w:tcPr>
            <w:tcW w:w="567" w:type="dxa"/>
          </w:tcPr>
          <w:p w:rsidRPr="00DD6A5C" w:rsidR="00CB6829" w:rsidP="00470186" w:rsidRDefault="00CB6829" w14:paraId="14CA1F24" w14:textId="7FD5603E">
            <w:pPr>
              <w:rPr>
                <w:sz w:val="24"/>
                <w:szCs w:val="24"/>
              </w:rPr>
            </w:pPr>
            <w:r w:rsidRPr="00DD6A5C">
              <w:rPr>
                <w:sz w:val="24"/>
                <w:szCs w:val="24"/>
              </w:rPr>
              <w:t>6</w:t>
            </w:r>
          </w:p>
        </w:tc>
        <w:tc>
          <w:tcPr>
            <w:tcW w:w="7088" w:type="dxa"/>
          </w:tcPr>
          <w:p w:rsidRPr="00DD6A5C" w:rsidR="00CB6829" w:rsidP="00470186" w:rsidRDefault="00CB6829" w14:paraId="226CF796" w14:textId="77777777">
            <w:pPr>
              <w:rPr>
                <w:sz w:val="24"/>
                <w:szCs w:val="24"/>
              </w:rPr>
            </w:pPr>
            <w:r w:rsidRPr="00DD6A5C">
              <w:rPr>
                <w:sz w:val="24"/>
                <w:szCs w:val="24"/>
              </w:rPr>
              <w:t>Wat gaat er gebeuren met de €3,9 miljoen die vrijgevallen is door de invoering van de Wet Betaalbare Huur?</w:t>
            </w:r>
          </w:p>
          <w:p w:rsidRPr="00DD6A5C" w:rsidR="00CB6829" w:rsidP="00470186" w:rsidRDefault="00CB6829" w14:paraId="7561C34D" w14:textId="77777777">
            <w:pPr>
              <w:rPr>
                <w:sz w:val="24"/>
                <w:szCs w:val="24"/>
              </w:rPr>
            </w:pPr>
          </w:p>
          <w:p w:rsidRPr="00DD6A5C" w:rsidR="00CB6829" w:rsidP="00470186" w:rsidRDefault="00CB6829" w14:paraId="2F002643" w14:textId="77777777">
            <w:pPr>
              <w:rPr>
                <w:sz w:val="24"/>
                <w:szCs w:val="24"/>
              </w:rPr>
            </w:pPr>
            <w:r w:rsidRPr="00DD6A5C">
              <w:rPr>
                <w:sz w:val="24"/>
                <w:szCs w:val="24"/>
              </w:rPr>
              <w:t>Antwoord:</w:t>
            </w:r>
          </w:p>
          <w:p w:rsidRPr="00DD6A5C" w:rsidR="00CB6829" w:rsidP="006F1F40" w:rsidRDefault="00CB6829" w14:paraId="271D45A0" w14:textId="09FB3D9A">
            <w:pPr>
              <w:rPr>
                <w:sz w:val="24"/>
                <w:szCs w:val="24"/>
              </w:rPr>
            </w:pPr>
            <w:r w:rsidRPr="00DD6A5C">
              <w:rPr>
                <w:sz w:val="24"/>
                <w:szCs w:val="24"/>
              </w:rPr>
              <w:t>Dit waren middelen die in de offerte van de Huurcommissie voor 2024 waren gereserveerd voor uitvoering van de Wet betaalbare huur, maar door de opgeschoven inwerkingtredingsdatum van de wet (naar 1 juli 2024) niet nodig waren in 2024. Deze middelen zijn teruggevloeid naar de algemene middelen.</w:t>
            </w:r>
          </w:p>
          <w:p w:rsidRPr="00DD6A5C" w:rsidR="00CB6829" w:rsidP="00470186" w:rsidRDefault="00CB6829" w14:paraId="29195A48" w14:textId="74BD0AFB">
            <w:pPr>
              <w:rPr>
                <w:sz w:val="24"/>
                <w:szCs w:val="24"/>
              </w:rPr>
            </w:pPr>
          </w:p>
        </w:tc>
      </w:tr>
      <w:tr w:rsidRPr="00DD6A5C" w:rsidR="00CB6829" w:rsidTr="00DD6A5C" w14:paraId="52EA8CC7" w14:textId="77777777">
        <w:tc>
          <w:tcPr>
            <w:tcW w:w="567" w:type="dxa"/>
          </w:tcPr>
          <w:p w:rsidRPr="00DD6A5C" w:rsidR="00CB6829" w:rsidP="00470186" w:rsidRDefault="00CB6829" w14:paraId="02CB8E0F" w14:textId="6EAE5974">
            <w:pPr>
              <w:rPr>
                <w:sz w:val="24"/>
                <w:szCs w:val="24"/>
              </w:rPr>
            </w:pPr>
            <w:r w:rsidRPr="00DD6A5C">
              <w:rPr>
                <w:sz w:val="24"/>
                <w:szCs w:val="24"/>
              </w:rPr>
              <w:t>7</w:t>
            </w:r>
          </w:p>
        </w:tc>
        <w:tc>
          <w:tcPr>
            <w:tcW w:w="7088" w:type="dxa"/>
          </w:tcPr>
          <w:p w:rsidRPr="00DD6A5C" w:rsidR="00CB6829" w:rsidP="00470186" w:rsidRDefault="00CB6829" w14:paraId="76E92C1E" w14:textId="77777777">
            <w:pPr>
              <w:rPr>
                <w:sz w:val="24"/>
                <w:szCs w:val="24"/>
              </w:rPr>
            </w:pPr>
            <w:r w:rsidRPr="00DD6A5C">
              <w:rPr>
                <w:sz w:val="24"/>
                <w:szCs w:val="24"/>
              </w:rPr>
              <w:t>Wat is de reden van de onderuitputting van de stimuleringsregeling Flex- en Transformatiewoningen?</w:t>
            </w:r>
          </w:p>
          <w:p w:rsidRPr="00DD6A5C" w:rsidR="00CB6829" w:rsidP="00470186" w:rsidRDefault="00CB6829" w14:paraId="5ECCF217" w14:textId="77777777">
            <w:pPr>
              <w:rPr>
                <w:sz w:val="24"/>
                <w:szCs w:val="24"/>
              </w:rPr>
            </w:pPr>
          </w:p>
          <w:p w:rsidRPr="00DD6A5C" w:rsidR="00CB6829" w:rsidP="00470186" w:rsidRDefault="00CB6829" w14:paraId="600FD111" w14:textId="77777777">
            <w:pPr>
              <w:rPr>
                <w:sz w:val="24"/>
                <w:szCs w:val="24"/>
              </w:rPr>
            </w:pPr>
            <w:r w:rsidRPr="00DD6A5C">
              <w:rPr>
                <w:sz w:val="24"/>
                <w:szCs w:val="24"/>
              </w:rPr>
              <w:t>Antwoord:</w:t>
            </w:r>
          </w:p>
          <w:p w:rsidRPr="00DD6A5C" w:rsidR="00CB6829" w:rsidP="00470186" w:rsidRDefault="00CB6829" w14:paraId="06AEF84E" w14:textId="014E7DE8">
            <w:pPr>
              <w:rPr>
                <w:sz w:val="24"/>
                <w:szCs w:val="24"/>
              </w:rPr>
            </w:pPr>
            <w:r w:rsidRPr="00DD6A5C">
              <w:rPr>
                <w:sz w:val="24"/>
                <w:szCs w:val="24"/>
              </w:rPr>
              <w:t>Voor de Stimuleringsregeling Flex- en Transformatiewoningen zijn in 2024 minder aanvragen gedaan dan vooraf geraamd. Uit onderzoek blijkt dat er hiervoor diverse redenen zijn :</w:t>
            </w:r>
          </w:p>
          <w:p w:rsidRPr="00DD6A5C" w:rsidR="00CB6829" w:rsidP="00470186" w:rsidRDefault="00CB6829" w14:paraId="39FD8A91" w14:textId="1538949A">
            <w:pPr>
              <w:rPr>
                <w:sz w:val="24"/>
                <w:szCs w:val="24"/>
              </w:rPr>
            </w:pPr>
            <w:r w:rsidRPr="00DD6A5C">
              <w:rPr>
                <w:sz w:val="24"/>
                <w:szCs w:val="24"/>
              </w:rPr>
              <w:t xml:space="preserve">(1) voorwaarde dat de woningen in principe binnen 12 maanden opgeleverd moeten zijn, </w:t>
            </w:r>
          </w:p>
          <w:p w:rsidRPr="00DD6A5C" w:rsidR="00CB6829" w:rsidP="00470186" w:rsidRDefault="00CB6829" w14:paraId="49508AD0" w14:textId="1940376F">
            <w:pPr>
              <w:rPr>
                <w:sz w:val="24"/>
                <w:szCs w:val="24"/>
              </w:rPr>
            </w:pPr>
            <w:r w:rsidRPr="00DD6A5C">
              <w:rPr>
                <w:sz w:val="24"/>
                <w:szCs w:val="24"/>
              </w:rPr>
              <w:t xml:space="preserve">(2) hoogte van de bijdrage per woonruimte, </w:t>
            </w:r>
          </w:p>
          <w:p w:rsidRPr="00DD6A5C" w:rsidR="00CB6829" w:rsidP="00470186" w:rsidRDefault="00CB6829" w14:paraId="093E4981" w14:textId="2E054A9C">
            <w:pPr>
              <w:rPr>
                <w:sz w:val="24"/>
                <w:szCs w:val="24"/>
              </w:rPr>
            </w:pPr>
            <w:r w:rsidRPr="00DD6A5C">
              <w:rPr>
                <w:sz w:val="24"/>
                <w:szCs w:val="24"/>
              </w:rPr>
              <w:t xml:space="preserve">(3) administratieve lasten </w:t>
            </w:r>
            <w:r w:rsidRPr="00DD6A5C" w:rsidDel="00DA20E2">
              <w:rPr>
                <w:sz w:val="24"/>
                <w:szCs w:val="24"/>
              </w:rPr>
              <w:t>die samenhangen met capaciteitsproblemen</w:t>
            </w:r>
            <w:r w:rsidRPr="00DD6A5C">
              <w:rPr>
                <w:sz w:val="24"/>
                <w:szCs w:val="24"/>
              </w:rPr>
              <w:t xml:space="preserve"> bij gemeenten,</w:t>
            </w:r>
          </w:p>
          <w:p w:rsidRPr="00DD6A5C" w:rsidR="00CB6829" w:rsidP="00470186" w:rsidRDefault="00CB6829" w14:paraId="146A24E6" w14:textId="3792C9BB">
            <w:pPr>
              <w:rPr>
                <w:sz w:val="24"/>
                <w:szCs w:val="24"/>
              </w:rPr>
            </w:pPr>
            <w:r w:rsidRPr="00DD6A5C">
              <w:rPr>
                <w:sz w:val="24"/>
                <w:szCs w:val="24"/>
              </w:rPr>
              <w:t>(4) omdat er bij meerdere gemeenten geen draagvlak was om 30% van de woningen te reserveren voor statushouders en Oekraïners.</w:t>
            </w:r>
          </w:p>
          <w:p w:rsidRPr="00DD6A5C" w:rsidR="00CB6829" w:rsidP="00470186" w:rsidRDefault="00CB6829" w14:paraId="56159690" w14:textId="34976156">
            <w:pPr>
              <w:rPr>
                <w:sz w:val="24"/>
                <w:szCs w:val="24"/>
              </w:rPr>
            </w:pPr>
            <w:r w:rsidRPr="00DD6A5C">
              <w:rPr>
                <w:sz w:val="24"/>
                <w:szCs w:val="24"/>
              </w:rPr>
              <w:t xml:space="preserve"> </w:t>
            </w:r>
          </w:p>
        </w:tc>
      </w:tr>
      <w:tr w:rsidRPr="00DD6A5C" w:rsidR="00CB6829" w:rsidTr="00DD6A5C" w14:paraId="3CB48286" w14:textId="77777777">
        <w:tc>
          <w:tcPr>
            <w:tcW w:w="567" w:type="dxa"/>
          </w:tcPr>
          <w:p w:rsidRPr="00DD6A5C" w:rsidR="00CB6829" w:rsidP="00470186" w:rsidRDefault="00CB6829" w14:paraId="0B279AA5" w14:textId="28B11482">
            <w:pPr>
              <w:rPr>
                <w:sz w:val="24"/>
                <w:szCs w:val="24"/>
              </w:rPr>
            </w:pPr>
            <w:r w:rsidRPr="00DD6A5C">
              <w:rPr>
                <w:sz w:val="24"/>
                <w:szCs w:val="24"/>
              </w:rPr>
              <w:t>8</w:t>
            </w:r>
          </w:p>
        </w:tc>
        <w:tc>
          <w:tcPr>
            <w:tcW w:w="7088" w:type="dxa"/>
          </w:tcPr>
          <w:p w:rsidRPr="00DD6A5C" w:rsidR="00CB6829" w:rsidP="00470186" w:rsidRDefault="00CB6829" w14:paraId="637646E1" w14:textId="77777777">
            <w:pPr>
              <w:rPr>
                <w:sz w:val="24"/>
                <w:szCs w:val="24"/>
              </w:rPr>
            </w:pPr>
            <w:r w:rsidRPr="00DD6A5C">
              <w:rPr>
                <w:sz w:val="24"/>
                <w:szCs w:val="24"/>
              </w:rPr>
              <w:t>Wat gaat er gebeuren om het gebruik van de stimuleringsregeling Flex- en Transformatiewoningen te stimuleren?</w:t>
            </w:r>
          </w:p>
          <w:p w:rsidRPr="00DD6A5C" w:rsidR="00CB6829" w:rsidP="00470186" w:rsidRDefault="00CB6829" w14:paraId="0BB0B951" w14:textId="77777777">
            <w:pPr>
              <w:rPr>
                <w:sz w:val="24"/>
                <w:szCs w:val="24"/>
              </w:rPr>
            </w:pPr>
          </w:p>
          <w:p w:rsidRPr="00DD6A5C" w:rsidR="00CB6829" w:rsidP="00470186" w:rsidRDefault="00CB6829" w14:paraId="5875D540" w14:textId="77777777">
            <w:pPr>
              <w:rPr>
                <w:sz w:val="24"/>
                <w:szCs w:val="24"/>
              </w:rPr>
            </w:pPr>
            <w:r w:rsidRPr="00DD6A5C">
              <w:rPr>
                <w:sz w:val="24"/>
                <w:szCs w:val="24"/>
              </w:rPr>
              <w:lastRenderedPageBreak/>
              <w:t>Antwoord:</w:t>
            </w:r>
          </w:p>
          <w:p w:rsidRPr="00DD6A5C" w:rsidR="00CB6829" w:rsidP="0D934F6B" w:rsidRDefault="00CB6829" w14:paraId="4D202A68" w14:textId="77777777">
            <w:pPr>
              <w:rPr>
                <w:sz w:val="24"/>
                <w:szCs w:val="24"/>
              </w:rPr>
            </w:pPr>
            <w:r w:rsidRPr="00DD6A5C">
              <w:rPr>
                <w:sz w:val="24"/>
                <w:szCs w:val="24"/>
              </w:rPr>
              <w:t>Om het gebruik van de regeling te bevorderen, is het voornemen om de regeling op een aantal punten aan te passen. De wijzigingen zijn nu in internetconsultatie:</w:t>
            </w:r>
          </w:p>
          <w:p w:rsidRPr="00DD6A5C" w:rsidR="00CB6829" w:rsidP="00A25A7A" w:rsidRDefault="00CB6829" w14:paraId="5A599149" w14:textId="310FF8FB">
            <w:pPr>
              <w:pStyle w:val="Lijstalinea"/>
              <w:numPr>
                <w:ilvl w:val="0"/>
                <w:numId w:val="8"/>
              </w:numPr>
              <w:rPr>
                <w:sz w:val="24"/>
                <w:szCs w:val="24"/>
              </w:rPr>
            </w:pPr>
            <w:r w:rsidRPr="00DD6A5C">
              <w:rPr>
                <w:sz w:val="24"/>
                <w:szCs w:val="24"/>
              </w:rPr>
              <w:t>Startbouw binnen 1 jaar in plaats van realisatie binnen 1 jaar.</w:t>
            </w:r>
          </w:p>
          <w:p w:rsidRPr="00DD6A5C" w:rsidR="00CB6829" w:rsidP="6F65A03A" w:rsidRDefault="00CB6829" w14:paraId="33A0D79C" w14:textId="2ED8DA72">
            <w:pPr>
              <w:pStyle w:val="Lijstalinea"/>
              <w:numPr>
                <w:ilvl w:val="0"/>
                <w:numId w:val="6"/>
              </w:numPr>
              <w:rPr>
                <w:sz w:val="24"/>
                <w:szCs w:val="24"/>
              </w:rPr>
            </w:pPr>
            <w:r w:rsidRPr="00DD6A5C">
              <w:rPr>
                <w:sz w:val="24"/>
                <w:szCs w:val="24"/>
              </w:rPr>
              <w:t>Verhoging bijdrage van € 7.800 naar € 8.500 per woonruimte</w:t>
            </w:r>
          </w:p>
          <w:p w:rsidRPr="00DD6A5C" w:rsidR="00CB6829" w:rsidP="6F65A03A" w:rsidRDefault="00CB6829" w14:paraId="70F535F8" w14:textId="51B758BE">
            <w:pPr>
              <w:pStyle w:val="Lijstalinea"/>
              <w:numPr>
                <w:ilvl w:val="0"/>
                <w:numId w:val="6"/>
              </w:numPr>
              <w:rPr>
                <w:sz w:val="24"/>
                <w:szCs w:val="24"/>
              </w:rPr>
            </w:pPr>
            <w:r w:rsidRPr="00DD6A5C">
              <w:rPr>
                <w:sz w:val="24"/>
                <w:szCs w:val="24"/>
              </w:rPr>
              <w:t>Vereenvoudiging aanvraag formulier.</w:t>
            </w:r>
          </w:p>
          <w:p w:rsidRPr="00DD6A5C" w:rsidR="00CB6829" w:rsidP="6F65A03A" w:rsidRDefault="00CB6829" w14:paraId="63CA151D" w14:textId="5181FC06">
            <w:pPr>
              <w:pStyle w:val="Lijstalinea"/>
              <w:numPr>
                <w:ilvl w:val="0"/>
                <w:numId w:val="6"/>
              </w:numPr>
              <w:rPr>
                <w:sz w:val="24"/>
                <w:szCs w:val="24"/>
              </w:rPr>
            </w:pPr>
            <w:r w:rsidRPr="00DD6A5C">
              <w:rPr>
                <w:sz w:val="24"/>
                <w:szCs w:val="24"/>
              </w:rPr>
              <w:t>Geen rangorde meer bij de aanvraag.</w:t>
            </w:r>
          </w:p>
          <w:p w:rsidRPr="00DD6A5C" w:rsidR="00CB6829" w:rsidP="6F65A03A" w:rsidRDefault="00CB6829" w14:paraId="650CA1F8" w14:textId="4AB64406">
            <w:pPr>
              <w:pStyle w:val="Lijstalinea"/>
              <w:numPr>
                <w:ilvl w:val="0"/>
                <w:numId w:val="6"/>
              </w:numPr>
              <w:rPr>
                <w:sz w:val="24"/>
                <w:szCs w:val="24"/>
              </w:rPr>
            </w:pPr>
            <w:r w:rsidRPr="00DD6A5C">
              <w:rPr>
                <w:sz w:val="24"/>
                <w:szCs w:val="24"/>
              </w:rPr>
              <w:t>Doorlopende openstelling loket.</w:t>
            </w:r>
          </w:p>
          <w:p w:rsidRPr="00DD6A5C" w:rsidR="00CB6829" w:rsidP="6F65A03A" w:rsidRDefault="00CB6829" w14:paraId="5AA2EDAC" w14:textId="7CA2D5F7">
            <w:pPr>
              <w:pStyle w:val="Lijstalinea"/>
              <w:numPr>
                <w:ilvl w:val="0"/>
                <w:numId w:val="6"/>
              </w:numPr>
              <w:rPr>
                <w:sz w:val="24"/>
                <w:szCs w:val="24"/>
              </w:rPr>
            </w:pPr>
            <w:r w:rsidRPr="00DD6A5C">
              <w:rPr>
                <w:sz w:val="24"/>
                <w:szCs w:val="24"/>
              </w:rPr>
              <w:t>Geen maximum budget plafond per gemeente.</w:t>
            </w:r>
          </w:p>
          <w:p w:rsidRPr="00DD6A5C" w:rsidR="00CB6829" w:rsidP="00470186" w:rsidRDefault="00CB6829" w14:paraId="09645215" w14:textId="3307D90B">
            <w:pPr>
              <w:rPr>
                <w:sz w:val="24"/>
                <w:szCs w:val="24"/>
              </w:rPr>
            </w:pPr>
          </w:p>
        </w:tc>
      </w:tr>
      <w:tr w:rsidRPr="00DD6A5C" w:rsidR="00CB6829" w:rsidTr="00DD6A5C" w14:paraId="0D32058F" w14:textId="77777777">
        <w:tc>
          <w:tcPr>
            <w:tcW w:w="567" w:type="dxa"/>
          </w:tcPr>
          <w:p w:rsidRPr="00DD6A5C" w:rsidR="00CB6829" w:rsidP="00470186" w:rsidRDefault="00CB6829" w14:paraId="74001975" w14:textId="2376841B">
            <w:pPr>
              <w:rPr>
                <w:sz w:val="24"/>
                <w:szCs w:val="24"/>
              </w:rPr>
            </w:pPr>
            <w:r w:rsidRPr="00DD6A5C">
              <w:rPr>
                <w:sz w:val="24"/>
                <w:szCs w:val="24"/>
              </w:rPr>
              <w:lastRenderedPageBreak/>
              <w:t>9</w:t>
            </w:r>
          </w:p>
        </w:tc>
        <w:tc>
          <w:tcPr>
            <w:tcW w:w="7088" w:type="dxa"/>
          </w:tcPr>
          <w:p w:rsidRPr="00DD6A5C" w:rsidR="00CB6829" w:rsidP="00470186" w:rsidRDefault="00CB6829" w14:paraId="14230140" w14:textId="77777777">
            <w:pPr>
              <w:rPr>
                <w:sz w:val="24"/>
                <w:szCs w:val="24"/>
              </w:rPr>
            </w:pPr>
            <w:r w:rsidRPr="00DD6A5C">
              <w:rPr>
                <w:sz w:val="24"/>
                <w:szCs w:val="24"/>
              </w:rPr>
              <w:t>Kunt u een aanvullende toelichting geven inzake de diverse reallocaties om de middelen voor uitvoeringskracht en versnelling in het woningbouwdomein op het juiste instrument te verantwoorden?</w:t>
            </w:r>
          </w:p>
          <w:p w:rsidRPr="00DD6A5C" w:rsidR="00CB6829" w:rsidP="00470186" w:rsidRDefault="00CB6829" w14:paraId="2A6D3A1A" w14:textId="77777777">
            <w:pPr>
              <w:rPr>
                <w:sz w:val="24"/>
                <w:szCs w:val="24"/>
              </w:rPr>
            </w:pPr>
          </w:p>
          <w:p w:rsidRPr="00DD6A5C" w:rsidR="00CB6829" w:rsidP="00470186" w:rsidRDefault="00CB6829" w14:paraId="0C2DA085" w14:textId="77777777">
            <w:pPr>
              <w:rPr>
                <w:sz w:val="24"/>
                <w:szCs w:val="24"/>
              </w:rPr>
            </w:pPr>
            <w:r w:rsidRPr="00DD6A5C">
              <w:rPr>
                <w:sz w:val="24"/>
                <w:szCs w:val="24"/>
              </w:rPr>
              <w:t>Antwoord:</w:t>
            </w:r>
          </w:p>
          <w:p w:rsidRPr="00DD6A5C" w:rsidR="00CB6829" w:rsidP="00893EFF" w:rsidRDefault="00CB6829" w14:paraId="5A7F3147" w14:textId="77777777">
            <w:pPr>
              <w:rPr>
                <w:sz w:val="24"/>
                <w:szCs w:val="24"/>
              </w:rPr>
            </w:pPr>
            <w:r w:rsidRPr="00DD6A5C">
              <w:rPr>
                <w:sz w:val="24"/>
                <w:szCs w:val="24"/>
              </w:rPr>
              <w:t>Er zijn in 2024 middelen beschikbaar om de uitvoeringskracht van medeoverheden binnen het woningbouwdomein te vergroten door betere samenwerking en meer capaciteit, kennis en kunde. De uitgaven hiervoor worden gedaan via diverse financiële instrumenten zoals opdrachten, een subsidie aan de VNG en andere bijdragen. Om die reden wordt in de 2</w:t>
            </w:r>
            <w:r w:rsidRPr="00DD6A5C">
              <w:rPr>
                <w:sz w:val="24"/>
                <w:szCs w:val="24"/>
                <w:vertAlign w:val="superscript"/>
              </w:rPr>
              <w:t>e</w:t>
            </w:r>
            <w:r w:rsidRPr="00DD6A5C">
              <w:rPr>
                <w:sz w:val="24"/>
                <w:szCs w:val="24"/>
              </w:rPr>
              <w:t xml:space="preserve"> suppletoire begroting in totaal € 2,2 mln. gerealloceerd binnen artikel 3.3 Woningbouw, zodat de uitgaven op het juiste instrument worden verantwoord.</w:t>
            </w:r>
          </w:p>
          <w:p w:rsidRPr="00DD6A5C" w:rsidR="00CB6829" w:rsidP="00893EFF" w:rsidRDefault="00CB6829" w14:paraId="42DD81FC" w14:textId="551DF7A8">
            <w:pPr>
              <w:rPr>
                <w:sz w:val="24"/>
                <w:szCs w:val="24"/>
              </w:rPr>
            </w:pPr>
          </w:p>
        </w:tc>
      </w:tr>
      <w:tr w:rsidRPr="00DD6A5C" w:rsidR="00CB6829" w:rsidTr="00DD6A5C" w14:paraId="772D0F20" w14:textId="77777777">
        <w:tc>
          <w:tcPr>
            <w:tcW w:w="567" w:type="dxa"/>
          </w:tcPr>
          <w:p w:rsidRPr="00DD6A5C" w:rsidR="00CB6829" w:rsidP="00470186" w:rsidRDefault="00CB6829" w14:paraId="530C08AE" w14:textId="4D3655DE">
            <w:pPr>
              <w:rPr>
                <w:sz w:val="24"/>
                <w:szCs w:val="24"/>
              </w:rPr>
            </w:pPr>
            <w:r w:rsidRPr="00DD6A5C">
              <w:rPr>
                <w:sz w:val="24"/>
                <w:szCs w:val="24"/>
              </w:rPr>
              <w:t>10</w:t>
            </w:r>
          </w:p>
        </w:tc>
        <w:tc>
          <w:tcPr>
            <w:tcW w:w="7088" w:type="dxa"/>
          </w:tcPr>
          <w:p w:rsidRPr="00DD6A5C" w:rsidR="00CB6829" w:rsidP="00470186" w:rsidRDefault="00CB6829" w14:paraId="6CAA49D2" w14:textId="77777777">
            <w:pPr>
              <w:rPr>
                <w:sz w:val="24"/>
                <w:szCs w:val="24"/>
              </w:rPr>
            </w:pPr>
            <w:r w:rsidRPr="00DD6A5C">
              <w:rPr>
                <w:sz w:val="24"/>
                <w:szCs w:val="24"/>
              </w:rPr>
              <w:t>Zijn er redenen bekend waarom er minder aanvragen zijn gedaan door gemeenten bij de stimuleringsregeling Flex- en Transformatiewoningen? Kan het zijn dat de regeling niet goed bekend was bij gemeenten of dat zij liever niet willen inzetten op flex- en transformatiewoningen?</w:t>
            </w:r>
          </w:p>
          <w:p w:rsidRPr="00DD6A5C" w:rsidR="00CB6829" w:rsidP="00470186" w:rsidRDefault="00CB6829" w14:paraId="103D4FBD" w14:textId="77777777">
            <w:pPr>
              <w:rPr>
                <w:sz w:val="24"/>
                <w:szCs w:val="24"/>
              </w:rPr>
            </w:pPr>
          </w:p>
          <w:p w:rsidRPr="00DD6A5C" w:rsidR="00CB6829" w:rsidP="00470186" w:rsidRDefault="00CB6829" w14:paraId="69B25408" w14:textId="77777777">
            <w:pPr>
              <w:rPr>
                <w:sz w:val="24"/>
                <w:szCs w:val="24"/>
              </w:rPr>
            </w:pPr>
            <w:r w:rsidRPr="00DD6A5C">
              <w:rPr>
                <w:sz w:val="24"/>
                <w:szCs w:val="24"/>
              </w:rPr>
              <w:t>Antwoord:</w:t>
            </w:r>
          </w:p>
          <w:p w:rsidRPr="00DD6A5C" w:rsidR="00CB6829" w:rsidP="00CF4A9D" w:rsidRDefault="00CB6829" w14:paraId="4F56B8AE" w14:textId="222CEE5D">
            <w:pPr>
              <w:rPr>
                <w:sz w:val="24"/>
                <w:szCs w:val="24"/>
              </w:rPr>
            </w:pPr>
            <w:r w:rsidRPr="00DD6A5C">
              <w:rPr>
                <w:sz w:val="24"/>
                <w:szCs w:val="24"/>
              </w:rPr>
              <w:t xml:space="preserve">Ja die redenen zijn bekend, zie ook het antwoord op vraag 3. De regeling was voldoende bekend. Gemeenten staan positief tegenover het inzetten van flex- en transformatiewoningen. </w:t>
            </w:r>
          </w:p>
          <w:p w:rsidRPr="00DD6A5C" w:rsidR="00CB6829" w:rsidP="00470186" w:rsidRDefault="00CB6829" w14:paraId="0FB5CADD" w14:textId="4124A90C">
            <w:pPr>
              <w:rPr>
                <w:sz w:val="24"/>
                <w:szCs w:val="24"/>
              </w:rPr>
            </w:pPr>
          </w:p>
        </w:tc>
      </w:tr>
      <w:tr w:rsidRPr="00DD6A5C" w:rsidR="00CB6829" w:rsidTr="00DD6A5C" w14:paraId="24F93638" w14:textId="77777777">
        <w:tc>
          <w:tcPr>
            <w:tcW w:w="567" w:type="dxa"/>
          </w:tcPr>
          <w:p w:rsidRPr="00DD6A5C" w:rsidR="00CB6829" w:rsidP="00470186" w:rsidRDefault="00CB6829" w14:paraId="60A981C8" w14:textId="1123DAB5">
            <w:pPr>
              <w:rPr>
                <w:sz w:val="24"/>
                <w:szCs w:val="24"/>
              </w:rPr>
            </w:pPr>
            <w:r w:rsidRPr="00DD6A5C">
              <w:rPr>
                <w:sz w:val="24"/>
                <w:szCs w:val="24"/>
              </w:rPr>
              <w:t>11</w:t>
            </w:r>
          </w:p>
        </w:tc>
        <w:tc>
          <w:tcPr>
            <w:tcW w:w="7088" w:type="dxa"/>
          </w:tcPr>
          <w:p w:rsidRPr="00DD6A5C" w:rsidR="00CB6829" w:rsidP="00470186" w:rsidRDefault="00CB6829" w14:paraId="4386C681" w14:textId="77777777">
            <w:pPr>
              <w:rPr>
                <w:sz w:val="24"/>
                <w:szCs w:val="24"/>
              </w:rPr>
            </w:pPr>
            <w:r w:rsidRPr="00DD6A5C">
              <w:rPr>
                <w:sz w:val="24"/>
                <w:szCs w:val="24"/>
              </w:rPr>
              <w:t>Wat is de reden voor de aanpassingen waardoor een aantal bouwprojecten (deels) niet meer voldoen aan de verschillende woningbouwregelingen en er nu €2,8 miljoen terggevorderd wordt?</w:t>
            </w:r>
          </w:p>
          <w:p w:rsidRPr="00DD6A5C" w:rsidR="00CB6829" w:rsidP="00470186" w:rsidRDefault="00CB6829" w14:paraId="7A13C96C" w14:textId="77777777">
            <w:pPr>
              <w:rPr>
                <w:sz w:val="24"/>
                <w:szCs w:val="24"/>
              </w:rPr>
            </w:pPr>
          </w:p>
          <w:p w:rsidRPr="00DD6A5C" w:rsidR="00CB6829" w:rsidP="00470186" w:rsidRDefault="00CB6829" w14:paraId="1B5E4FDA" w14:textId="77777777">
            <w:pPr>
              <w:rPr>
                <w:sz w:val="24"/>
                <w:szCs w:val="24"/>
              </w:rPr>
            </w:pPr>
            <w:r w:rsidRPr="00DD6A5C">
              <w:rPr>
                <w:sz w:val="24"/>
                <w:szCs w:val="24"/>
              </w:rPr>
              <w:t>Antwoord:</w:t>
            </w:r>
          </w:p>
          <w:p w:rsidRPr="00DD6A5C" w:rsidR="00CB6829" w:rsidRDefault="00CB6829" w14:paraId="5E990E27" w14:textId="71B751C2">
            <w:pPr>
              <w:rPr>
                <w:sz w:val="24"/>
                <w:szCs w:val="24"/>
              </w:rPr>
            </w:pPr>
            <w:r w:rsidRPr="00DD6A5C">
              <w:rPr>
                <w:sz w:val="24"/>
                <w:szCs w:val="24"/>
              </w:rPr>
              <w:t xml:space="preserve">Er is voor € 2,8 mln. teruggevorderd door wijzigingen in projecten, waardoor ze niet meer voldoen aan de eisen die de woningbouwregelingen stellen. De middelen uit de diverse woningbouwregelingen zijn verstrekt onder strikte voorwaarden. Hierbij zijn de belangrijkste voorwaarden een tijdige startbouw en realisatie van </w:t>
            </w:r>
            <w:r w:rsidRPr="00DD6A5C">
              <w:rPr>
                <w:sz w:val="24"/>
                <w:szCs w:val="24"/>
              </w:rPr>
              <w:lastRenderedPageBreak/>
              <w:t xml:space="preserve">het betaalbare woningprogramma conform beschikking. Wanneer de uitvoering van een project niet meer verloopt conform beschikking wordt geprobeerd om te voorkomen dat deze wijzigingen ten koste gaan van de doelstellingen van het instrument. Het rijk biedt gemeenten ondersteuning aan om wijzigingen zoveel mogelijk te voorkomen. In het uiterste geval kunnen wijzigingen leiden tot (gedeeltelijke) terugvordering. De teruggevorderde middelen worden zoveel mogelijk opnieuw ingezet voor het stimuleren van de woningbouw. </w:t>
            </w:r>
          </w:p>
          <w:p w:rsidRPr="00DD6A5C" w:rsidR="00CB6829" w:rsidP="00470186" w:rsidRDefault="00CB6829" w14:paraId="61E4D0C3" w14:textId="7F6C3AC9">
            <w:pPr>
              <w:rPr>
                <w:sz w:val="24"/>
                <w:szCs w:val="24"/>
              </w:rPr>
            </w:pPr>
          </w:p>
        </w:tc>
      </w:tr>
      <w:tr w:rsidRPr="00DD6A5C" w:rsidR="00CB6829" w:rsidTr="00DD6A5C" w14:paraId="4264F640" w14:textId="77777777">
        <w:tc>
          <w:tcPr>
            <w:tcW w:w="567" w:type="dxa"/>
          </w:tcPr>
          <w:p w:rsidRPr="00DD6A5C" w:rsidR="00CB6829" w:rsidP="00470186" w:rsidRDefault="00CB6829" w14:paraId="07A1BC0B" w14:textId="53896357">
            <w:pPr>
              <w:rPr>
                <w:sz w:val="24"/>
                <w:szCs w:val="24"/>
              </w:rPr>
            </w:pPr>
            <w:r w:rsidRPr="00DD6A5C">
              <w:rPr>
                <w:sz w:val="24"/>
                <w:szCs w:val="24"/>
              </w:rPr>
              <w:lastRenderedPageBreak/>
              <w:t>12</w:t>
            </w:r>
          </w:p>
        </w:tc>
        <w:tc>
          <w:tcPr>
            <w:tcW w:w="7088" w:type="dxa"/>
          </w:tcPr>
          <w:p w:rsidRPr="00DD6A5C" w:rsidR="00CB6829" w:rsidP="00470186" w:rsidRDefault="00CB6829" w14:paraId="28B0D8F7" w14:textId="77777777">
            <w:pPr>
              <w:rPr>
                <w:sz w:val="24"/>
                <w:szCs w:val="24"/>
              </w:rPr>
            </w:pPr>
            <w:r w:rsidRPr="00DD6A5C">
              <w:rPr>
                <w:sz w:val="24"/>
                <w:szCs w:val="24"/>
              </w:rPr>
              <w:t>Leveren de terugvordering van €2,8 miljoen en de aanpassingen van de bouwprojecten vertraging op, en zo ja hoelang wordt deze vertraging geschat te duren?</w:t>
            </w:r>
          </w:p>
          <w:p w:rsidRPr="00DD6A5C" w:rsidR="00CB6829" w:rsidP="00470186" w:rsidRDefault="00CB6829" w14:paraId="08914B11" w14:textId="77777777">
            <w:pPr>
              <w:rPr>
                <w:sz w:val="24"/>
                <w:szCs w:val="24"/>
              </w:rPr>
            </w:pPr>
          </w:p>
          <w:p w:rsidRPr="00DD6A5C" w:rsidR="00CB6829" w:rsidP="00470186" w:rsidRDefault="00CB6829" w14:paraId="70BC8038" w14:textId="77777777">
            <w:pPr>
              <w:rPr>
                <w:sz w:val="24"/>
                <w:szCs w:val="24"/>
              </w:rPr>
            </w:pPr>
            <w:r w:rsidRPr="00DD6A5C">
              <w:rPr>
                <w:sz w:val="24"/>
                <w:szCs w:val="24"/>
              </w:rPr>
              <w:t>Antwoord:</w:t>
            </w:r>
          </w:p>
          <w:p w:rsidRPr="00DD6A5C" w:rsidR="00CB6829" w:rsidRDefault="00CB6829" w14:paraId="14DA6E8A" w14:textId="46000122">
            <w:pPr>
              <w:rPr>
                <w:sz w:val="24"/>
                <w:szCs w:val="24"/>
              </w:rPr>
            </w:pPr>
            <w:r w:rsidRPr="00DD6A5C">
              <w:rPr>
                <w:sz w:val="24"/>
                <w:szCs w:val="24"/>
              </w:rPr>
              <w:t xml:space="preserve">Bij de projecten waarbij in totaal € 2,8 mln. is teruggevorderd was al sprake van vertraging of andere wijzigingen voordat werd teruggevorderd. Deze projecten weken zodanig af van de oorspronkelijke aanvraag dat in overleg met de gemeenten terugvordering heeft plaatsgevonden. Deze projecten liggen opnieuw op de tekentafel en kunnen in de toekomst een nieuwe aanvraag doen voor een woningbouwregeling, als deze voldoen aan de geldende eisen van die regeling. </w:t>
            </w:r>
          </w:p>
          <w:p w:rsidRPr="00DD6A5C" w:rsidR="00CB6829" w:rsidP="00470186" w:rsidRDefault="00CB6829" w14:paraId="62B7A03A" w14:textId="60572B17">
            <w:pPr>
              <w:rPr>
                <w:sz w:val="24"/>
                <w:szCs w:val="24"/>
              </w:rPr>
            </w:pPr>
          </w:p>
        </w:tc>
      </w:tr>
    </w:tbl>
    <w:tbl>
      <w:tblPr>
        <w:tblStyle w:val="NormalTable0"/>
        <w:tblW w:w="7797" w:type="dxa"/>
        <w:tblInd w:w="0" w:type="dxa"/>
        <w:tblLayout w:type="fixed"/>
        <w:tblCellMar>
          <w:left w:w="0" w:type="dxa"/>
          <w:right w:w="0" w:type="dxa"/>
        </w:tblCellMar>
        <w:tblLook w:val="04A0" w:firstRow="1" w:lastRow="0" w:firstColumn="1" w:lastColumn="0" w:noHBand="0" w:noVBand="1"/>
      </w:tblPr>
      <w:tblGrid>
        <w:gridCol w:w="566"/>
        <w:gridCol w:w="7231"/>
      </w:tblGrid>
      <w:tr w:rsidRPr="00DD6A5C" w:rsidR="00DD6A5C" w:rsidTr="00DD6A5C" w14:paraId="06F6100A" w14:textId="77777777">
        <w:tc>
          <w:tcPr>
            <w:tcW w:w="566" w:type="dxa"/>
            <w:hideMark/>
          </w:tcPr>
          <w:p w:rsidRPr="00DD6A5C" w:rsidR="00DD6A5C" w:rsidP="4012C274" w:rsidRDefault="00DD6A5C" w14:paraId="61E47840" w14:textId="4DC22059">
            <w:pPr>
              <w:rPr>
                <w:sz w:val="24"/>
                <w:szCs w:val="24"/>
                <w:lang w:eastAsia="en-US"/>
              </w:rPr>
            </w:pPr>
            <w:bookmarkStart w:name="bmkStartTabel" w:id="0"/>
            <w:bookmarkEnd w:id="0"/>
            <w:r w:rsidRPr="00DD6A5C">
              <w:rPr>
                <w:sz w:val="24"/>
                <w:szCs w:val="24"/>
                <w:lang w:val="en-US" w:eastAsia="en-US"/>
              </w:rPr>
              <w:t>1</w:t>
            </w:r>
            <w:r w:rsidRPr="00DD6A5C">
              <w:rPr>
                <w:sz w:val="24"/>
                <w:szCs w:val="24"/>
                <w:lang w:eastAsia="en-US"/>
              </w:rPr>
              <w:t>3</w:t>
            </w:r>
          </w:p>
          <w:p w:rsidRPr="00DD6A5C" w:rsidR="00DD6A5C" w:rsidP="00470186" w:rsidRDefault="00DD6A5C" w14:paraId="54A430B8" w14:textId="16B47550">
            <w:pPr>
              <w:rPr>
                <w:sz w:val="24"/>
                <w:szCs w:val="24"/>
                <w:lang w:val="en-US" w:eastAsia="en-US"/>
              </w:rPr>
            </w:pPr>
          </w:p>
        </w:tc>
        <w:tc>
          <w:tcPr>
            <w:tcW w:w="7231" w:type="dxa"/>
            <w:hideMark/>
          </w:tcPr>
          <w:p w:rsidRPr="00DD6A5C" w:rsidR="00DD6A5C" w:rsidP="4012C274" w:rsidRDefault="00DD6A5C" w14:paraId="13C729DA" w14:textId="77777777">
            <w:pPr>
              <w:rPr>
                <w:sz w:val="24"/>
                <w:szCs w:val="24"/>
                <w:lang w:eastAsia="en-US"/>
              </w:rPr>
            </w:pPr>
            <w:r w:rsidRPr="00DD6A5C">
              <w:rPr>
                <w:sz w:val="24"/>
                <w:szCs w:val="24"/>
                <w:lang w:eastAsia="en-US"/>
              </w:rPr>
              <w:t>Kunt u aangeven om welke diverse kleinere vaststellingen het precies gaat?</w:t>
            </w:r>
          </w:p>
          <w:p w:rsidRPr="00DD6A5C" w:rsidR="00DD6A5C" w:rsidP="00470186" w:rsidRDefault="00DD6A5C" w14:paraId="61AF4752" w14:textId="77777777">
            <w:pPr>
              <w:rPr>
                <w:sz w:val="24"/>
                <w:szCs w:val="24"/>
                <w:lang w:eastAsia="en-US"/>
              </w:rPr>
            </w:pPr>
          </w:p>
          <w:p w:rsidRPr="00DD6A5C" w:rsidR="00DD6A5C" w:rsidP="4012C274" w:rsidRDefault="00DD6A5C" w14:paraId="4646E7FB" w14:textId="77777777">
            <w:pPr>
              <w:rPr>
                <w:sz w:val="24"/>
                <w:szCs w:val="24"/>
                <w:lang w:eastAsia="en-US"/>
              </w:rPr>
            </w:pPr>
            <w:r w:rsidRPr="00DD6A5C">
              <w:rPr>
                <w:sz w:val="24"/>
                <w:szCs w:val="24"/>
                <w:lang w:eastAsia="en-US"/>
              </w:rPr>
              <w:t>Antwoord:</w:t>
            </w:r>
          </w:p>
          <w:p w:rsidRPr="00DD6A5C" w:rsidR="00DD6A5C" w:rsidP="4012C274" w:rsidRDefault="00DD6A5C" w14:paraId="59714FC8" w14:textId="3A69D637">
            <w:pPr>
              <w:rPr>
                <w:sz w:val="24"/>
                <w:szCs w:val="24"/>
                <w:lang w:eastAsia="en-US"/>
              </w:rPr>
            </w:pPr>
            <w:r w:rsidRPr="00DD6A5C">
              <w:rPr>
                <w:sz w:val="24"/>
                <w:szCs w:val="24"/>
                <w:lang w:eastAsia="en-US"/>
              </w:rPr>
              <w:t>Het betreft de volgende kleinere vaststellingen over 2023: een vaststelling van € 0,6 mln. van de opdracht 2023 aan RWS voor Nationale geo-informatie infrastructuur, vaststellingen van de bijdragen 2023 voor Service Team Rijk van zowel RWS (€ 0,2 mln.) als KOOP/Logius (€ 0,15 mln.), vaststellingen 2023 van Geonovum voor uitbouw (€ 0,2 mln.) en beheer (€ 0,01 mln.) van het Digitaal Stelsel Omgevingswet (DSO), een vaststelling van € 0,3 mln. van een opdracht aan ICTU voor omgevingswet, een vaststelling van € 0,2 mln. voor een opdracht aan RWS voor beheer DSO, en een vaststelling van € 0,02 mln. voor KOOP/Logius voor uitbouw DSO.</w:t>
            </w:r>
          </w:p>
          <w:p w:rsidRPr="00DD6A5C" w:rsidR="00DD6A5C" w:rsidP="00470186" w:rsidRDefault="00DD6A5C" w14:paraId="39EDE2AD" w14:textId="1A4771BE">
            <w:pPr>
              <w:rPr>
                <w:sz w:val="24"/>
                <w:szCs w:val="24"/>
                <w:lang w:eastAsia="en-US"/>
              </w:rPr>
            </w:pPr>
          </w:p>
        </w:tc>
      </w:tr>
    </w:tbl>
    <w:p w:rsidRPr="00DD6A5C" w:rsidR="008358D3" w:rsidP="008358D3" w:rsidRDefault="008358D3" w14:paraId="1A586BA9" w14:textId="77777777">
      <w:pPr>
        <w:rPr>
          <w:sz w:val="24"/>
          <w:szCs w:val="24"/>
        </w:rPr>
      </w:pPr>
    </w:p>
    <w:p w:rsidRPr="00DD6A5C" w:rsidR="0007787D" w:rsidP="008358D3" w:rsidRDefault="0007787D" w14:paraId="2505164B" w14:textId="77777777">
      <w:pPr>
        <w:rPr>
          <w:sz w:val="24"/>
          <w:szCs w:val="24"/>
        </w:rPr>
      </w:pPr>
    </w:p>
    <w:sectPr w:rsidRPr="00DD6A5C" w:rsidR="0007787D" w:rsidSect="00E26728">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1910D" w14:textId="77777777" w:rsidR="00252D12" w:rsidRDefault="00252D12">
      <w:pPr>
        <w:spacing w:before="0" w:after="0"/>
      </w:pPr>
      <w:r>
        <w:separator/>
      </w:r>
    </w:p>
  </w:endnote>
  <w:endnote w:type="continuationSeparator" w:id="0">
    <w:p w14:paraId="1085369B" w14:textId="77777777" w:rsidR="00252D12" w:rsidRDefault="00252D12">
      <w:pPr>
        <w:spacing w:before="0" w:after="0"/>
      </w:pPr>
      <w:r>
        <w:continuationSeparator/>
      </w:r>
    </w:p>
  </w:endnote>
  <w:endnote w:type="continuationNotice" w:id="1">
    <w:p w14:paraId="6AC9ADEF" w14:textId="77777777" w:rsidR="00252D12" w:rsidRDefault="00252D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8CFBA" w14:textId="77777777" w:rsidR="00252D12" w:rsidRDefault="00252D12">
      <w:pPr>
        <w:spacing w:before="0" w:after="0"/>
      </w:pPr>
      <w:r>
        <w:separator/>
      </w:r>
    </w:p>
  </w:footnote>
  <w:footnote w:type="continuationSeparator" w:id="0">
    <w:p w14:paraId="375C4293" w14:textId="77777777" w:rsidR="00252D12" w:rsidRDefault="00252D12">
      <w:pPr>
        <w:spacing w:before="0" w:after="0"/>
      </w:pPr>
      <w:r>
        <w:continuationSeparator/>
      </w:r>
    </w:p>
  </w:footnote>
  <w:footnote w:type="continuationNotice" w:id="1">
    <w:p w14:paraId="76296D01" w14:textId="77777777" w:rsidR="00252D12" w:rsidRDefault="00252D1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1DC2"/>
    <w:multiLevelType w:val="hybridMultilevel"/>
    <w:tmpl w:val="8EB682C6"/>
    <w:lvl w:ilvl="0" w:tplc="6BA882EA">
      <w:start w:val="1"/>
      <w:numFmt w:val="bullet"/>
      <w:lvlText w:val=""/>
      <w:lvlJc w:val="left"/>
      <w:pPr>
        <w:ind w:left="720" w:hanging="360"/>
      </w:pPr>
      <w:rPr>
        <w:rFonts w:ascii="Symbol" w:hAnsi="Symbol" w:hint="default"/>
      </w:rPr>
    </w:lvl>
    <w:lvl w:ilvl="1" w:tplc="B5C02E0A">
      <w:start w:val="1"/>
      <w:numFmt w:val="bullet"/>
      <w:lvlText w:val="o"/>
      <w:lvlJc w:val="left"/>
      <w:pPr>
        <w:ind w:left="1440" w:hanging="360"/>
      </w:pPr>
      <w:rPr>
        <w:rFonts w:ascii="Courier New" w:hAnsi="Courier New" w:hint="default"/>
      </w:rPr>
    </w:lvl>
    <w:lvl w:ilvl="2" w:tplc="B378ADFC">
      <w:start w:val="1"/>
      <w:numFmt w:val="bullet"/>
      <w:lvlText w:val=""/>
      <w:lvlJc w:val="left"/>
      <w:pPr>
        <w:ind w:left="2160" w:hanging="360"/>
      </w:pPr>
      <w:rPr>
        <w:rFonts w:ascii="Wingdings" w:hAnsi="Wingdings" w:hint="default"/>
      </w:rPr>
    </w:lvl>
    <w:lvl w:ilvl="3" w:tplc="3356CC14">
      <w:start w:val="1"/>
      <w:numFmt w:val="bullet"/>
      <w:lvlText w:val=""/>
      <w:lvlJc w:val="left"/>
      <w:pPr>
        <w:ind w:left="2880" w:hanging="360"/>
      </w:pPr>
      <w:rPr>
        <w:rFonts w:ascii="Symbol" w:hAnsi="Symbol" w:hint="default"/>
      </w:rPr>
    </w:lvl>
    <w:lvl w:ilvl="4" w:tplc="917E287E">
      <w:start w:val="1"/>
      <w:numFmt w:val="bullet"/>
      <w:lvlText w:val="o"/>
      <w:lvlJc w:val="left"/>
      <w:pPr>
        <w:ind w:left="3600" w:hanging="360"/>
      </w:pPr>
      <w:rPr>
        <w:rFonts w:ascii="Courier New" w:hAnsi="Courier New" w:hint="default"/>
      </w:rPr>
    </w:lvl>
    <w:lvl w:ilvl="5" w:tplc="B526F328">
      <w:start w:val="1"/>
      <w:numFmt w:val="bullet"/>
      <w:lvlText w:val=""/>
      <w:lvlJc w:val="left"/>
      <w:pPr>
        <w:ind w:left="4320" w:hanging="360"/>
      </w:pPr>
      <w:rPr>
        <w:rFonts w:ascii="Wingdings" w:hAnsi="Wingdings" w:hint="default"/>
      </w:rPr>
    </w:lvl>
    <w:lvl w:ilvl="6" w:tplc="FCAE5014">
      <w:start w:val="1"/>
      <w:numFmt w:val="bullet"/>
      <w:lvlText w:val=""/>
      <w:lvlJc w:val="left"/>
      <w:pPr>
        <w:ind w:left="5040" w:hanging="360"/>
      </w:pPr>
      <w:rPr>
        <w:rFonts w:ascii="Symbol" w:hAnsi="Symbol" w:hint="default"/>
      </w:rPr>
    </w:lvl>
    <w:lvl w:ilvl="7" w:tplc="A426B0E0">
      <w:start w:val="1"/>
      <w:numFmt w:val="bullet"/>
      <w:lvlText w:val="o"/>
      <w:lvlJc w:val="left"/>
      <w:pPr>
        <w:ind w:left="5760" w:hanging="360"/>
      </w:pPr>
      <w:rPr>
        <w:rFonts w:ascii="Courier New" w:hAnsi="Courier New" w:hint="default"/>
      </w:rPr>
    </w:lvl>
    <w:lvl w:ilvl="8" w:tplc="35C094FE">
      <w:start w:val="1"/>
      <w:numFmt w:val="bullet"/>
      <w:lvlText w:val=""/>
      <w:lvlJc w:val="left"/>
      <w:pPr>
        <w:ind w:left="6480" w:hanging="360"/>
      </w:pPr>
      <w:rPr>
        <w:rFonts w:ascii="Wingdings" w:hAnsi="Wingdings" w:hint="default"/>
      </w:rPr>
    </w:lvl>
  </w:abstractNum>
  <w:abstractNum w:abstractNumId="1" w15:restartNumberingAfterBreak="0">
    <w:nsid w:val="16CF2F82"/>
    <w:multiLevelType w:val="hybridMultilevel"/>
    <w:tmpl w:val="7A767B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D06696"/>
    <w:multiLevelType w:val="hybridMultilevel"/>
    <w:tmpl w:val="92FA08FA"/>
    <w:lvl w:ilvl="0" w:tplc="9A8EC4A0">
      <w:start w:val="1"/>
      <w:numFmt w:val="bullet"/>
      <w:lvlText w:val=""/>
      <w:lvlJc w:val="left"/>
      <w:pPr>
        <w:ind w:left="720" w:hanging="360"/>
      </w:pPr>
      <w:rPr>
        <w:rFonts w:ascii="Symbol" w:hAnsi="Symbol" w:hint="default"/>
      </w:rPr>
    </w:lvl>
    <w:lvl w:ilvl="1" w:tplc="E19CB54A">
      <w:start w:val="1"/>
      <w:numFmt w:val="bullet"/>
      <w:lvlText w:val="o"/>
      <w:lvlJc w:val="left"/>
      <w:pPr>
        <w:ind w:left="1440" w:hanging="360"/>
      </w:pPr>
      <w:rPr>
        <w:rFonts w:ascii="Courier New" w:hAnsi="Courier New" w:hint="default"/>
      </w:rPr>
    </w:lvl>
    <w:lvl w:ilvl="2" w:tplc="5E2C4F0C">
      <w:start w:val="1"/>
      <w:numFmt w:val="bullet"/>
      <w:lvlText w:val=""/>
      <w:lvlJc w:val="left"/>
      <w:pPr>
        <w:ind w:left="2160" w:hanging="360"/>
      </w:pPr>
      <w:rPr>
        <w:rFonts w:ascii="Wingdings" w:hAnsi="Wingdings" w:hint="default"/>
      </w:rPr>
    </w:lvl>
    <w:lvl w:ilvl="3" w:tplc="EB36FA98">
      <w:start w:val="1"/>
      <w:numFmt w:val="bullet"/>
      <w:lvlText w:val=""/>
      <w:lvlJc w:val="left"/>
      <w:pPr>
        <w:ind w:left="2880" w:hanging="360"/>
      </w:pPr>
      <w:rPr>
        <w:rFonts w:ascii="Symbol" w:hAnsi="Symbol" w:hint="default"/>
      </w:rPr>
    </w:lvl>
    <w:lvl w:ilvl="4" w:tplc="43684202">
      <w:start w:val="1"/>
      <w:numFmt w:val="bullet"/>
      <w:lvlText w:val="o"/>
      <w:lvlJc w:val="left"/>
      <w:pPr>
        <w:ind w:left="3600" w:hanging="360"/>
      </w:pPr>
      <w:rPr>
        <w:rFonts w:ascii="Courier New" w:hAnsi="Courier New" w:hint="default"/>
      </w:rPr>
    </w:lvl>
    <w:lvl w:ilvl="5" w:tplc="9790FD54">
      <w:start w:val="1"/>
      <w:numFmt w:val="bullet"/>
      <w:lvlText w:val=""/>
      <w:lvlJc w:val="left"/>
      <w:pPr>
        <w:ind w:left="4320" w:hanging="360"/>
      </w:pPr>
      <w:rPr>
        <w:rFonts w:ascii="Wingdings" w:hAnsi="Wingdings" w:hint="default"/>
      </w:rPr>
    </w:lvl>
    <w:lvl w:ilvl="6" w:tplc="215654D0">
      <w:start w:val="1"/>
      <w:numFmt w:val="bullet"/>
      <w:lvlText w:val=""/>
      <w:lvlJc w:val="left"/>
      <w:pPr>
        <w:ind w:left="5040" w:hanging="360"/>
      </w:pPr>
      <w:rPr>
        <w:rFonts w:ascii="Symbol" w:hAnsi="Symbol" w:hint="default"/>
      </w:rPr>
    </w:lvl>
    <w:lvl w:ilvl="7" w:tplc="36EA1CD8">
      <w:start w:val="1"/>
      <w:numFmt w:val="bullet"/>
      <w:lvlText w:val="o"/>
      <w:lvlJc w:val="left"/>
      <w:pPr>
        <w:ind w:left="5760" w:hanging="360"/>
      </w:pPr>
      <w:rPr>
        <w:rFonts w:ascii="Courier New" w:hAnsi="Courier New" w:hint="default"/>
      </w:rPr>
    </w:lvl>
    <w:lvl w:ilvl="8" w:tplc="F11C438C">
      <w:start w:val="1"/>
      <w:numFmt w:val="bullet"/>
      <w:lvlText w:val=""/>
      <w:lvlJc w:val="left"/>
      <w:pPr>
        <w:ind w:left="6480" w:hanging="360"/>
      </w:pPr>
      <w:rPr>
        <w:rFonts w:ascii="Wingdings" w:hAnsi="Wingdings" w:hint="default"/>
      </w:rPr>
    </w:lvl>
  </w:abstractNum>
  <w:abstractNum w:abstractNumId="3" w15:restartNumberingAfterBreak="0">
    <w:nsid w:val="231E6D0D"/>
    <w:multiLevelType w:val="hybridMultilevel"/>
    <w:tmpl w:val="C3901FD0"/>
    <w:lvl w:ilvl="0" w:tplc="F22037D6">
      <w:start w:val="1"/>
      <w:numFmt w:val="bullet"/>
      <w:lvlText w:val=""/>
      <w:lvlJc w:val="left"/>
      <w:pPr>
        <w:ind w:left="720" w:hanging="360"/>
      </w:pPr>
      <w:rPr>
        <w:rFonts w:ascii="Symbol" w:hAnsi="Symbol" w:hint="default"/>
      </w:rPr>
    </w:lvl>
    <w:lvl w:ilvl="1" w:tplc="587C2180">
      <w:start w:val="1"/>
      <w:numFmt w:val="bullet"/>
      <w:lvlText w:val="o"/>
      <w:lvlJc w:val="left"/>
      <w:pPr>
        <w:ind w:left="1440" w:hanging="360"/>
      </w:pPr>
      <w:rPr>
        <w:rFonts w:ascii="Courier New" w:hAnsi="Courier New" w:hint="default"/>
      </w:rPr>
    </w:lvl>
    <w:lvl w:ilvl="2" w:tplc="99DADFEE">
      <w:start w:val="1"/>
      <w:numFmt w:val="bullet"/>
      <w:lvlText w:val=""/>
      <w:lvlJc w:val="left"/>
      <w:pPr>
        <w:ind w:left="2160" w:hanging="360"/>
      </w:pPr>
      <w:rPr>
        <w:rFonts w:ascii="Wingdings" w:hAnsi="Wingdings" w:hint="default"/>
      </w:rPr>
    </w:lvl>
    <w:lvl w:ilvl="3" w:tplc="35AA4D8C">
      <w:start w:val="1"/>
      <w:numFmt w:val="bullet"/>
      <w:lvlText w:val=""/>
      <w:lvlJc w:val="left"/>
      <w:pPr>
        <w:ind w:left="2880" w:hanging="360"/>
      </w:pPr>
      <w:rPr>
        <w:rFonts w:ascii="Symbol" w:hAnsi="Symbol" w:hint="default"/>
      </w:rPr>
    </w:lvl>
    <w:lvl w:ilvl="4" w:tplc="66D0D246">
      <w:start w:val="1"/>
      <w:numFmt w:val="bullet"/>
      <w:lvlText w:val="o"/>
      <w:lvlJc w:val="left"/>
      <w:pPr>
        <w:ind w:left="3600" w:hanging="360"/>
      </w:pPr>
      <w:rPr>
        <w:rFonts w:ascii="Courier New" w:hAnsi="Courier New" w:hint="default"/>
      </w:rPr>
    </w:lvl>
    <w:lvl w:ilvl="5" w:tplc="6FFEC1A8">
      <w:start w:val="1"/>
      <w:numFmt w:val="bullet"/>
      <w:lvlText w:val=""/>
      <w:lvlJc w:val="left"/>
      <w:pPr>
        <w:ind w:left="4320" w:hanging="360"/>
      </w:pPr>
      <w:rPr>
        <w:rFonts w:ascii="Wingdings" w:hAnsi="Wingdings" w:hint="default"/>
      </w:rPr>
    </w:lvl>
    <w:lvl w:ilvl="6" w:tplc="BB88C37A">
      <w:start w:val="1"/>
      <w:numFmt w:val="bullet"/>
      <w:lvlText w:val=""/>
      <w:lvlJc w:val="left"/>
      <w:pPr>
        <w:ind w:left="5040" w:hanging="360"/>
      </w:pPr>
      <w:rPr>
        <w:rFonts w:ascii="Symbol" w:hAnsi="Symbol" w:hint="default"/>
      </w:rPr>
    </w:lvl>
    <w:lvl w:ilvl="7" w:tplc="987664DE">
      <w:start w:val="1"/>
      <w:numFmt w:val="bullet"/>
      <w:lvlText w:val="o"/>
      <w:lvlJc w:val="left"/>
      <w:pPr>
        <w:ind w:left="5760" w:hanging="360"/>
      </w:pPr>
      <w:rPr>
        <w:rFonts w:ascii="Courier New" w:hAnsi="Courier New" w:hint="default"/>
      </w:rPr>
    </w:lvl>
    <w:lvl w:ilvl="8" w:tplc="36AAA92C">
      <w:start w:val="1"/>
      <w:numFmt w:val="bullet"/>
      <w:lvlText w:val=""/>
      <w:lvlJc w:val="left"/>
      <w:pPr>
        <w:ind w:left="6480" w:hanging="360"/>
      </w:pPr>
      <w:rPr>
        <w:rFonts w:ascii="Wingdings" w:hAnsi="Wingdings" w:hint="default"/>
      </w:rPr>
    </w:lvl>
  </w:abstractNum>
  <w:abstractNum w:abstractNumId="4" w15:restartNumberingAfterBreak="0">
    <w:nsid w:val="621B7B61"/>
    <w:multiLevelType w:val="hybridMultilevel"/>
    <w:tmpl w:val="20FCBDF6"/>
    <w:lvl w:ilvl="0" w:tplc="1E62F0D4">
      <w:start w:val="1"/>
      <w:numFmt w:val="bullet"/>
      <w:lvlText w:val=""/>
      <w:lvlJc w:val="left"/>
      <w:pPr>
        <w:ind w:left="720" w:hanging="360"/>
      </w:pPr>
      <w:rPr>
        <w:rFonts w:ascii="Symbol" w:hAnsi="Symbol" w:hint="default"/>
      </w:rPr>
    </w:lvl>
    <w:lvl w:ilvl="1" w:tplc="78167646">
      <w:start w:val="1"/>
      <w:numFmt w:val="bullet"/>
      <w:lvlText w:val="o"/>
      <w:lvlJc w:val="left"/>
      <w:pPr>
        <w:ind w:left="1440" w:hanging="360"/>
      </w:pPr>
      <w:rPr>
        <w:rFonts w:ascii="Courier New" w:hAnsi="Courier New" w:hint="default"/>
      </w:rPr>
    </w:lvl>
    <w:lvl w:ilvl="2" w:tplc="D736B778">
      <w:start w:val="1"/>
      <w:numFmt w:val="bullet"/>
      <w:lvlText w:val=""/>
      <w:lvlJc w:val="left"/>
      <w:pPr>
        <w:ind w:left="2160" w:hanging="360"/>
      </w:pPr>
      <w:rPr>
        <w:rFonts w:ascii="Wingdings" w:hAnsi="Wingdings" w:hint="default"/>
      </w:rPr>
    </w:lvl>
    <w:lvl w:ilvl="3" w:tplc="1180E31E">
      <w:start w:val="1"/>
      <w:numFmt w:val="bullet"/>
      <w:lvlText w:val=""/>
      <w:lvlJc w:val="left"/>
      <w:pPr>
        <w:ind w:left="2880" w:hanging="360"/>
      </w:pPr>
      <w:rPr>
        <w:rFonts w:ascii="Symbol" w:hAnsi="Symbol" w:hint="default"/>
      </w:rPr>
    </w:lvl>
    <w:lvl w:ilvl="4" w:tplc="9FF4CA82">
      <w:start w:val="1"/>
      <w:numFmt w:val="bullet"/>
      <w:lvlText w:val="o"/>
      <w:lvlJc w:val="left"/>
      <w:pPr>
        <w:ind w:left="3600" w:hanging="360"/>
      </w:pPr>
      <w:rPr>
        <w:rFonts w:ascii="Courier New" w:hAnsi="Courier New" w:hint="default"/>
      </w:rPr>
    </w:lvl>
    <w:lvl w:ilvl="5" w:tplc="5AF4C57C">
      <w:start w:val="1"/>
      <w:numFmt w:val="bullet"/>
      <w:lvlText w:val=""/>
      <w:lvlJc w:val="left"/>
      <w:pPr>
        <w:ind w:left="4320" w:hanging="360"/>
      </w:pPr>
      <w:rPr>
        <w:rFonts w:ascii="Wingdings" w:hAnsi="Wingdings" w:hint="default"/>
      </w:rPr>
    </w:lvl>
    <w:lvl w:ilvl="6" w:tplc="AF7CD3FC">
      <w:start w:val="1"/>
      <w:numFmt w:val="bullet"/>
      <w:lvlText w:val=""/>
      <w:lvlJc w:val="left"/>
      <w:pPr>
        <w:ind w:left="5040" w:hanging="360"/>
      </w:pPr>
      <w:rPr>
        <w:rFonts w:ascii="Symbol" w:hAnsi="Symbol" w:hint="default"/>
      </w:rPr>
    </w:lvl>
    <w:lvl w:ilvl="7" w:tplc="1ED8A792">
      <w:start w:val="1"/>
      <w:numFmt w:val="bullet"/>
      <w:lvlText w:val="o"/>
      <w:lvlJc w:val="left"/>
      <w:pPr>
        <w:ind w:left="5760" w:hanging="360"/>
      </w:pPr>
      <w:rPr>
        <w:rFonts w:ascii="Courier New" w:hAnsi="Courier New" w:hint="default"/>
      </w:rPr>
    </w:lvl>
    <w:lvl w:ilvl="8" w:tplc="1FFA17BC">
      <w:start w:val="1"/>
      <w:numFmt w:val="bullet"/>
      <w:lvlText w:val=""/>
      <w:lvlJc w:val="left"/>
      <w:pPr>
        <w:ind w:left="6480" w:hanging="360"/>
      </w:pPr>
      <w:rPr>
        <w:rFonts w:ascii="Wingdings" w:hAnsi="Wingdings" w:hint="default"/>
      </w:rPr>
    </w:lvl>
  </w:abstractNum>
  <w:abstractNum w:abstractNumId="5" w15:restartNumberingAfterBreak="0">
    <w:nsid w:val="66825F4B"/>
    <w:multiLevelType w:val="hybridMultilevel"/>
    <w:tmpl w:val="01CA054A"/>
    <w:lvl w:ilvl="0" w:tplc="4642CB1A">
      <w:start w:val="1"/>
      <w:numFmt w:val="bullet"/>
      <w:lvlText w:val=""/>
      <w:lvlJc w:val="left"/>
      <w:pPr>
        <w:ind w:left="720" w:hanging="360"/>
      </w:pPr>
      <w:rPr>
        <w:rFonts w:ascii="Symbol" w:hAnsi="Symbol" w:hint="default"/>
      </w:rPr>
    </w:lvl>
    <w:lvl w:ilvl="1" w:tplc="28BCFE8C">
      <w:start w:val="1"/>
      <w:numFmt w:val="bullet"/>
      <w:lvlText w:val="o"/>
      <w:lvlJc w:val="left"/>
      <w:pPr>
        <w:ind w:left="1440" w:hanging="360"/>
      </w:pPr>
      <w:rPr>
        <w:rFonts w:ascii="Courier New" w:hAnsi="Courier New" w:hint="default"/>
      </w:rPr>
    </w:lvl>
    <w:lvl w:ilvl="2" w:tplc="0D6898F2">
      <w:start w:val="1"/>
      <w:numFmt w:val="bullet"/>
      <w:lvlText w:val=""/>
      <w:lvlJc w:val="left"/>
      <w:pPr>
        <w:ind w:left="2160" w:hanging="360"/>
      </w:pPr>
      <w:rPr>
        <w:rFonts w:ascii="Wingdings" w:hAnsi="Wingdings" w:hint="default"/>
      </w:rPr>
    </w:lvl>
    <w:lvl w:ilvl="3" w:tplc="0BC6F342">
      <w:start w:val="1"/>
      <w:numFmt w:val="bullet"/>
      <w:lvlText w:val=""/>
      <w:lvlJc w:val="left"/>
      <w:pPr>
        <w:ind w:left="2880" w:hanging="360"/>
      </w:pPr>
      <w:rPr>
        <w:rFonts w:ascii="Symbol" w:hAnsi="Symbol" w:hint="default"/>
      </w:rPr>
    </w:lvl>
    <w:lvl w:ilvl="4" w:tplc="F05800EE">
      <w:start w:val="1"/>
      <w:numFmt w:val="bullet"/>
      <w:lvlText w:val="o"/>
      <w:lvlJc w:val="left"/>
      <w:pPr>
        <w:ind w:left="3600" w:hanging="360"/>
      </w:pPr>
      <w:rPr>
        <w:rFonts w:ascii="Courier New" w:hAnsi="Courier New" w:hint="default"/>
      </w:rPr>
    </w:lvl>
    <w:lvl w:ilvl="5" w:tplc="F62EE908">
      <w:start w:val="1"/>
      <w:numFmt w:val="bullet"/>
      <w:lvlText w:val=""/>
      <w:lvlJc w:val="left"/>
      <w:pPr>
        <w:ind w:left="4320" w:hanging="360"/>
      </w:pPr>
      <w:rPr>
        <w:rFonts w:ascii="Wingdings" w:hAnsi="Wingdings" w:hint="default"/>
      </w:rPr>
    </w:lvl>
    <w:lvl w:ilvl="6" w:tplc="6E9E1F88">
      <w:start w:val="1"/>
      <w:numFmt w:val="bullet"/>
      <w:lvlText w:val=""/>
      <w:lvlJc w:val="left"/>
      <w:pPr>
        <w:ind w:left="5040" w:hanging="360"/>
      </w:pPr>
      <w:rPr>
        <w:rFonts w:ascii="Symbol" w:hAnsi="Symbol" w:hint="default"/>
      </w:rPr>
    </w:lvl>
    <w:lvl w:ilvl="7" w:tplc="1DFEE44A">
      <w:start w:val="1"/>
      <w:numFmt w:val="bullet"/>
      <w:lvlText w:val="o"/>
      <w:lvlJc w:val="left"/>
      <w:pPr>
        <w:ind w:left="5760" w:hanging="360"/>
      </w:pPr>
      <w:rPr>
        <w:rFonts w:ascii="Courier New" w:hAnsi="Courier New" w:hint="default"/>
      </w:rPr>
    </w:lvl>
    <w:lvl w:ilvl="8" w:tplc="9D3EDC54">
      <w:start w:val="1"/>
      <w:numFmt w:val="bullet"/>
      <w:lvlText w:val=""/>
      <w:lvlJc w:val="left"/>
      <w:pPr>
        <w:ind w:left="6480" w:hanging="360"/>
      </w:pPr>
      <w:rPr>
        <w:rFonts w:ascii="Wingdings" w:hAnsi="Wingdings" w:hint="default"/>
      </w:rPr>
    </w:lvl>
  </w:abstractNum>
  <w:abstractNum w:abstractNumId="6" w15:restartNumberingAfterBreak="0">
    <w:nsid w:val="70CD33C2"/>
    <w:multiLevelType w:val="hybridMultilevel"/>
    <w:tmpl w:val="B6567386"/>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752E3475"/>
    <w:multiLevelType w:val="hybridMultilevel"/>
    <w:tmpl w:val="40D0FBA4"/>
    <w:lvl w:ilvl="0" w:tplc="83443DA6">
      <w:start w:val="1"/>
      <w:numFmt w:val="bullet"/>
      <w:lvlText w:val=""/>
      <w:lvlJc w:val="left"/>
      <w:pPr>
        <w:ind w:left="720" w:hanging="360"/>
      </w:pPr>
      <w:rPr>
        <w:rFonts w:ascii="Symbol" w:hAnsi="Symbol" w:hint="default"/>
      </w:rPr>
    </w:lvl>
    <w:lvl w:ilvl="1" w:tplc="6574A33E">
      <w:start w:val="1"/>
      <w:numFmt w:val="bullet"/>
      <w:lvlText w:val="o"/>
      <w:lvlJc w:val="left"/>
      <w:pPr>
        <w:ind w:left="1440" w:hanging="360"/>
      </w:pPr>
      <w:rPr>
        <w:rFonts w:ascii="Courier New" w:hAnsi="Courier New" w:hint="default"/>
      </w:rPr>
    </w:lvl>
    <w:lvl w:ilvl="2" w:tplc="FA0E9FF2">
      <w:start w:val="1"/>
      <w:numFmt w:val="bullet"/>
      <w:lvlText w:val=""/>
      <w:lvlJc w:val="left"/>
      <w:pPr>
        <w:ind w:left="2160" w:hanging="360"/>
      </w:pPr>
      <w:rPr>
        <w:rFonts w:ascii="Wingdings" w:hAnsi="Wingdings" w:hint="default"/>
      </w:rPr>
    </w:lvl>
    <w:lvl w:ilvl="3" w:tplc="9CC4890A">
      <w:start w:val="1"/>
      <w:numFmt w:val="bullet"/>
      <w:lvlText w:val=""/>
      <w:lvlJc w:val="left"/>
      <w:pPr>
        <w:ind w:left="2880" w:hanging="360"/>
      </w:pPr>
      <w:rPr>
        <w:rFonts w:ascii="Symbol" w:hAnsi="Symbol" w:hint="default"/>
      </w:rPr>
    </w:lvl>
    <w:lvl w:ilvl="4" w:tplc="EA00C988">
      <w:start w:val="1"/>
      <w:numFmt w:val="bullet"/>
      <w:lvlText w:val="o"/>
      <w:lvlJc w:val="left"/>
      <w:pPr>
        <w:ind w:left="3600" w:hanging="360"/>
      </w:pPr>
      <w:rPr>
        <w:rFonts w:ascii="Courier New" w:hAnsi="Courier New" w:hint="default"/>
      </w:rPr>
    </w:lvl>
    <w:lvl w:ilvl="5" w:tplc="2026CAF8">
      <w:start w:val="1"/>
      <w:numFmt w:val="bullet"/>
      <w:lvlText w:val=""/>
      <w:lvlJc w:val="left"/>
      <w:pPr>
        <w:ind w:left="4320" w:hanging="360"/>
      </w:pPr>
      <w:rPr>
        <w:rFonts w:ascii="Wingdings" w:hAnsi="Wingdings" w:hint="default"/>
      </w:rPr>
    </w:lvl>
    <w:lvl w:ilvl="6" w:tplc="3BA48A26">
      <w:start w:val="1"/>
      <w:numFmt w:val="bullet"/>
      <w:lvlText w:val=""/>
      <w:lvlJc w:val="left"/>
      <w:pPr>
        <w:ind w:left="5040" w:hanging="360"/>
      </w:pPr>
      <w:rPr>
        <w:rFonts w:ascii="Symbol" w:hAnsi="Symbol" w:hint="default"/>
      </w:rPr>
    </w:lvl>
    <w:lvl w:ilvl="7" w:tplc="77D49C98">
      <w:start w:val="1"/>
      <w:numFmt w:val="bullet"/>
      <w:lvlText w:val="o"/>
      <w:lvlJc w:val="left"/>
      <w:pPr>
        <w:ind w:left="5760" w:hanging="360"/>
      </w:pPr>
      <w:rPr>
        <w:rFonts w:ascii="Courier New" w:hAnsi="Courier New" w:hint="default"/>
      </w:rPr>
    </w:lvl>
    <w:lvl w:ilvl="8" w:tplc="207EEBC2">
      <w:start w:val="1"/>
      <w:numFmt w:val="bullet"/>
      <w:lvlText w:val=""/>
      <w:lvlJc w:val="left"/>
      <w:pPr>
        <w:ind w:left="6480" w:hanging="360"/>
      </w:pPr>
      <w:rPr>
        <w:rFonts w:ascii="Wingdings" w:hAnsi="Wingdings" w:hint="default"/>
      </w:rPr>
    </w:lvl>
  </w:abstractNum>
  <w:num w:numId="1" w16cid:durableId="1605259378">
    <w:abstractNumId w:val="3"/>
  </w:num>
  <w:num w:numId="2" w16cid:durableId="62801976">
    <w:abstractNumId w:val="7"/>
  </w:num>
  <w:num w:numId="3" w16cid:durableId="930117224">
    <w:abstractNumId w:val="2"/>
  </w:num>
  <w:num w:numId="4" w16cid:durableId="1898469612">
    <w:abstractNumId w:val="0"/>
  </w:num>
  <w:num w:numId="5" w16cid:durableId="173107498">
    <w:abstractNumId w:val="4"/>
  </w:num>
  <w:num w:numId="6" w16cid:durableId="1919360125">
    <w:abstractNumId w:val="5"/>
  </w:num>
  <w:num w:numId="7" w16cid:durableId="149293712">
    <w:abstractNumId w:val="6"/>
  </w:num>
  <w:num w:numId="8" w16cid:durableId="139501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7787D"/>
    <w:rsid w:val="00084594"/>
    <w:rsid w:val="000B0331"/>
    <w:rsid w:val="000D10CA"/>
    <w:rsid w:val="00135CEC"/>
    <w:rsid w:val="00175DA2"/>
    <w:rsid w:val="00184529"/>
    <w:rsid w:val="001856D0"/>
    <w:rsid w:val="001A1E7F"/>
    <w:rsid w:val="001A47AF"/>
    <w:rsid w:val="001A56AB"/>
    <w:rsid w:val="001A7BF6"/>
    <w:rsid w:val="001C0FAA"/>
    <w:rsid w:val="00252D12"/>
    <w:rsid w:val="002A5FF7"/>
    <w:rsid w:val="002E6099"/>
    <w:rsid w:val="003D1DF0"/>
    <w:rsid w:val="003D44DD"/>
    <w:rsid w:val="003E60F9"/>
    <w:rsid w:val="00421723"/>
    <w:rsid w:val="004B7B91"/>
    <w:rsid w:val="004C7F57"/>
    <w:rsid w:val="004D1F2F"/>
    <w:rsid w:val="00506B1B"/>
    <w:rsid w:val="005400E2"/>
    <w:rsid w:val="00544002"/>
    <w:rsid w:val="005533F5"/>
    <w:rsid w:val="005543A7"/>
    <w:rsid w:val="00556DAE"/>
    <w:rsid w:val="00633592"/>
    <w:rsid w:val="0065644B"/>
    <w:rsid w:val="00696C7B"/>
    <w:rsid w:val="006A1539"/>
    <w:rsid w:val="006C622E"/>
    <w:rsid w:val="006C655B"/>
    <w:rsid w:val="006D087C"/>
    <w:rsid w:val="006F1F40"/>
    <w:rsid w:val="007443F6"/>
    <w:rsid w:val="007A24F6"/>
    <w:rsid w:val="007C7455"/>
    <w:rsid w:val="007D399E"/>
    <w:rsid w:val="007E659E"/>
    <w:rsid w:val="007F6F10"/>
    <w:rsid w:val="008038A2"/>
    <w:rsid w:val="008358D3"/>
    <w:rsid w:val="00893EFF"/>
    <w:rsid w:val="00894624"/>
    <w:rsid w:val="008F1F4A"/>
    <w:rsid w:val="00916AA4"/>
    <w:rsid w:val="00917EF6"/>
    <w:rsid w:val="009214FB"/>
    <w:rsid w:val="00976BA7"/>
    <w:rsid w:val="009A4DCC"/>
    <w:rsid w:val="009A537C"/>
    <w:rsid w:val="009E3BA5"/>
    <w:rsid w:val="00A25A7A"/>
    <w:rsid w:val="00A65BF6"/>
    <w:rsid w:val="00A65DB7"/>
    <w:rsid w:val="00A7301D"/>
    <w:rsid w:val="00A77C3E"/>
    <w:rsid w:val="00A81239"/>
    <w:rsid w:val="00A85900"/>
    <w:rsid w:val="00AF7179"/>
    <w:rsid w:val="00B63C35"/>
    <w:rsid w:val="00B648EB"/>
    <w:rsid w:val="00B867ED"/>
    <w:rsid w:val="00B915EC"/>
    <w:rsid w:val="00BE577B"/>
    <w:rsid w:val="00C06642"/>
    <w:rsid w:val="00C108A1"/>
    <w:rsid w:val="00C74DD2"/>
    <w:rsid w:val="00CB6829"/>
    <w:rsid w:val="00CF4A9D"/>
    <w:rsid w:val="00D34363"/>
    <w:rsid w:val="00D36FAE"/>
    <w:rsid w:val="00D45750"/>
    <w:rsid w:val="00DA20E2"/>
    <w:rsid w:val="00DD6A5C"/>
    <w:rsid w:val="00E26728"/>
    <w:rsid w:val="00E7153D"/>
    <w:rsid w:val="00F0028C"/>
    <w:rsid w:val="00F10289"/>
    <w:rsid w:val="07F404FE"/>
    <w:rsid w:val="0D934F6B"/>
    <w:rsid w:val="14998BBF"/>
    <w:rsid w:val="393C5EB2"/>
    <w:rsid w:val="4012C274"/>
    <w:rsid w:val="40D5177F"/>
    <w:rsid w:val="44114A33"/>
    <w:rsid w:val="509E3B29"/>
    <w:rsid w:val="659D190A"/>
    <w:rsid w:val="6DCECE82"/>
    <w:rsid w:val="6F65A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E4CE23"/>
  <w15:docId w15:val="{AD557475-9EAB-4D4B-8D75-37C784BA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Revisie">
    <w:name w:val="Revision"/>
    <w:hidden/>
    <w:uiPriority w:val="99"/>
    <w:semiHidden/>
    <w:rsid w:val="00556DAE"/>
    <w:rPr>
      <w:rFonts w:ascii="Times New Roman" w:eastAsia="Times New Roman" w:hAnsi="Times New Roman" w:cs="Times New Roman"/>
      <w:sz w:val="20"/>
      <w:szCs w:val="20"/>
      <w:lang w:val="nl-NL" w:eastAsia="nl-NL"/>
    </w:rPr>
  </w:style>
  <w:style w:type="table" w:customStyle="1" w:styleId="NormalTable0">
    <w:name w:val="Normal Table0"/>
    <w:uiPriority w:val="99"/>
    <w:semiHidden/>
    <w:rsid w:val="008358D3"/>
    <w:tblPr>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6F1F40"/>
    <w:rPr>
      <w:sz w:val="16"/>
      <w:szCs w:val="16"/>
    </w:rPr>
  </w:style>
  <w:style w:type="paragraph" w:styleId="Tekstopmerking">
    <w:name w:val="annotation text"/>
    <w:basedOn w:val="Standaard"/>
    <w:link w:val="TekstopmerkingChar"/>
    <w:uiPriority w:val="99"/>
    <w:unhideWhenUsed/>
    <w:rsid w:val="006F1F40"/>
  </w:style>
  <w:style w:type="character" w:customStyle="1" w:styleId="TekstopmerkingChar">
    <w:name w:val="Tekst opmerking Char"/>
    <w:basedOn w:val="Standaardalinea-lettertype"/>
    <w:link w:val="Tekstopmerking"/>
    <w:uiPriority w:val="99"/>
    <w:rsid w:val="006F1F40"/>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F1F40"/>
    <w:rPr>
      <w:b/>
      <w:bCs/>
    </w:rPr>
  </w:style>
  <w:style w:type="character" w:customStyle="1" w:styleId="OnderwerpvanopmerkingChar">
    <w:name w:val="Onderwerp van opmerking Char"/>
    <w:basedOn w:val="TekstopmerkingChar"/>
    <w:link w:val="Onderwerpvanopmerking"/>
    <w:uiPriority w:val="99"/>
    <w:semiHidden/>
    <w:rsid w:val="006F1F40"/>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A65DB7"/>
    <w:pPr>
      <w:ind w:left="720"/>
      <w:contextualSpacing/>
    </w:pPr>
  </w:style>
  <w:style w:type="character" w:customStyle="1" w:styleId="cf01">
    <w:name w:val="cf01"/>
    <w:basedOn w:val="Standaardalinea-lettertype"/>
    <w:rsid w:val="007D39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703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1389</ap:Words>
  <ap:Characters>7641</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2024-12-11T11:00:00.0000000Z</dcterms:created>
  <dcterms:modified xsi:type="dcterms:W3CDTF">2024-12-11T11:00:00.0000000Z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0x0101004E55F392AA3AB446924541BE06F60BE7</vt:lpwstr>
  </property>
  <property fmtid="{D5CDD505-2E9C-101B-9397-08002B2CF9AE}" pid="3" name="_dlc_DocIdItemGuid">
    <vt:lpwstr>304c1b2c-2bc6-4937-b47a-cfe4f1f9ab90</vt:lpwstr>
  </property>
</Properties>
</file>