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A3214" w:rsidR="00EA66AB" w:rsidP="00EA66AB" w:rsidRDefault="009A3214" w14:paraId="7C491D79" w14:textId="438860BB">
      <w:pPr>
        <w:rPr>
          <w:b/>
          <w:bCs/>
          <w:sz w:val="40"/>
          <w:szCs w:val="40"/>
        </w:rPr>
      </w:pPr>
      <w:r w:rsidRPr="009A3214">
        <w:rPr>
          <w:b/>
          <w:bCs/>
          <w:sz w:val="40"/>
          <w:szCs w:val="40"/>
        </w:rPr>
        <w:t xml:space="preserve">Staten-Generaal </w:t>
      </w:r>
      <w:r w:rsidRPr="009A3214">
        <w:rPr>
          <w:b/>
          <w:bCs/>
          <w:sz w:val="40"/>
          <w:szCs w:val="40"/>
        </w:rPr>
        <w:tab/>
      </w:r>
      <w:r w:rsidRPr="009A3214">
        <w:rPr>
          <w:b/>
          <w:bCs/>
          <w:sz w:val="40"/>
          <w:szCs w:val="40"/>
        </w:rPr>
        <w:tab/>
      </w:r>
      <w:r w:rsidR="00B502F6">
        <w:rPr>
          <w:b/>
          <w:bCs/>
          <w:sz w:val="40"/>
          <w:szCs w:val="40"/>
        </w:rPr>
        <w:t>D</w:t>
      </w:r>
      <w:r w:rsidRPr="009A3214">
        <w:rPr>
          <w:b/>
          <w:bCs/>
          <w:sz w:val="40"/>
          <w:szCs w:val="40"/>
        </w:rPr>
        <w:tab/>
      </w:r>
      <w:r w:rsidRPr="009A3214">
        <w:rPr>
          <w:b/>
          <w:bCs/>
          <w:sz w:val="40"/>
          <w:szCs w:val="40"/>
        </w:rPr>
        <w:tab/>
      </w:r>
      <w:r w:rsidRPr="009A3214">
        <w:rPr>
          <w:b/>
          <w:bCs/>
          <w:sz w:val="40"/>
          <w:szCs w:val="40"/>
        </w:rPr>
        <w:tab/>
      </w:r>
      <w:r w:rsidRPr="009A3214" w:rsidR="00EA66AB">
        <w:rPr>
          <w:b/>
          <w:bCs/>
          <w:sz w:val="40"/>
          <w:szCs w:val="40"/>
        </w:rPr>
        <w:t>1/2</w:t>
      </w:r>
    </w:p>
    <w:p w:rsidRPr="009A3214" w:rsidR="009A3214" w:rsidP="00EA66AB" w:rsidRDefault="009A3214" w14:paraId="126DD9A7" w14:textId="6F14F8AF">
      <w:r w:rsidRPr="009A3214">
        <w:t>Vergaderjaar 2024-2025</w:t>
      </w:r>
    </w:p>
    <w:p w:rsidRPr="009A3214" w:rsidR="009A3214" w:rsidP="009A3214" w:rsidRDefault="009A3214" w14:paraId="01C1278B" w14:textId="77777777">
      <w:pPr>
        <w:ind w:left="1416" w:hanging="1416"/>
      </w:pPr>
    </w:p>
    <w:p w:rsidRPr="009A3214" w:rsidR="009A3214" w:rsidP="009A3214" w:rsidRDefault="009A3214" w14:paraId="02B6D7D8" w14:textId="35686A42">
      <w:pPr>
        <w:ind w:left="1416" w:hanging="1416"/>
        <w:rPr>
          <w:lang w:eastAsia="nl-NL"/>
        </w:rPr>
      </w:pPr>
      <w:r w:rsidRPr="009A3214">
        <w:t>35958</w:t>
      </w:r>
      <w:r w:rsidRPr="009A3214">
        <w:tab/>
      </w:r>
      <w:bookmarkStart w:name="_Hlk184824438" w:id="0"/>
      <w:r w:rsidRPr="009A3214">
        <w:rPr>
          <w:lang w:eastAsia="nl-NL"/>
        </w:rPr>
        <w:t>Regels inzake de coördinatie ten aanzien van terrorismebestrijding en de bescherming van de nationale veiligheid ten behoeve van het verhogen van de weerbaarheid tegen dreigingen en risico’s (Wet coördinatie terrorismebestrijding en nationale veiligheid)</w:t>
      </w:r>
      <w:bookmarkEnd w:id="0"/>
    </w:p>
    <w:p w:rsidRPr="009A3214" w:rsidR="009A3214" w:rsidP="004474D9" w:rsidRDefault="009A3214" w14:paraId="4D448577" w14:textId="77777777">
      <w:pPr>
        <w:rPr>
          <w:rFonts w:cs="Arial"/>
          <w:color w:val="000000"/>
        </w:rPr>
      </w:pPr>
      <w:r w:rsidRPr="009A3214">
        <w:t>Nr. 21</w:t>
      </w:r>
      <w:r w:rsidRPr="009A3214">
        <w:tab/>
      </w:r>
      <w:r w:rsidRPr="009A3214">
        <w:tab/>
        <w:t>Brief van de minister van Justitie en Veiligheid</w:t>
      </w:r>
    </w:p>
    <w:p w:rsidRPr="009A3214" w:rsidR="009A3214" w:rsidP="00EA66AB" w:rsidRDefault="009A3214" w14:paraId="03416A22" w14:textId="0B92B804">
      <w:r w:rsidRPr="009A3214">
        <w:t>Aan de Voorzitter</w:t>
      </w:r>
      <w:r w:rsidR="009A7F10">
        <w:t>s</w:t>
      </w:r>
      <w:r w:rsidRPr="009A3214">
        <w:t xml:space="preserve"> van de</w:t>
      </w:r>
      <w:r w:rsidR="009A7F10">
        <w:t xml:space="preserve"> Eerste en van de</w:t>
      </w:r>
      <w:r w:rsidRPr="009A3214">
        <w:t xml:space="preserve"> Tweede Kamer der Staten-Generaal</w:t>
      </w:r>
    </w:p>
    <w:p w:rsidRPr="009A3214" w:rsidR="009A3214" w:rsidP="00EA66AB" w:rsidRDefault="009A3214" w14:paraId="690778F7" w14:textId="41F9C034">
      <w:r w:rsidRPr="009A3214">
        <w:t>Den Haag, 11 december 2024</w:t>
      </w:r>
    </w:p>
    <w:p w:rsidRPr="009A3214" w:rsidR="00EA66AB" w:rsidP="00EA66AB" w:rsidRDefault="00EA66AB" w14:paraId="47FFAD0D" w14:textId="77777777"/>
    <w:p w:rsidRPr="009A3214" w:rsidR="00EA66AB" w:rsidP="00EA66AB" w:rsidRDefault="00EA66AB" w14:paraId="0F2336B0" w14:textId="1BFCB02F">
      <w:r w:rsidRPr="009A3214">
        <w:t>Hierbij bied ik u aan het ontwerpbesluit houdende regeling van technische, personele en organisatorische maatregelen en nadere regels omtrent gegevensbeschermingsaudits onder de Wet coördinatie terrorismebestrijding en nationale veiligheid (Besluit coördinatie terrorismebestrijding en nationale veiligheid). Voor de inhoud van het ontwerpbesluit verwijs ik naar de ontwerpnota van toelichting.</w:t>
      </w:r>
    </w:p>
    <w:p w:rsidRPr="009A3214" w:rsidR="00EA66AB" w:rsidP="00EA66AB" w:rsidRDefault="00EA66AB" w14:paraId="72F42689" w14:textId="77777777">
      <w:r w:rsidRPr="009A3214">
        <w:t>De voorlegging geschiedt in het kader van de wettelijk voorgeschreven voorhangprocedure opgenomen in artikel 10 van de Wet coördinatie terrorismebestrijding en nationale veiligheid en biedt uw Kamer de mogelijkheid zich uit te spreken over het ontwerpbesluit voordat het aan de Afdeling advisering van de Raad van State zal worden voorgelegd en vervolgens zal worden vastgesteld.</w:t>
      </w:r>
    </w:p>
    <w:p w:rsidRPr="009A3214" w:rsidR="00EA66AB" w:rsidP="00EA66AB" w:rsidRDefault="00EA66AB" w14:paraId="4B5B0C84" w14:textId="77777777">
      <w:r w:rsidRPr="009A3214">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Pr="009A3214" w:rsidR="00EA66AB" w:rsidP="00EA66AB" w:rsidRDefault="00EA66AB" w14:paraId="23B74CC2" w14:textId="77777777">
      <w:r w:rsidRPr="009A3214">
        <w:t>Op grond van aanwijzing 2.38 van de Aanwijzingen voor de regelgeving wordt deze termijn in verband met het Kerstreces van uw Kamer verlengd tot 1 februari 2025.</w:t>
      </w:r>
    </w:p>
    <w:p w:rsidRPr="009A3214" w:rsidR="009A3214" w:rsidRDefault="009A3214" w14:paraId="090573BF" w14:textId="77777777">
      <w:r w:rsidRPr="009A3214">
        <w:br w:type="page"/>
      </w:r>
    </w:p>
    <w:p w:rsidRPr="009A3214" w:rsidR="00EA66AB" w:rsidP="00EA66AB" w:rsidRDefault="00EA66AB" w14:paraId="4A086BB1" w14:textId="7F054A6F">
      <w:pPr>
        <w:tabs>
          <w:tab w:val="center" w:pos="3770"/>
        </w:tabs>
      </w:pPr>
      <w:r w:rsidRPr="009A3214">
        <w:lastRenderedPageBreak/>
        <w:tab/>
      </w:r>
      <w:r w:rsidRPr="009A3214">
        <w:br/>
        <w:t>Een gelijkluidende brief heb ik gezonden aan voorzitter van de Eerste Kamer der Staten-Generaal.</w:t>
      </w:r>
    </w:p>
    <w:p w:rsidRPr="009A3214" w:rsidR="00EA66AB" w:rsidP="00EA66AB" w:rsidRDefault="00EA66AB" w14:paraId="40184E80" w14:textId="77777777">
      <w:pPr>
        <w:pStyle w:val="WitregelW1bodytekst"/>
        <w:rPr>
          <w:rFonts w:asciiTheme="minorHAnsi" w:hAnsiTheme="minorHAnsi"/>
          <w:sz w:val="22"/>
          <w:szCs w:val="22"/>
        </w:rPr>
      </w:pPr>
    </w:p>
    <w:p w:rsidRPr="009A3214" w:rsidR="00EA66AB" w:rsidP="00EA66AB" w:rsidRDefault="00EA66AB" w14:paraId="7F885F3C" w14:textId="77777777"/>
    <w:p w:rsidRPr="009A3214" w:rsidR="00EA66AB" w:rsidP="009A3214" w:rsidRDefault="00EA66AB" w14:paraId="2DBA7FBA" w14:textId="280A9F8A">
      <w:pPr>
        <w:pStyle w:val="Geenafstand"/>
      </w:pPr>
      <w:r w:rsidRPr="009A3214">
        <w:t>De </w:t>
      </w:r>
      <w:r w:rsidRPr="009A3214" w:rsidR="009A3214">
        <w:t>m</w:t>
      </w:r>
      <w:r w:rsidRPr="009A3214">
        <w:t>inister van Justitie en Veiligheid,</w:t>
      </w:r>
    </w:p>
    <w:p w:rsidRPr="009A3214" w:rsidR="00EA66AB" w:rsidP="009A3214" w:rsidRDefault="00EA66AB" w14:paraId="16389F56" w14:textId="77777777">
      <w:pPr>
        <w:pStyle w:val="Geenafstand"/>
      </w:pPr>
      <w:r w:rsidRPr="009A3214">
        <w:t>D.M. van Weel</w:t>
      </w:r>
    </w:p>
    <w:p w:rsidRPr="009A3214" w:rsidR="00EA66AB" w:rsidP="009A3214" w:rsidRDefault="00EA66AB" w14:paraId="15456470" w14:textId="77777777">
      <w:pPr>
        <w:pStyle w:val="Geenafstand"/>
      </w:pPr>
    </w:p>
    <w:p w:rsidRPr="009A3214" w:rsidR="009A3214" w:rsidP="009A3214" w:rsidRDefault="009A3214" w14:paraId="3F3D8D29" w14:textId="77777777">
      <w:pPr>
        <w:suppressAutoHyphens/>
        <w:rPr>
          <w:rFonts w:cs="Times New Roman"/>
          <w:sz w:val="20"/>
          <w:szCs w:val="20"/>
        </w:rPr>
      </w:pPr>
      <w:r w:rsidRPr="009A3214">
        <w:rPr>
          <w:rFonts w:cs="Times New Roman"/>
          <w:sz w:val="20"/>
          <w:szCs w:val="20"/>
        </w:rPr>
        <w:t xml:space="preserve">Ter griffie van de Eerste en van </w:t>
      </w:r>
    </w:p>
    <w:p w:rsidRPr="009A3214" w:rsidR="009A3214" w:rsidP="009A3214" w:rsidRDefault="009A3214" w14:paraId="375D3B68" w14:textId="77777777">
      <w:pPr>
        <w:suppressAutoHyphens/>
        <w:rPr>
          <w:rFonts w:cs="Times New Roman"/>
          <w:sz w:val="20"/>
          <w:szCs w:val="20"/>
        </w:rPr>
      </w:pPr>
      <w:r w:rsidRPr="009A3214">
        <w:rPr>
          <w:rFonts w:cs="Times New Roman"/>
          <w:sz w:val="20"/>
          <w:szCs w:val="20"/>
        </w:rPr>
        <w:t xml:space="preserve">de Tweede Kamer der Staten-Generaal </w:t>
      </w:r>
    </w:p>
    <w:p w:rsidRPr="009A3214" w:rsidR="009A3214" w:rsidP="009A3214" w:rsidRDefault="009A3214" w14:paraId="0EBCD2A3" w14:textId="77777777">
      <w:pPr>
        <w:suppressAutoHyphens/>
        <w:rPr>
          <w:rFonts w:cs="Times New Roman"/>
          <w:sz w:val="20"/>
          <w:szCs w:val="20"/>
        </w:rPr>
      </w:pPr>
      <w:r w:rsidRPr="009A3214">
        <w:rPr>
          <w:rFonts w:cs="Times New Roman"/>
          <w:sz w:val="20"/>
          <w:szCs w:val="20"/>
        </w:rPr>
        <w:t>ontvangen op 11 december 2024.</w:t>
      </w:r>
    </w:p>
    <w:p w:rsidRPr="009A3214" w:rsidR="009A3214" w:rsidP="009A3214" w:rsidRDefault="009A3214" w14:paraId="7CE9601F" w14:textId="77777777">
      <w:pPr>
        <w:suppressAutoHyphens/>
        <w:rPr>
          <w:rFonts w:cs="Times New Roman"/>
          <w:sz w:val="20"/>
          <w:szCs w:val="20"/>
        </w:rPr>
      </w:pPr>
      <w:r w:rsidRPr="009A3214">
        <w:rPr>
          <w:rFonts w:cs="Times New Roman"/>
          <w:sz w:val="20"/>
          <w:szCs w:val="20"/>
        </w:rPr>
        <w:t xml:space="preserve">De wens dat de inwerkingtreding van de </w:t>
      </w:r>
    </w:p>
    <w:p w:rsidRPr="009A3214" w:rsidR="009A3214" w:rsidP="009A3214" w:rsidRDefault="009A3214" w14:paraId="20198C36" w14:textId="77777777">
      <w:pPr>
        <w:suppressAutoHyphens/>
        <w:rPr>
          <w:rFonts w:cs="Times New Roman"/>
          <w:sz w:val="20"/>
          <w:szCs w:val="20"/>
        </w:rPr>
      </w:pPr>
      <w:r w:rsidRPr="009A3214">
        <w:rPr>
          <w:rFonts w:cs="Times New Roman"/>
          <w:sz w:val="20"/>
          <w:szCs w:val="20"/>
        </w:rPr>
        <w:t xml:space="preserve">maatregel bij de wet wordt geregeld kan </w:t>
      </w:r>
    </w:p>
    <w:p w:rsidRPr="009A3214" w:rsidR="009A3214" w:rsidP="009A3214" w:rsidRDefault="009A3214" w14:paraId="0F24AC57" w14:textId="77777777">
      <w:pPr>
        <w:suppressAutoHyphens/>
        <w:rPr>
          <w:rFonts w:cs="Times New Roman"/>
          <w:sz w:val="20"/>
          <w:szCs w:val="20"/>
        </w:rPr>
      </w:pPr>
      <w:r w:rsidRPr="009A3214">
        <w:rPr>
          <w:rFonts w:cs="Times New Roman"/>
          <w:sz w:val="20"/>
          <w:szCs w:val="20"/>
        </w:rPr>
        <w:t xml:space="preserve">door ten minste vijftien leden van de </w:t>
      </w:r>
    </w:p>
    <w:p w:rsidRPr="009A3214" w:rsidR="009A3214" w:rsidP="009A3214" w:rsidRDefault="009A3214" w14:paraId="0CF44C57" w14:textId="77777777">
      <w:pPr>
        <w:suppressAutoHyphens/>
        <w:rPr>
          <w:rFonts w:cs="Times New Roman"/>
          <w:sz w:val="20"/>
          <w:szCs w:val="20"/>
        </w:rPr>
      </w:pPr>
      <w:r w:rsidRPr="009A3214">
        <w:rPr>
          <w:rFonts w:cs="Times New Roman"/>
          <w:sz w:val="20"/>
          <w:szCs w:val="20"/>
        </w:rPr>
        <w:t xml:space="preserve">Eerste Kamer dan wel dertig leden van de </w:t>
      </w:r>
    </w:p>
    <w:p w:rsidRPr="009A3214" w:rsidR="009A3214" w:rsidP="009A3214" w:rsidRDefault="009A3214" w14:paraId="13216B11" w14:textId="77777777">
      <w:pPr>
        <w:suppressAutoHyphens/>
        <w:rPr>
          <w:rFonts w:cs="Times New Roman"/>
          <w:sz w:val="20"/>
          <w:szCs w:val="20"/>
        </w:rPr>
      </w:pPr>
      <w:r w:rsidRPr="009A3214">
        <w:rPr>
          <w:rFonts w:cs="Times New Roman"/>
          <w:sz w:val="20"/>
          <w:szCs w:val="20"/>
        </w:rPr>
        <w:t xml:space="preserve">Tweede Kamer te kennen worden gegeven </w:t>
      </w:r>
    </w:p>
    <w:p w:rsidRPr="009A3214" w:rsidR="009A3214" w:rsidP="009A3214" w:rsidRDefault="009A3214" w14:paraId="04152D44" w14:textId="77777777">
      <w:pPr>
        <w:suppressAutoHyphens/>
        <w:rPr>
          <w:rFonts w:cs="Times New Roman"/>
          <w:sz w:val="20"/>
          <w:szCs w:val="20"/>
        </w:rPr>
      </w:pPr>
      <w:r w:rsidRPr="009A3214">
        <w:rPr>
          <w:rFonts w:cs="Times New Roman"/>
          <w:sz w:val="20"/>
          <w:szCs w:val="20"/>
        </w:rPr>
        <w:t>uiterlijk op 31 januari 2025.</w:t>
      </w:r>
    </w:p>
    <w:p w:rsidRPr="009A3214" w:rsidR="009A3214" w:rsidP="009A3214" w:rsidRDefault="009A3214" w14:paraId="3B76451F" w14:textId="77777777">
      <w:pPr>
        <w:suppressAutoHyphens/>
        <w:rPr>
          <w:rFonts w:cs="Times New Roman"/>
          <w:sz w:val="20"/>
          <w:szCs w:val="20"/>
        </w:rPr>
      </w:pPr>
    </w:p>
    <w:p w:rsidRPr="009A3214" w:rsidR="009A3214" w:rsidP="009A3214" w:rsidRDefault="009A3214" w14:paraId="434691AD" w14:textId="77777777">
      <w:pPr>
        <w:rPr>
          <w:rFonts w:cs="Times New Roman"/>
          <w:b/>
          <w:bCs/>
          <w:i/>
          <w:sz w:val="20"/>
          <w:szCs w:val="20"/>
        </w:rPr>
      </w:pPr>
      <w:r w:rsidRPr="009A3214">
        <w:rPr>
          <w:rFonts w:cs="Times New Roman"/>
          <w:b/>
          <w:bCs/>
          <w:i/>
          <w:sz w:val="20"/>
          <w:szCs w:val="20"/>
        </w:rPr>
        <w:t xml:space="preserve">Bij deze termijn is rekening gehouden met de </w:t>
      </w:r>
      <w:r w:rsidRPr="009A3214">
        <w:rPr>
          <w:rFonts w:cs="Times New Roman"/>
          <w:b/>
          <w:bCs/>
          <w:i/>
          <w:sz w:val="20"/>
          <w:szCs w:val="20"/>
        </w:rPr>
        <w:br/>
        <w:t>recesperiode van de Eerste en Tweede Kamer</w:t>
      </w:r>
    </w:p>
    <w:p w:rsidRPr="009A3214" w:rsidR="009A3214" w:rsidP="009A3214" w:rsidRDefault="009A3214" w14:paraId="54C8B64E" w14:textId="77777777">
      <w:pPr>
        <w:pStyle w:val="Geenafstand"/>
        <w:rPr>
          <w:rFonts w:cs="Times New Roman"/>
          <w:sz w:val="20"/>
          <w:szCs w:val="20"/>
        </w:rPr>
      </w:pPr>
    </w:p>
    <w:p w:rsidRPr="009A3214" w:rsidR="00EA66AB" w:rsidP="009A3214" w:rsidRDefault="00EA66AB" w14:paraId="222AC706" w14:textId="77777777">
      <w:pPr>
        <w:pStyle w:val="Geenafstand"/>
        <w:rPr>
          <w:rFonts w:cs="Times New Roman"/>
          <w:sz w:val="20"/>
          <w:szCs w:val="20"/>
        </w:rPr>
      </w:pPr>
    </w:p>
    <w:p w:rsidRPr="009A3214" w:rsidR="00EA66AB" w:rsidP="00EA66AB" w:rsidRDefault="00EA66AB" w14:paraId="5E21FCB5" w14:textId="77777777">
      <w:pPr>
        <w:rPr>
          <w:rFonts w:cs="Times New Roman"/>
          <w:sz w:val="20"/>
          <w:szCs w:val="20"/>
        </w:rPr>
      </w:pPr>
    </w:p>
    <w:p w:rsidRPr="009A3214" w:rsidR="00E6311E" w:rsidRDefault="00E6311E" w14:paraId="58E88930" w14:textId="77777777"/>
    <w:sectPr w:rsidRPr="009A3214" w:rsidR="00E6311E" w:rsidSect="00EA66A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8B602" w14:textId="77777777" w:rsidR="00EA66AB" w:rsidRDefault="00EA66AB" w:rsidP="00EA66AB">
      <w:pPr>
        <w:spacing w:after="0" w:line="240" w:lineRule="auto"/>
      </w:pPr>
      <w:r>
        <w:separator/>
      </w:r>
    </w:p>
  </w:endnote>
  <w:endnote w:type="continuationSeparator" w:id="0">
    <w:p w14:paraId="4B2E6191" w14:textId="77777777" w:rsidR="00EA66AB" w:rsidRDefault="00EA66AB" w:rsidP="00EA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85013" w14:textId="77777777" w:rsidR="00EA66AB" w:rsidRPr="00EA66AB" w:rsidRDefault="00EA66AB" w:rsidP="00EA66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E6A85" w14:textId="77777777" w:rsidR="00EA66AB" w:rsidRPr="00EA66AB" w:rsidRDefault="00EA66AB" w:rsidP="00EA66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041C" w14:textId="77777777" w:rsidR="00EA66AB" w:rsidRPr="00EA66AB" w:rsidRDefault="00EA66AB" w:rsidP="00EA66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B02B2" w14:textId="77777777" w:rsidR="00EA66AB" w:rsidRDefault="00EA66AB" w:rsidP="00EA66AB">
      <w:pPr>
        <w:spacing w:after="0" w:line="240" w:lineRule="auto"/>
      </w:pPr>
      <w:r>
        <w:separator/>
      </w:r>
    </w:p>
  </w:footnote>
  <w:footnote w:type="continuationSeparator" w:id="0">
    <w:p w14:paraId="3F9AF395" w14:textId="77777777" w:rsidR="00EA66AB" w:rsidRDefault="00EA66AB" w:rsidP="00EA6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6AB1" w14:textId="77777777" w:rsidR="00EA66AB" w:rsidRPr="00EA66AB" w:rsidRDefault="00EA66AB" w:rsidP="00EA66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1EF9" w14:textId="77777777" w:rsidR="00EA66AB" w:rsidRPr="00EA66AB" w:rsidRDefault="00EA66AB" w:rsidP="00EA66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9602F" w14:textId="77777777" w:rsidR="00EA66AB" w:rsidRPr="00EA66AB" w:rsidRDefault="00EA66AB" w:rsidP="00EA66A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AB"/>
    <w:rsid w:val="000401B7"/>
    <w:rsid w:val="0025703A"/>
    <w:rsid w:val="00683EF1"/>
    <w:rsid w:val="009A3214"/>
    <w:rsid w:val="009A7F10"/>
    <w:rsid w:val="00B502F6"/>
    <w:rsid w:val="00B6531C"/>
    <w:rsid w:val="00C57495"/>
    <w:rsid w:val="00D311FF"/>
    <w:rsid w:val="00E6311E"/>
    <w:rsid w:val="00EA6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21E4"/>
  <w15:chartTrackingRefBased/>
  <w15:docId w15:val="{958E9341-CCA8-4F0F-A349-A2A12019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6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6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66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66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66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66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66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66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66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66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66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66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66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66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66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66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66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66AB"/>
    <w:rPr>
      <w:rFonts w:eastAsiaTheme="majorEastAsia" w:cstheme="majorBidi"/>
      <w:color w:val="272727" w:themeColor="text1" w:themeTint="D8"/>
    </w:rPr>
  </w:style>
  <w:style w:type="paragraph" w:styleId="Titel">
    <w:name w:val="Title"/>
    <w:basedOn w:val="Standaard"/>
    <w:next w:val="Standaard"/>
    <w:link w:val="TitelChar"/>
    <w:uiPriority w:val="10"/>
    <w:qFormat/>
    <w:rsid w:val="00EA6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66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66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66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66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66AB"/>
    <w:rPr>
      <w:i/>
      <w:iCs/>
      <w:color w:val="404040" w:themeColor="text1" w:themeTint="BF"/>
    </w:rPr>
  </w:style>
  <w:style w:type="paragraph" w:styleId="Lijstalinea">
    <w:name w:val="List Paragraph"/>
    <w:basedOn w:val="Standaard"/>
    <w:uiPriority w:val="34"/>
    <w:qFormat/>
    <w:rsid w:val="00EA66AB"/>
    <w:pPr>
      <w:ind w:left="720"/>
      <w:contextualSpacing/>
    </w:pPr>
  </w:style>
  <w:style w:type="character" w:styleId="Intensievebenadrukking">
    <w:name w:val="Intense Emphasis"/>
    <w:basedOn w:val="Standaardalinea-lettertype"/>
    <w:uiPriority w:val="21"/>
    <w:qFormat/>
    <w:rsid w:val="00EA66AB"/>
    <w:rPr>
      <w:i/>
      <w:iCs/>
      <w:color w:val="0F4761" w:themeColor="accent1" w:themeShade="BF"/>
    </w:rPr>
  </w:style>
  <w:style w:type="paragraph" w:styleId="Duidelijkcitaat">
    <w:name w:val="Intense Quote"/>
    <w:basedOn w:val="Standaard"/>
    <w:next w:val="Standaard"/>
    <w:link w:val="DuidelijkcitaatChar"/>
    <w:uiPriority w:val="30"/>
    <w:qFormat/>
    <w:rsid w:val="00EA6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66AB"/>
    <w:rPr>
      <w:i/>
      <w:iCs/>
      <w:color w:val="0F4761" w:themeColor="accent1" w:themeShade="BF"/>
    </w:rPr>
  </w:style>
  <w:style w:type="character" w:styleId="Intensieveverwijzing">
    <w:name w:val="Intense Reference"/>
    <w:basedOn w:val="Standaardalinea-lettertype"/>
    <w:uiPriority w:val="32"/>
    <w:qFormat/>
    <w:rsid w:val="00EA66AB"/>
    <w:rPr>
      <w:b/>
      <w:bCs/>
      <w:smallCaps/>
      <w:color w:val="0F4761" w:themeColor="accent1" w:themeShade="BF"/>
      <w:spacing w:val="5"/>
    </w:rPr>
  </w:style>
  <w:style w:type="paragraph" w:customStyle="1" w:styleId="Referentiegegevens">
    <w:name w:val="Referentiegegevens"/>
    <w:basedOn w:val="Standaard"/>
    <w:next w:val="Standaard"/>
    <w:rsid w:val="00EA66A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A66A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A66A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A66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A66A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A66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66AB"/>
  </w:style>
  <w:style w:type="paragraph" w:styleId="Voettekst">
    <w:name w:val="footer"/>
    <w:basedOn w:val="Standaard"/>
    <w:link w:val="VoettekstChar"/>
    <w:uiPriority w:val="99"/>
    <w:unhideWhenUsed/>
    <w:rsid w:val="00EA66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66AB"/>
  </w:style>
  <w:style w:type="paragraph" w:styleId="Geenafstand">
    <w:name w:val="No Spacing"/>
    <w:uiPriority w:val="1"/>
    <w:qFormat/>
    <w:rsid w:val="009A32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350</ap:Words>
  <ap:Characters>1928</ap:Characters>
  <ap:DocSecurity>0</ap:DocSecurity>
  <ap:Lines>16</ap:Lines>
  <ap:Paragraphs>4</ap:Paragraphs>
  <ap:ScaleCrop>false</ap:ScaleCrop>
  <ap:LinksUpToDate>false</ap:LinksUpToDate>
  <ap:CharactersWithSpaces>2274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2024-12-11T15:16:00.0000000Z</dcterms:created>
  <dcterms:modified xsi:type="dcterms:W3CDTF">2024-12-11T15:16:00.0000000Z</dcterms:modified>
  <version/>
  <category/>
</coreProperties>
</file>