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769E" w:rsidR="008973E8" w:rsidP="008973E8" w:rsidRDefault="005D2C87" w14:paraId="6089E92B" w14:textId="32C9B15B">
      <w:pPr>
        <w:ind w:left="2124" w:hanging="2124"/>
        <w:rPr>
          <w:rFonts w:ascii="Calibri" w:hAnsi="Calibri" w:cs="Calibri"/>
        </w:rPr>
      </w:pPr>
      <w:r w:rsidRPr="0037769E">
        <w:rPr>
          <w:rFonts w:ascii="Calibri" w:hAnsi="Calibri" w:cs="Calibri"/>
        </w:rPr>
        <w:t>36600</w:t>
      </w:r>
      <w:r w:rsidRPr="0037769E" w:rsidR="008973E8">
        <w:rPr>
          <w:rFonts w:ascii="Calibri" w:hAnsi="Calibri" w:cs="Calibri"/>
        </w:rPr>
        <w:t xml:space="preserve"> </w:t>
      </w:r>
      <w:r w:rsidRPr="0037769E">
        <w:rPr>
          <w:rFonts w:ascii="Calibri" w:hAnsi="Calibri" w:cs="Calibri"/>
        </w:rPr>
        <w:t>XII</w:t>
      </w:r>
      <w:r w:rsidRPr="0037769E" w:rsidR="008973E8">
        <w:rPr>
          <w:rFonts w:ascii="Calibri" w:hAnsi="Calibri" w:cs="Calibri"/>
        </w:rPr>
        <w:tab/>
        <w:t>Vaststelling van de begrotingsstaten van het Ministerie van Infrastructuur en Waterstaat (XII) voor het jaar 2025</w:t>
      </w:r>
    </w:p>
    <w:p w:rsidRPr="0037769E" w:rsidR="008973E8" w:rsidP="008973E8" w:rsidRDefault="005D2C87" w14:paraId="17D13E84" w14:textId="3974FC89">
      <w:pPr>
        <w:ind w:left="2124" w:hanging="2124"/>
        <w:rPr>
          <w:rFonts w:ascii="Calibri" w:hAnsi="Calibri" w:cs="Calibri"/>
        </w:rPr>
      </w:pPr>
      <w:r w:rsidRPr="0037769E">
        <w:rPr>
          <w:rFonts w:ascii="Calibri" w:hAnsi="Calibri" w:cs="Calibri"/>
          <w:lang w:eastAsia="nl-NL"/>
        </w:rPr>
        <w:t>36600 A</w:t>
      </w:r>
      <w:r w:rsidRPr="0037769E" w:rsidR="008973E8">
        <w:rPr>
          <w:rFonts w:ascii="Calibri" w:hAnsi="Calibri" w:cs="Calibri"/>
          <w:lang w:eastAsia="nl-NL"/>
        </w:rPr>
        <w:tab/>
      </w:r>
      <w:r w:rsidRPr="0037769E" w:rsidR="008973E8">
        <w:rPr>
          <w:rFonts w:ascii="Calibri" w:hAnsi="Calibri" w:cs="Calibri"/>
        </w:rPr>
        <w:t>Vaststelling van de begrotingsstaat van het Mobiliteitsfonds voor het jaar 2025</w:t>
      </w:r>
    </w:p>
    <w:p w:rsidRPr="0037769E" w:rsidR="008973E8" w:rsidP="008973E8" w:rsidRDefault="005D2C87" w14:paraId="76AABC9B" w14:textId="63525EE7">
      <w:pPr>
        <w:ind w:left="2124" w:hanging="2124"/>
        <w:rPr>
          <w:rFonts w:ascii="Calibri" w:hAnsi="Calibri" w:cs="Calibri"/>
        </w:rPr>
      </w:pPr>
      <w:r w:rsidRPr="0037769E">
        <w:rPr>
          <w:rFonts w:ascii="Calibri" w:hAnsi="Calibri" w:cs="Calibri"/>
          <w:lang w:eastAsia="nl-NL"/>
        </w:rPr>
        <w:t>36600 J</w:t>
      </w:r>
      <w:r w:rsidRPr="0037769E" w:rsidR="008973E8">
        <w:rPr>
          <w:rFonts w:ascii="Calibri" w:hAnsi="Calibri" w:cs="Calibri"/>
          <w:lang w:eastAsia="nl-NL"/>
        </w:rPr>
        <w:tab/>
      </w:r>
      <w:r w:rsidRPr="0037769E" w:rsidR="008973E8">
        <w:rPr>
          <w:rFonts w:ascii="Calibri" w:hAnsi="Calibri" w:cs="Calibri"/>
        </w:rPr>
        <w:t>Vaststelling van de begrotingsstaat van het Deltafonds voor het jaar 2025</w:t>
      </w:r>
    </w:p>
    <w:p w:rsidRPr="0037769E" w:rsidR="0037769E" w:rsidP="004474D9" w:rsidRDefault="008973E8" w14:paraId="23CCD54D" w14:textId="77777777">
      <w:pPr>
        <w:rPr>
          <w:rFonts w:ascii="Calibri" w:hAnsi="Calibri" w:cs="Calibri"/>
          <w:color w:val="000000"/>
        </w:rPr>
      </w:pPr>
      <w:r w:rsidRPr="0037769E">
        <w:rPr>
          <w:rFonts w:ascii="Calibri" w:hAnsi="Calibri" w:cs="Calibri"/>
          <w:lang w:eastAsia="nl-NL"/>
        </w:rPr>
        <w:t xml:space="preserve">Nr. </w:t>
      </w:r>
      <w:r w:rsidRPr="0037769E">
        <w:rPr>
          <w:rFonts w:ascii="Calibri" w:hAnsi="Calibri" w:cs="Calibri"/>
        </w:rPr>
        <w:t>81</w:t>
      </w:r>
      <w:r w:rsidRPr="0037769E">
        <w:rPr>
          <w:rFonts w:ascii="Calibri" w:hAnsi="Calibri" w:cs="Calibri"/>
        </w:rPr>
        <w:tab/>
      </w:r>
      <w:r w:rsidRPr="0037769E">
        <w:rPr>
          <w:rFonts w:ascii="Calibri" w:hAnsi="Calibri" w:cs="Calibri"/>
        </w:rPr>
        <w:tab/>
      </w:r>
      <w:r w:rsidRPr="0037769E">
        <w:rPr>
          <w:rFonts w:ascii="Calibri" w:hAnsi="Calibri" w:cs="Calibri"/>
        </w:rPr>
        <w:tab/>
        <w:t xml:space="preserve">Brief van de </w:t>
      </w:r>
      <w:r w:rsidRPr="0037769E" w:rsidR="0037769E">
        <w:rPr>
          <w:rFonts w:ascii="Calibri" w:hAnsi="Calibri" w:cs="Calibri"/>
        </w:rPr>
        <w:t>minister van Infrastructuur en Waterstaat</w:t>
      </w:r>
    </w:p>
    <w:p w:rsidRPr="0037769E" w:rsidR="005D2C87" w:rsidP="005D2C87" w:rsidRDefault="0037769E" w14:paraId="6738109D" w14:textId="3A5066F8">
      <w:pPr>
        <w:rPr>
          <w:rFonts w:ascii="Calibri" w:hAnsi="Calibri" w:cs="Calibri"/>
        </w:rPr>
      </w:pPr>
      <w:r w:rsidRPr="0037769E">
        <w:rPr>
          <w:rFonts w:ascii="Calibri" w:hAnsi="Calibri" w:cs="Calibri"/>
        </w:rPr>
        <w:t>Aan de Voorzitter van de Tweede Kamer der Staten-Generaal</w:t>
      </w:r>
    </w:p>
    <w:p w:rsidRPr="0037769E" w:rsidR="0037769E" w:rsidP="005D2C87" w:rsidRDefault="0037769E" w14:paraId="2755AE55" w14:textId="378077E3">
      <w:pPr>
        <w:rPr>
          <w:rFonts w:ascii="Calibri" w:hAnsi="Calibri" w:cs="Calibri"/>
          <w:lang w:eastAsia="nl-NL"/>
        </w:rPr>
      </w:pPr>
      <w:r w:rsidRPr="0037769E">
        <w:rPr>
          <w:rFonts w:ascii="Calibri" w:hAnsi="Calibri" w:cs="Calibri"/>
        </w:rPr>
        <w:t>Den haag, 13 december 2024</w:t>
      </w:r>
    </w:p>
    <w:p w:rsidRPr="0037769E" w:rsidR="005D2C87" w:rsidP="005D2C87" w:rsidRDefault="005D2C87" w14:paraId="61BA8706" w14:textId="77777777">
      <w:pPr>
        <w:rPr>
          <w:rFonts w:ascii="Calibri" w:hAnsi="Calibri" w:cs="Calibri"/>
          <w:lang w:eastAsia="nl-NL"/>
        </w:rPr>
      </w:pPr>
    </w:p>
    <w:p w:rsidRPr="0037769E" w:rsidR="005D2C87" w:rsidP="005D2C87" w:rsidRDefault="005D2C87" w14:paraId="293EA750" w14:textId="0AA7892E">
      <w:pPr>
        <w:pStyle w:val="WitregelW1bodytekst"/>
        <w:spacing w:line="276" w:lineRule="auto"/>
        <w:rPr>
          <w:rFonts w:ascii="Calibri" w:hAnsi="Calibri" w:cs="Calibri"/>
          <w:sz w:val="22"/>
          <w:szCs w:val="22"/>
        </w:rPr>
      </w:pPr>
      <w:r w:rsidRPr="0037769E">
        <w:rPr>
          <w:rFonts w:ascii="Calibri" w:hAnsi="Calibri" w:cs="Calibri"/>
          <w:sz w:val="22"/>
          <w:szCs w:val="22"/>
        </w:rPr>
        <w:t>Met deze brief wordt de Kamer, mede namens de staatssecretaris van Infrastructuur en Waterstaat, geïnformeerd over de voornaamste budgettaire mutaties van de begroting van het Ministerie van Infrastructuur en Waterstaat (XII), het Mobiliteitsfonds (A) en het Deltafonds (J) sinds de tweede suppletoire begroting 2024</w:t>
      </w:r>
      <w:r w:rsidRPr="0037769E">
        <w:rPr>
          <w:rStyle w:val="Voetnootmarkering"/>
          <w:rFonts w:ascii="Calibri" w:hAnsi="Calibri" w:cs="Calibri"/>
          <w:sz w:val="22"/>
          <w:szCs w:val="22"/>
        </w:rPr>
        <w:footnoteReference w:id="1"/>
      </w:r>
      <w:r w:rsidRPr="0037769E">
        <w:rPr>
          <w:rFonts w:ascii="Calibri" w:hAnsi="Calibri" w:cs="Calibri"/>
          <w:sz w:val="22"/>
          <w:szCs w:val="22"/>
        </w:rPr>
        <w:t xml:space="preserve">.  </w:t>
      </w:r>
    </w:p>
    <w:p w:rsidRPr="0037769E" w:rsidR="005D2C87" w:rsidP="005D2C87" w:rsidRDefault="005D2C87" w14:paraId="63A583EC" w14:textId="77777777">
      <w:pPr>
        <w:spacing w:line="276" w:lineRule="auto"/>
        <w:rPr>
          <w:rFonts w:ascii="Calibri" w:hAnsi="Calibri" w:cs="Calibri"/>
        </w:rPr>
      </w:pPr>
    </w:p>
    <w:p w:rsidRPr="0037769E" w:rsidR="005D2C87" w:rsidP="005D2C87" w:rsidRDefault="005D2C87" w14:paraId="5FC2E919" w14:textId="77777777">
      <w:pPr>
        <w:spacing w:line="276" w:lineRule="auto"/>
        <w:rPr>
          <w:rFonts w:ascii="Calibri" w:hAnsi="Calibri" w:cs="Calibri"/>
          <w:b/>
          <w:bCs/>
        </w:rPr>
      </w:pPr>
      <w:r w:rsidRPr="0037769E">
        <w:rPr>
          <w:rFonts w:ascii="Calibri" w:hAnsi="Calibri" w:cs="Calibri"/>
          <w:b/>
          <w:bCs/>
        </w:rPr>
        <w:t>HXII – Artikel 16 Openbaar Vervoer en Spoor</w:t>
      </w:r>
    </w:p>
    <w:p w:rsidRPr="0037769E" w:rsidR="005D2C87" w:rsidP="005D2C87" w:rsidRDefault="005D2C87" w14:paraId="5375414B" w14:textId="77777777">
      <w:pPr>
        <w:spacing w:line="276" w:lineRule="auto"/>
        <w:rPr>
          <w:rFonts w:ascii="Calibri" w:hAnsi="Calibri" w:cs="Calibri"/>
          <w:i/>
          <w:iCs/>
        </w:rPr>
      </w:pPr>
      <w:r w:rsidRPr="0037769E">
        <w:rPr>
          <w:rFonts w:ascii="Calibri" w:hAnsi="Calibri" w:cs="Calibri"/>
          <w:i/>
          <w:iCs/>
        </w:rPr>
        <w:t>Hogere kasuitgaven Transitievergoeding Openbaar Vervoer</w:t>
      </w:r>
    </w:p>
    <w:p w:rsidRPr="0037769E" w:rsidR="005D2C87" w:rsidP="005D2C87" w:rsidRDefault="005D2C87" w14:paraId="5456B296" w14:textId="77777777">
      <w:pPr>
        <w:spacing w:line="276" w:lineRule="auto"/>
        <w:rPr>
          <w:rFonts w:ascii="Calibri" w:hAnsi="Calibri" w:cs="Calibri"/>
        </w:rPr>
      </w:pPr>
      <w:bookmarkStart w:name="_Hlk184020444" w:id="0"/>
      <w:r w:rsidRPr="0037769E">
        <w:rPr>
          <w:rFonts w:ascii="Calibri" w:hAnsi="Calibri" w:cs="Calibri"/>
        </w:rPr>
        <w:t>Bij de Najaarsnota is voor deze regeling het budget op basis van de prognose vastgesteld op € 9 miljoen. Deze prognose blijkt nu voor € 3,9 miljoen te laag. Het budget hiervoor wordt deels gevonden door meevallers op artikel 16 (€ 2,9 miljoen) en deels op artikel 17 (€ 1 miljoen). Het kasbudget van artikel 16 wordt met € 1 miljoen verhoogd.</w:t>
      </w:r>
    </w:p>
    <w:bookmarkEnd w:id="0"/>
    <w:p w:rsidRPr="0037769E" w:rsidR="005D2C87" w:rsidP="005D2C87" w:rsidRDefault="005D2C87" w14:paraId="1D0E0441" w14:textId="77777777">
      <w:pPr>
        <w:spacing w:line="276" w:lineRule="auto"/>
        <w:rPr>
          <w:rFonts w:ascii="Calibri" w:hAnsi="Calibri" w:cs="Calibri"/>
          <w:b/>
          <w:bCs/>
        </w:rPr>
      </w:pPr>
    </w:p>
    <w:p w:rsidRPr="0037769E" w:rsidR="005D2C87" w:rsidP="005D2C87" w:rsidRDefault="005D2C87" w14:paraId="3DC5EA56" w14:textId="77777777">
      <w:pPr>
        <w:spacing w:line="276" w:lineRule="auto"/>
        <w:rPr>
          <w:rFonts w:ascii="Calibri" w:hAnsi="Calibri" w:cs="Calibri"/>
          <w:b/>
          <w:bCs/>
        </w:rPr>
      </w:pPr>
      <w:r w:rsidRPr="0037769E">
        <w:rPr>
          <w:rFonts w:ascii="Calibri" w:hAnsi="Calibri" w:cs="Calibri"/>
          <w:b/>
          <w:bCs/>
        </w:rPr>
        <w:t>HXII - Artikel 24 Inspectie Leefomgeving en Transport</w:t>
      </w:r>
    </w:p>
    <w:p w:rsidRPr="0037769E" w:rsidR="005D2C87" w:rsidP="005D2C87" w:rsidRDefault="005D2C87" w14:paraId="6CBBABF9" w14:textId="77777777">
      <w:pPr>
        <w:spacing w:line="276" w:lineRule="auto"/>
        <w:rPr>
          <w:rFonts w:ascii="Calibri" w:hAnsi="Calibri" w:cs="Calibri"/>
          <w:i/>
          <w:iCs/>
        </w:rPr>
      </w:pPr>
      <w:r w:rsidRPr="0037769E">
        <w:rPr>
          <w:rFonts w:ascii="Calibri" w:hAnsi="Calibri" w:cs="Calibri"/>
          <w:i/>
          <w:iCs/>
        </w:rPr>
        <w:t>Risico op overschrijding uitgavenkader</w:t>
      </w:r>
    </w:p>
    <w:p w:rsidRPr="0037769E" w:rsidR="005D2C87" w:rsidP="005D2C87" w:rsidRDefault="005D2C87" w14:paraId="76C15B47" w14:textId="77777777">
      <w:pPr>
        <w:spacing w:line="276" w:lineRule="auto"/>
        <w:rPr>
          <w:rFonts w:ascii="Calibri" w:hAnsi="Calibri" w:cs="Calibri"/>
        </w:rPr>
      </w:pPr>
      <w:r w:rsidRPr="0037769E">
        <w:rPr>
          <w:rFonts w:ascii="Calibri" w:hAnsi="Calibri" w:cs="Calibri"/>
        </w:rPr>
        <w:t xml:space="preserve">Als gevolg van onvoorziene ontwikkelingen, zoals onder andere prijsstijgingen op het gebied van ICT, een overdracht van taken van KIWA naar de ILT en aanvullende controles op de bruine vloot, verwacht de ILT mogelijk niet binnen het beschikbaar budgettair kader te kunnen blijven. Het risico van overschrijding van het kader betreft maximaal € 3 miljoen. </w:t>
      </w:r>
    </w:p>
    <w:p w:rsidRPr="0037769E" w:rsidR="005D2C87" w:rsidP="005D2C87" w:rsidRDefault="005D2C87" w14:paraId="72D79B51" w14:textId="77777777">
      <w:pPr>
        <w:spacing w:line="276" w:lineRule="auto"/>
        <w:rPr>
          <w:rFonts w:ascii="Calibri" w:hAnsi="Calibri" w:cs="Calibri"/>
          <w:b/>
          <w:bCs/>
        </w:rPr>
      </w:pPr>
    </w:p>
    <w:p w:rsidRPr="0037769E" w:rsidR="005D2C87" w:rsidP="005D2C87" w:rsidRDefault="005D2C87" w14:paraId="546E5B40" w14:textId="77777777">
      <w:pPr>
        <w:spacing w:line="276" w:lineRule="auto"/>
        <w:rPr>
          <w:rFonts w:ascii="Calibri" w:hAnsi="Calibri" w:cs="Calibri"/>
          <w:b/>
          <w:bCs/>
        </w:rPr>
      </w:pPr>
      <w:r w:rsidRPr="0037769E">
        <w:rPr>
          <w:rFonts w:ascii="Calibri" w:hAnsi="Calibri" w:cs="Calibri"/>
          <w:b/>
          <w:bCs/>
        </w:rPr>
        <w:lastRenderedPageBreak/>
        <w:t xml:space="preserve">HXII - Artikel 25 Brede Doeluitkering </w:t>
      </w:r>
    </w:p>
    <w:p w:rsidRPr="0037769E" w:rsidR="005D2C87" w:rsidP="005D2C87" w:rsidRDefault="005D2C87" w14:paraId="28AF8496" w14:textId="77777777">
      <w:pPr>
        <w:spacing w:line="276" w:lineRule="auto"/>
        <w:rPr>
          <w:rFonts w:ascii="Calibri" w:hAnsi="Calibri" w:cs="Calibri"/>
          <w:i/>
          <w:iCs/>
        </w:rPr>
      </w:pPr>
      <w:r w:rsidRPr="0037769E">
        <w:rPr>
          <w:rFonts w:ascii="Calibri" w:hAnsi="Calibri" w:cs="Calibri"/>
          <w:i/>
          <w:iCs/>
        </w:rPr>
        <w:t>Aangaan verplichtingen Brede Doeluitkering (BDU) voor 2025</w:t>
      </w:r>
    </w:p>
    <w:p w:rsidRPr="0037769E" w:rsidR="005D2C87" w:rsidP="005D2C87" w:rsidRDefault="005D2C87" w14:paraId="707E3C44" w14:textId="77777777">
      <w:pPr>
        <w:pStyle w:val="Normaalweb"/>
        <w:shd w:val="clear" w:color="auto" w:fill="FFFFFF"/>
        <w:spacing w:before="0" w:beforeAutospacing="0" w:after="240" w:afterAutospacing="0" w:line="276" w:lineRule="auto"/>
        <w:rPr>
          <w:rFonts w:ascii="Calibri" w:hAnsi="Calibri" w:cs="Calibri"/>
          <w:strike/>
          <w:sz w:val="22"/>
          <w:szCs w:val="22"/>
        </w:rPr>
      </w:pPr>
      <w:r w:rsidRPr="0037769E">
        <w:rPr>
          <w:rFonts w:ascii="Calibri" w:hAnsi="Calibri" w:cs="Calibri"/>
          <w:sz w:val="22"/>
          <w:szCs w:val="22"/>
        </w:rPr>
        <w:t>Volgens de BDU-systematiek worden de verplichtingen voorafgaand aan het jaar van betaling aangegaan. De beschikking voor het jaar 2025 wordt eind 2024 afgegeven aan de twee vervoersregio’s Metropoolregio Rotterdam en Den Haag (MRDH) en Vervoerregio Amsterdam (VRA). Bij het opstellen van de Najaarsnota was nog niet in alle gevallen bekend welke afzonderlijke afspraken met welk kaseffect in 2025 moeten worden vastgelegd. Hierdoor is bij de Najaarsnota slechts een deel van de verplichtingen voor 2025 aangegaan. De totale hoogte van het verplichtingenbudget dat in 2024 extra wordt aangegaan bedraagt € 178,9 miljoen.</w:t>
      </w:r>
    </w:p>
    <w:p w:rsidRPr="0037769E" w:rsidR="005D2C87" w:rsidP="005D2C87" w:rsidRDefault="005D2C87" w14:paraId="35DAEB60" w14:textId="55F51FB3">
      <w:pPr>
        <w:pStyle w:val="Normaalweb"/>
        <w:shd w:val="clear" w:color="auto" w:fill="FFFFFF"/>
        <w:spacing w:before="0" w:beforeAutospacing="0" w:after="240" w:afterAutospacing="0" w:line="276" w:lineRule="auto"/>
        <w:rPr>
          <w:rFonts w:ascii="Calibri" w:hAnsi="Calibri" w:cs="Calibri"/>
          <w:strike/>
          <w:sz w:val="22"/>
          <w:szCs w:val="22"/>
        </w:rPr>
      </w:pPr>
      <w:r w:rsidRPr="0037769E">
        <w:rPr>
          <w:rFonts w:ascii="Calibri" w:hAnsi="Calibri" w:cs="Calibri"/>
          <w:sz w:val="22"/>
          <w:szCs w:val="22"/>
        </w:rPr>
        <w:t>Het gaat hierbij om de bijdrage aan de BDU-regio’s</w:t>
      </w:r>
      <w:r w:rsidRPr="0037769E">
        <w:rPr>
          <w:rStyle w:val="Voetnootmarkering"/>
          <w:rFonts w:ascii="Calibri" w:hAnsi="Calibri" w:cs="Calibri"/>
          <w:sz w:val="22"/>
          <w:szCs w:val="22"/>
        </w:rPr>
        <w:footnoteReference w:id="2"/>
      </w:r>
      <w:r w:rsidRPr="0037769E">
        <w:rPr>
          <w:rFonts w:ascii="Calibri" w:hAnsi="Calibri" w:cs="Calibri"/>
          <w:sz w:val="22"/>
          <w:szCs w:val="22"/>
        </w:rPr>
        <w:t xml:space="preserve"> voor de bijdrage aan Zuid-Holland Bereikbaar van € 4,07 miljoen (MRDH), de verdeling van middelen voor OV toegankelijkheid van € 4,23 miljoen (MRDH en € 4,33 miljoen (VRA), een Rijksbijdrage aan studiekosten voor de Vlietlijn van € 6,2 miljoen (MRDH), een Rijksbijdrage aan studiekosten voor de Oude Lijn van € 0,13 miljoen (MRDH), een middelenverdeling voor het Gebiedsprogramma </w:t>
      </w:r>
      <w:proofErr w:type="spellStart"/>
      <w:r w:rsidRPr="0037769E">
        <w:rPr>
          <w:rFonts w:ascii="Calibri" w:hAnsi="Calibri" w:cs="Calibri"/>
          <w:sz w:val="22"/>
          <w:szCs w:val="22"/>
        </w:rPr>
        <w:t>MoVe</w:t>
      </w:r>
      <w:proofErr w:type="spellEnd"/>
      <w:r w:rsidRPr="0037769E">
        <w:rPr>
          <w:rFonts w:ascii="Calibri" w:hAnsi="Calibri" w:cs="Calibri"/>
          <w:sz w:val="22"/>
          <w:szCs w:val="22"/>
        </w:rPr>
        <w:t xml:space="preserve"> (MRDH) van € 0,17 miljoen, herindeling Amsterdam Weesp voor € 1,3 miljoen (VRA) en de motie Bikker</w:t>
      </w:r>
      <w:r w:rsidRPr="0037769E" w:rsidR="00C16047">
        <w:rPr>
          <w:rFonts w:ascii="Calibri" w:hAnsi="Calibri" w:cs="Calibri"/>
          <w:sz w:val="22"/>
          <w:szCs w:val="22"/>
        </w:rPr>
        <w:t xml:space="preserve"> c.s. (Kamerstuk 36410, nr. 29)</w:t>
      </w:r>
      <w:r w:rsidRPr="0037769E" w:rsidR="00922310">
        <w:rPr>
          <w:rFonts w:ascii="Calibri" w:hAnsi="Calibri" w:cs="Calibri"/>
          <w:sz w:val="22"/>
          <w:szCs w:val="22"/>
        </w:rPr>
        <w:t xml:space="preserve"> en de </w:t>
      </w:r>
      <w:r w:rsidRPr="0037769E" w:rsidR="00341452">
        <w:rPr>
          <w:rFonts w:ascii="Calibri" w:hAnsi="Calibri" w:cs="Calibri"/>
          <w:sz w:val="22"/>
          <w:szCs w:val="22"/>
        </w:rPr>
        <w:t xml:space="preserve">motie </w:t>
      </w:r>
      <w:r w:rsidRPr="0037769E">
        <w:rPr>
          <w:rFonts w:ascii="Calibri" w:hAnsi="Calibri" w:cs="Calibri"/>
          <w:sz w:val="22"/>
          <w:szCs w:val="22"/>
        </w:rPr>
        <w:t>Krul</w:t>
      </w:r>
      <w:r w:rsidRPr="0037769E" w:rsidR="00341452">
        <w:rPr>
          <w:rFonts w:ascii="Calibri" w:hAnsi="Calibri" w:cs="Calibri"/>
          <w:sz w:val="22"/>
          <w:szCs w:val="22"/>
        </w:rPr>
        <w:t xml:space="preserve"> c.s. (Kamerstuk 31524, nr. 581)</w:t>
      </w:r>
      <w:r w:rsidRPr="0037769E">
        <w:rPr>
          <w:rFonts w:ascii="Calibri" w:hAnsi="Calibri" w:cs="Calibri"/>
          <w:sz w:val="22"/>
          <w:szCs w:val="22"/>
        </w:rPr>
        <w:t xml:space="preserve"> van € 158,5 mln. (MRDH/VRA).</w:t>
      </w:r>
    </w:p>
    <w:p w:rsidRPr="0037769E" w:rsidR="005D2C87" w:rsidP="005D2C87" w:rsidRDefault="005D2C87" w14:paraId="2A84804B" w14:textId="77777777">
      <w:pPr>
        <w:spacing w:line="276" w:lineRule="auto"/>
        <w:rPr>
          <w:rFonts w:ascii="Calibri" w:hAnsi="Calibri" w:cs="Calibri"/>
          <w:b/>
          <w:bCs/>
        </w:rPr>
      </w:pPr>
      <w:r w:rsidRPr="0037769E">
        <w:rPr>
          <w:rFonts w:ascii="Calibri" w:hAnsi="Calibri" w:cs="Calibri"/>
          <w:b/>
          <w:bCs/>
        </w:rPr>
        <w:t>Mobiliteitsfonds – Artikel 12 Hoofdwegennet</w:t>
      </w:r>
    </w:p>
    <w:p w:rsidRPr="0037769E" w:rsidR="005D2C87" w:rsidP="005D2C87" w:rsidRDefault="005D2C87" w14:paraId="383A7C7D" w14:textId="77777777">
      <w:pPr>
        <w:spacing w:line="276" w:lineRule="auto"/>
        <w:rPr>
          <w:rFonts w:ascii="Calibri" w:hAnsi="Calibri" w:cs="Calibri"/>
          <w:i/>
          <w:iCs/>
        </w:rPr>
      </w:pPr>
      <w:r w:rsidRPr="0037769E">
        <w:rPr>
          <w:rFonts w:ascii="Calibri" w:hAnsi="Calibri" w:cs="Calibri"/>
          <w:i/>
          <w:iCs/>
        </w:rPr>
        <w:t xml:space="preserve">Hogere verplichtingen Knooppunt Nieuwe Meer </w:t>
      </w:r>
      <w:proofErr w:type="spellStart"/>
      <w:r w:rsidRPr="0037769E">
        <w:rPr>
          <w:rFonts w:ascii="Calibri" w:hAnsi="Calibri" w:cs="Calibri"/>
          <w:i/>
          <w:iCs/>
        </w:rPr>
        <w:t>Zuidasdok</w:t>
      </w:r>
      <w:proofErr w:type="spellEnd"/>
    </w:p>
    <w:p w:rsidRPr="0037769E" w:rsidR="005D2C87" w:rsidP="005D2C87" w:rsidRDefault="005D2C87" w14:paraId="36C68693" w14:textId="77777777">
      <w:pPr>
        <w:shd w:val="clear" w:color="auto" w:fill="FFFFFF"/>
        <w:spacing w:after="240" w:line="276" w:lineRule="auto"/>
        <w:rPr>
          <w:rFonts w:ascii="Calibri" w:hAnsi="Calibri" w:eastAsia="Times New Roman" w:cs="Calibri"/>
        </w:rPr>
      </w:pPr>
      <w:bookmarkStart w:name="_Hlk183705620" w:id="1"/>
      <w:bookmarkStart w:name="_Hlk183762625" w:id="2"/>
      <w:r w:rsidRPr="0037769E">
        <w:rPr>
          <w:rFonts w:ascii="Calibri" w:hAnsi="Calibri" w:eastAsia="Times New Roman" w:cs="Calibri"/>
        </w:rPr>
        <w:t xml:space="preserve">Voor het project </w:t>
      </w:r>
      <w:proofErr w:type="spellStart"/>
      <w:r w:rsidRPr="0037769E">
        <w:rPr>
          <w:rFonts w:ascii="Calibri" w:hAnsi="Calibri" w:eastAsia="Times New Roman" w:cs="Calibri"/>
        </w:rPr>
        <w:t>Zuidasdok</w:t>
      </w:r>
      <w:proofErr w:type="spellEnd"/>
      <w:r w:rsidRPr="0037769E">
        <w:rPr>
          <w:rFonts w:ascii="Calibri" w:hAnsi="Calibri" w:eastAsia="Times New Roman" w:cs="Calibri"/>
        </w:rPr>
        <w:t xml:space="preserve"> moeten aanvullende renovatiewerkzaamheden aan de bestaande Schinkelbruggen worden opgedragen bij de aannemer. Bij </w:t>
      </w:r>
      <w:proofErr w:type="spellStart"/>
      <w:r w:rsidRPr="0037769E">
        <w:rPr>
          <w:rFonts w:ascii="Calibri" w:hAnsi="Calibri" w:eastAsia="Times New Roman" w:cs="Calibri"/>
        </w:rPr>
        <w:t>Zuidasdok</w:t>
      </w:r>
      <w:proofErr w:type="spellEnd"/>
      <w:r w:rsidRPr="0037769E">
        <w:rPr>
          <w:rFonts w:ascii="Calibri" w:hAnsi="Calibri" w:eastAsia="Times New Roman" w:cs="Calibri"/>
        </w:rPr>
        <w:t xml:space="preserve"> A10 Knooppunt De Nieuwe Meer en Amstel moet de toevoeging van stalen vallen (het beweegbare gedeelte van de brug) nog worden verwerkt in het contract. Hier was met de ramingen tijdens de Najaarsnota geen rekening mee gehouden, omdat door het projectteam verondersteld werd dat deze kosten hierin al waren verwerkt. </w:t>
      </w:r>
      <w:r w:rsidRPr="0037769E">
        <w:rPr>
          <w:rFonts w:ascii="Calibri" w:hAnsi="Calibri" w:cs="Calibri"/>
        </w:rPr>
        <w:t>Deze verplichtingen moeten in 2024 worden aangegaan, zodat de werkzaamheden in 2025 en 2026 kunnen worden uitgevoerd. Dit leidt tot een extra benodigd verplichtingenbudget van € 9,8 miljoen in 2024.</w:t>
      </w:r>
      <w:bookmarkEnd w:id="1"/>
    </w:p>
    <w:p w:rsidRPr="0037769E" w:rsidR="005D2C87" w:rsidP="005D2C87" w:rsidRDefault="005D2C87" w14:paraId="792593F5" w14:textId="77777777">
      <w:pPr>
        <w:spacing w:line="276" w:lineRule="auto"/>
        <w:rPr>
          <w:rFonts w:ascii="Calibri" w:hAnsi="Calibri" w:cs="Calibri"/>
          <w:i/>
          <w:iCs/>
        </w:rPr>
      </w:pPr>
      <w:bookmarkStart w:name="_Hlk183690662" w:id="3"/>
      <w:bookmarkEnd w:id="2"/>
      <w:r w:rsidRPr="0037769E">
        <w:rPr>
          <w:rFonts w:ascii="Calibri" w:hAnsi="Calibri" w:cs="Calibri"/>
          <w:i/>
          <w:iCs/>
        </w:rPr>
        <w:t>Terugboeking overschotten Vrachtwagenheffing (VWH)</w:t>
      </w:r>
    </w:p>
    <w:p w:rsidRPr="0037769E" w:rsidR="005D2C87" w:rsidP="005D2C87" w:rsidRDefault="005D2C87" w14:paraId="31AA270D" w14:textId="77777777">
      <w:pPr>
        <w:shd w:val="clear" w:color="auto" w:fill="FFFFFF"/>
        <w:spacing w:after="240" w:line="276" w:lineRule="auto"/>
        <w:rPr>
          <w:rFonts w:ascii="Calibri" w:hAnsi="Calibri" w:eastAsia="Times New Roman" w:cs="Calibri"/>
        </w:rPr>
      </w:pPr>
      <w:r w:rsidRPr="0037769E">
        <w:rPr>
          <w:rFonts w:ascii="Calibri" w:hAnsi="Calibri" w:eastAsia="Times New Roman" w:cs="Calibri"/>
        </w:rPr>
        <w:t xml:space="preserve">In de huidige systematiek vindt de verantwoording van bepaalde uitgaven voor de uitvoering van het programma Vrachtwagenheffing plaats op de begroting Hoofdstuk XII Infrastructuur en Waterstaat (HXII). De budgetten hiervoor zijn vrijgemaakt op het Mobiliteitsfonds en worden overgeheveld naar HXII, zodat aldaar </w:t>
      </w:r>
      <w:r w:rsidRPr="0037769E">
        <w:rPr>
          <w:rFonts w:ascii="Calibri" w:hAnsi="Calibri" w:eastAsia="Times New Roman" w:cs="Calibri"/>
        </w:rPr>
        <w:lastRenderedPageBreak/>
        <w:t xml:space="preserve">de uitgaven kunnen worden verantwoord. Op de naar de begroting van Hoofdstuk XII overgehevelde budgetten doen zich in 2024 mogelijk lagere uitgaven voor dan van tevoren gepland, door eventuele niet uitgevoerde werkzaamheden of vertragingen. Voor de hiervoor genoemde posten geldt dat de dit jaar niet-bestede middelen (max. € 29 miljoen) nu (tijdelijk) worden teruggeboekt naar het Mobiliteitsfonds. </w:t>
      </w:r>
    </w:p>
    <w:bookmarkEnd w:id="3"/>
    <w:p w:rsidRPr="0037769E" w:rsidR="005D2C87" w:rsidP="005D2C87" w:rsidRDefault="005D2C87" w14:paraId="67A8D9BD" w14:textId="77777777">
      <w:pPr>
        <w:spacing w:line="276" w:lineRule="auto"/>
        <w:rPr>
          <w:rFonts w:ascii="Calibri" w:hAnsi="Calibri" w:cs="Calibri"/>
          <w:i/>
          <w:iCs/>
        </w:rPr>
      </w:pPr>
      <w:r w:rsidRPr="0037769E">
        <w:rPr>
          <w:rFonts w:ascii="Calibri" w:hAnsi="Calibri" w:cs="Calibri"/>
          <w:i/>
          <w:iCs/>
        </w:rPr>
        <w:t>Hogere ontvangsten Vrachtwagenheffing (VWH)</w:t>
      </w:r>
    </w:p>
    <w:p w:rsidRPr="0037769E" w:rsidR="005D2C87" w:rsidP="005D2C87" w:rsidRDefault="005D2C87" w14:paraId="53B61475" w14:textId="77777777">
      <w:pPr>
        <w:spacing w:line="276" w:lineRule="auto"/>
        <w:rPr>
          <w:rFonts w:ascii="Calibri" w:hAnsi="Calibri" w:cs="Calibri"/>
        </w:rPr>
      </w:pPr>
      <w:r w:rsidRPr="0037769E">
        <w:rPr>
          <w:rFonts w:ascii="Calibri" w:hAnsi="Calibri" w:cs="Calibri"/>
        </w:rPr>
        <w:t>Voor de programma’s Vrachtwagenheffing en Tijdelijke Tolheffing zijn de eindafrekeningen van de RDW en het CJIB na de Najaarsnota 2024 ontvangen. Deze eindafrekeningen worden niet meer verrekend bij de aankomende Voorjaarsnota. De eindafrekening voor Vrachtwagenheffing bedraagt € 8,2 miljoen en voor Tijdelijke Tolheffing € 5,2 miljoen. De niet-bestede middelen worden teruggeboekt naar het programmabudget op het Mobiliteitsfonds en zijn beschikbaar voor de programma’s.</w:t>
      </w:r>
    </w:p>
    <w:p w:rsidRPr="0037769E" w:rsidR="0037769E" w:rsidP="005D2C87" w:rsidRDefault="0037769E" w14:paraId="61A5C3D5" w14:textId="77777777">
      <w:pPr>
        <w:spacing w:line="276" w:lineRule="auto"/>
        <w:rPr>
          <w:rFonts w:ascii="Calibri" w:hAnsi="Calibri" w:cs="Calibri"/>
        </w:rPr>
      </w:pPr>
    </w:p>
    <w:p w:rsidRPr="0037769E" w:rsidR="005D2C87" w:rsidP="005D2C87" w:rsidRDefault="005D2C87" w14:paraId="28D28667" w14:textId="3F9C1386">
      <w:pPr>
        <w:spacing w:line="276" w:lineRule="auto"/>
        <w:rPr>
          <w:rFonts w:ascii="Calibri" w:hAnsi="Calibri" w:cs="Calibri"/>
        </w:rPr>
      </w:pPr>
      <w:r w:rsidRPr="0037769E">
        <w:rPr>
          <w:rFonts w:ascii="Calibri" w:hAnsi="Calibri" w:cs="Calibri"/>
          <w:b/>
          <w:bCs/>
        </w:rPr>
        <w:t>Mobiliteitsfonds – Artikel 17 Megaprojecten Verkeer en Vervoer</w:t>
      </w:r>
    </w:p>
    <w:p w:rsidRPr="0037769E" w:rsidR="005D2C87" w:rsidP="005D2C87" w:rsidRDefault="005D2C87" w14:paraId="2F7AE08E" w14:textId="77777777">
      <w:pPr>
        <w:spacing w:line="276" w:lineRule="auto"/>
        <w:rPr>
          <w:rFonts w:ascii="Calibri" w:hAnsi="Calibri" w:cs="Calibri"/>
          <w:i/>
          <w:iCs/>
        </w:rPr>
      </w:pPr>
      <w:r w:rsidRPr="0037769E">
        <w:rPr>
          <w:rFonts w:ascii="Calibri" w:hAnsi="Calibri" w:cs="Calibri"/>
          <w:i/>
          <w:iCs/>
        </w:rPr>
        <w:t>Ontvangsten EU-subsidies ERTMS</w:t>
      </w:r>
    </w:p>
    <w:p w:rsidRPr="0037769E" w:rsidR="005D2C87" w:rsidP="005D2C87" w:rsidRDefault="005D2C87" w14:paraId="180577D6" w14:textId="77777777">
      <w:pPr>
        <w:spacing w:line="276" w:lineRule="auto"/>
        <w:rPr>
          <w:rFonts w:ascii="Calibri" w:hAnsi="Calibri" w:cs="Calibri"/>
        </w:rPr>
      </w:pPr>
      <w:r w:rsidRPr="0037769E">
        <w:rPr>
          <w:rFonts w:ascii="Calibri" w:hAnsi="Calibri" w:cs="Calibri"/>
        </w:rPr>
        <w:t>Er zijn ontvangsten geweest van twee EU-subsidies van bij elkaar € 7 miljoen voor het programma ERTMS, waarvan bij de Najaarsnota werd verwacht dat deze in 2025 ontvangen gingen worden. Echter, de Europese Commissie heeft haar beoordeling van de financiële voortgang van de subsidieprojecten eerder dan verwacht afgerond, waardoor de ontvangsten toch in 2024 zijn binnengekomen.</w:t>
      </w:r>
    </w:p>
    <w:p w:rsidRPr="0037769E" w:rsidR="005D2C87" w:rsidP="005D2C87" w:rsidRDefault="005D2C87" w14:paraId="24D314D3" w14:textId="77777777">
      <w:pPr>
        <w:spacing w:line="276" w:lineRule="auto"/>
        <w:rPr>
          <w:rFonts w:ascii="Calibri" w:hAnsi="Calibri" w:cs="Calibri"/>
        </w:rPr>
      </w:pPr>
    </w:p>
    <w:p w:rsidRPr="0037769E" w:rsidR="005D2C87" w:rsidP="005D2C87" w:rsidRDefault="005D2C87" w14:paraId="50D2B273" w14:textId="77777777">
      <w:pPr>
        <w:spacing w:line="276" w:lineRule="auto"/>
        <w:rPr>
          <w:rFonts w:ascii="Calibri" w:hAnsi="Calibri" w:cs="Calibri"/>
          <w:b/>
          <w:bCs/>
        </w:rPr>
      </w:pPr>
      <w:r w:rsidRPr="0037769E">
        <w:rPr>
          <w:rFonts w:ascii="Calibri" w:hAnsi="Calibri" w:cs="Calibri"/>
          <w:b/>
          <w:bCs/>
        </w:rPr>
        <w:t>Mobiliteitsfonds – Artikel 18 Overige Uitgaven en Ontvangsten</w:t>
      </w:r>
    </w:p>
    <w:p w:rsidRPr="0037769E" w:rsidR="005D2C87" w:rsidP="005D2C87" w:rsidRDefault="005D2C87" w14:paraId="3E14D0C6" w14:textId="77777777">
      <w:pPr>
        <w:spacing w:line="276" w:lineRule="auto"/>
        <w:rPr>
          <w:rFonts w:ascii="Calibri" w:hAnsi="Calibri" w:cs="Calibri"/>
          <w:i/>
          <w:iCs/>
        </w:rPr>
      </w:pPr>
      <w:r w:rsidRPr="0037769E">
        <w:rPr>
          <w:rFonts w:ascii="Calibri" w:hAnsi="Calibri" w:cs="Calibri"/>
          <w:i/>
          <w:iCs/>
        </w:rPr>
        <w:t>Hogere realisatie Externe Veiligheid - DGMI</w:t>
      </w:r>
    </w:p>
    <w:p w:rsidRPr="0037769E" w:rsidR="005D2C87" w:rsidP="005D2C87" w:rsidRDefault="005D2C87" w14:paraId="3F9A2474" w14:textId="77777777">
      <w:pPr>
        <w:spacing w:line="276" w:lineRule="auto"/>
        <w:rPr>
          <w:rFonts w:ascii="Calibri" w:hAnsi="Calibri" w:cs="Calibri"/>
        </w:rPr>
      </w:pPr>
      <w:r w:rsidRPr="0037769E">
        <w:rPr>
          <w:rFonts w:ascii="Calibri" w:hAnsi="Calibri" w:cs="Calibri"/>
        </w:rPr>
        <w:t>Dit betreft hogere uitgaven inzake Aankoopproject Basisnet 2015 door RWS. De realisatie op het aankooptraject Basisnet 2015 valt in 2024 iets positiever uit dan bij Najaarsnota 2024 verwacht. Bij Najaarsnota 2024 is er abusievelijk € 80.000 teveel doorgeschoven van 2024 naar 2025. De hoogte van de doorgeschoven middelen bij Najaarsnota was € 3,4 miljoen, waar dit € 80.000 minder had moeten zijn.</w:t>
      </w:r>
    </w:p>
    <w:p w:rsidRPr="0037769E" w:rsidR="005D2C87" w:rsidP="005D2C87" w:rsidRDefault="005D2C87" w14:paraId="17755EE5" w14:textId="77777777">
      <w:pPr>
        <w:spacing w:line="276" w:lineRule="auto"/>
        <w:rPr>
          <w:rFonts w:ascii="Calibri" w:hAnsi="Calibri" w:cs="Calibri"/>
          <w:b/>
          <w:bCs/>
        </w:rPr>
      </w:pPr>
    </w:p>
    <w:p w:rsidRPr="0037769E" w:rsidR="005D2C87" w:rsidP="005D2C87" w:rsidRDefault="005D2C87" w14:paraId="0CC6281F" w14:textId="77777777">
      <w:pPr>
        <w:spacing w:line="276" w:lineRule="auto"/>
        <w:rPr>
          <w:rFonts w:ascii="Calibri" w:hAnsi="Calibri" w:cs="Calibri"/>
          <w:b/>
          <w:bCs/>
        </w:rPr>
      </w:pPr>
      <w:r w:rsidRPr="0037769E">
        <w:rPr>
          <w:rFonts w:ascii="Calibri" w:hAnsi="Calibri" w:cs="Calibri"/>
          <w:b/>
          <w:bCs/>
        </w:rPr>
        <w:t>Deltafonds – Artikel 1 Investeren in Waterveiligheid</w:t>
      </w:r>
    </w:p>
    <w:p w:rsidRPr="0037769E" w:rsidR="005D2C87" w:rsidP="005D2C87" w:rsidRDefault="005D2C87" w14:paraId="28FDF831" w14:textId="77777777">
      <w:pPr>
        <w:spacing w:line="276" w:lineRule="auto"/>
        <w:rPr>
          <w:rFonts w:ascii="Calibri" w:hAnsi="Calibri" w:eastAsia="Calibri" w:cs="Calibri"/>
          <w:i/>
          <w:iCs/>
        </w:rPr>
      </w:pPr>
      <w:proofErr w:type="spellStart"/>
      <w:r w:rsidRPr="0037769E">
        <w:rPr>
          <w:rFonts w:ascii="Calibri" w:hAnsi="Calibri" w:eastAsia="Calibri" w:cs="Calibri"/>
          <w:i/>
          <w:iCs/>
        </w:rPr>
        <w:t>Overprogrammering</w:t>
      </w:r>
      <w:proofErr w:type="spellEnd"/>
      <w:r w:rsidRPr="0037769E">
        <w:rPr>
          <w:rFonts w:ascii="Calibri" w:hAnsi="Calibri" w:eastAsia="Calibri" w:cs="Calibri"/>
          <w:i/>
          <w:iCs/>
        </w:rPr>
        <w:t xml:space="preserve"> gehele Deltafonds</w:t>
      </w:r>
    </w:p>
    <w:p w:rsidRPr="0037769E" w:rsidR="005D2C87" w:rsidP="005D2C87" w:rsidRDefault="005D2C87" w14:paraId="32273BDB" w14:textId="77777777">
      <w:pPr>
        <w:spacing w:line="276" w:lineRule="auto"/>
        <w:rPr>
          <w:rFonts w:ascii="Calibri" w:hAnsi="Calibri" w:eastAsia="Calibri" w:cs="Calibri"/>
        </w:rPr>
      </w:pPr>
      <w:bookmarkStart w:name="_Hlk120000239" w:id="4"/>
      <w:r w:rsidRPr="0037769E">
        <w:rPr>
          <w:rFonts w:ascii="Calibri" w:hAnsi="Calibri" w:eastAsia="Calibri" w:cs="Calibri"/>
        </w:rPr>
        <w:lastRenderedPageBreak/>
        <w:t xml:space="preserve">Op dit artikel is de </w:t>
      </w:r>
      <w:proofErr w:type="spellStart"/>
      <w:r w:rsidRPr="0037769E">
        <w:rPr>
          <w:rFonts w:ascii="Calibri" w:hAnsi="Calibri" w:eastAsia="Calibri" w:cs="Calibri"/>
        </w:rPr>
        <w:t>overprogrammering</w:t>
      </w:r>
      <w:proofErr w:type="spellEnd"/>
      <w:r w:rsidRPr="0037769E">
        <w:rPr>
          <w:rFonts w:ascii="Calibri" w:hAnsi="Calibri" w:eastAsia="Calibri" w:cs="Calibri"/>
        </w:rPr>
        <w:t xml:space="preserve"> van het gehele Deltafonds opgenomen. </w:t>
      </w:r>
      <w:proofErr w:type="spellStart"/>
      <w:r w:rsidRPr="0037769E">
        <w:rPr>
          <w:rFonts w:ascii="Calibri" w:hAnsi="Calibri" w:eastAsia="Calibri" w:cs="Calibri"/>
        </w:rPr>
        <w:t>Overprogrammering</w:t>
      </w:r>
      <w:proofErr w:type="spellEnd"/>
      <w:r w:rsidRPr="0037769E">
        <w:rPr>
          <w:rFonts w:ascii="Calibri" w:hAnsi="Calibri" w:eastAsia="Calibri" w:cs="Calibri"/>
        </w:rPr>
        <w:t xml:space="preserve"> houdt in dat de programmering in 2024 hoger is dan het beschikbare kasbudget. De </w:t>
      </w:r>
      <w:proofErr w:type="spellStart"/>
      <w:r w:rsidRPr="0037769E">
        <w:rPr>
          <w:rFonts w:ascii="Calibri" w:hAnsi="Calibri" w:eastAsia="Calibri" w:cs="Calibri"/>
        </w:rPr>
        <w:t>overprogrammering</w:t>
      </w:r>
      <w:proofErr w:type="spellEnd"/>
      <w:r w:rsidRPr="0037769E">
        <w:rPr>
          <w:rFonts w:ascii="Calibri" w:hAnsi="Calibri" w:eastAsia="Calibri" w:cs="Calibri"/>
        </w:rPr>
        <w:t xml:space="preserve"> is momenteel € 50,21 miljoen en staat op art. 1 van het Deltafonds. Met </w:t>
      </w:r>
      <w:proofErr w:type="spellStart"/>
      <w:r w:rsidRPr="0037769E">
        <w:rPr>
          <w:rFonts w:ascii="Calibri" w:hAnsi="Calibri" w:eastAsia="Calibri" w:cs="Calibri"/>
        </w:rPr>
        <w:t>overprogrammering</w:t>
      </w:r>
      <w:proofErr w:type="spellEnd"/>
      <w:r w:rsidRPr="0037769E">
        <w:rPr>
          <w:rFonts w:ascii="Calibri" w:hAnsi="Calibri" w:eastAsia="Calibri" w:cs="Calibri"/>
        </w:rPr>
        <w:t xml:space="preserve"> wordt geanticipeerd op een voorspelbare mate van vertraging, die zich op projectniveau in de regel voordoet. De vertragingen in het hele programma worden met de </w:t>
      </w:r>
      <w:proofErr w:type="spellStart"/>
      <w:r w:rsidRPr="0037769E">
        <w:rPr>
          <w:rFonts w:ascii="Calibri" w:hAnsi="Calibri" w:eastAsia="Calibri" w:cs="Calibri"/>
        </w:rPr>
        <w:t>overprogrammering</w:t>
      </w:r>
      <w:proofErr w:type="spellEnd"/>
      <w:r w:rsidRPr="0037769E">
        <w:rPr>
          <w:rFonts w:ascii="Calibri" w:hAnsi="Calibri" w:eastAsia="Calibri" w:cs="Calibri"/>
        </w:rPr>
        <w:t xml:space="preserve"> opgevangen. </w:t>
      </w:r>
    </w:p>
    <w:p w:rsidRPr="0037769E" w:rsidR="005D2C87" w:rsidP="005D2C87" w:rsidRDefault="005D2C87" w14:paraId="2630020C" w14:textId="77777777">
      <w:pPr>
        <w:spacing w:line="276" w:lineRule="auto"/>
        <w:rPr>
          <w:rFonts w:ascii="Calibri" w:hAnsi="Calibri" w:eastAsia="Calibri" w:cs="Calibri"/>
        </w:rPr>
      </w:pPr>
      <w:r w:rsidRPr="0037769E">
        <w:rPr>
          <w:rFonts w:ascii="Calibri" w:hAnsi="Calibri" w:eastAsia="Calibri" w:cs="Calibri"/>
        </w:rPr>
        <w:t xml:space="preserve">Het is niet helemaal voorspelbaar of de vertragingen in het programma binnen artikel 1 en/of elders binnen het Deltafonds zich zullen voordoen. Het kan zijn dat op een ander artikel dan artikel 1 binnen het Deltafonds vertraging optreedt en dus onderbesteding van budget optreedt. </w:t>
      </w:r>
      <w:bookmarkStart w:name="_Hlk184047109" w:id="5"/>
      <w:r w:rsidRPr="0037769E">
        <w:rPr>
          <w:rFonts w:ascii="Calibri" w:hAnsi="Calibri" w:eastAsia="Calibri" w:cs="Calibri"/>
        </w:rPr>
        <w:t>Afhankelijk van waar de vertragingen zich daadwerkelijk zullen voordoen wordt artikel 1 Investeren in waterveiligheid maximaal met € 50,21 miljoen overschreden, wat wordt gecompenseerd door onderbesteding op andere artikelen binnen het Deltafonds. Het totale kasbudget van het Deltafonds wordt daarmee in het jaar 2024 niet overschreden.</w:t>
      </w:r>
    </w:p>
    <w:bookmarkEnd w:id="5"/>
    <w:p w:rsidRPr="0037769E" w:rsidR="005D2C87" w:rsidP="005D2C87" w:rsidRDefault="005D2C87" w14:paraId="1ACB56C3" w14:textId="77777777">
      <w:pPr>
        <w:spacing w:line="276" w:lineRule="auto"/>
        <w:rPr>
          <w:rFonts w:ascii="Calibri" w:hAnsi="Calibri" w:cs="Calibri"/>
          <w:b/>
          <w:bCs/>
        </w:rPr>
      </w:pPr>
    </w:p>
    <w:p w:rsidRPr="0037769E" w:rsidR="005D2C87" w:rsidP="005D2C87" w:rsidRDefault="005D2C87" w14:paraId="05CC2680" w14:textId="77777777">
      <w:pPr>
        <w:spacing w:line="276" w:lineRule="auto"/>
        <w:rPr>
          <w:rFonts w:ascii="Calibri" w:hAnsi="Calibri" w:cs="Calibri"/>
          <w:b/>
          <w:bCs/>
        </w:rPr>
      </w:pPr>
      <w:r w:rsidRPr="0037769E">
        <w:rPr>
          <w:rFonts w:ascii="Calibri" w:hAnsi="Calibri" w:cs="Calibri"/>
          <w:b/>
          <w:bCs/>
        </w:rPr>
        <w:t xml:space="preserve">Overboekingen naar het </w:t>
      </w:r>
      <w:proofErr w:type="spellStart"/>
      <w:r w:rsidRPr="0037769E">
        <w:rPr>
          <w:rFonts w:ascii="Calibri" w:hAnsi="Calibri" w:cs="Calibri"/>
          <w:b/>
          <w:bCs/>
        </w:rPr>
        <w:t>BTW-compensatiefonds</w:t>
      </w:r>
      <w:bookmarkEnd w:id="4"/>
      <w:proofErr w:type="spellEnd"/>
    </w:p>
    <w:p w:rsidRPr="0037769E" w:rsidR="005D2C87" w:rsidP="005D2C87" w:rsidRDefault="005D2C87" w14:paraId="03ED9DB2" w14:textId="77777777">
      <w:pPr>
        <w:spacing w:line="276" w:lineRule="auto"/>
        <w:rPr>
          <w:rFonts w:ascii="Calibri" w:hAnsi="Calibri" w:eastAsia="Times New Roman" w:cs="Calibri"/>
        </w:rPr>
      </w:pPr>
      <w:bookmarkStart w:name="_Hlk151987389" w:id="6"/>
      <w:r w:rsidRPr="0037769E">
        <w:rPr>
          <w:rFonts w:ascii="Calibri" w:hAnsi="Calibri" w:eastAsia="Times New Roman" w:cs="Calibri"/>
        </w:rPr>
        <w:t xml:space="preserve">Onder voorbehoud van de afstemming met het Ministerie van Financiën, vinden er meerdere overboekingen plaats naar het </w:t>
      </w:r>
      <w:proofErr w:type="spellStart"/>
      <w:r w:rsidRPr="0037769E">
        <w:rPr>
          <w:rFonts w:ascii="Calibri" w:hAnsi="Calibri" w:eastAsia="Times New Roman" w:cs="Calibri"/>
        </w:rPr>
        <w:t>BTW-compensatiefonds</w:t>
      </w:r>
      <w:proofErr w:type="spellEnd"/>
      <w:r w:rsidRPr="0037769E">
        <w:rPr>
          <w:rFonts w:ascii="Calibri" w:hAnsi="Calibri" w:eastAsia="Times New Roman" w:cs="Calibri"/>
        </w:rPr>
        <w:t>. Vanuit HXII gaat het om € 1,18</w:t>
      </w:r>
      <w:r w:rsidRPr="0037769E">
        <w:rPr>
          <w:rFonts w:ascii="Calibri" w:hAnsi="Calibri" w:eastAsia="Times New Roman" w:cs="Calibri"/>
          <w:b/>
          <w:bCs/>
        </w:rPr>
        <w:t xml:space="preserve"> </w:t>
      </w:r>
      <w:r w:rsidRPr="0037769E">
        <w:rPr>
          <w:rFonts w:ascii="Calibri" w:hAnsi="Calibri" w:eastAsia="Times New Roman" w:cs="Calibri"/>
        </w:rPr>
        <w:t>miljoen. Vanuit het Mobiliteitsfonds gaat het om € 15,4 miljoen.</w:t>
      </w:r>
    </w:p>
    <w:p w:rsidRPr="0037769E" w:rsidR="005D2C87" w:rsidP="005D2C87" w:rsidRDefault="005D2C87" w14:paraId="4DC77B0C" w14:textId="77777777">
      <w:pPr>
        <w:spacing w:line="276" w:lineRule="auto"/>
        <w:rPr>
          <w:rFonts w:ascii="Calibri" w:hAnsi="Calibri" w:eastAsia="Times New Roman" w:cs="Calibri"/>
        </w:rPr>
      </w:pPr>
      <w:r w:rsidRPr="0037769E">
        <w:rPr>
          <w:rFonts w:ascii="Calibri" w:hAnsi="Calibri" w:eastAsia="Times New Roman" w:cs="Calibri"/>
        </w:rPr>
        <w:t xml:space="preserve">Op HXII betreft dit € 0,68 miljoen voor de Regeling specifieke uitkering Regionale Aanpak Laadinfrastructuur 2023 – 2030. Zes Nationale Agenda Laadinfrastructuur (NAL) regio's hebben in 2023 een netto bijdrage ontvangen. Hun opgave van het </w:t>
      </w:r>
      <w:proofErr w:type="spellStart"/>
      <w:r w:rsidRPr="0037769E">
        <w:rPr>
          <w:rFonts w:ascii="Calibri" w:hAnsi="Calibri" w:eastAsia="Times New Roman" w:cs="Calibri"/>
        </w:rPr>
        <w:t>BTW-compensabele</w:t>
      </w:r>
      <w:proofErr w:type="spellEnd"/>
      <w:r w:rsidRPr="0037769E">
        <w:rPr>
          <w:rFonts w:ascii="Calibri" w:hAnsi="Calibri" w:eastAsia="Times New Roman" w:cs="Calibri"/>
        </w:rPr>
        <w:t xml:space="preserve"> deel over 2023 wordt nu overgeboekt naar het </w:t>
      </w:r>
      <w:proofErr w:type="spellStart"/>
      <w:r w:rsidRPr="0037769E">
        <w:rPr>
          <w:rFonts w:ascii="Calibri" w:hAnsi="Calibri" w:eastAsia="Times New Roman" w:cs="Calibri"/>
        </w:rPr>
        <w:t>BTW-compensatiefonds</w:t>
      </w:r>
      <w:proofErr w:type="spellEnd"/>
      <w:r w:rsidRPr="0037769E">
        <w:rPr>
          <w:rFonts w:ascii="Calibri" w:hAnsi="Calibri" w:eastAsia="Times New Roman" w:cs="Calibri"/>
        </w:rPr>
        <w:t xml:space="preserve">. </w:t>
      </w:r>
    </w:p>
    <w:p w:rsidRPr="0037769E" w:rsidR="005D2C87" w:rsidP="005D2C87" w:rsidRDefault="005D2C87" w14:paraId="78C85CD7" w14:textId="77777777">
      <w:pPr>
        <w:spacing w:line="276" w:lineRule="auto"/>
        <w:rPr>
          <w:rFonts w:ascii="Calibri" w:hAnsi="Calibri" w:eastAsia="Times New Roman" w:cs="Calibri"/>
        </w:rPr>
      </w:pPr>
      <w:r w:rsidRPr="0037769E">
        <w:rPr>
          <w:rFonts w:ascii="Calibri" w:hAnsi="Calibri" w:eastAsia="Times New Roman" w:cs="Calibri"/>
        </w:rPr>
        <w:t xml:space="preserve">Daarnaast is er € 0,2 miljoen bestemd voor de Landelijke Verbeteraanpak Overwegen Horst a/d Maas. Recent is hiervoor de subsidiebeschikking afgegeven. Tot slot is € 0,3 miljoen bestemd voor het Schone Lucht Akkoord. Bij het Mobiliteitsfonds gaat het om € 15,4 miljoen voor de Rijnlandroute. </w:t>
      </w:r>
    </w:p>
    <w:bookmarkEnd w:id="6"/>
    <w:p w:rsidRPr="0037769E" w:rsidR="005D2C87" w:rsidP="005D2C87" w:rsidRDefault="005D2C87" w14:paraId="399E8A02" w14:textId="77777777">
      <w:pPr>
        <w:pStyle w:val="Slotzin"/>
        <w:spacing w:line="276" w:lineRule="auto"/>
        <w:rPr>
          <w:rFonts w:ascii="Calibri" w:hAnsi="Calibri" w:cs="Calibri"/>
          <w:sz w:val="22"/>
          <w:szCs w:val="22"/>
        </w:rPr>
      </w:pPr>
    </w:p>
    <w:p w:rsidRPr="0037769E" w:rsidR="005D2C87" w:rsidP="0037769E" w:rsidRDefault="0037769E" w14:paraId="67096CBC" w14:textId="614007DA">
      <w:pPr>
        <w:pStyle w:val="Geenafstand"/>
        <w:rPr>
          <w:rFonts w:ascii="Calibri" w:hAnsi="Calibri" w:cs="Calibri"/>
          <w:color w:val="000000"/>
        </w:rPr>
      </w:pPr>
      <w:r w:rsidRPr="0037769E">
        <w:rPr>
          <w:rFonts w:ascii="Calibri" w:hAnsi="Calibri" w:cs="Calibri"/>
        </w:rPr>
        <w:t>De minister van Infrastructuur en Waterstaat</w:t>
      </w:r>
      <w:r w:rsidRPr="0037769E">
        <w:rPr>
          <w:rFonts w:ascii="Calibri" w:hAnsi="Calibri" w:cs="Calibri"/>
          <w:color w:val="000000"/>
        </w:rPr>
        <w:t>,</w:t>
      </w:r>
    </w:p>
    <w:p w:rsidRPr="0037769E" w:rsidR="0037769E" w:rsidP="0037769E" w:rsidRDefault="0037769E" w14:paraId="17164BD0" w14:textId="36A481FB">
      <w:pPr>
        <w:pStyle w:val="Geenafstand"/>
        <w:rPr>
          <w:rFonts w:ascii="Calibri" w:hAnsi="Calibri" w:cs="Calibri"/>
          <w:color w:val="000000"/>
        </w:rPr>
      </w:pPr>
      <w:r w:rsidRPr="0037769E">
        <w:rPr>
          <w:rFonts w:ascii="Calibri" w:hAnsi="Calibri" w:cs="Calibri"/>
          <w:color w:val="000000"/>
        </w:rPr>
        <w:t xml:space="preserve">B. </w:t>
      </w:r>
      <w:proofErr w:type="spellStart"/>
      <w:r w:rsidRPr="0037769E">
        <w:rPr>
          <w:rFonts w:ascii="Calibri" w:hAnsi="Calibri" w:cs="Calibri"/>
          <w:color w:val="000000"/>
        </w:rPr>
        <w:t>Madlener</w:t>
      </w:r>
      <w:proofErr w:type="spellEnd"/>
    </w:p>
    <w:p w:rsidRPr="0037769E" w:rsidR="0037769E" w:rsidP="0037769E" w:rsidRDefault="0037769E" w14:paraId="14E04B6E" w14:textId="77777777">
      <w:pPr>
        <w:pStyle w:val="Geenafstand"/>
        <w:rPr>
          <w:rFonts w:ascii="Calibri" w:hAnsi="Calibri" w:cs="Calibri"/>
          <w:color w:val="000000"/>
        </w:rPr>
      </w:pPr>
    </w:p>
    <w:p w:rsidRPr="0037769E" w:rsidR="005D2C87" w:rsidP="0037769E" w:rsidRDefault="005D2C87" w14:paraId="6F9D5B02" w14:textId="77777777">
      <w:pPr>
        <w:pStyle w:val="Geenafstand"/>
        <w:rPr>
          <w:rFonts w:ascii="Calibri" w:hAnsi="Calibri" w:cs="Calibri"/>
        </w:rPr>
      </w:pPr>
    </w:p>
    <w:p w:rsidRPr="0037769E" w:rsidR="00597F2B" w:rsidRDefault="00597F2B" w14:paraId="02B95F74" w14:textId="77777777">
      <w:pPr>
        <w:rPr>
          <w:rFonts w:ascii="Calibri" w:hAnsi="Calibri" w:cs="Calibri"/>
        </w:rPr>
      </w:pPr>
    </w:p>
    <w:sectPr w:rsidRPr="0037769E" w:rsidR="00597F2B" w:rsidSect="005D2C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F1C7" w14:textId="77777777" w:rsidR="005D2C87" w:rsidRDefault="005D2C87" w:rsidP="005D2C87">
      <w:pPr>
        <w:spacing w:after="0" w:line="240" w:lineRule="auto"/>
      </w:pPr>
      <w:r>
        <w:separator/>
      </w:r>
    </w:p>
  </w:endnote>
  <w:endnote w:type="continuationSeparator" w:id="0">
    <w:p w14:paraId="52742A13" w14:textId="77777777" w:rsidR="005D2C87" w:rsidRDefault="005D2C87" w:rsidP="005D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0DD2" w14:textId="77777777" w:rsidR="005D2C87" w:rsidRPr="005D2C87" w:rsidRDefault="005D2C87" w:rsidP="005D2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AADD" w14:textId="77777777" w:rsidR="005D2C87" w:rsidRPr="005D2C87" w:rsidRDefault="005D2C87" w:rsidP="005D2C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69557" w14:textId="77777777" w:rsidR="005D2C87" w:rsidRPr="005D2C87" w:rsidRDefault="005D2C87" w:rsidP="005D2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E5AF" w14:textId="77777777" w:rsidR="005D2C87" w:rsidRDefault="005D2C87" w:rsidP="005D2C87">
      <w:pPr>
        <w:spacing w:after="0" w:line="240" w:lineRule="auto"/>
      </w:pPr>
      <w:r>
        <w:separator/>
      </w:r>
    </w:p>
  </w:footnote>
  <w:footnote w:type="continuationSeparator" w:id="0">
    <w:p w14:paraId="1632DB23" w14:textId="77777777" w:rsidR="005D2C87" w:rsidRDefault="005D2C87" w:rsidP="005D2C87">
      <w:pPr>
        <w:spacing w:after="0" w:line="240" w:lineRule="auto"/>
      </w:pPr>
      <w:r>
        <w:continuationSeparator/>
      </w:r>
    </w:p>
  </w:footnote>
  <w:footnote w:id="1">
    <w:p w14:paraId="4384A6D9" w14:textId="77777777" w:rsidR="005D2C87" w:rsidRPr="00DD421A" w:rsidRDefault="005D2C87" w:rsidP="005D2C87">
      <w:pPr>
        <w:pStyle w:val="Voetnoottekst"/>
      </w:pPr>
      <w:r w:rsidRPr="00345A6E">
        <w:rPr>
          <w:vertAlign w:val="superscript"/>
        </w:rPr>
        <w:footnoteRef/>
      </w:r>
      <w:r w:rsidRPr="00345A6E">
        <w:rPr>
          <w:sz w:val="16"/>
          <w:szCs w:val="16"/>
        </w:rPr>
        <w:t xml:space="preserve"> Kamerstukken 36 </w:t>
      </w:r>
      <w:r>
        <w:rPr>
          <w:sz w:val="16"/>
          <w:szCs w:val="16"/>
        </w:rPr>
        <w:t>6</w:t>
      </w:r>
      <w:r w:rsidRPr="00345A6E">
        <w:rPr>
          <w:sz w:val="16"/>
          <w:szCs w:val="16"/>
        </w:rPr>
        <w:t>25</w:t>
      </w:r>
      <w:r>
        <w:rPr>
          <w:sz w:val="16"/>
          <w:szCs w:val="16"/>
        </w:rPr>
        <w:t>-</w:t>
      </w:r>
      <w:r w:rsidRPr="00345A6E">
        <w:rPr>
          <w:sz w:val="16"/>
          <w:szCs w:val="16"/>
        </w:rPr>
        <w:t>XII, nr. 2</w:t>
      </w:r>
      <w:r>
        <w:rPr>
          <w:sz w:val="16"/>
          <w:szCs w:val="16"/>
        </w:rPr>
        <w:t>;</w:t>
      </w:r>
      <w:r w:rsidRPr="00345A6E">
        <w:rPr>
          <w:sz w:val="16"/>
          <w:szCs w:val="16"/>
        </w:rPr>
        <w:t xml:space="preserve"> 36 </w:t>
      </w:r>
      <w:r>
        <w:rPr>
          <w:sz w:val="16"/>
          <w:szCs w:val="16"/>
        </w:rPr>
        <w:t>6</w:t>
      </w:r>
      <w:r w:rsidRPr="00345A6E">
        <w:rPr>
          <w:sz w:val="16"/>
          <w:szCs w:val="16"/>
        </w:rPr>
        <w:t>25</w:t>
      </w:r>
      <w:r>
        <w:rPr>
          <w:sz w:val="16"/>
          <w:szCs w:val="16"/>
        </w:rPr>
        <w:t>-</w:t>
      </w:r>
      <w:r w:rsidRPr="00345A6E">
        <w:rPr>
          <w:sz w:val="16"/>
          <w:szCs w:val="16"/>
        </w:rPr>
        <w:t xml:space="preserve">A, nr. 2 en 36 </w:t>
      </w:r>
      <w:r>
        <w:rPr>
          <w:sz w:val="16"/>
          <w:szCs w:val="16"/>
        </w:rPr>
        <w:t>6</w:t>
      </w:r>
      <w:r w:rsidRPr="00345A6E">
        <w:rPr>
          <w:sz w:val="16"/>
          <w:szCs w:val="16"/>
        </w:rPr>
        <w:t>25-J, nr. 2</w:t>
      </w:r>
    </w:p>
  </w:footnote>
  <w:footnote w:id="2">
    <w:p w14:paraId="5301BD28" w14:textId="77777777" w:rsidR="005D2C87" w:rsidRPr="00A23BA4" w:rsidRDefault="005D2C87" w:rsidP="005D2C87">
      <w:pPr>
        <w:pStyle w:val="Voetnoottekst"/>
        <w:rPr>
          <w:sz w:val="16"/>
          <w:szCs w:val="16"/>
        </w:rPr>
      </w:pPr>
      <w:r w:rsidRPr="00A23BA4">
        <w:rPr>
          <w:rStyle w:val="Voetnootmarkering"/>
          <w:sz w:val="16"/>
          <w:szCs w:val="16"/>
        </w:rPr>
        <w:footnoteRef/>
      </w:r>
      <w:r w:rsidRPr="00A23BA4">
        <w:rPr>
          <w:sz w:val="16"/>
          <w:szCs w:val="16"/>
        </w:rPr>
        <w:t xml:space="preserve"> MRDH = Metropoolregio Rotterdam – Den Haag. VRA = Vervoerregio Amsterdam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C64B" w14:textId="77777777" w:rsidR="005D2C87" w:rsidRPr="005D2C87" w:rsidRDefault="005D2C87" w:rsidP="005D2C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D07D" w14:textId="77777777" w:rsidR="005D2C87" w:rsidRPr="005D2C87" w:rsidRDefault="005D2C87" w:rsidP="005D2C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E08D" w14:textId="77777777" w:rsidR="005D2C87" w:rsidRPr="005D2C87" w:rsidRDefault="005D2C87" w:rsidP="005D2C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87"/>
    <w:rsid w:val="001375E7"/>
    <w:rsid w:val="002E1ED7"/>
    <w:rsid w:val="00341452"/>
    <w:rsid w:val="0037769E"/>
    <w:rsid w:val="003A7A82"/>
    <w:rsid w:val="00597F2B"/>
    <w:rsid w:val="005C1EF9"/>
    <w:rsid w:val="005D2C87"/>
    <w:rsid w:val="008973E8"/>
    <w:rsid w:val="00922310"/>
    <w:rsid w:val="00AE5D43"/>
    <w:rsid w:val="00C16047"/>
    <w:rsid w:val="00C25EA2"/>
    <w:rsid w:val="00D61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2C4E"/>
  <w15:chartTrackingRefBased/>
  <w15:docId w15:val="{9BBAECDE-1D3D-48E4-A01B-3C6C9AE1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2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2C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2C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2C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2C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C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C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C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C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2C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2C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2C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2C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2C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C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C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C87"/>
    <w:rPr>
      <w:rFonts w:eastAsiaTheme="majorEastAsia" w:cstheme="majorBidi"/>
      <w:color w:val="272727" w:themeColor="text1" w:themeTint="D8"/>
    </w:rPr>
  </w:style>
  <w:style w:type="paragraph" w:styleId="Titel">
    <w:name w:val="Title"/>
    <w:basedOn w:val="Standaard"/>
    <w:next w:val="Standaard"/>
    <w:link w:val="TitelChar"/>
    <w:uiPriority w:val="10"/>
    <w:qFormat/>
    <w:rsid w:val="005D2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C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C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C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C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C87"/>
    <w:rPr>
      <w:i/>
      <w:iCs/>
      <w:color w:val="404040" w:themeColor="text1" w:themeTint="BF"/>
    </w:rPr>
  </w:style>
  <w:style w:type="paragraph" w:styleId="Lijstalinea">
    <w:name w:val="List Paragraph"/>
    <w:basedOn w:val="Standaard"/>
    <w:uiPriority w:val="34"/>
    <w:qFormat/>
    <w:rsid w:val="005D2C87"/>
    <w:pPr>
      <w:ind w:left="720"/>
      <w:contextualSpacing/>
    </w:pPr>
  </w:style>
  <w:style w:type="character" w:styleId="Intensievebenadrukking">
    <w:name w:val="Intense Emphasis"/>
    <w:basedOn w:val="Standaardalinea-lettertype"/>
    <w:uiPriority w:val="21"/>
    <w:qFormat/>
    <w:rsid w:val="005D2C87"/>
    <w:rPr>
      <w:i/>
      <w:iCs/>
      <w:color w:val="0F4761" w:themeColor="accent1" w:themeShade="BF"/>
    </w:rPr>
  </w:style>
  <w:style w:type="paragraph" w:styleId="Duidelijkcitaat">
    <w:name w:val="Intense Quote"/>
    <w:basedOn w:val="Standaard"/>
    <w:next w:val="Standaard"/>
    <w:link w:val="DuidelijkcitaatChar"/>
    <w:uiPriority w:val="30"/>
    <w:qFormat/>
    <w:rsid w:val="005D2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2C87"/>
    <w:rPr>
      <w:i/>
      <w:iCs/>
      <w:color w:val="0F4761" w:themeColor="accent1" w:themeShade="BF"/>
    </w:rPr>
  </w:style>
  <w:style w:type="character" w:styleId="Intensieveverwijzing">
    <w:name w:val="Intense Reference"/>
    <w:basedOn w:val="Standaardalinea-lettertype"/>
    <w:uiPriority w:val="32"/>
    <w:qFormat/>
    <w:rsid w:val="005D2C87"/>
    <w:rPr>
      <w:b/>
      <w:bCs/>
      <w:smallCaps/>
      <w:color w:val="0F4761" w:themeColor="accent1" w:themeShade="BF"/>
      <w:spacing w:val="5"/>
    </w:rPr>
  </w:style>
  <w:style w:type="paragraph" w:customStyle="1" w:styleId="MarginlessContainer">
    <w:name w:val="Marginless Container"/>
    <w:hidden/>
    <w:rsid w:val="005D2C8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D2C8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D2C87"/>
    <w:rPr>
      <w:b/>
    </w:rPr>
  </w:style>
  <w:style w:type="paragraph" w:customStyle="1" w:styleId="Referentiegegevens">
    <w:name w:val="Referentiegegevens"/>
    <w:next w:val="Standaard"/>
    <w:rsid w:val="005D2C8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5D2C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D2C8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D2C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2C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2C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D2C87"/>
    <w:rPr>
      <w:vertAlign w:val="superscript"/>
    </w:rPr>
  </w:style>
  <w:style w:type="paragraph" w:styleId="Koptekst">
    <w:name w:val="header"/>
    <w:basedOn w:val="Standaard"/>
    <w:link w:val="KoptekstChar"/>
    <w:uiPriority w:val="99"/>
    <w:unhideWhenUsed/>
    <w:rsid w:val="005D2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2C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2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2C87"/>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5D2C8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377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1260</ap:Words>
  <ap:Characters>6931</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2024-12-20T13:26:00.0000000Z</dcterms:created>
  <dcterms:modified xsi:type="dcterms:W3CDTF">2024-12-20T13:26:00.0000000Z</dcterms:modified>
  <version/>
  <category/>
</coreProperties>
</file>