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34B2" w:rsidR="006E34B2" w:rsidP="006E34B2" w:rsidRDefault="00A6358C" w14:paraId="1865363E" w14:textId="42304F28">
      <w:pPr>
        <w:ind w:left="1410" w:hanging="1410"/>
        <w:rPr>
          <w:rFonts w:ascii="Calibri" w:hAnsi="Calibri" w:cs="Calibri"/>
        </w:rPr>
      </w:pPr>
      <w:r w:rsidRPr="006E34B2">
        <w:rPr>
          <w:rFonts w:ascii="Calibri" w:hAnsi="Calibri" w:cs="Calibri"/>
        </w:rPr>
        <w:t>36</w:t>
      </w:r>
      <w:r w:rsidRPr="006E34B2" w:rsidR="006E34B2">
        <w:rPr>
          <w:rFonts w:ascii="Calibri" w:hAnsi="Calibri" w:cs="Calibri"/>
        </w:rPr>
        <w:t xml:space="preserve"> </w:t>
      </w:r>
      <w:r w:rsidRPr="006E34B2">
        <w:rPr>
          <w:rFonts w:ascii="Calibri" w:hAnsi="Calibri" w:cs="Calibri"/>
        </w:rPr>
        <w:t>600</w:t>
      </w:r>
      <w:r w:rsidRPr="006E34B2" w:rsidR="006E34B2">
        <w:rPr>
          <w:rFonts w:ascii="Calibri" w:hAnsi="Calibri" w:cs="Calibri"/>
        </w:rPr>
        <w:t xml:space="preserve"> </w:t>
      </w:r>
      <w:r w:rsidRPr="006E34B2">
        <w:rPr>
          <w:rFonts w:ascii="Calibri" w:hAnsi="Calibri" w:cs="Calibri"/>
        </w:rPr>
        <w:t>XV</w:t>
      </w:r>
      <w:r w:rsidRPr="006E34B2" w:rsidR="006E34B2">
        <w:rPr>
          <w:rFonts w:ascii="Calibri" w:hAnsi="Calibri" w:cs="Calibri"/>
        </w:rPr>
        <w:tab/>
        <w:t>Vaststelling van de begrotingsstaten van het Ministerie van Sociale Zaken en Werkgelegenheid (XV) voor het jaar 2025</w:t>
      </w:r>
    </w:p>
    <w:p w:rsidRPr="006E34B2" w:rsidR="006E34B2" w:rsidP="00D80872" w:rsidRDefault="006E34B2" w14:paraId="2183CD51" w14:textId="77777777">
      <w:pPr>
        <w:rPr>
          <w:rFonts w:ascii="Calibri" w:hAnsi="Calibri" w:cs="Calibri"/>
        </w:rPr>
      </w:pPr>
      <w:r w:rsidRPr="006E34B2">
        <w:rPr>
          <w:rFonts w:ascii="Calibri" w:hAnsi="Calibri" w:cs="Calibri"/>
        </w:rPr>
        <w:t xml:space="preserve">Nr. </w:t>
      </w:r>
      <w:r w:rsidRPr="006E34B2" w:rsidR="00A6358C">
        <w:rPr>
          <w:rFonts w:ascii="Calibri" w:hAnsi="Calibri" w:cs="Calibri"/>
        </w:rPr>
        <w:t>88</w:t>
      </w:r>
      <w:r w:rsidRPr="006E34B2">
        <w:rPr>
          <w:rFonts w:ascii="Calibri" w:hAnsi="Calibri" w:cs="Calibri"/>
        </w:rPr>
        <w:tab/>
      </w:r>
      <w:r w:rsidRPr="006E34B2">
        <w:rPr>
          <w:rFonts w:ascii="Calibri" w:hAnsi="Calibri" w:cs="Calibri"/>
        </w:rPr>
        <w:tab/>
        <w:t>Brief van de minister van Sociale Zaken en Werkgelegenheid</w:t>
      </w:r>
    </w:p>
    <w:p w:rsidRPr="006E34B2" w:rsidR="00A6358C" w:rsidP="00A6358C" w:rsidRDefault="006E34B2" w14:paraId="17E74A9E" w14:textId="5A543EB6">
      <w:pPr>
        <w:rPr>
          <w:rFonts w:ascii="Calibri" w:hAnsi="Calibri" w:cs="Calibri"/>
        </w:rPr>
      </w:pPr>
      <w:r w:rsidRPr="006E34B2">
        <w:rPr>
          <w:rFonts w:ascii="Calibri" w:hAnsi="Calibri" w:cs="Calibri"/>
        </w:rPr>
        <w:t>Aan de Voorzitter van de Tweede Kamer der Staten-Generaal</w:t>
      </w:r>
    </w:p>
    <w:p w:rsidRPr="006E34B2" w:rsidR="006E34B2" w:rsidP="00A6358C" w:rsidRDefault="006E34B2" w14:paraId="4DBC7481" w14:textId="1EF3637A">
      <w:pPr>
        <w:rPr>
          <w:rFonts w:ascii="Calibri" w:hAnsi="Calibri" w:cs="Calibri"/>
        </w:rPr>
      </w:pPr>
      <w:r w:rsidRPr="006E34B2">
        <w:rPr>
          <w:rFonts w:ascii="Calibri" w:hAnsi="Calibri" w:cs="Calibri"/>
        </w:rPr>
        <w:t>Den Haag, 16 december 2024</w:t>
      </w:r>
    </w:p>
    <w:p w:rsidRPr="006E34B2" w:rsidR="00A6358C" w:rsidP="00A6358C" w:rsidRDefault="00A6358C" w14:paraId="19988048" w14:textId="77777777">
      <w:pPr>
        <w:rPr>
          <w:rFonts w:ascii="Calibri" w:hAnsi="Calibri" w:cs="Calibri"/>
        </w:rPr>
      </w:pPr>
    </w:p>
    <w:p w:rsidRPr="006E34B2" w:rsidR="00A6358C" w:rsidP="00A6358C" w:rsidRDefault="00A6358C" w14:paraId="1F3D4130" w14:textId="77777777">
      <w:pPr>
        <w:pStyle w:val="Default"/>
        <w:rPr>
          <w:rFonts w:ascii="Calibri" w:hAnsi="Calibri" w:cs="Calibri"/>
          <w:color w:val="auto"/>
          <w:sz w:val="22"/>
          <w:szCs w:val="22"/>
        </w:rPr>
      </w:pPr>
      <w:r w:rsidRPr="006E34B2">
        <w:rPr>
          <w:rFonts w:ascii="Calibri" w:hAnsi="Calibri" w:cs="Calibri"/>
          <w:color w:val="auto"/>
          <w:sz w:val="22"/>
          <w:szCs w:val="22"/>
        </w:rPr>
        <w:t xml:space="preserve">Hierbij informeer ik uw Kamer over de beleidsmatige mutaties op de begroting van SZW die niet zijn gemeld in de Najaarsnota 2024 en de bijbehorende 2e suppletoire wet (zie bijlage). </w:t>
      </w:r>
    </w:p>
    <w:p w:rsidRPr="006E34B2" w:rsidR="00A6358C" w:rsidP="00A6358C" w:rsidRDefault="00A6358C" w14:paraId="0BFA85E3" w14:textId="77777777">
      <w:pPr>
        <w:pStyle w:val="Default"/>
        <w:rPr>
          <w:rFonts w:ascii="Calibri" w:hAnsi="Calibri" w:cs="Calibri"/>
          <w:color w:val="auto"/>
          <w:sz w:val="22"/>
          <w:szCs w:val="22"/>
        </w:rPr>
      </w:pPr>
    </w:p>
    <w:p w:rsidRPr="006E34B2" w:rsidR="00A6358C" w:rsidP="00A6358C" w:rsidRDefault="00A6358C" w14:paraId="24EF18D4" w14:textId="77777777">
      <w:pPr>
        <w:pStyle w:val="Default"/>
        <w:rPr>
          <w:rFonts w:ascii="Calibri" w:hAnsi="Calibri" w:cs="Calibri"/>
          <w:color w:val="auto"/>
          <w:sz w:val="22"/>
          <w:szCs w:val="22"/>
        </w:rPr>
      </w:pPr>
      <w:r w:rsidRPr="006E34B2">
        <w:rPr>
          <w:rFonts w:ascii="Calibri" w:hAnsi="Calibri" w:cs="Calibri"/>
          <w:color w:val="auto"/>
          <w:sz w:val="22"/>
          <w:szCs w:val="22"/>
        </w:rPr>
        <w:t xml:space="preserve">Deze mutaties zullen verwerkt en nader toegelicht worden in de Slotwet 2024 van SZW. </w:t>
      </w:r>
    </w:p>
    <w:p w:rsidRPr="006E34B2" w:rsidR="00A6358C" w:rsidP="00A6358C" w:rsidRDefault="00A6358C" w14:paraId="03983BCF" w14:textId="77777777">
      <w:pPr>
        <w:pStyle w:val="WitregelW1bodytekst"/>
        <w:rPr>
          <w:rFonts w:ascii="Calibri" w:hAnsi="Calibri" w:cs="Calibri"/>
          <w:sz w:val="22"/>
          <w:szCs w:val="22"/>
        </w:rPr>
      </w:pPr>
    </w:p>
    <w:p w:rsidRPr="006E34B2" w:rsidR="00A6358C" w:rsidP="006E34B2" w:rsidRDefault="00A6358C" w14:paraId="023B2FEC" w14:textId="319E5548">
      <w:pPr>
        <w:pStyle w:val="Geenafstand"/>
        <w:rPr>
          <w:rFonts w:ascii="Calibri" w:hAnsi="Calibri" w:cs="Calibri"/>
        </w:rPr>
      </w:pPr>
      <w:r w:rsidRPr="006E34B2">
        <w:rPr>
          <w:rFonts w:ascii="Calibri" w:hAnsi="Calibri" w:cs="Calibri"/>
        </w:rPr>
        <w:t xml:space="preserve">De </w:t>
      </w:r>
      <w:r w:rsidRPr="006E34B2" w:rsidR="006E34B2">
        <w:rPr>
          <w:rFonts w:ascii="Calibri" w:hAnsi="Calibri" w:cs="Calibri"/>
        </w:rPr>
        <w:t>m</w:t>
      </w:r>
      <w:r w:rsidRPr="006E34B2">
        <w:rPr>
          <w:rFonts w:ascii="Calibri" w:hAnsi="Calibri" w:cs="Calibri"/>
        </w:rPr>
        <w:t>inister van Sociale Zaken en Werkgelegenheid,</w:t>
      </w:r>
    </w:p>
    <w:p w:rsidRPr="006E34B2" w:rsidR="00A6358C" w:rsidP="006E34B2" w:rsidRDefault="00A6358C" w14:paraId="44263761" w14:textId="77777777">
      <w:pPr>
        <w:pStyle w:val="Geenafstand"/>
        <w:rPr>
          <w:rFonts w:ascii="Calibri" w:hAnsi="Calibri" w:cs="Calibri"/>
        </w:rPr>
      </w:pPr>
      <w:r w:rsidRPr="006E34B2">
        <w:rPr>
          <w:rFonts w:ascii="Calibri" w:hAnsi="Calibri" w:cs="Calibri"/>
        </w:rPr>
        <w:t>Y.J. van Hijum</w:t>
      </w:r>
    </w:p>
    <w:p w:rsidRPr="006E34B2" w:rsidR="00A6358C" w:rsidP="00A6358C" w:rsidRDefault="00A6358C" w14:paraId="0927656D" w14:textId="77777777">
      <w:pPr>
        <w:spacing w:line="240" w:lineRule="auto"/>
        <w:rPr>
          <w:rFonts w:ascii="Calibri" w:hAnsi="Calibri" w:cs="Calibri"/>
        </w:rPr>
      </w:pPr>
      <w:r w:rsidRPr="006E34B2">
        <w:rPr>
          <w:rFonts w:ascii="Calibri" w:hAnsi="Calibri" w:cs="Calibri"/>
        </w:rPr>
        <w:br w:type="page"/>
      </w:r>
    </w:p>
    <w:p w:rsidRPr="006E34B2" w:rsidR="00A6358C" w:rsidP="00A6358C" w:rsidRDefault="00A6358C" w14:paraId="476AAA43" w14:textId="77777777">
      <w:pPr>
        <w:rPr>
          <w:rFonts w:ascii="Calibri" w:hAnsi="Calibri" w:cs="Calibri"/>
        </w:rPr>
      </w:pPr>
      <w:r w:rsidRPr="006E34B2">
        <w:rPr>
          <w:rFonts w:ascii="Calibri" w:hAnsi="Calibri" w:cs="Calibri"/>
        </w:rPr>
        <w:lastRenderedPageBreak/>
        <w:t>BIJLAGE</w:t>
      </w:r>
    </w:p>
    <w:p w:rsidRPr="006E34B2" w:rsidR="00A6358C" w:rsidP="00A6358C" w:rsidRDefault="00A6358C" w14:paraId="6212B7DC" w14:textId="77777777">
      <w:pPr>
        <w:rPr>
          <w:rFonts w:ascii="Calibri" w:hAnsi="Calibri" w:cs="Calibri"/>
          <w:b/>
          <w:bCs/>
        </w:rPr>
      </w:pPr>
    </w:p>
    <w:p w:rsidRPr="006E34B2" w:rsidR="00A6358C" w:rsidP="00A6358C" w:rsidRDefault="00A6358C" w14:paraId="032465DE" w14:textId="77777777">
      <w:pPr>
        <w:rPr>
          <w:rFonts w:ascii="Calibri" w:hAnsi="Calibri" w:cs="Calibri"/>
          <w:b/>
          <w:bCs/>
        </w:rPr>
      </w:pPr>
      <w:bookmarkStart w:name="_Hlk184107923" w:id="0"/>
      <w:bookmarkStart w:name="_Hlk183773330" w:id="1"/>
      <w:r w:rsidRPr="006E34B2">
        <w:rPr>
          <w:rFonts w:ascii="Calibri" w:hAnsi="Calibri" w:cs="Calibri"/>
          <w:b/>
          <w:bCs/>
        </w:rPr>
        <w:t>Correctieboeking MDIEU</w:t>
      </w:r>
      <w:bookmarkEnd w:id="0"/>
      <w:r w:rsidRPr="006E34B2">
        <w:rPr>
          <w:rFonts w:ascii="Calibri" w:hAnsi="Calibri" w:cs="Calibri"/>
          <w:b/>
          <w:bCs/>
        </w:rPr>
        <w:t xml:space="preserve"> (artikel 1; € 863.000 Kas en Verplichtingen)</w:t>
      </w:r>
    </w:p>
    <w:p w:rsidRPr="006E34B2" w:rsidR="00A6358C" w:rsidP="00A6358C" w:rsidRDefault="00A6358C" w14:paraId="26649B30" w14:textId="77777777">
      <w:pPr>
        <w:rPr>
          <w:rFonts w:ascii="Calibri" w:hAnsi="Calibri" w:cs="Calibri"/>
        </w:rPr>
      </w:pPr>
      <w:r w:rsidRPr="006E34B2">
        <w:rPr>
          <w:rFonts w:ascii="Calibri" w:hAnsi="Calibri" w:cs="Calibri"/>
        </w:rPr>
        <w:t xml:space="preserve">Er is bij Najaarsnota 2024 per abuis een boeking gedaan op het opdrachtenbudget Maatwerkregeling Duurzame Inzetbaarheid &amp; Eerder Uittreden (MDIEU) in plaats van het subsidiebudget MDIEU. Dit wordt bij Slotwet gecorrigeerd. </w:t>
      </w:r>
    </w:p>
    <w:bookmarkEnd w:id="1"/>
    <w:p w:rsidRPr="006E34B2" w:rsidR="00A6358C" w:rsidP="00A6358C" w:rsidRDefault="00A6358C" w14:paraId="7CA25A5A" w14:textId="77777777">
      <w:pPr>
        <w:rPr>
          <w:rFonts w:ascii="Calibri" w:hAnsi="Calibri" w:cs="Calibri"/>
          <w:b/>
          <w:bCs/>
        </w:rPr>
      </w:pPr>
    </w:p>
    <w:p w:rsidRPr="006E34B2" w:rsidR="00A6358C" w:rsidP="00A6358C" w:rsidRDefault="00A6358C" w14:paraId="7B711E56" w14:textId="77777777">
      <w:pPr>
        <w:rPr>
          <w:rFonts w:ascii="Calibri" w:hAnsi="Calibri" w:cs="Calibri"/>
          <w:b/>
          <w:bCs/>
        </w:rPr>
      </w:pPr>
      <w:r w:rsidRPr="006E34B2">
        <w:rPr>
          <w:rFonts w:ascii="Calibri" w:hAnsi="Calibri" w:cs="Calibri"/>
          <w:b/>
          <w:bCs/>
        </w:rPr>
        <w:t>Ophoging Verplichtingenbudget Coördinatie arbeidsmarktdienstverlening (artikel 5; € 3,2 miljoen Verplichtingen)</w:t>
      </w:r>
    </w:p>
    <w:p w:rsidRPr="006E34B2" w:rsidR="00A6358C" w:rsidP="00A6358C" w:rsidRDefault="00A6358C" w14:paraId="3DA5BBF5" w14:textId="77777777">
      <w:pPr>
        <w:rPr>
          <w:rFonts w:ascii="Calibri" w:hAnsi="Calibri" w:cs="Calibri"/>
          <w:b/>
          <w:bCs/>
        </w:rPr>
      </w:pPr>
      <w:r w:rsidRPr="006E34B2">
        <w:rPr>
          <w:rFonts w:ascii="Calibri" w:hAnsi="Calibri" w:cs="Calibri"/>
        </w:rPr>
        <w:t>Bij een eerder geboekte kasschuif van 2023 naar 2024 voor de Coördinatie arbeidsmarktdienstverlening is per abuis niet het verplichtingenbedrag meegenomen maar alleen het kasbedrag. Dat wordt hiermee rechtgezet. Het kasbudget 2024 is wel voldoende.</w:t>
      </w:r>
    </w:p>
    <w:p w:rsidRPr="006E34B2" w:rsidR="00A6358C" w:rsidP="00A6358C" w:rsidRDefault="00A6358C" w14:paraId="1A288371" w14:textId="77777777">
      <w:pPr>
        <w:rPr>
          <w:rFonts w:ascii="Calibri" w:hAnsi="Calibri" w:cs="Calibri"/>
        </w:rPr>
      </w:pPr>
    </w:p>
    <w:p w:rsidRPr="006E34B2" w:rsidR="00A6358C" w:rsidP="00A6358C" w:rsidRDefault="00A6358C" w14:paraId="1F474CEF" w14:textId="77777777">
      <w:pPr>
        <w:rPr>
          <w:rFonts w:ascii="Calibri" w:hAnsi="Calibri" w:cs="Calibri"/>
          <w:b/>
          <w:bCs/>
        </w:rPr>
      </w:pPr>
      <w:r w:rsidRPr="006E34B2">
        <w:rPr>
          <w:rFonts w:ascii="Calibri" w:hAnsi="Calibri" w:cs="Calibri"/>
          <w:b/>
          <w:bCs/>
        </w:rPr>
        <w:t xml:space="preserve">Tegemoetkoming Asbestslachtoffers (TAS) (artikel 6; € 282.000 Kas en Verplichtingen) </w:t>
      </w:r>
    </w:p>
    <w:p w:rsidRPr="006E34B2" w:rsidR="00A6358C" w:rsidP="00A6358C" w:rsidRDefault="00A6358C" w14:paraId="0D5F4039" w14:textId="77777777">
      <w:pPr>
        <w:rPr>
          <w:rFonts w:ascii="Calibri" w:hAnsi="Calibri" w:cs="Calibri"/>
        </w:rPr>
      </w:pPr>
      <w:r w:rsidRPr="006E34B2">
        <w:rPr>
          <w:rFonts w:ascii="Calibri" w:hAnsi="Calibri" w:cs="Calibri"/>
        </w:rPr>
        <w:t>De nabetaling over 2023 aan de SVB voor de TAS is hoger uitgevallen dan bevoorschot. Dit was nog niet geheel verwerkt in de tweede suppletoire begroting en wordt hiermee alsnog verwerkt in de Slotwet.</w:t>
      </w:r>
    </w:p>
    <w:p w:rsidRPr="006E34B2" w:rsidR="00A6358C" w:rsidP="00A6358C" w:rsidRDefault="00A6358C" w14:paraId="1A2F848E" w14:textId="77777777">
      <w:pPr>
        <w:rPr>
          <w:rFonts w:ascii="Calibri" w:hAnsi="Calibri" w:cs="Calibri"/>
        </w:rPr>
      </w:pPr>
    </w:p>
    <w:p w:rsidRPr="006E34B2" w:rsidR="00A6358C" w:rsidP="00A6358C" w:rsidRDefault="00A6358C" w14:paraId="2BFCF7C1" w14:textId="77777777">
      <w:pPr>
        <w:rPr>
          <w:rFonts w:ascii="Calibri" w:hAnsi="Calibri" w:cs="Calibri"/>
          <w:b/>
          <w:bCs/>
        </w:rPr>
      </w:pPr>
      <w:bookmarkStart w:name="_Hlk183773352" w:id="2"/>
      <w:bookmarkStart w:name="_Hlk184629663" w:id="3"/>
      <w:r w:rsidRPr="006E34B2">
        <w:rPr>
          <w:rFonts w:ascii="Calibri" w:hAnsi="Calibri" w:cs="Calibri"/>
          <w:b/>
          <w:bCs/>
        </w:rPr>
        <w:t xml:space="preserve">Ophoging budget COA (artikel 13; € 1,0 miljoen Kas en Verplichtingen) </w:t>
      </w:r>
    </w:p>
    <w:p w:rsidRPr="006E34B2" w:rsidR="00A6358C" w:rsidP="00A6358C" w:rsidRDefault="00A6358C" w14:paraId="22B97B7C" w14:textId="77777777">
      <w:pPr>
        <w:rPr>
          <w:rFonts w:ascii="Calibri" w:hAnsi="Calibri" w:cs="Calibri"/>
        </w:rPr>
      </w:pPr>
      <w:r w:rsidRPr="006E34B2">
        <w:rPr>
          <w:rFonts w:ascii="Calibri" w:hAnsi="Calibri" w:cs="Calibri"/>
        </w:rPr>
        <w:t xml:space="preserve">Een hogere instroom van COA-bewoners zorgt voor hogere uitgaven aan activiteiten ten behoeve van Vroege Integratie &amp; Participatie (VrIP). COA geeft aan dat de toename van het aantal begeleidingsgesprekken voor participatie deels een gevolg is van toegenomen aandacht voor participatie in het algemeen. Door de aandacht voor de Meedoenbalies en betaald werk leeft dit onderwerp op de locaties en is er meer te bespreken tijdens het begeleidingsgesprek participatie. Dit gesprek krijgt daardoor prioriteit en wordt vaker gevoerd dan verwacht. </w:t>
      </w:r>
      <w:bookmarkStart w:name="_Hlk183773495" w:id="4"/>
      <w:bookmarkEnd w:id="2"/>
      <w:r w:rsidRPr="006E34B2">
        <w:rPr>
          <w:rFonts w:ascii="Calibri" w:hAnsi="Calibri" w:cs="Calibri"/>
        </w:rPr>
        <w:t>Daarom wordt het budget opgehoogd met € 1 miljoen.</w:t>
      </w:r>
      <w:bookmarkEnd w:id="4"/>
      <w:r w:rsidRPr="006E34B2">
        <w:rPr>
          <w:rFonts w:ascii="Calibri" w:hAnsi="Calibri" w:cs="Calibri"/>
        </w:rPr>
        <w:t xml:space="preserve"> </w:t>
      </w:r>
      <w:bookmarkStart w:name="_Hlk184630562" w:id="5"/>
      <w:r w:rsidRPr="006E34B2">
        <w:rPr>
          <w:rFonts w:ascii="Calibri" w:hAnsi="Calibri" w:cs="Calibri"/>
        </w:rPr>
        <w:t>Deze informatie was bij het opmaken van de tweede suppletoire begroting toen er vrijval op dit budget is gemeld, nog niet bekend.</w:t>
      </w:r>
      <w:bookmarkEnd w:id="5"/>
    </w:p>
    <w:bookmarkEnd w:id="3"/>
    <w:p w:rsidRPr="006E34B2" w:rsidR="00A6358C" w:rsidP="00A6358C" w:rsidRDefault="00A6358C" w14:paraId="40C30BC1" w14:textId="77777777">
      <w:pPr>
        <w:rPr>
          <w:rFonts w:ascii="Calibri" w:hAnsi="Calibri" w:cs="Calibri"/>
        </w:rPr>
      </w:pPr>
    </w:p>
    <w:p w:rsidRPr="006E34B2" w:rsidR="00A6358C" w:rsidP="00A6358C" w:rsidRDefault="00A6358C" w14:paraId="15A6BE70" w14:textId="77777777">
      <w:pPr>
        <w:rPr>
          <w:rFonts w:ascii="Calibri" w:hAnsi="Calibri" w:cs="Calibri"/>
          <w:b/>
          <w:bCs/>
        </w:rPr>
      </w:pPr>
      <w:r w:rsidRPr="006E34B2">
        <w:rPr>
          <w:rFonts w:ascii="Calibri" w:hAnsi="Calibri" w:cs="Calibri"/>
          <w:b/>
          <w:bCs/>
        </w:rPr>
        <w:t>Uitgaven voor de specifieke uitkeringen Inburgeringsvoorzieningen en Onderwijsroute (artikel 13 € 7,7 miljoen)</w:t>
      </w:r>
    </w:p>
    <w:p w:rsidRPr="006E34B2" w:rsidR="00A6358C" w:rsidP="00A6358C" w:rsidRDefault="00A6358C" w14:paraId="38E48191" w14:textId="77777777">
      <w:pPr>
        <w:rPr>
          <w:rFonts w:ascii="Calibri" w:hAnsi="Calibri" w:cs="Calibri"/>
        </w:rPr>
      </w:pPr>
      <w:r w:rsidRPr="006E34B2">
        <w:rPr>
          <w:rFonts w:ascii="Calibri" w:hAnsi="Calibri" w:cs="Calibri"/>
        </w:rPr>
        <w:lastRenderedPageBreak/>
        <w:t xml:space="preserve">Bij deze specifieke uitkeringen is de afspraak gemaakt dat gemeenten recht hebben op het totaalbedrag dat voor deze specifieke uitkeringen over de jaren beschikbaar is. Dat betekent dat middelen die in 2023 zijn beschikt maar uiteindelijk niet tot besteding zijn gekomen, opnieuw kunnen worden beschikt in 2024. </w:t>
      </w:r>
      <w:bookmarkStart w:name="_Hlk184723535" w:id="6"/>
      <w:r w:rsidRPr="006E34B2">
        <w:rPr>
          <w:rFonts w:ascii="Calibri" w:hAnsi="Calibri" w:cs="Calibri"/>
        </w:rPr>
        <w:t>Het gaat zowel voor de specifieke uitkering Inburgeringsvoorzieningen als voor de specifieke uitkering Onderwijsroute om een bedrag van € 3,85 miljoen. Het is gebruikelijk dat de dekking van deze uitgaven komt uit de ontvangsten op dezelfde specifieke uitkeringen vanwege het niet-gebruik in eerdere jaren. Omdat deze ontvangsten al in de Najaarsnota waren gemeld, is deze dekking dit keer niet meer van toepassing. In plaats daarvan wordt dekking gevonden in de verwachte onderuitputting op de begroting van SZW bij de Slotwet.</w:t>
      </w:r>
    </w:p>
    <w:bookmarkEnd w:id="6"/>
    <w:p w:rsidRPr="006E34B2" w:rsidR="00A6358C" w:rsidP="00A6358C" w:rsidRDefault="00A6358C" w14:paraId="314B57F7" w14:textId="77777777">
      <w:pPr>
        <w:rPr>
          <w:rFonts w:ascii="Calibri" w:hAnsi="Calibri" w:cs="Calibri"/>
        </w:rPr>
      </w:pPr>
    </w:p>
    <w:p w:rsidRPr="006E34B2" w:rsidR="00A6358C" w:rsidP="00A6358C" w:rsidRDefault="00A6358C" w14:paraId="1746E275" w14:textId="77777777">
      <w:pPr>
        <w:rPr>
          <w:rFonts w:ascii="Calibri" w:hAnsi="Calibri" w:cs="Calibri"/>
          <w:b/>
          <w:bCs/>
        </w:rPr>
      </w:pPr>
      <w:r w:rsidRPr="006E34B2">
        <w:rPr>
          <w:rFonts w:ascii="Calibri" w:hAnsi="Calibri" w:cs="Calibri"/>
          <w:b/>
          <w:bCs/>
        </w:rPr>
        <w:t>Ophoging Verplichtingenbudget automatisering NLA (artikel 96; € 12,8 miljoen Verplichtingen)</w:t>
      </w:r>
    </w:p>
    <w:p w:rsidRPr="006E34B2" w:rsidR="00A6358C" w:rsidP="00A6358C" w:rsidRDefault="00A6358C" w14:paraId="156A6F75" w14:textId="77777777">
      <w:pPr>
        <w:rPr>
          <w:rFonts w:ascii="Calibri" w:hAnsi="Calibri" w:cs="Calibri"/>
        </w:rPr>
      </w:pPr>
      <w:r w:rsidRPr="006E34B2">
        <w:rPr>
          <w:rFonts w:ascii="Calibri" w:hAnsi="Calibri" w:cs="Calibri"/>
        </w:rPr>
        <w:t>De overschrijding van de verplichtingenruimte op het ICT-budget NLA hangt samen met het aangaan van een nieuw meerjarig contract met de Belastingdienst (2024-2028) voor de exploitatie forensisch domein en de eenmalige vervanging van de infrastructuur van dit Forensisch domein. Omdat de verplichting voor dit contract daarom in 2024 is aangegaan, is er in 2024 meer verplichtingenbudget nodig. Het kasbudget voor de jaren 2024 – 2028 is wel voldoende.</w:t>
      </w:r>
    </w:p>
    <w:p w:rsidRPr="006E34B2" w:rsidR="009D1747" w:rsidRDefault="009D1747" w14:paraId="2F42A3E3" w14:textId="77777777">
      <w:pPr>
        <w:rPr>
          <w:rFonts w:ascii="Calibri" w:hAnsi="Calibri" w:cs="Calibri"/>
        </w:rPr>
      </w:pPr>
    </w:p>
    <w:sectPr w:rsidRPr="006E34B2" w:rsidR="009D1747" w:rsidSect="00A6358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C17B" w14:textId="77777777" w:rsidR="00A6358C" w:rsidRDefault="00A6358C" w:rsidP="00A6358C">
      <w:pPr>
        <w:spacing w:after="0" w:line="240" w:lineRule="auto"/>
      </w:pPr>
      <w:r>
        <w:separator/>
      </w:r>
    </w:p>
  </w:endnote>
  <w:endnote w:type="continuationSeparator" w:id="0">
    <w:p w14:paraId="73A93B3B" w14:textId="77777777" w:rsidR="00A6358C" w:rsidRDefault="00A6358C" w:rsidP="00A6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B092" w14:textId="77777777" w:rsidR="00A6358C" w:rsidRPr="00A6358C" w:rsidRDefault="00A6358C" w:rsidP="00A635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2B49" w14:textId="77777777" w:rsidR="00A6358C" w:rsidRPr="00A6358C" w:rsidRDefault="00A6358C" w:rsidP="00A635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A637" w14:textId="77777777" w:rsidR="00A6358C" w:rsidRPr="00A6358C" w:rsidRDefault="00A6358C" w:rsidP="00A635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41C4" w14:textId="77777777" w:rsidR="00A6358C" w:rsidRDefault="00A6358C" w:rsidP="00A6358C">
      <w:pPr>
        <w:spacing w:after="0" w:line="240" w:lineRule="auto"/>
      </w:pPr>
      <w:r>
        <w:separator/>
      </w:r>
    </w:p>
  </w:footnote>
  <w:footnote w:type="continuationSeparator" w:id="0">
    <w:p w14:paraId="37E2DE89" w14:textId="77777777" w:rsidR="00A6358C" w:rsidRDefault="00A6358C" w:rsidP="00A6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9D4F" w14:textId="77777777" w:rsidR="00A6358C" w:rsidRPr="00A6358C" w:rsidRDefault="00A6358C" w:rsidP="00A635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2B30" w14:textId="77777777" w:rsidR="00A6358C" w:rsidRPr="00A6358C" w:rsidRDefault="00A6358C" w:rsidP="00A635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AA32" w14:textId="77777777" w:rsidR="00A6358C" w:rsidRPr="00A6358C" w:rsidRDefault="00A6358C" w:rsidP="00A635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8C"/>
    <w:rsid w:val="001876F8"/>
    <w:rsid w:val="002C1D66"/>
    <w:rsid w:val="006E34B2"/>
    <w:rsid w:val="009D1747"/>
    <w:rsid w:val="00A63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C060"/>
  <w15:chartTrackingRefBased/>
  <w15:docId w15:val="{8B65103A-F03F-4120-AE39-B9FDB25B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5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5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5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5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5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5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5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5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5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5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5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5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5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5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5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58C"/>
    <w:rPr>
      <w:rFonts w:eastAsiaTheme="majorEastAsia" w:cstheme="majorBidi"/>
      <w:color w:val="272727" w:themeColor="text1" w:themeTint="D8"/>
    </w:rPr>
  </w:style>
  <w:style w:type="paragraph" w:styleId="Titel">
    <w:name w:val="Title"/>
    <w:basedOn w:val="Standaard"/>
    <w:next w:val="Standaard"/>
    <w:link w:val="TitelChar"/>
    <w:uiPriority w:val="10"/>
    <w:qFormat/>
    <w:rsid w:val="00A63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5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5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5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5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58C"/>
    <w:rPr>
      <w:i/>
      <w:iCs/>
      <w:color w:val="404040" w:themeColor="text1" w:themeTint="BF"/>
    </w:rPr>
  </w:style>
  <w:style w:type="paragraph" w:styleId="Lijstalinea">
    <w:name w:val="List Paragraph"/>
    <w:basedOn w:val="Standaard"/>
    <w:uiPriority w:val="34"/>
    <w:qFormat/>
    <w:rsid w:val="00A6358C"/>
    <w:pPr>
      <w:ind w:left="720"/>
      <w:contextualSpacing/>
    </w:pPr>
  </w:style>
  <w:style w:type="character" w:styleId="Intensievebenadrukking">
    <w:name w:val="Intense Emphasis"/>
    <w:basedOn w:val="Standaardalinea-lettertype"/>
    <w:uiPriority w:val="21"/>
    <w:qFormat/>
    <w:rsid w:val="00A6358C"/>
    <w:rPr>
      <w:i/>
      <w:iCs/>
      <w:color w:val="0F4761" w:themeColor="accent1" w:themeShade="BF"/>
    </w:rPr>
  </w:style>
  <w:style w:type="paragraph" w:styleId="Duidelijkcitaat">
    <w:name w:val="Intense Quote"/>
    <w:basedOn w:val="Standaard"/>
    <w:next w:val="Standaard"/>
    <w:link w:val="DuidelijkcitaatChar"/>
    <w:uiPriority w:val="30"/>
    <w:qFormat/>
    <w:rsid w:val="00A63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58C"/>
    <w:rPr>
      <w:i/>
      <w:iCs/>
      <w:color w:val="0F4761" w:themeColor="accent1" w:themeShade="BF"/>
    </w:rPr>
  </w:style>
  <w:style w:type="character" w:styleId="Intensieveverwijzing">
    <w:name w:val="Intense Reference"/>
    <w:basedOn w:val="Standaardalinea-lettertype"/>
    <w:uiPriority w:val="32"/>
    <w:qFormat/>
    <w:rsid w:val="00A6358C"/>
    <w:rPr>
      <w:b/>
      <w:bCs/>
      <w:smallCaps/>
      <w:color w:val="0F4761" w:themeColor="accent1" w:themeShade="BF"/>
      <w:spacing w:val="5"/>
    </w:rPr>
  </w:style>
  <w:style w:type="paragraph" w:customStyle="1" w:styleId="Afzendgegevens">
    <w:name w:val="Afzendgegevens"/>
    <w:basedOn w:val="Standaard"/>
    <w:next w:val="Standaard"/>
    <w:rsid w:val="00A635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6358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6358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635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6358C"/>
    <w:rPr>
      <w:caps/>
    </w:rPr>
  </w:style>
  <w:style w:type="paragraph" w:customStyle="1" w:styleId="Referentiegegevenskopjes">
    <w:name w:val="Referentiegegevenskopjes"/>
    <w:basedOn w:val="Standaard"/>
    <w:next w:val="Standaard"/>
    <w:rsid w:val="00A635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635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6358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635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635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635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A6358C"/>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6E3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594</ap:Words>
  <ap:Characters>3269</ap:Characters>
  <ap:DocSecurity>0</ap:DocSecurity>
  <ap:Lines>27</ap:Lines>
  <ap:Paragraphs>7</ap:Paragraphs>
  <ap:ScaleCrop>false</ap:ScaleCrop>
  <ap:LinksUpToDate>false</ap:LinksUpToDate>
  <ap:CharactersWithSpaces>3856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2024-12-16T16:23:00.0000000Z</dcterms:created>
  <dcterms:modified xsi:type="dcterms:W3CDTF">2024-12-16T16:23:00.0000000Z</dcterms:modified>
  <version/>
  <category/>
</coreProperties>
</file>